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A27BB80-8934-4E20-AF54-CFDA6652FD2C" style="width:451pt;height:35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Съюзът, представляван от Комисията, е акционер в Европейския инвестиционен фонд (ЕИФ) от създаването му. Понастоящем той притежава 29,7 % от акциите. По-голямата част от акциите (58,9 %) са собственост на Европейската инвестиционна банка. Останалите (11,4 %) са собственост на други финансови институции.</w:t>
      </w:r>
    </w:p>
    <w:p>
      <w:pPr>
        <w:pBdr>
          <w:top w:val="nil"/>
          <w:left w:val="nil"/>
          <w:bottom w:val="nil"/>
          <w:right w:val="nil"/>
          <w:between w:val="nil"/>
          <w:bar w:val="nil"/>
        </w:pBdr>
        <w:spacing w:before="0" w:after="240"/>
        <w:rPr>
          <w:noProof/>
        </w:rPr>
      </w:pPr>
      <w:r>
        <w:rPr>
          <w:noProof/>
        </w:rPr>
        <w:t>Като се има предвид очакваното въздействие на кризата, предизвикана от COVID-19, и с цел да се допринесе за отговора на Съюза и ЕИФ на кризата чрез изпълнението на очакваната програма InvestEU, включена в многогодишната финансова рамка за периода 2021—2027 г., Съветът на директорите на ЕИФ [реши] да предложи капиталът да бъде увеличен по време на общото събрание, на което Комисията, представляваща Съюза в качеството си на акционер в ЕИФ, трябва да бъде в позицията да гласува по увеличението.</w:t>
      </w:r>
    </w:p>
    <w:p>
      <w:pPr>
        <w:rPr>
          <w:noProof/>
        </w:rPr>
      </w:pPr>
      <w:r>
        <w:rPr>
          <w:noProof/>
        </w:rPr>
        <w:t xml:space="preserve">ЕИФ изчисли непосредствена нужда от увеличение на уставния му капитал в размер на 2 870 000 000 EUR, което съответства на вливането на 1 250 000 000 EUR. За да се реагира ефективно на кризата, предизвикана от COVID-19, увеличението на капитала следва да бъде извършено възможно най-скоро. </w:t>
      </w:r>
    </w:p>
    <w:p>
      <w:pPr>
        <w:rPr>
          <w:noProof/>
        </w:rPr>
      </w:pPr>
      <w:r>
        <w:rPr>
          <w:noProof/>
        </w:rPr>
        <w:t xml:space="preserve">Настоящото предложение има за цел да позволи на Комисията, представляваща Съюза на общото събрание, да гласува в подкрепа на увеличението на капитала на ЕИФ. </w:t>
      </w:r>
    </w:p>
    <w:p>
      <w:pPr>
        <w:pBdr>
          <w:top w:val="nil"/>
          <w:left w:val="nil"/>
          <w:bottom w:val="nil"/>
          <w:right w:val="nil"/>
          <w:between w:val="nil"/>
          <w:bar w:val="nil"/>
        </w:pBdr>
        <w:spacing w:before="0" w:after="240"/>
        <w:rPr>
          <w:noProof/>
        </w:rPr>
      </w:pPr>
      <w:r>
        <w:rPr>
          <w:noProof/>
        </w:rPr>
        <w:t xml:space="preserve">В член 32 от предложението на Комисията за Регламент на Европейския парламент и на Съвета за създаване на програмата InvestEU [2020/0108 (COD), Регламент за InvestEU] се предвижда Съюзът да участва в увеличението на капитала и първоначално тази разпоредба беше предвидена да послужи имплицитно като правно основание за това Комисията да гласува в подкрепа на увеличението на капитала на общото събрание на ЕИФ. Като се има предвид обаче, че е налице известна несигурност по отношение на момента, в който Регламентът за InvestEU ще влезе в сила, преди това трябва да бъде прието отделно решение, с което Комисията да бъде упълномощена да гласува в подкрепа на увеличението на капитала по време на общото събрание, за да е възможно периодът за записване на увеличението на капитала да започне своевременно. </w:t>
      </w:r>
    </w:p>
    <w:p>
      <w:pPr>
        <w:pBdr>
          <w:top w:val="nil"/>
          <w:left w:val="nil"/>
          <w:bottom w:val="nil"/>
          <w:right w:val="nil"/>
          <w:between w:val="nil"/>
          <w:bar w:val="nil"/>
        </w:pBdr>
        <w:spacing w:before="0" w:after="240"/>
        <w:rPr>
          <w:noProof/>
        </w:rPr>
      </w:pPr>
      <w:r>
        <w:rPr>
          <w:noProof/>
        </w:rPr>
        <w:t>По този начин акционерите на ЕИФ, различни от Съюза, ще могат да предоставят необходимата капиталова подкрепа непосредствено след началото на периода за записване, дори ако той продължава по-дълго, за да се даде възможност на всички акционери да вземат решение да участват в съответствие със своите правила и процедури. След това Съюзът може да участва в увеличението на капитала и да запише акции след влизането в сила (на Регламента за InvestEU) и в съответствие с правното основание за своето участие, както и ако този регламент бъде приет от съзаконодателите. В съответствие с член 5, параграф 3 от устава на ЕИФ всеки член има право да запише част от увеличението, съответстваща на съотношението, съществувало между акциите, записани от този член, и общия брой на записаните акции на ЕИФ преди увеличението на капитала.</w:t>
      </w:r>
    </w:p>
    <w:p>
      <w:pPr>
        <w:pStyle w:val="ManualHeading2"/>
        <w:rPr>
          <w:rFonts w:eastAsia="Arial Unicode MS"/>
          <w:noProof/>
          <w:u w:color="000000"/>
          <w:bdr w:val="nil"/>
        </w:rPr>
      </w:pPr>
      <w:r>
        <w:rPr>
          <w:noProof/>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Допълнителният капитал ще даде възможност на ЕИФ да изпълни очакваната програма InvestEU в качеството му на ключов партньор по изпълнението, предвиден в </w:t>
      </w:r>
      <w:r>
        <w:rPr>
          <w:noProof/>
        </w:rPr>
        <w:lastRenderedPageBreak/>
        <w:t>Регламента за InvestEU, и по този начин ще допринесе за подобряване на конкурентоспособността и социално-икономическата конвергенция и сближаване в Съюза, като същевременно подкрепя възстановяването от предизвиканата от COVID икономическа криза, по-специално във връзка с подпомагането на иновативните МСП. Подкрепата ще включва принос в областта на иновациите и цифровизацията, за ефективното използване на ресурсите в съответствие с целите на кръговата икономика, за устойчивостта и приобщаващия характер на икономическия растеж в Съюза и за устойчивостта и интеграцията на неговите капиталови пазари, включително чрез решения, които отстраняват разпокъсаността на капиталовите пазари в Съюза и разнообразяват източниците на финансиране за предприятията от Съюза. Освен това увеличението на капитала ще даде възможност за по-нататъшно развитие на ролята на ЕИФ в управлението на националните и регионалните програми, като по този начин ще допринесе за постигане на целите на политиката на ЕС за подобряване на достъпа на МСП до финансиране, насърчаване на регионалното развитие и подпомагане на целите на съюза на капиталовите пазари.</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В своя член 3 Решение № 94/375/ЕО на Съвета съдържа специална разпоредба относно увеличенията на капитала, според която позицията на Съюза относно евентуалното увеличаване на капитала на ЕИФ и относно участието му в това увеличение се определя с единодушие от Съвета, който действа по предложение на Комисията и след консултация с Европейския парламент. Тази разпоредба обаче не може да се използва като правно основание за ново решение относно гласуването за увеличаване на капитала на ЕИФ и за участието на Съюза в увеличаване на капитала на ЕИФ с оглед на развитието на съдебната практика на Съда на Европейския съюз по отношение на т.нар. „вторични правни основания“</w:t>
      </w:r>
      <w:r>
        <w:rPr>
          <w:rStyle w:val="FootnoteReference"/>
          <w:noProof/>
        </w:rPr>
        <w:footnoteReference w:id="1"/>
      </w:r>
      <w:r>
        <w:rPr>
          <w:noProof/>
        </w:rPr>
        <w:t>. Вместо това следва да бъде предложено първично право.</w:t>
      </w:r>
    </w:p>
    <w:p>
      <w:pPr>
        <w:pBdr>
          <w:top w:val="nil"/>
          <w:left w:val="nil"/>
          <w:bottom w:val="nil"/>
          <w:right w:val="nil"/>
          <w:between w:val="nil"/>
          <w:bar w:val="nil"/>
        </w:pBdr>
        <w:spacing w:before="0" w:after="240"/>
        <w:rPr>
          <w:noProof/>
        </w:rPr>
      </w:pPr>
      <w:r>
        <w:rPr>
          <w:noProof/>
        </w:rPr>
        <w:t>С оглед на целите и дейностите на ЕИФ, определени в неговия устав, и решенията, взети от неговите управителни органи в съответствие с устава, и с оглед на основната цел, преследвана с увеличението на капитала, а именно да се подкрепят МСП, иновациите и работните места успоредно с посрещането на други належащи нужди, като изменението на климата, облекчаването на последиците от COVID-19 и цифровизацията на икономиката на ЕС, по-специално чрез изпълнението на очакваната програма InvestEU, като по този начин се насърчават действия в подкрепа на промишлеността на Съюза, член 173, параграф 3 от ДФЕС се счита за подходящо правно основание за предложеното от Комисията увеличаване на капитала.</w:t>
      </w:r>
    </w:p>
    <w:p>
      <w:pPr>
        <w:pBdr>
          <w:top w:val="nil"/>
          <w:left w:val="nil"/>
          <w:bottom w:val="nil"/>
          <w:right w:val="nil"/>
          <w:between w:val="nil"/>
          <w:bar w:val="nil"/>
        </w:pBdr>
        <w:spacing w:before="0" w:after="240"/>
        <w:rPr>
          <w:noProof/>
        </w:rPr>
      </w:pPr>
      <w:r>
        <w:rPr>
          <w:noProof/>
        </w:rPr>
        <w:t>Решение № 562/2014/EС на Европейския парламент и на Съвета от 15 май 2014 г. относно участието на Европейския съюз в увеличаването на капитала на Европейския инвестиционен фонд (ОВ L 156, 24.5.2014 г., стр. 1) също се основаваше на член 173, параграф 3 от ДФЕС.</w:t>
      </w:r>
    </w:p>
    <w:p>
      <w:pPr>
        <w:pStyle w:val="ManualHeading2"/>
        <w:rPr>
          <w:noProof/>
        </w:rPr>
      </w:pPr>
      <w:r>
        <w:rPr>
          <w:noProof/>
          <w:u w:color="000000"/>
          <w:bdr w:val="nil"/>
        </w:rPr>
        <w:lastRenderedPageBreak/>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Съюзът, представляван от Комисията, в качеството си на акционер в ЕИФ разполага с изключителни правомощия да гласува решения за увеличаване на капитала на ЕИФ.</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Допълнителният уставен капитал, доколкото е записан от акционерите на ЕИФ, ще осигури на ЕИФ капитала, от който той се нуждае, за да допринесе за постигането на целите на ЕС.</w:t>
      </w:r>
    </w:p>
    <w:p>
      <w:pPr>
        <w:pStyle w:val="ManualHeading1"/>
        <w:rPr>
          <w:noProof/>
        </w:rPr>
      </w:pPr>
      <w:r>
        <w:rPr>
          <w:noProof/>
        </w:rPr>
        <w:t>3.</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Предложението няма отражение върху бюджета, тъй като гласуването на общото събрание относно увеличаването на капитала на ЕИФ не задължава Съюза да запише акции. Отражението върху бюджета ще произтича единствено от Регламента за InvestEU, който осигурява правното основание за участието на Съюза в увеличението на капитала.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2020/0343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упълномощаване на Комисията да гласува в подкрепа на увеличението на капитала на Европейския инвестиционен фонд</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173, параграф 3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Съгласно член 5, параграф 2 от устава на Европейския инвестиционен фонд (Фонда) уставният капитал на Фонда може да бъде увеличен с решение на общото събрание, прието с мнозинство от 85 % от подадените гласове.</w:t>
      </w:r>
    </w:p>
    <w:p>
      <w:pPr>
        <w:pStyle w:val="ManualConsidrant"/>
        <w:rPr>
          <w:noProof/>
        </w:rPr>
      </w:pPr>
      <w:r>
        <w:t>(2)</w:t>
      </w:r>
      <w:r>
        <w:tab/>
      </w:r>
      <w:r>
        <w:rPr>
          <w:noProof/>
        </w:rPr>
        <w:t>Като се има предвид очакваното въздействие на кризата, предизвикана от COVID-19, и с цел да се допринесе за реакцията на Съюза и на Фонда на кризата чрез изпълнението на очакваната програма InvestEU</w:t>
      </w:r>
      <w:r>
        <w:rPr>
          <w:rStyle w:val="FootnoteReference"/>
          <w:noProof/>
        </w:rPr>
        <w:footnoteReference w:id="3"/>
      </w:r>
      <w:r>
        <w:rPr>
          <w:noProof/>
        </w:rPr>
        <w:t>, включена в многогодишната финансова рамка за периода 2021—2027 г. и чрез по-нататъшно развитие на ролята на ЕИФ в управлението на националните и регионалните програми</w:t>
      </w:r>
      <w:r>
        <w:rPr>
          <w:noProof/>
          <w:u w:val="single"/>
        </w:rPr>
        <w:t>,</w:t>
      </w:r>
      <w:r>
        <w:rPr>
          <w:noProof/>
        </w:rPr>
        <w:t xml:space="preserve"> Фондът изчисли непосредствена необходимост от увеличение на уставния му капитал в размер на 2 870 000 000 EUR.  </w:t>
      </w:r>
    </w:p>
    <w:p>
      <w:pPr>
        <w:pStyle w:val="ManualConsidrant"/>
        <w:rPr>
          <w:noProof/>
        </w:rPr>
      </w:pPr>
      <w:r>
        <w:t>(3)</w:t>
      </w:r>
      <w:r>
        <w:tab/>
      </w:r>
      <w:r>
        <w:rPr>
          <w:noProof/>
        </w:rPr>
        <w:t>Съветът на директорите на Фонда [реши] да поиска от общото събрание да бъде одобрено увеличение на уставния капитал на Фонда с 2 870 000 000 EUR чрез емитирането на 2 870 нови акции, както и условията за плащане и другите условия за това увеличаване на капитала. Ако увеличението на капитала бъде одобрено, номиналната стойност на всяка нова акция ще бъде 1 000 000 EUR и за всяка записана акция ще се плаща 20 % от номиналната ѝ стойност. Общото събрание може да поиска останалите 80 % да бъдат платени по условията, предвидени в член 7, параграф 3 от устава на Фонда. Всички акции, независимо дали са съществуващи или новоемитирани, ще имат еднаква стойност и ще дават равни права във всяко отношение.</w:t>
      </w:r>
    </w:p>
    <w:p>
      <w:pPr>
        <w:pStyle w:val="ManualConsidrant"/>
        <w:rPr>
          <w:noProof/>
        </w:rPr>
      </w:pPr>
      <w:r>
        <w:t>(4)</w:t>
      </w:r>
      <w:r>
        <w:tab/>
      </w:r>
      <w:r>
        <w:rPr>
          <w:noProof/>
        </w:rPr>
        <w:t xml:space="preserve">Съветът на директорите предложи новоодобрените акции да бъдат записвани през единен период на записване, започващ веднага след одобряването на увеличението на капитала от общото събрание и приключващ на 30 септември 2021 г. Съюзът ще може да участва в записването по условията, определени в </w:t>
      </w:r>
      <w:r>
        <w:rPr>
          <w:noProof/>
        </w:rPr>
        <w:lastRenderedPageBreak/>
        <w:t>решението на общото събрание, след като влезе в сила правното основание, с което се одобрява участието на Съюза в увеличението на капитала.</w:t>
      </w:r>
    </w:p>
    <w:p>
      <w:pPr>
        <w:pStyle w:val="ManualConsidrant"/>
        <w:rPr>
          <w:noProof/>
          <w:sz w:val="22"/>
        </w:rPr>
      </w:pPr>
      <w:r>
        <w:t>(5)</w:t>
      </w:r>
      <w:r>
        <w:tab/>
      </w:r>
      <w:r>
        <w:rPr>
          <w:noProof/>
        </w:rPr>
        <w:t xml:space="preserve">За да се даде възможност на представителя на Съюза в общото събрание да гласува по увеличението на капитала възможно най-скоро, настоящото решение следва да бъде прието спешно. Поради това се счита за целесъобразно да се предвиди изключение от осемседмичния и десетдневния срок по член 4 от Протокол № 1 относно ролята на националните парламенти в Европейския съюз, приложен към Договора за Европейския съюз, Договора за функционирането на Европейския съюз и Договора за създаване на Европейската общност за атомна енергия. </w:t>
      </w:r>
    </w:p>
    <w:p>
      <w:pPr>
        <w:pStyle w:val="ManualConsidrant"/>
        <w:rPr>
          <w:noProof/>
        </w:rPr>
      </w:pPr>
      <w:r>
        <w:t>(6)</w:t>
      </w:r>
      <w:r>
        <w:tab/>
      </w:r>
      <w:r>
        <w:rPr>
          <w:noProof/>
        </w:rPr>
        <w:t>По същата причина настоящото решение следва да влезе в сила в деня след публикуването му,</w:t>
      </w:r>
    </w:p>
    <w:p>
      <w:pPr>
        <w:rPr>
          <w:noProof/>
        </w:rPr>
      </w:pPr>
    </w:p>
    <w:p>
      <w:pPr>
        <w:pStyle w:val="Formuledadoption"/>
        <w:rPr>
          <w:noProof/>
        </w:rPr>
      </w:pPr>
      <w:r>
        <w:rPr>
          <w:noProof/>
        </w:rPr>
        <w:t xml:space="preserve">ПРИЕХА НАСТОЯЩОТО РЕШЕНИЕ: </w:t>
      </w:r>
    </w:p>
    <w:p>
      <w:pPr>
        <w:pStyle w:val="Titrearticle"/>
        <w:rPr>
          <w:noProof/>
        </w:rPr>
      </w:pPr>
      <w:r>
        <w:rPr>
          <w:noProof/>
        </w:rPr>
        <w:t>Член 1</w:t>
      </w:r>
    </w:p>
    <w:p>
      <w:pPr>
        <w:pStyle w:val="Titrearticle"/>
        <w:jc w:val="both"/>
        <w:rPr>
          <w:i w:val="0"/>
          <w:noProof/>
        </w:rPr>
      </w:pPr>
      <w:r>
        <w:rPr>
          <w:i w:val="0"/>
          <w:noProof/>
        </w:rPr>
        <w:t xml:space="preserve">Комисията, представляваща Съюза, се упълномощава да гласува на общото събрание на Европейския инвестиционен фонд в подкрепа на предложеното увеличение на капитала с 2 870 000 000 EUR. </w:t>
      </w:r>
    </w:p>
    <w:p>
      <w:pPr>
        <w:pStyle w:val="Titrearticle"/>
        <w:rPr>
          <w:noProof/>
        </w:rPr>
      </w:pPr>
      <w:r>
        <w:rPr>
          <w:noProof/>
        </w:rPr>
        <w:t>Член 2</w:t>
      </w:r>
    </w:p>
    <w:p>
      <w:pPr>
        <w:pStyle w:val="Titrearticle"/>
        <w:jc w:val="both"/>
        <w:rPr>
          <w:noProof/>
        </w:rPr>
      </w:pPr>
      <w:r>
        <w:rPr>
          <w:i w:val="0"/>
          <w:noProof/>
        </w:rPr>
        <w:t>Настоящото решение влиза в сила в деня след деня на публикуването му в</w:t>
      </w:r>
      <w:r>
        <w:rPr>
          <w:noProof/>
        </w:rPr>
        <w:t xml:space="preserve"> Официален вестник на Европейския съюз. </w:t>
      </w:r>
    </w:p>
    <w:p>
      <w:pPr>
        <w:pStyle w:val="Titrearticle"/>
        <w:jc w:val="both"/>
        <w:rPr>
          <w:i w:val="0"/>
          <w:noProof/>
        </w:rPr>
      </w:pPr>
      <w:r>
        <w:rPr>
          <w:i w:val="0"/>
          <w:noProof/>
        </w:rPr>
        <w:t xml:space="preserve">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b/>
          <w:bCs/>
        </w:rPr>
      </w:pPr>
      <w:r>
        <w:rPr>
          <w:rStyle w:val="FootnoteReference"/>
        </w:rPr>
        <w:footnoteRef/>
      </w:r>
      <w:r>
        <w:tab/>
      </w:r>
      <w:r>
        <w:rPr>
          <w:b/>
          <w:bCs/>
        </w:rPr>
        <w:t>Решение на Съда от 6 май 2008 г. по дело C-133/06, Европейски парламент/Съвет на Европейския съюз, ECLI:EU:C:2008:257.</w:t>
      </w:r>
    </w:p>
    <w:p>
      <w:pPr>
        <w:pStyle w:val="FootnoteText"/>
      </w:pPr>
    </w:p>
  </w:footnote>
  <w:footnote w:id="2">
    <w:p>
      <w:pPr>
        <w:pStyle w:val="FootnoteText"/>
      </w:pPr>
      <w:r>
        <w:rPr>
          <w:rStyle w:val="FootnoteReference"/>
        </w:rPr>
        <w:footnoteRef/>
      </w:r>
      <w:r>
        <w:tab/>
        <w:t>ОВ C , , стр. .</w:t>
      </w:r>
    </w:p>
  </w:footnote>
  <w:footnote w:id="3">
    <w:p>
      <w:pPr>
        <w:pStyle w:val="FootnoteText"/>
      </w:pPr>
      <w:r>
        <w:rPr>
          <w:rStyle w:val="FootnoteReference"/>
        </w:rPr>
        <w:footnoteRef/>
      </w:r>
      <w:r>
        <w:tab/>
        <w:t>Предложение за Регламент на Европейския парламент и на Съвета за създаване на програмата InvestEU 2020/0108 (COD).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E253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11E7C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B866F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32C4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2CA4D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631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F4890E"/>
    <w:lvl w:ilvl="0">
      <w:start w:val="1"/>
      <w:numFmt w:val="decimal"/>
      <w:pStyle w:val="ListNumber"/>
      <w:lvlText w:val="%1."/>
      <w:lvlJc w:val="left"/>
      <w:pPr>
        <w:tabs>
          <w:tab w:val="num" w:pos="360"/>
        </w:tabs>
        <w:ind w:left="360" w:hanging="360"/>
      </w:pPr>
    </w:lvl>
  </w:abstractNum>
  <w:abstractNum w:abstractNumId="7">
    <w:nsid w:val="FFFFFF89"/>
    <w:multiLevelType w:val="singleLevel"/>
    <w:tmpl w:val="40B025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5 15:13:1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A27BB80-8934-4E20-AF54-CFDA6652FD2C"/>
    <w:docVar w:name="LW_COVERPAGE_TYPE" w:val="1"/>
    <w:docVar w:name="LW_CROSSREFERENCE" w:val="&lt;UNUSED&gt;"/>
    <w:docVar w:name="LW_DocType" w:val="COM"/>
    <w:docVar w:name="LW_EMISSION" w:val="25.11.2020"/>
    <w:docVar w:name="LW_EMISSION_ISODATE" w:val="2020-11-25"/>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43"/>
    <w:docVar w:name="LW_REF.II.NEW.CP_YEAR" w:val="2020"/>
    <w:docVar w:name="LW_REF.INST.NEW" w:val="COM"/>
    <w:docVar w:name="LW_REF.INST.NEW_ADOPTED" w:val="final"/>
    <w:docVar w:name="LW_REF.INST.NEW_TEXT" w:val="(2020) 7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7?\u1098?\u1083?\u1085?\u1086?\u1084?\u1086?\u1097?\u1072?\u1074?\u1072?\u1085?\u1077? \u1085?\u1072? \u1050?\u1086?\u1084?\u1080?\u1089?\u1080?\u1103?\u1090?\u1072? \u1076?\u1072? \u1075?\u1083?\u1072?\u1089?\u1091?\u1074?\u1072? \u1074? \u1087?\u1086?\u1076?\u1082?\u1088?\u1077?\u1087?\u1072? \u1085?\u1072? \u1091?\u1074?\u1077?\u1083?\u1080?\u1095?\u1077?\u1085?\u1080?\u1077?\u1090?\u1086? \u1085?\u1072? \u1082?\u1072?\u1087?\u1080?\u1090?\u1072?\u1083?\u1072? \u1085?\u1072? \u1045?\u1074?\u1088?\u1086?\u1087?\u1077?\u1081?\u1089?\u1082?\u1080?\u1103? \u1080?\u1085?\u1074?\u1077?\u1089?\u1090?\u1080?\u1094?\u1080?\u1086?\u1085?\u1077?\u1085? \u1092?\u1086?\u1085?\u1076?"/>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05343">
      <w:bodyDiv w:val="1"/>
      <w:marLeft w:val="0"/>
      <w:marRight w:val="0"/>
      <w:marTop w:val="0"/>
      <w:marBottom w:val="0"/>
      <w:divBdr>
        <w:top w:val="none" w:sz="0" w:space="0" w:color="auto"/>
        <w:left w:val="none" w:sz="0" w:space="0" w:color="auto"/>
        <w:bottom w:val="none" w:sz="0" w:space="0" w:color="auto"/>
        <w:right w:val="none" w:sz="0" w:space="0" w:color="auto"/>
      </w:divBdr>
    </w:div>
    <w:div w:id="1258444146">
      <w:bodyDiv w:val="1"/>
      <w:marLeft w:val="0"/>
      <w:marRight w:val="0"/>
      <w:marTop w:val="0"/>
      <w:marBottom w:val="0"/>
      <w:divBdr>
        <w:top w:val="none" w:sz="0" w:space="0" w:color="auto"/>
        <w:left w:val="none" w:sz="0" w:space="0" w:color="auto"/>
        <w:bottom w:val="none" w:sz="0" w:space="0" w:color="auto"/>
        <w:right w:val="none" w:sz="0" w:space="0" w:color="auto"/>
      </w:divBdr>
    </w:div>
    <w:div w:id="1768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F747DBD-80F3-401D-854B-E0079EAE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1577</Words>
  <Characters>8821</Characters>
  <Application>Microsoft Office Word</Application>
  <DocSecurity>0</DocSecurity>
  <Lines>163</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2020-11-25T06:53:00Z</dcterms:created>
  <dcterms:modified xsi:type="dcterms:W3CDTF">2020-11-25T14:13:00Z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