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69E1841E-FCD1-4CFC-B93B-39B333781FF5" style="width:450.75pt;height:424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 I</w:t>
      </w:r>
    </w:p>
    <w:p>
      <w:pPr>
        <w:spacing w:before="360" w:after="0" w:line="360" w:lineRule="auto"/>
        <w:jc w:val="center"/>
        <w:rPr>
          <w:rFonts w:eastAsia="Calibri"/>
          <w:noProof/>
        </w:rPr>
      </w:pPr>
      <w:r>
        <w:rPr>
          <w:noProof/>
        </w:rPr>
        <w:t>PROJET DE</w:t>
      </w:r>
    </w:p>
    <w:p>
      <w:pPr>
        <w:spacing w:before="360" w:after="0" w:line="360" w:lineRule="auto"/>
        <w:jc w:val="center"/>
        <w:rPr>
          <w:rFonts w:eastAsia="Calibri"/>
          <w:b/>
          <w:noProof/>
        </w:rPr>
      </w:pPr>
      <w:r>
        <w:rPr>
          <w:b/>
          <w:noProof/>
        </w:rPr>
        <w:t>DÉCISION 2020/</w:t>
      </w:r>
      <w:r>
        <w:rPr>
          <w:noProof/>
        </w:rPr>
        <w:t xml:space="preserve"> </w:t>
      </w:r>
      <w:r>
        <w:rPr>
          <w:noProof/>
        </w:rPr>
        <w:br/>
      </w:r>
      <w:r>
        <w:rPr>
          <w:b/>
          <w:noProof/>
        </w:rPr>
        <w:t>DU COMITÉ DE DIRECTION RÉGIONAL DE LA COMMUNAUTÉ DES TRANSPORTS</w:t>
      </w:r>
    </w:p>
    <w:p>
      <w:pPr>
        <w:spacing w:before="360" w:after="0" w:line="360" w:lineRule="auto"/>
        <w:jc w:val="center"/>
        <w:rPr>
          <w:rFonts w:eastAsia="Calibri"/>
          <w:b/>
          <w:noProof/>
          <w:szCs w:val="24"/>
        </w:rPr>
      </w:pPr>
      <w:r>
        <w:rPr>
          <w:b/>
          <w:noProof/>
          <w:szCs w:val="24"/>
        </w:rPr>
        <w:t>du...</w:t>
      </w:r>
    </w:p>
    <w:p>
      <w:pPr>
        <w:spacing w:before="0" w:after="200" w:line="276" w:lineRule="auto"/>
        <w:jc w:val="center"/>
        <w:rPr>
          <w:rFonts w:eastAsia="Calibri"/>
          <w:b/>
          <w:noProof/>
          <w:szCs w:val="24"/>
        </w:rPr>
      </w:pPr>
      <w:r>
        <w:rPr>
          <w:b/>
          <w:noProof/>
          <w:szCs w:val="24"/>
        </w:rPr>
        <w:t>relative à l’adoption du budget de la Communauté des transports pour l’année 2021</w:t>
      </w:r>
    </w:p>
    <w:p>
      <w:pPr>
        <w:keepNext/>
        <w:spacing w:before="600" w:line="360" w:lineRule="auto"/>
        <w:jc w:val="left"/>
        <w:rPr>
          <w:rFonts w:eastAsia="Calibri"/>
          <w:noProof/>
        </w:rPr>
      </w:pPr>
      <w:r>
        <w:rPr>
          <w:noProof/>
        </w:rPr>
        <w:t>LE COMITÉ DE DIRECTION RÉGIONAL DE LA COMMUNAUTÉ DES TRANSPORTS,</w:t>
      </w:r>
    </w:p>
    <w:p>
      <w:pPr>
        <w:spacing w:line="360" w:lineRule="auto"/>
        <w:jc w:val="left"/>
        <w:rPr>
          <w:rFonts w:eastAsia="Calibri"/>
          <w:noProof/>
        </w:rPr>
      </w:pPr>
      <w:r>
        <w:rPr>
          <w:noProof/>
        </w:rPr>
        <w:t>vu le traité instituant la Communauté des transports, et notamment son article 24, paragraphe 1, et son article 35,</w:t>
      </w:r>
    </w:p>
    <w:p>
      <w:pPr>
        <w:keepNext/>
        <w:spacing w:line="360" w:lineRule="auto"/>
        <w:jc w:val="left"/>
        <w:rPr>
          <w:rFonts w:eastAsia="Calibri"/>
          <w:noProof/>
        </w:rPr>
      </w:pPr>
      <w:r>
        <w:rPr>
          <w:noProof/>
        </w:rPr>
        <w:t>DÉCIDE:</w:t>
      </w:r>
    </w:p>
    <w:p>
      <w:pPr>
        <w:keepNext/>
        <w:spacing w:before="360" w:line="360" w:lineRule="auto"/>
        <w:jc w:val="center"/>
        <w:rPr>
          <w:rFonts w:eastAsia="Calibri"/>
          <w:i/>
          <w:noProof/>
        </w:rPr>
      </w:pPr>
      <w:r>
        <w:rPr>
          <w:i/>
          <w:noProof/>
        </w:rPr>
        <w:t>Article premier</w:t>
      </w:r>
    </w:p>
    <w:p>
      <w:pPr>
        <w:spacing w:line="360" w:lineRule="auto"/>
        <w:jc w:val="left"/>
        <w:rPr>
          <w:rFonts w:eastAsia="Calibri"/>
          <w:noProof/>
        </w:rPr>
      </w:pPr>
      <w:r>
        <w:rPr>
          <w:noProof/>
        </w:rPr>
        <w:t>Le budget de la Communauté des transports pour l’année 2021, joint à la présente décision, est adopté.</w:t>
      </w:r>
    </w:p>
    <w:p>
      <w:pPr>
        <w:keepNext/>
        <w:spacing w:before="360"/>
        <w:jc w:val="center"/>
        <w:rPr>
          <w:rFonts w:eastAsia="Calibri"/>
          <w:i/>
          <w:noProof/>
        </w:rPr>
      </w:pPr>
      <w:r>
        <w:rPr>
          <w:i/>
          <w:noProof/>
        </w:rPr>
        <w:t>Article 2</w:t>
      </w:r>
    </w:p>
    <w:p>
      <w:pPr>
        <w:pStyle w:val="Point0number"/>
        <w:numPr>
          <w:ilvl w:val="0"/>
          <w:numId w:val="26"/>
        </w:numPr>
        <w:rPr>
          <w:noProof/>
        </w:rPr>
      </w:pPr>
      <w:r>
        <w:rPr>
          <w:noProof/>
        </w:rPr>
        <w:t>Conformément à l’article 10, paragraphe 1, des règles financières et des procédures de vérification des comptes applicables à la Communauté des transports, les crédits d’une ligne budgétaire donnée du budget 2021 peuvent être utilisés à des fins que le budget attribue à une autre ligne budgétaire, dans la limite totale de 10 % des crédits de l’ancienne ligne budgétaire. Cette disposition ne s’applique pas à la ligne budgétaire relative aux ressources humaines.</w:t>
      </w:r>
    </w:p>
    <w:p>
      <w:pPr>
        <w:pStyle w:val="Point0number"/>
        <w:rPr>
          <w:noProof/>
        </w:rPr>
      </w:pPr>
      <w:r>
        <w:rPr>
          <w:noProof/>
        </w:rPr>
        <w:t xml:space="preserve">Les crédits reportés en vue de répondre à des obligations contractées à la fin de l’année 2020, tels que spécifiés dans le budget ci-joint, ne sont pas éligibles pour l’utilisation visée au premier alinéa. Ils ne sont pas pris en compte pour déterminer le montant maximal correspondant à la limite de 10 % qui y est visée.  </w:t>
      </w:r>
    </w:p>
    <w:p>
      <w:pPr>
        <w:keepNext/>
        <w:spacing w:before="360"/>
        <w:jc w:val="center"/>
        <w:rPr>
          <w:rFonts w:eastAsia="Calibri"/>
          <w:i/>
          <w:noProof/>
        </w:rPr>
      </w:pPr>
      <w:r>
        <w:rPr>
          <w:i/>
          <w:noProof/>
        </w:rPr>
        <w:t>Article 3</w:t>
      </w:r>
    </w:p>
    <w:p>
      <w:pPr>
        <w:pStyle w:val="Point0number"/>
        <w:rPr>
          <w:noProof/>
        </w:rPr>
      </w:pPr>
      <w:r>
        <w:rPr>
          <w:noProof/>
        </w:rPr>
        <w:t>Les crédits qui n’ont pas été engagés à la fin des exercices 2019 et 2020 sont annulés et remboursés aux parties selon les pourcentages fixés à l’annexe V du traité instituant la Communauté des transports et les contributions effectivement versées.</w:t>
      </w:r>
    </w:p>
    <w:p>
      <w:pPr>
        <w:keepNext/>
        <w:spacing w:after="0" w:line="360" w:lineRule="auto"/>
        <w:jc w:val="left"/>
        <w:rPr>
          <w:rFonts w:eastAsia="Calibri"/>
          <w:noProof/>
        </w:rPr>
      </w:pPr>
    </w:p>
    <w:p>
      <w:pPr>
        <w:keepNext/>
        <w:spacing w:after="0" w:line="360" w:lineRule="auto"/>
        <w:jc w:val="left"/>
        <w:rPr>
          <w:rFonts w:eastAsia="Calibri"/>
          <w:noProof/>
        </w:rPr>
      </w:pPr>
      <w:r>
        <w:rPr>
          <w:noProof/>
        </w:rPr>
        <w:t>Fait à ..., le ... 2020</w:t>
      </w:r>
    </w:p>
    <w:p>
      <w:pPr>
        <w:keepNext/>
        <w:tabs>
          <w:tab w:val="left" w:pos="5669"/>
        </w:tabs>
        <w:spacing w:before="360" w:after="0" w:line="360" w:lineRule="auto"/>
        <w:jc w:val="left"/>
        <w:rPr>
          <w:rFonts w:eastAsia="Calibri"/>
          <w:i/>
          <w:noProof/>
        </w:rPr>
      </w:pPr>
      <w:r>
        <w:rPr>
          <w:i/>
          <w:noProof/>
        </w:rPr>
        <w:t>Par le comité de direction régional</w:t>
      </w:r>
    </w:p>
    <w:p>
      <w:pPr>
        <w:tabs>
          <w:tab w:val="left" w:pos="5669"/>
        </w:tabs>
        <w:spacing w:before="360" w:after="0" w:line="360" w:lineRule="auto"/>
        <w:jc w:val="left"/>
        <w:rPr>
          <w:rFonts w:eastAsia="Calibri"/>
          <w:i/>
          <w:noProof/>
        </w:rPr>
      </w:pPr>
      <w:r>
        <w:rPr>
          <w:noProof/>
        </w:rPr>
        <w:tab/>
      </w:r>
      <w:r>
        <w:rPr>
          <w:i/>
          <w:noProof/>
        </w:rPr>
        <w:t>Le président</w:t>
      </w:r>
    </w:p>
    <w:p>
      <w:pPr>
        <w:rPr>
          <w:rFonts w:eastAsia="Calibri"/>
          <w:noProof/>
        </w:rPr>
      </w:pPr>
      <w:r>
        <w:rPr>
          <w:noProof/>
        </w:rPr>
        <w:br w:type="page"/>
      </w:r>
    </w:p>
    <w:p>
      <w:pPr>
        <w:spacing w:line="360" w:lineRule="auto"/>
        <w:jc w:val="center"/>
        <w:rPr>
          <w:rFonts w:ascii="Calibri" w:eastAsia="Calibri" w:hAnsi="Calibri" w:cs="Arial"/>
          <w:noProof/>
          <w:u w:val="single"/>
        </w:rPr>
      </w:pPr>
      <w:r>
        <w:rPr>
          <w:noProof/>
        </w:rPr>
        <w:t>BUDGET DE LA COMMUNAUTÉ DES TRANSPORTS POUR L'ANNÉE 2021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7225"/>
        <w:gridCol w:w="2551"/>
      </w:tblGrid>
      <w:tr>
        <w:trPr>
          <w:trHeight w:val="29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before="60" w:after="60" w:line="276" w:lineRule="auto"/>
              <w:jc w:val="center"/>
              <w:rPr>
                <w:rFonts w:eastAsia="Calibri"/>
                <w:noProof/>
              </w:rPr>
            </w:pPr>
            <w:r>
              <w:rPr>
                <w:noProof/>
              </w:rPr>
              <w:t>Ligne budgétaire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before="60" w:after="60" w:line="276" w:lineRule="auto"/>
              <w:jc w:val="center"/>
              <w:rPr>
                <w:rFonts w:eastAsia="Calibri"/>
                <w:noProof/>
              </w:rPr>
            </w:pPr>
            <w:r>
              <w:rPr>
                <w:noProof/>
              </w:rPr>
              <w:t>Montant</w:t>
            </w:r>
          </w:p>
          <w:p>
            <w:pPr>
              <w:spacing w:before="60" w:after="60" w:line="276" w:lineRule="auto"/>
              <w:jc w:val="center"/>
              <w:rPr>
                <w:rFonts w:eastAsia="Calibri"/>
                <w:noProof/>
              </w:rPr>
            </w:pPr>
            <w:r>
              <w:rPr>
                <w:noProof/>
              </w:rPr>
              <w:t>(en EUR)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ListParagraph"/>
              <w:numPr>
                <w:ilvl w:val="0"/>
                <w:numId w:val="9"/>
              </w:numPr>
              <w:spacing w:before="0" w:after="0" w:line="252" w:lineRule="auto"/>
              <w:contextualSpacing w:val="0"/>
              <w:jc w:val="left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</w:rPr>
              <w:t>Secrétariat permanent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spacing w:line="252" w:lineRule="auto"/>
              <w:ind w:left="360"/>
              <w:rPr>
                <w:b/>
                <w:bCs/>
                <w:noProof/>
                <w:color w:val="000000"/>
              </w:rPr>
            </w:pP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ListParagraph"/>
              <w:numPr>
                <w:ilvl w:val="1"/>
                <w:numId w:val="10"/>
              </w:numPr>
              <w:spacing w:before="0" w:after="0" w:line="252" w:lineRule="auto"/>
              <w:contextualSpacing w:val="0"/>
              <w:jc w:val="lef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Ressources humaines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line="252" w:lineRule="auto"/>
              <w:jc w:val="right"/>
              <w:rPr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 xml:space="preserve"> </w:t>
            </w:r>
            <w:r>
              <w:rPr>
                <w:bCs/>
                <w:noProof/>
                <w:color w:val="000000"/>
              </w:rPr>
              <w:t xml:space="preserve">1 465 706 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ListParagraph"/>
              <w:numPr>
                <w:ilvl w:val="1"/>
                <w:numId w:val="10"/>
              </w:numPr>
              <w:spacing w:before="0" w:after="0" w:line="252" w:lineRule="auto"/>
              <w:contextualSpacing w:val="0"/>
              <w:jc w:val="lef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Frais de déplacement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line="252" w:lineRule="auto"/>
              <w:jc w:val="right"/>
              <w:rPr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 xml:space="preserve"> </w:t>
            </w:r>
            <w:r>
              <w:rPr>
                <w:bCs/>
                <w:noProof/>
                <w:color w:val="000000"/>
              </w:rPr>
              <w:t xml:space="preserve">237 600 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ListParagraph"/>
              <w:numPr>
                <w:ilvl w:val="1"/>
                <w:numId w:val="10"/>
              </w:numPr>
              <w:spacing w:before="0" w:after="0" w:line="252" w:lineRule="auto"/>
              <w:contextualSpacing w:val="0"/>
              <w:jc w:val="lef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Frais de bureau, équipements et logiciels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line="252" w:lineRule="auto"/>
              <w:jc w:val="right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403 080 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1"/>
              </w:numPr>
              <w:spacing w:before="0" w:after="0" w:line="252" w:lineRule="auto"/>
              <w:contextualSpacing w:val="0"/>
              <w:jc w:val="left"/>
              <w:rPr>
                <w:noProof/>
                <w:color w:val="000000"/>
              </w:rPr>
            </w:pPr>
            <w:r>
              <w:rPr>
                <w:i/>
                <w:noProof/>
                <w:color w:val="000000"/>
                <w:sz w:val="22"/>
              </w:rPr>
              <w:t>Dont crédits nouveaux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ListParagraph"/>
              <w:spacing w:before="0" w:after="0" w:line="252" w:lineRule="auto"/>
              <w:ind w:left="1451"/>
              <w:contextualSpacing w:val="0"/>
              <w:jc w:val="right"/>
              <w:rPr>
                <w:i/>
                <w:noProof/>
                <w:color w:val="000000"/>
                <w:sz w:val="22"/>
              </w:rPr>
            </w:pPr>
            <w:r>
              <w:rPr>
                <w:i/>
                <w:noProof/>
                <w:color w:val="000000"/>
                <w:sz w:val="22"/>
              </w:rPr>
              <w:t>308 080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1"/>
              </w:numPr>
              <w:spacing w:before="0" w:after="0" w:line="252" w:lineRule="auto"/>
              <w:contextualSpacing w:val="0"/>
              <w:jc w:val="left"/>
              <w:rPr>
                <w:noProof/>
                <w:color w:val="000000"/>
              </w:rPr>
            </w:pPr>
            <w:r>
              <w:rPr>
                <w:i/>
                <w:noProof/>
                <w:color w:val="000000"/>
                <w:sz w:val="22"/>
              </w:rPr>
              <w:t>Dont crédits budgétaires reportés correspondant à des obligations contractées à la fin de 2020 pour lesquelles des paiements sont dus en 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ListParagraph"/>
              <w:spacing w:before="0" w:after="0" w:line="252" w:lineRule="auto"/>
              <w:ind w:left="1451"/>
              <w:contextualSpacing w:val="0"/>
              <w:jc w:val="right"/>
              <w:rPr>
                <w:i/>
                <w:noProof/>
                <w:color w:val="000000"/>
                <w:sz w:val="22"/>
              </w:rPr>
            </w:pPr>
            <w:r>
              <w:rPr>
                <w:i/>
                <w:noProof/>
                <w:color w:val="000000"/>
                <w:sz w:val="22"/>
              </w:rPr>
              <w:t>95 000</w:t>
            </w:r>
            <w:r>
              <w:rPr>
                <w:rStyle w:val="FootnoteReference"/>
                <w:i/>
                <w:noProof/>
                <w:color w:val="000000"/>
                <w:sz w:val="22"/>
              </w:rPr>
              <w:footnoteReference w:id="1"/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ListParagraph"/>
              <w:numPr>
                <w:ilvl w:val="1"/>
                <w:numId w:val="10"/>
              </w:numPr>
              <w:spacing w:before="0" w:after="0" w:line="252" w:lineRule="auto"/>
              <w:contextualSpacing w:val="0"/>
              <w:jc w:val="lef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Autres coûts et services, y compris:</w:t>
            </w:r>
          </w:p>
          <w:p>
            <w:pPr>
              <w:spacing w:line="252" w:lineRule="auto"/>
              <w:ind w:firstLine="22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- Services externalisés et autres (audit, visibilité, formation du personnel, frais bancaires)</w:t>
            </w:r>
          </w:p>
          <w:p>
            <w:pPr>
              <w:spacing w:line="252" w:lineRule="auto"/>
              <w:ind w:firstLine="22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- Frais de réunions et de conférences</w:t>
            </w:r>
          </w:p>
          <w:p>
            <w:pPr>
              <w:spacing w:line="252" w:lineRule="auto"/>
              <w:ind w:firstLine="22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- Frais d’équipement informatique et de communication</w:t>
            </w:r>
          </w:p>
          <w:p>
            <w:pPr>
              <w:spacing w:line="252" w:lineRule="auto"/>
              <w:ind w:firstLine="22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- Frais de recrutement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line="252" w:lineRule="auto"/>
              <w:jc w:val="right"/>
              <w:rPr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 xml:space="preserve"> </w:t>
            </w:r>
            <w:r>
              <w:rPr>
                <w:bCs/>
                <w:noProof/>
                <w:color w:val="000000"/>
              </w:rPr>
              <w:t>262 890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ListParagraph"/>
              <w:numPr>
                <w:ilvl w:val="1"/>
                <w:numId w:val="10"/>
              </w:numPr>
              <w:spacing w:before="0" w:after="0" w:line="252" w:lineRule="auto"/>
              <w:contextualSpacing w:val="0"/>
              <w:jc w:val="lef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ÉTUDES, Assistance technique à l’appui de la mise en œuvre de l’acquis de l’UE et Plans d’action.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line="252" w:lineRule="auto"/>
              <w:jc w:val="right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 690 000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1"/>
              </w:numPr>
              <w:spacing w:before="0" w:after="0" w:line="252" w:lineRule="auto"/>
              <w:contextualSpacing w:val="0"/>
              <w:jc w:val="left"/>
              <w:rPr>
                <w:i/>
                <w:noProof/>
                <w:color w:val="000000"/>
                <w:sz w:val="22"/>
              </w:rPr>
            </w:pPr>
            <w:r>
              <w:rPr>
                <w:i/>
                <w:noProof/>
                <w:color w:val="000000"/>
                <w:sz w:val="22"/>
              </w:rPr>
              <w:t>Dont crédits nouveaux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2" w:lineRule="auto"/>
              <w:jc w:val="right"/>
              <w:rPr>
                <w:bCs/>
                <w:i/>
                <w:noProof/>
                <w:color w:val="000000"/>
                <w:sz w:val="22"/>
              </w:rPr>
            </w:pPr>
            <w:r>
              <w:rPr>
                <w:bCs/>
                <w:i/>
                <w:noProof/>
                <w:color w:val="000000"/>
                <w:sz w:val="22"/>
              </w:rPr>
              <w:t>560 000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1"/>
              </w:numPr>
              <w:spacing w:before="0" w:after="0" w:line="252" w:lineRule="auto"/>
              <w:contextualSpacing w:val="0"/>
              <w:jc w:val="left"/>
              <w:rPr>
                <w:i/>
                <w:noProof/>
                <w:color w:val="000000"/>
                <w:sz w:val="22"/>
              </w:rPr>
            </w:pPr>
            <w:r>
              <w:rPr>
                <w:i/>
                <w:noProof/>
                <w:sz w:val="22"/>
              </w:rPr>
              <w:t>Dont crédits budgétaires reportés correspondant à des obligations contractées à la fin de 2020 pour lesquelles des paiements sont dus en 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2" w:lineRule="auto"/>
              <w:jc w:val="right"/>
              <w:rPr>
                <w:bCs/>
                <w:i/>
                <w:noProof/>
                <w:color w:val="000000"/>
                <w:sz w:val="22"/>
              </w:rPr>
            </w:pPr>
            <w:r>
              <w:rPr>
                <w:i/>
                <w:noProof/>
                <w:color w:val="000000"/>
                <w:sz w:val="22"/>
              </w:rPr>
              <w:t>130 000</w:t>
            </w:r>
            <w:r>
              <w:rPr>
                <w:rStyle w:val="FootnoteReference"/>
                <w:rFonts w:eastAsia="Calibri"/>
                <w:i/>
                <w:noProof/>
                <w:color w:val="000000"/>
                <w:sz w:val="22"/>
                <w:lang w:eastAsia="en-GB"/>
              </w:rPr>
              <w:footnoteReference w:id="2"/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ListParagraph"/>
              <w:numPr>
                <w:ilvl w:val="0"/>
                <w:numId w:val="10"/>
              </w:numPr>
              <w:spacing w:before="0" w:after="0" w:line="252" w:lineRule="auto"/>
              <w:contextualSpacing w:val="0"/>
              <w:jc w:val="left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Conseil ministériel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2" w:lineRule="auto"/>
              <w:jc w:val="right"/>
              <w:rPr>
                <w:b/>
                <w:bCs/>
                <w:noProof/>
                <w:color w:val="000000"/>
              </w:rPr>
            </w:pP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ListParagraph"/>
              <w:numPr>
                <w:ilvl w:val="1"/>
                <w:numId w:val="10"/>
              </w:numPr>
              <w:spacing w:before="0" w:after="0" w:line="252" w:lineRule="auto"/>
              <w:contextualSpacing w:val="0"/>
              <w:jc w:val="lef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Frais de réunions et de conférences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line="252" w:lineRule="auto"/>
              <w:jc w:val="right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         60 000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ListParagraph"/>
              <w:numPr>
                <w:ilvl w:val="0"/>
                <w:numId w:val="10"/>
              </w:numPr>
              <w:spacing w:before="0" w:after="0" w:line="252" w:lineRule="auto"/>
              <w:contextualSpacing w:val="0"/>
              <w:jc w:val="left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Comité de direction régional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2" w:lineRule="auto"/>
              <w:jc w:val="right"/>
              <w:rPr>
                <w:b/>
                <w:bCs/>
                <w:noProof/>
                <w:color w:val="000000"/>
              </w:rPr>
            </w:pP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ListParagraph"/>
              <w:numPr>
                <w:ilvl w:val="1"/>
                <w:numId w:val="10"/>
              </w:numPr>
              <w:spacing w:before="0" w:after="0" w:line="252" w:lineRule="auto"/>
              <w:contextualSpacing w:val="0"/>
              <w:jc w:val="lef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Frais de réunions et de conférences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line="252" w:lineRule="auto"/>
              <w:jc w:val="right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                      25 450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ListParagraph"/>
              <w:numPr>
                <w:ilvl w:val="0"/>
                <w:numId w:val="10"/>
              </w:numPr>
              <w:spacing w:before="0" w:after="0" w:line="252" w:lineRule="auto"/>
              <w:contextualSpacing w:val="0"/>
              <w:jc w:val="left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Comités techniques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2" w:lineRule="auto"/>
              <w:jc w:val="right"/>
              <w:rPr>
                <w:b/>
                <w:bCs/>
                <w:noProof/>
                <w:color w:val="000000"/>
              </w:rPr>
            </w:pP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ListParagraph"/>
              <w:numPr>
                <w:ilvl w:val="1"/>
                <w:numId w:val="10"/>
              </w:numPr>
              <w:spacing w:before="0" w:after="0" w:line="252" w:lineRule="auto"/>
              <w:contextualSpacing w:val="0"/>
              <w:jc w:val="lef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Frais de réunions et de conférences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line="252" w:lineRule="auto"/>
              <w:jc w:val="right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         114 100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ListParagraph"/>
              <w:numPr>
                <w:ilvl w:val="0"/>
                <w:numId w:val="10"/>
              </w:numPr>
              <w:spacing w:before="0" w:after="0" w:line="252" w:lineRule="auto"/>
              <w:contextualSpacing w:val="0"/>
              <w:jc w:val="left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Forum social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2" w:lineRule="auto"/>
              <w:jc w:val="right"/>
              <w:rPr>
                <w:b/>
                <w:bCs/>
                <w:noProof/>
                <w:color w:val="000000"/>
              </w:rPr>
            </w:pP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ListParagraph"/>
              <w:numPr>
                <w:ilvl w:val="1"/>
                <w:numId w:val="10"/>
              </w:numPr>
              <w:spacing w:before="0" w:after="0" w:line="252" w:lineRule="auto"/>
              <w:contextualSpacing w:val="0"/>
              <w:jc w:val="lef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Frais de réunions et de conférences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line="252" w:lineRule="auto"/>
              <w:jc w:val="right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16 300</w:t>
            </w:r>
          </w:p>
        </w:tc>
      </w:tr>
      <w:tr>
        <w:trPr>
          <w:trHeight w:val="29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60" w:after="60" w:line="276" w:lineRule="auto"/>
              <w:jc w:val="left"/>
              <w:rPr>
                <w:rFonts w:eastAsia="Calibri"/>
                <w:b/>
                <w:noProof/>
              </w:rPr>
            </w:pPr>
            <w:r>
              <w:rPr>
                <w:b/>
                <w:noProof/>
              </w:rPr>
              <w:t>Réserve (environ 8 % des nouveaux crédits)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60" w:after="60" w:line="276" w:lineRule="auto"/>
              <w:jc w:val="right"/>
              <w:rPr>
                <w:rFonts w:eastAsia="Calibri"/>
                <w:noProof/>
              </w:rPr>
            </w:pPr>
            <w:r>
              <w:rPr>
                <w:noProof/>
              </w:rPr>
              <w:t>249 874</w:t>
            </w:r>
          </w:p>
        </w:tc>
      </w:tr>
      <w:tr>
        <w:trPr>
          <w:trHeight w:val="29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60" w:after="60" w:line="276" w:lineRule="auto"/>
              <w:jc w:val="left"/>
              <w:rPr>
                <w:rFonts w:eastAsia="Calibri"/>
                <w:b/>
                <w:noProof/>
              </w:rPr>
            </w:pPr>
            <w:r>
              <w:rPr>
                <w:b/>
                <w:noProof/>
              </w:rPr>
              <w:t>Total crédits nouveaux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60" w:after="60" w:line="276" w:lineRule="auto"/>
              <w:jc w:val="right"/>
              <w:rPr>
                <w:rFonts w:eastAsia="Calibri"/>
                <w:noProof/>
              </w:rPr>
            </w:pPr>
            <w:r>
              <w:rPr>
                <w:b/>
                <w:noProof/>
              </w:rPr>
              <w:t>3 300 000</w:t>
            </w:r>
          </w:p>
        </w:tc>
      </w:tr>
      <w:tr>
        <w:trPr>
          <w:trHeight w:val="29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60" w:after="60" w:line="276" w:lineRule="auto"/>
              <w:jc w:val="left"/>
              <w:rPr>
                <w:rFonts w:eastAsia="Calibri"/>
                <w:b/>
                <w:noProof/>
              </w:rPr>
            </w:pPr>
            <w:r>
              <w:rPr>
                <w:b/>
                <w:noProof/>
              </w:rPr>
              <w:t>Total des reports de 2020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before="60" w:after="60" w:line="276" w:lineRule="auto"/>
              <w:jc w:val="right"/>
              <w:rPr>
                <w:rFonts w:eastAsia="Calibri"/>
                <w:b/>
                <w:noProof/>
              </w:rPr>
            </w:pPr>
            <w:r>
              <w:rPr>
                <w:b/>
                <w:noProof/>
              </w:rPr>
              <w:t>225 000</w:t>
            </w:r>
            <w:r>
              <w:rPr>
                <w:rStyle w:val="FootnoteReference"/>
                <w:rFonts w:eastAsia="Calibri"/>
                <w:b/>
                <w:noProof/>
                <w:lang w:eastAsia="en-GB"/>
              </w:rPr>
              <w:footnoteReference w:id="3"/>
            </w:r>
          </w:p>
        </w:tc>
      </w:tr>
      <w:tr>
        <w:trPr>
          <w:trHeight w:val="29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before="60" w:after="60" w:line="276" w:lineRule="auto"/>
              <w:jc w:val="left"/>
              <w:rPr>
                <w:rFonts w:eastAsia="Calibri"/>
                <w:b/>
                <w:noProof/>
              </w:rPr>
            </w:pPr>
            <w:r>
              <w:rPr>
                <w:b/>
                <w:noProof/>
              </w:rPr>
              <w:t>Total général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>
            <w:pPr>
              <w:spacing w:before="60" w:after="60" w:line="276" w:lineRule="auto"/>
              <w:jc w:val="right"/>
              <w:rPr>
                <w:rFonts w:eastAsia="Calibri"/>
                <w:b/>
                <w:noProof/>
              </w:rPr>
            </w:pPr>
            <w:r>
              <w:rPr>
                <w:b/>
                <w:noProof/>
              </w:rPr>
              <w:t>3 525 000</w:t>
            </w:r>
            <w:r>
              <w:rPr>
                <w:rStyle w:val="FootnoteReference"/>
                <w:rFonts w:eastAsia="Calibri"/>
                <w:b/>
                <w:noProof/>
                <w:lang w:eastAsia="en-GB"/>
              </w:rPr>
              <w:footnoteReference w:id="4"/>
            </w:r>
          </w:p>
        </w:tc>
      </w:tr>
      <w:tr>
        <w:trPr>
          <w:trHeight w:val="98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60" w:after="60" w:line="276" w:lineRule="auto"/>
              <w:jc w:val="left"/>
              <w:rPr>
                <w:rFonts w:eastAsia="Calibri"/>
                <w:b/>
                <w:noProof/>
                <w:sz w:val="6"/>
                <w:szCs w:val="6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60" w:after="60" w:line="276" w:lineRule="auto"/>
              <w:jc w:val="right"/>
              <w:rPr>
                <w:rFonts w:eastAsia="Calibri"/>
                <w:b/>
                <w:noProof/>
                <w:sz w:val="6"/>
                <w:szCs w:val="6"/>
                <w:lang w:eastAsia="en-GB"/>
              </w:rPr>
            </w:pPr>
          </w:p>
        </w:tc>
      </w:tr>
      <w:tr>
        <w:trPr>
          <w:trHeight w:val="29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60" w:after="60" w:line="276" w:lineRule="auto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Contribution de l’UE (80 % des nouveaux crédits)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60" w:after="60" w:line="276" w:lineRule="auto"/>
              <w:jc w:val="right"/>
              <w:rPr>
                <w:rFonts w:eastAsia="Calibri"/>
                <w:noProof/>
              </w:rPr>
            </w:pPr>
            <w:r>
              <w:rPr>
                <w:noProof/>
              </w:rPr>
              <w:t>2 640 000</w:t>
            </w:r>
          </w:p>
        </w:tc>
      </w:tr>
      <w:tr>
        <w:trPr>
          <w:trHeight w:val="29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before="60" w:after="60" w:line="276" w:lineRule="auto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Contribution des parties de l’Europe du Sud-Est (20 % des nouveaux crédits: l’annexe V du TCT donne la répartition par pays).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before="60" w:after="60" w:line="276" w:lineRule="auto"/>
              <w:jc w:val="right"/>
              <w:rPr>
                <w:rFonts w:eastAsia="Calibri"/>
                <w:noProof/>
              </w:rPr>
            </w:pPr>
            <w:r>
              <w:rPr>
                <w:noProof/>
              </w:rPr>
              <w:t>660 000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ind w:left="142" w:hanging="142"/>
      </w:pPr>
      <w:r>
        <w:rPr>
          <w:rStyle w:val="FootnoteReference"/>
        </w:rPr>
        <w:footnoteRef/>
      </w:r>
      <w:r>
        <w:tab/>
        <w:t>Montant indicatif: procédures de passation de marchés en cours pour des logiciels de visioconférence et des logiciels comptables/RH, contrats qui devraient être signés en décembre 2020</w:t>
      </w:r>
    </w:p>
  </w:footnote>
  <w:footnote w:id="2">
    <w:p>
      <w:pPr>
        <w:pStyle w:val="FootnoteText"/>
        <w:ind w:left="142" w:hanging="142"/>
      </w:pPr>
      <w:r>
        <w:rPr>
          <w:rStyle w:val="FootnoteReference"/>
        </w:rPr>
        <w:footnoteRef/>
      </w:r>
      <w:r>
        <w:tab/>
        <w:t>Montant indicatif: procédure de passation de marchés en cours pour une assistance technique à l’Observatoire des transports, contrat qui devrait être signé en décembre 2020</w:t>
      </w:r>
    </w:p>
  </w:footnote>
  <w:footnote w:id="3">
    <w:p>
      <w:pPr>
        <w:pStyle w:val="FootnoteText"/>
        <w:ind w:left="142" w:hanging="142"/>
      </w:pPr>
      <w:r>
        <w:rPr>
          <w:rStyle w:val="FootnoteReference"/>
        </w:rPr>
        <w:footnoteRef/>
      </w:r>
      <w:r>
        <w:tab/>
        <w:t>Montant indicatif, montant final à confirmer en décembre 2020 lors de la clôture des procédures de passation de marchés correspondantes et de la signature des contrats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Montant indicatif, montant final à confirmer lorsque le montant total reporté de 2020 sera connu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26A56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6DCBE5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58636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2BAD8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A60C4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C4414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63E5B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444E7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341E2B"/>
    <w:multiLevelType w:val="multilevel"/>
    <w:tmpl w:val="87B6F5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B6B5013"/>
    <w:multiLevelType w:val="multilevel"/>
    <w:tmpl w:val="4998B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3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5516855"/>
    <w:multiLevelType w:val="hybridMultilevel"/>
    <w:tmpl w:val="C192B6C8"/>
    <w:lvl w:ilvl="0" w:tplc="D58E63B6">
      <w:start w:val="5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0"/>
  </w:num>
  <w:num w:numId="13">
    <w:abstractNumId w:val="14"/>
  </w:num>
  <w:num w:numId="14">
    <w:abstractNumId w:val="22"/>
  </w:num>
  <w:num w:numId="15">
    <w:abstractNumId w:val="13"/>
  </w:num>
  <w:num w:numId="16">
    <w:abstractNumId w:val="15"/>
  </w:num>
  <w:num w:numId="17">
    <w:abstractNumId w:val="10"/>
  </w:num>
  <w:num w:numId="18">
    <w:abstractNumId w:val="21"/>
  </w:num>
  <w:num w:numId="19">
    <w:abstractNumId w:val="9"/>
  </w:num>
  <w:num w:numId="20">
    <w:abstractNumId w:val="16"/>
  </w:num>
  <w:num w:numId="21">
    <w:abstractNumId w:val="18"/>
  </w:num>
  <w:num w:numId="22">
    <w:abstractNumId w:val="19"/>
  </w:num>
  <w:num w:numId="23">
    <w:abstractNumId w:val="12"/>
  </w:num>
  <w:num w:numId="24">
    <w:abstractNumId w:val="17"/>
  </w:num>
  <w:num w:numId="25">
    <w:abstractNumId w:val="24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4"/>
  </w:num>
  <w:num w:numId="29">
    <w:abstractNumId w:val="22"/>
  </w:num>
  <w:num w:numId="30">
    <w:abstractNumId w:val="13"/>
  </w:num>
  <w:num w:numId="31">
    <w:abstractNumId w:val="15"/>
  </w:num>
  <w:num w:numId="32">
    <w:abstractNumId w:val="10"/>
  </w:num>
  <w:num w:numId="33">
    <w:abstractNumId w:val="21"/>
  </w:num>
  <w:num w:numId="34">
    <w:abstractNumId w:val="9"/>
  </w:num>
  <w:num w:numId="35">
    <w:abstractNumId w:val="16"/>
  </w:num>
  <w:num w:numId="36">
    <w:abstractNumId w:val="18"/>
  </w:num>
  <w:num w:numId="37">
    <w:abstractNumId w:val="19"/>
  </w:num>
  <w:num w:numId="38">
    <w:abstractNumId w:val="12"/>
  </w:num>
  <w:num w:numId="39">
    <w:abstractNumId w:val="17"/>
  </w:num>
  <w:num w:numId="4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1-26 07:59:4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69E1841E-FCD1-4CFC-B93B-39B333781FF5"/>
    <w:docVar w:name="LW_COVERPAGE_TYPE" w:val="1"/>
    <w:docVar w:name="LW_CROSSREFERENCE" w:val="&lt;UNUSED&gt;"/>
    <w:docVar w:name="LW_DocType" w:val="ANNEX"/>
    <w:docVar w:name="LW_EMISSION" w:val="26.11.2020"/>
    <w:docVar w:name="LW_EMISSION_ISODATE" w:val="2020-11-26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&lt;FMT:Bold&gt;relative à la position à prendre, au nom de l'Union européenne, au sein du comité de direction régional de la Communauté des transports &lt;/FMT&gt;_x000b_&lt;FMT:Bold&gt;en ce qui concerne l'adoption du budget de la Communauté des transports pour 2021&lt;/FMT&gt;_x000b__x000d__x000d__x000d__x000b_"/>
    <w:docVar w:name="LW_OBJETACTEPRINCIPAL.CP" w:val="&lt;FMT:Bold&gt;relative à la position à prendre, au nom de l'Union européenne, au sein du comité de direction régional de la Communauté des transports &lt;/FMT&gt;_x000b_&lt;FMT:Bold&gt;en ce qui concerne l'adoption du budget de la Communauté des transports pour 2021&lt;/FMT&gt;_x000b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75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décision du Conseil"/>
    <w:docVar w:name="LW_TYPEACTEPRINCIPAL.CP" w:val="Proposition de 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7"/>
      </w:numPr>
    </w:pPr>
  </w:style>
  <w:style w:type="paragraph" w:customStyle="1" w:styleId="Tiret1">
    <w:name w:val="Tiret 1"/>
    <w:basedOn w:val="Point1"/>
    <w:pPr>
      <w:numPr>
        <w:numId w:val="28"/>
      </w:numPr>
    </w:pPr>
  </w:style>
  <w:style w:type="paragraph" w:customStyle="1" w:styleId="Tiret2">
    <w:name w:val="Tiret 2"/>
    <w:basedOn w:val="Point2"/>
    <w:pPr>
      <w:numPr>
        <w:numId w:val="29"/>
      </w:numPr>
    </w:pPr>
  </w:style>
  <w:style w:type="paragraph" w:customStyle="1" w:styleId="Tiret3">
    <w:name w:val="Tiret 3"/>
    <w:basedOn w:val="Point3"/>
    <w:pPr>
      <w:numPr>
        <w:numId w:val="30"/>
      </w:numPr>
    </w:pPr>
  </w:style>
  <w:style w:type="paragraph" w:customStyle="1" w:styleId="Tiret4">
    <w:name w:val="Tiret 4"/>
    <w:basedOn w:val="Point4"/>
    <w:pPr>
      <w:numPr>
        <w:numId w:val="3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4"/>
      </w:numPr>
    </w:pPr>
  </w:style>
  <w:style w:type="paragraph" w:customStyle="1" w:styleId="Point1number">
    <w:name w:val="Point 1 (number)"/>
    <w:basedOn w:val="Normal"/>
    <w:pPr>
      <w:numPr>
        <w:ilvl w:val="2"/>
        <w:numId w:val="34"/>
      </w:numPr>
    </w:pPr>
  </w:style>
  <w:style w:type="paragraph" w:customStyle="1" w:styleId="Point2number">
    <w:name w:val="Point 2 (number)"/>
    <w:basedOn w:val="Normal"/>
    <w:pPr>
      <w:numPr>
        <w:ilvl w:val="4"/>
        <w:numId w:val="34"/>
      </w:numPr>
    </w:pPr>
  </w:style>
  <w:style w:type="paragraph" w:customStyle="1" w:styleId="Point3number">
    <w:name w:val="Point 3 (number)"/>
    <w:basedOn w:val="Normal"/>
    <w:pPr>
      <w:numPr>
        <w:ilvl w:val="6"/>
        <w:numId w:val="34"/>
      </w:numPr>
    </w:pPr>
  </w:style>
  <w:style w:type="paragraph" w:customStyle="1" w:styleId="Point0letter">
    <w:name w:val="Point 0 (letter)"/>
    <w:basedOn w:val="Normal"/>
    <w:pPr>
      <w:numPr>
        <w:ilvl w:val="1"/>
        <w:numId w:val="34"/>
      </w:numPr>
    </w:pPr>
  </w:style>
  <w:style w:type="paragraph" w:customStyle="1" w:styleId="Point1letter">
    <w:name w:val="Point 1 (letter)"/>
    <w:basedOn w:val="Normal"/>
    <w:pPr>
      <w:numPr>
        <w:ilvl w:val="3"/>
        <w:numId w:val="34"/>
      </w:numPr>
    </w:pPr>
  </w:style>
  <w:style w:type="paragraph" w:customStyle="1" w:styleId="Point2letter">
    <w:name w:val="Point 2 (letter)"/>
    <w:basedOn w:val="Normal"/>
    <w:pPr>
      <w:numPr>
        <w:ilvl w:val="5"/>
        <w:numId w:val="34"/>
      </w:numPr>
    </w:pPr>
  </w:style>
  <w:style w:type="paragraph" w:customStyle="1" w:styleId="Point3letter">
    <w:name w:val="Point 3 (letter)"/>
    <w:basedOn w:val="Normal"/>
    <w:pPr>
      <w:numPr>
        <w:ilvl w:val="7"/>
        <w:numId w:val="34"/>
      </w:numPr>
    </w:pPr>
  </w:style>
  <w:style w:type="paragraph" w:customStyle="1" w:styleId="Point4letter">
    <w:name w:val="Point 4 (letter)"/>
    <w:basedOn w:val="Normal"/>
    <w:pPr>
      <w:numPr>
        <w:ilvl w:val="8"/>
        <w:numId w:val="34"/>
      </w:numPr>
    </w:pPr>
  </w:style>
  <w:style w:type="paragraph" w:customStyle="1" w:styleId="Bullet0">
    <w:name w:val="Bullet 0"/>
    <w:basedOn w:val="Normal"/>
    <w:pPr>
      <w:numPr>
        <w:numId w:val="35"/>
      </w:numPr>
    </w:pPr>
  </w:style>
  <w:style w:type="paragraph" w:customStyle="1" w:styleId="Bullet1">
    <w:name w:val="Bullet 1"/>
    <w:basedOn w:val="Normal"/>
    <w:pPr>
      <w:numPr>
        <w:numId w:val="36"/>
      </w:numPr>
    </w:pPr>
  </w:style>
  <w:style w:type="paragraph" w:customStyle="1" w:styleId="Bullet2">
    <w:name w:val="Bullet 2"/>
    <w:basedOn w:val="Normal"/>
    <w:pPr>
      <w:numPr>
        <w:numId w:val="37"/>
      </w:numPr>
    </w:pPr>
  </w:style>
  <w:style w:type="paragraph" w:customStyle="1" w:styleId="Bullet3">
    <w:name w:val="Bullet 3"/>
    <w:basedOn w:val="Normal"/>
    <w:pPr>
      <w:numPr>
        <w:numId w:val="38"/>
      </w:numPr>
    </w:pPr>
  </w:style>
  <w:style w:type="paragraph" w:customStyle="1" w:styleId="Bullet4">
    <w:name w:val="Bullet 4"/>
    <w:basedOn w:val="Normal"/>
    <w:pPr>
      <w:numPr>
        <w:numId w:val="3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7"/>
      </w:numPr>
    </w:pPr>
  </w:style>
  <w:style w:type="paragraph" w:customStyle="1" w:styleId="Tiret1">
    <w:name w:val="Tiret 1"/>
    <w:basedOn w:val="Point1"/>
    <w:pPr>
      <w:numPr>
        <w:numId w:val="28"/>
      </w:numPr>
    </w:pPr>
  </w:style>
  <w:style w:type="paragraph" w:customStyle="1" w:styleId="Tiret2">
    <w:name w:val="Tiret 2"/>
    <w:basedOn w:val="Point2"/>
    <w:pPr>
      <w:numPr>
        <w:numId w:val="29"/>
      </w:numPr>
    </w:pPr>
  </w:style>
  <w:style w:type="paragraph" w:customStyle="1" w:styleId="Tiret3">
    <w:name w:val="Tiret 3"/>
    <w:basedOn w:val="Point3"/>
    <w:pPr>
      <w:numPr>
        <w:numId w:val="30"/>
      </w:numPr>
    </w:pPr>
  </w:style>
  <w:style w:type="paragraph" w:customStyle="1" w:styleId="Tiret4">
    <w:name w:val="Tiret 4"/>
    <w:basedOn w:val="Point4"/>
    <w:pPr>
      <w:numPr>
        <w:numId w:val="3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4"/>
      </w:numPr>
    </w:pPr>
  </w:style>
  <w:style w:type="paragraph" w:customStyle="1" w:styleId="Point1number">
    <w:name w:val="Point 1 (number)"/>
    <w:basedOn w:val="Normal"/>
    <w:pPr>
      <w:numPr>
        <w:ilvl w:val="2"/>
        <w:numId w:val="34"/>
      </w:numPr>
    </w:pPr>
  </w:style>
  <w:style w:type="paragraph" w:customStyle="1" w:styleId="Point2number">
    <w:name w:val="Point 2 (number)"/>
    <w:basedOn w:val="Normal"/>
    <w:pPr>
      <w:numPr>
        <w:ilvl w:val="4"/>
        <w:numId w:val="34"/>
      </w:numPr>
    </w:pPr>
  </w:style>
  <w:style w:type="paragraph" w:customStyle="1" w:styleId="Point3number">
    <w:name w:val="Point 3 (number)"/>
    <w:basedOn w:val="Normal"/>
    <w:pPr>
      <w:numPr>
        <w:ilvl w:val="6"/>
        <w:numId w:val="34"/>
      </w:numPr>
    </w:pPr>
  </w:style>
  <w:style w:type="paragraph" w:customStyle="1" w:styleId="Point0letter">
    <w:name w:val="Point 0 (letter)"/>
    <w:basedOn w:val="Normal"/>
    <w:pPr>
      <w:numPr>
        <w:ilvl w:val="1"/>
        <w:numId w:val="34"/>
      </w:numPr>
    </w:pPr>
  </w:style>
  <w:style w:type="paragraph" w:customStyle="1" w:styleId="Point1letter">
    <w:name w:val="Point 1 (letter)"/>
    <w:basedOn w:val="Normal"/>
    <w:pPr>
      <w:numPr>
        <w:ilvl w:val="3"/>
        <w:numId w:val="34"/>
      </w:numPr>
    </w:pPr>
  </w:style>
  <w:style w:type="paragraph" w:customStyle="1" w:styleId="Point2letter">
    <w:name w:val="Point 2 (letter)"/>
    <w:basedOn w:val="Normal"/>
    <w:pPr>
      <w:numPr>
        <w:ilvl w:val="5"/>
        <w:numId w:val="34"/>
      </w:numPr>
    </w:pPr>
  </w:style>
  <w:style w:type="paragraph" w:customStyle="1" w:styleId="Point3letter">
    <w:name w:val="Point 3 (letter)"/>
    <w:basedOn w:val="Normal"/>
    <w:pPr>
      <w:numPr>
        <w:ilvl w:val="7"/>
        <w:numId w:val="34"/>
      </w:numPr>
    </w:pPr>
  </w:style>
  <w:style w:type="paragraph" w:customStyle="1" w:styleId="Point4letter">
    <w:name w:val="Point 4 (letter)"/>
    <w:basedOn w:val="Normal"/>
    <w:pPr>
      <w:numPr>
        <w:ilvl w:val="8"/>
        <w:numId w:val="34"/>
      </w:numPr>
    </w:pPr>
  </w:style>
  <w:style w:type="paragraph" w:customStyle="1" w:styleId="Bullet0">
    <w:name w:val="Bullet 0"/>
    <w:basedOn w:val="Normal"/>
    <w:pPr>
      <w:numPr>
        <w:numId w:val="35"/>
      </w:numPr>
    </w:pPr>
  </w:style>
  <w:style w:type="paragraph" w:customStyle="1" w:styleId="Bullet1">
    <w:name w:val="Bullet 1"/>
    <w:basedOn w:val="Normal"/>
    <w:pPr>
      <w:numPr>
        <w:numId w:val="36"/>
      </w:numPr>
    </w:pPr>
  </w:style>
  <w:style w:type="paragraph" w:customStyle="1" w:styleId="Bullet2">
    <w:name w:val="Bullet 2"/>
    <w:basedOn w:val="Normal"/>
    <w:pPr>
      <w:numPr>
        <w:numId w:val="37"/>
      </w:numPr>
    </w:pPr>
  </w:style>
  <w:style w:type="paragraph" w:customStyle="1" w:styleId="Bullet3">
    <w:name w:val="Bullet 3"/>
    <w:basedOn w:val="Normal"/>
    <w:pPr>
      <w:numPr>
        <w:numId w:val="38"/>
      </w:numPr>
    </w:pPr>
  </w:style>
  <w:style w:type="paragraph" w:customStyle="1" w:styleId="Bullet4">
    <w:name w:val="Bullet 4"/>
    <w:basedOn w:val="Normal"/>
    <w:pPr>
      <w:numPr>
        <w:numId w:val="3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1E9A5-366F-4154-BAF9-01FF39D5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5</Pages>
  <Words>543</Words>
  <Characters>2716</Characters>
  <Application>Microsoft Office Word</Application>
  <DocSecurity>0</DocSecurity>
  <Lines>104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BORUTA Malgorzata (MOVE)</dc:creator>
  <cp:keywords/>
  <dc:description/>
  <cp:lastModifiedBy>WES PDFC Administrator</cp:lastModifiedBy>
  <cp:revision>9</cp:revision>
  <dcterms:created xsi:type="dcterms:W3CDTF">2020-11-25T09:03:00Z</dcterms:created>
  <dcterms:modified xsi:type="dcterms:W3CDTF">2020-11-26T06:59:00Z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