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13C3F32-F12E-4B2F-A836-6A0D0106DBE1" style="width:450pt;height:361.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2"/>
        <w:numPr>
          <w:ilvl w:val="0"/>
          <w:numId w:val="7"/>
        </w:numPr>
        <w:spacing w:before="240" w:after="120" w:line="240" w:lineRule="auto"/>
        <w:ind w:left="357" w:hanging="357"/>
        <w:jc w:val="both"/>
        <w:rPr>
          <w:rFonts w:ascii="Times New Roman Bold" w:eastAsia="Times New Roman" w:hAnsi="Times New Roman Bold" w:cs="Times New Roman"/>
          <w:b/>
          <w:bCs/>
          <w:caps/>
          <w:noProof/>
          <w:color w:val="000000" w:themeColor="text1"/>
          <w:sz w:val="24"/>
          <w:szCs w:val="24"/>
        </w:rPr>
      </w:pPr>
      <w:bookmarkStart w:id="1" w:name="_GoBack"/>
      <w:bookmarkEnd w:id="1"/>
      <w:r>
        <w:rPr>
          <w:rFonts w:ascii="Times New Roman Bold" w:hAnsi="Times New Roman Bold"/>
          <w:b/>
          <w:bCs/>
          <w:caps/>
          <w:noProof/>
          <w:color w:val="000000" w:themeColor="text1"/>
          <w:sz w:val="24"/>
          <w:szCs w:val="24"/>
        </w:rPr>
        <w:lastRenderedPageBreak/>
        <w:t xml:space="preserve">Предизвикателството, пред което сме изправени: интелектуалните активи на Европа да бъдат използвани по начин, който стимулира възстановяването и устойчивостта </w:t>
      </w:r>
    </w:p>
    <w:p>
      <w:pPr>
        <w:spacing w:before="120" w:after="120" w:line="240" w:lineRule="auto"/>
        <w:jc w:val="both"/>
        <w:rPr>
          <w:rFonts w:eastAsia="Times New Roman"/>
          <w:noProof/>
          <w:color w:val="000000" w:themeColor="text1"/>
        </w:rPr>
      </w:pPr>
      <w:r>
        <w:rPr>
          <w:rFonts w:ascii="Times New Roman" w:hAnsi="Times New Roman"/>
          <w:b/>
          <w:bCs/>
          <w:noProof/>
          <w:color w:val="000000" w:themeColor="text1"/>
          <w:sz w:val="24"/>
          <w:szCs w:val="24"/>
        </w:rPr>
        <w:t>Нематериалните активи</w:t>
      </w:r>
      <w:r>
        <w:rPr>
          <w:rFonts w:ascii="Times New Roman" w:hAnsi="Times New Roman"/>
          <w:noProof/>
          <w:color w:val="000000" w:themeColor="text1"/>
          <w:sz w:val="24"/>
          <w:szCs w:val="24"/>
        </w:rPr>
        <w:t xml:space="preserve">, като например изобретенията, произведенията на изкуството и културата, марките, софтуера, ноу-хау, бизнес процесите и данните, </w:t>
      </w:r>
      <w:r>
        <w:rPr>
          <w:rFonts w:ascii="Times New Roman" w:hAnsi="Times New Roman"/>
          <w:b/>
          <w:bCs/>
          <w:noProof/>
          <w:color w:val="000000" w:themeColor="text1"/>
          <w:sz w:val="24"/>
          <w:szCs w:val="24"/>
        </w:rPr>
        <w:t>са основополагащи за днешната икономика</w:t>
      </w:r>
      <w:r>
        <w:rPr>
          <w:rFonts w:ascii="Times New Roman" w:hAnsi="Times New Roman"/>
          <w:noProof/>
          <w:color w:val="000000" w:themeColor="text1"/>
          <w:sz w:val="24"/>
          <w:szCs w:val="24"/>
        </w:rPr>
        <w:t>. През последните две десетилетия обемът на годишните инвестиции в такива „продукти, обект на интелектуална собственост“</w:t>
      </w:r>
      <w:r>
        <w:rPr>
          <w:rStyle w:val="FootnoteReference"/>
          <w:rFonts w:ascii="Times New Roman" w:eastAsia="Times New Roman" w:hAnsi="Times New Roman" w:cs="Times New Roman"/>
          <w:noProof/>
          <w:color w:val="000000" w:themeColor="text1"/>
          <w:sz w:val="24"/>
          <w:szCs w:val="24"/>
        </w:rPr>
        <w:footnoteReference w:id="2"/>
      </w:r>
      <w:r>
        <w:rPr>
          <w:rFonts w:ascii="Times New Roman" w:hAnsi="Times New Roman"/>
          <w:noProof/>
          <w:color w:val="000000" w:themeColor="text1"/>
          <w:sz w:val="24"/>
          <w:szCs w:val="24"/>
        </w:rPr>
        <w:t xml:space="preserve"> се е увеличил с 87 % в ЕС, докато обемът на инвестициите в материални (нежилищни) активи се е увеличил само с 30 %. Инвестициите в нематериални активи бяха и значително по-слабо засегнати от икономическата криза от 2008 г.</w:t>
      </w:r>
      <w:r>
        <w:rPr>
          <w:rStyle w:val="FootnoteReference"/>
          <w:rFonts w:ascii="Times New Roman" w:eastAsia="Times New Roman" w:hAnsi="Times New Roman" w:cs="Times New Roman"/>
          <w:noProof/>
          <w:color w:val="000000" w:themeColor="text1"/>
          <w:sz w:val="24"/>
          <w:szCs w:val="24"/>
        </w:rPr>
        <w:footnoteReference w:id="3"/>
      </w:r>
      <w:r>
        <w:rPr>
          <w:rFonts w:ascii="Times New Roman" w:hAnsi="Times New Roman"/>
          <w:noProof/>
          <w:color w:val="000000" w:themeColor="text1"/>
          <w:sz w:val="24"/>
          <w:szCs w:val="24"/>
        </w:rPr>
        <w:t xml:space="preserve">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Правата върху интелектуална собственост (ПИС), т.e. правата, свързани с патентите, марките, дизайните, авторското право и сродните му права, географските означения и сортовете растения, ползващи се с правна закрила, както и правилата за защита на търговската тайна, помагат на предприемачите и дружествата да оползотворяват своите нематериални активи. В днешната икономика промишлените продукти и процеси все повече разчитат на нематериални активи, защитени с ПИС, а доброто управление на интелектуалната собственост („ИС“) е станало неразделна част от всяка успешна бизнес стратегия. </w:t>
      </w:r>
      <w:r>
        <w:rPr>
          <w:rFonts w:ascii="Times New Roman" w:hAnsi="Times New Roman"/>
          <w:b/>
          <w:noProof/>
          <w:color w:val="000000" w:themeColor="text1"/>
          <w:sz w:val="24"/>
          <w:szCs w:val="24"/>
        </w:rPr>
        <w:t>Отраслите, в които интензивно се използва ИС</w:t>
      </w:r>
      <w:r>
        <w:rPr>
          <w:rFonts w:ascii="Times New Roman" w:hAnsi="Times New Roman"/>
          <w:noProof/>
          <w:color w:val="000000" w:themeColor="text1"/>
          <w:sz w:val="24"/>
          <w:szCs w:val="24"/>
        </w:rPr>
        <w:t>, играят съществена роля в икономиката на ЕС и</w:t>
      </w:r>
      <w:r>
        <w:rPr>
          <w:rFonts w:ascii="Times New Roman" w:hAnsi="Times New Roman"/>
          <w:b/>
          <w:noProof/>
          <w:color w:val="000000" w:themeColor="text1"/>
          <w:sz w:val="24"/>
          <w:szCs w:val="24"/>
        </w:rPr>
        <w:t xml:space="preserve"> предлагат </w:t>
      </w:r>
      <w:r>
        <w:rPr>
          <w:rFonts w:ascii="Times New Roman" w:hAnsi="Times New Roman"/>
          <w:noProof/>
          <w:color w:val="000000" w:themeColor="text1"/>
          <w:sz w:val="24"/>
          <w:szCs w:val="24"/>
        </w:rPr>
        <w:t>на обществото</w:t>
      </w:r>
      <w:r>
        <w:rPr>
          <w:rFonts w:ascii="Times New Roman" w:hAnsi="Times New Roman"/>
          <w:b/>
          <w:noProof/>
          <w:color w:val="000000" w:themeColor="text1"/>
          <w:sz w:val="24"/>
          <w:szCs w:val="24"/>
        </w:rPr>
        <w:t xml:space="preserve"> ценни и устойчиви работни места</w:t>
      </w:r>
      <w:r>
        <w:rPr>
          <w:rFonts w:ascii="Times New Roman" w:hAnsi="Times New Roman"/>
          <w:noProof/>
          <w:color w:val="000000" w:themeColor="text1"/>
          <w:sz w:val="24"/>
          <w:szCs w:val="24"/>
        </w:rPr>
        <w:t>. Отраслите с интензивно използване на ПИС понастоящем формират почти 45 % от БВП на Европа и пряко допринасят за създаването на почти 30 % от всички работни места</w:t>
      </w:r>
      <w:r>
        <w:rPr>
          <w:rFonts w:ascii="Times New Roman" w:eastAsia="Times New Roman" w:hAnsi="Times New Roman" w:cs="Times New Roman"/>
          <w:noProof/>
          <w:color w:val="000000" w:themeColor="text1"/>
          <w:sz w:val="24"/>
          <w:szCs w:val="24"/>
          <w:vertAlign w:val="superscript"/>
        </w:rPr>
        <w:footnoteReference w:id="4"/>
      </w:r>
      <w:r>
        <w:rPr>
          <w:rFonts w:ascii="Times New Roman" w:hAnsi="Times New Roman"/>
          <w:noProof/>
          <w:color w:val="000000" w:themeColor="text1"/>
          <w:sz w:val="24"/>
          <w:szCs w:val="24"/>
        </w:rPr>
        <w:t xml:space="preserve">. Много от </w:t>
      </w:r>
      <w:r>
        <w:rPr>
          <w:rFonts w:ascii="Times New Roman" w:hAnsi="Times New Roman"/>
          <w:b/>
          <w:bCs/>
          <w:noProof/>
          <w:color w:val="000000" w:themeColor="text1"/>
          <w:sz w:val="24"/>
          <w:szCs w:val="24"/>
        </w:rPr>
        <w:t xml:space="preserve">промишлените екосистеми в Европа </w:t>
      </w:r>
      <w:r>
        <w:rPr>
          <w:rFonts w:ascii="Times New Roman" w:hAnsi="Times New Roman"/>
          <w:bCs/>
          <w:noProof/>
          <w:color w:val="000000" w:themeColor="text1"/>
          <w:sz w:val="24"/>
          <w:szCs w:val="24"/>
        </w:rPr>
        <w:t xml:space="preserve"> не могат да просъществуват без ефективна защита на ИС и ефективни инструменти за търговия с нематериални активи</w:t>
      </w:r>
      <w:r>
        <w:rPr>
          <w:rFonts w:ascii="Times New Roman" w:hAnsi="Times New Roman"/>
          <w:noProof/>
          <w:color w:val="000000" w:themeColor="text1"/>
          <w:sz w:val="24"/>
          <w:szCs w:val="24"/>
        </w:rPr>
        <w:t xml:space="preserve">.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bCs/>
          <w:noProof/>
          <w:color w:val="000000" w:themeColor="text1"/>
          <w:sz w:val="24"/>
          <w:szCs w:val="24"/>
        </w:rPr>
        <w:t>ИС е ключов фактор за конкурентоспособността в световен мащаб</w:t>
      </w:r>
      <w:r>
        <w:rPr>
          <w:rFonts w:ascii="Times New Roman" w:hAnsi="Times New Roman"/>
          <w:noProof/>
          <w:color w:val="000000" w:themeColor="text1"/>
          <w:sz w:val="24"/>
          <w:szCs w:val="24"/>
        </w:rPr>
        <w:t>. По целия свят броят на подадените заявления за ИС се увеличава. Същата тенденция се наблюдава в ЕС.</w:t>
      </w:r>
      <w:r>
        <w:rPr>
          <w:noProof/>
        </w:rPr>
        <w:t xml:space="preserve"> </w:t>
      </w:r>
      <w:r>
        <w:rPr>
          <w:rFonts w:ascii="Times New Roman" w:hAnsi="Times New Roman"/>
          <w:noProof/>
          <w:color w:val="000000" w:themeColor="text1"/>
          <w:sz w:val="24"/>
          <w:szCs w:val="24"/>
        </w:rPr>
        <w:t xml:space="preserve">Между 2010 и 2019 г. броят на издадените в Европа патенти се е увеличил приблизително от 58 000 на 137 000, при все че този ръст е по-слабо изразен, отколкото в други части на света, особено в Азия, в които икономиките бързо наваксват изоставането по отношение на създаването на ИС.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ЕС разполага с необходимите средства, за да остане конкурентоспособен в глобалната надпревара за технологично лидерство. Той разполага и със стабилна рамка в областта на ИС. Например механизмът за подаване само на една заявка дава възможност за постигане на правна закрила за марките, дизайните и сортовете растения и за обезпечаване на нейното прилагане в цяла Европа. Качеството на патентите, издавани в Европа, е сред най-високите в света</w:t>
      </w:r>
      <w:r>
        <w:rPr>
          <w:rStyle w:val="FootnoteReference"/>
          <w:rFonts w:ascii="Times New Roman" w:eastAsia="Times New Roman" w:hAnsi="Times New Roman" w:cs="Times New Roman"/>
          <w:noProof/>
          <w:color w:val="000000" w:themeColor="text1"/>
          <w:sz w:val="24"/>
          <w:szCs w:val="24"/>
        </w:rPr>
        <w:footnoteReference w:id="5"/>
      </w:r>
      <w:r>
        <w:rPr>
          <w:rFonts w:ascii="Times New Roman" w:hAnsi="Times New Roman"/>
          <w:noProof/>
          <w:color w:val="000000" w:themeColor="text1"/>
          <w:sz w:val="24"/>
          <w:szCs w:val="24"/>
        </w:rPr>
        <w:t>. Европейските новатори заемат челни позиции в зелените технологии</w:t>
      </w:r>
      <w:r>
        <w:rPr>
          <w:rStyle w:val="FootnoteReference"/>
          <w:rFonts w:ascii="Times New Roman" w:eastAsia="Times New Roman" w:hAnsi="Times New Roman" w:cs="Times New Roman"/>
          <w:noProof/>
          <w:color w:val="000000" w:themeColor="text1"/>
          <w:sz w:val="24"/>
          <w:szCs w:val="24"/>
        </w:rPr>
        <w:footnoteReference w:id="6"/>
      </w:r>
      <w:r>
        <w:rPr>
          <w:rFonts w:ascii="Times New Roman" w:hAnsi="Times New Roman"/>
          <w:noProof/>
          <w:color w:val="000000" w:themeColor="text1"/>
          <w:sz w:val="24"/>
          <w:szCs w:val="24"/>
        </w:rPr>
        <w:t>. В световен мащаб те притежават голяма част от зелените патенти</w:t>
      </w:r>
      <w:r>
        <w:rPr>
          <w:rStyle w:val="FootnoteReference"/>
          <w:rFonts w:ascii="Times New Roman" w:eastAsia="Times New Roman" w:hAnsi="Times New Roman" w:cs="Times New Roman"/>
          <w:noProof/>
          <w:color w:val="000000" w:themeColor="text1"/>
          <w:sz w:val="24"/>
          <w:szCs w:val="24"/>
        </w:rPr>
        <w:footnoteReference w:id="7"/>
      </w:r>
      <w:r>
        <w:rPr>
          <w:rFonts w:ascii="Times New Roman" w:hAnsi="Times New Roman"/>
          <w:noProof/>
          <w:color w:val="000000" w:themeColor="text1"/>
          <w:sz w:val="24"/>
          <w:szCs w:val="24"/>
        </w:rPr>
        <w:t xml:space="preserve"> и имат особено важни портфейли от права върху ИС в областта на такива технологии, като адаптацията към изменението на климата, улавянето и съхранението на въглероден диоксид, пречистването на води и обработването на отпадъци</w:t>
      </w:r>
      <w:r>
        <w:rPr>
          <w:rStyle w:val="FootnoteReference"/>
          <w:rFonts w:ascii="Times New Roman" w:eastAsia="Times New Roman" w:hAnsi="Times New Roman" w:cs="Times New Roman"/>
          <w:noProof/>
          <w:color w:val="000000" w:themeColor="text1"/>
          <w:sz w:val="24"/>
          <w:szCs w:val="24"/>
        </w:rPr>
        <w:footnoteReference w:id="8"/>
      </w:r>
      <w:r>
        <w:rPr>
          <w:rFonts w:ascii="Times New Roman" w:hAnsi="Times New Roman"/>
          <w:noProof/>
          <w:color w:val="000000" w:themeColor="text1"/>
          <w:sz w:val="24"/>
          <w:szCs w:val="24"/>
        </w:rPr>
        <w:t xml:space="preserve">. Европейските дружества са лидери и в специфични цифрови технологии, като например технологиите за свързаност. </w:t>
      </w:r>
    </w:p>
    <w:p>
      <w:pPr>
        <w:pStyle w:val="xmsonormal"/>
        <w:spacing w:before="120" w:after="120"/>
        <w:jc w:val="both"/>
        <w:rPr>
          <w:noProof/>
          <w:color w:val="000000" w:themeColor="text1"/>
        </w:rPr>
      </w:pPr>
      <w:r>
        <w:rPr>
          <w:noProof/>
          <w:color w:val="000000" w:themeColor="text1"/>
        </w:rPr>
        <w:t xml:space="preserve">Необходимо е да </w:t>
      </w:r>
      <w:r>
        <w:rPr>
          <w:b/>
          <w:noProof/>
          <w:color w:val="000000" w:themeColor="text1"/>
        </w:rPr>
        <w:t xml:space="preserve">продължим да развиваме нашите силни страни </w:t>
      </w:r>
      <w:r>
        <w:rPr>
          <w:noProof/>
          <w:color w:val="000000" w:themeColor="text1"/>
        </w:rPr>
        <w:t>чрез модернизиране, при нужда, на рамката на ЕС и въвеждане на добре премерени политики в областта на ИС, за</w:t>
      </w:r>
      <w:r>
        <w:rPr>
          <w:bCs/>
          <w:noProof/>
          <w:color w:val="000000" w:themeColor="text1"/>
        </w:rPr>
        <w:t xml:space="preserve"> да се помогне на дружествата да извличат максимална полза от своите изобретения и произведения, като същевременно се гарантира, че изобретенията и произведенията обслужват икономиката и обществото като цяло.</w:t>
      </w:r>
      <w:r>
        <w:rPr>
          <w:noProof/>
          <w:color w:val="000000" w:themeColor="text1"/>
        </w:rPr>
        <w:t xml:space="preserve"> В ЕС има изобилие от изобретателност и творчески потенциал: поради това е необходимо да се увеличат максимално стимулите за разгръщане на този потенциал и да </w:t>
      </w:r>
      <w:r>
        <w:rPr>
          <w:b/>
          <w:bCs/>
          <w:noProof/>
          <w:color w:val="000000" w:themeColor="text1"/>
        </w:rPr>
        <w:t>се насочат нашите дружества по пътя към икономическото възстановяване</w:t>
      </w:r>
      <w:r>
        <w:rPr>
          <w:rFonts w:eastAsia="Times New Roman"/>
          <w:noProof/>
          <w:color w:val="000000" w:themeColor="text1"/>
          <w:vertAlign w:val="superscript"/>
        </w:rPr>
        <w:footnoteReference w:id="9"/>
      </w:r>
      <w:r>
        <w:rPr>
          <w:b/>
          <w:bCs/>
          <w:noProof/>
          <w:color w:val="000000" w:themeColor="text1"/>
        </w:rPr>
        <w:t xml:space="preserve"> и световното екологично и цифрово лидерство на Европа</w:t>
      </w:r>
      <w:r>
        <w:rPr>
          <w:noProof/>
          <w:color w:val="000000" w:themeColor="text1"/>
        </w:rPr>
        <w:t xml:space="preserve">.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Справянето с някои от най-важните </w:t>
      </w:r>
      <w:r>
        <w:rPr>
          <w:rFonts w:ascii="Times New Roman" w:hAnsi="Times New Roman"/>
          <w:b/>
          <w:bCs/>
          <w:noProof/>
          <w:color w:val="000000" w:themeColor="text1"/>
          <w:sz w:val="24"/>
          <w:szCs w:val="24"/>
        </w:rPr>
        <w:t>социални предизвикателства</w:t>
      </w:r>
      <w:r>
        <w:rPr>
          <w:rFonts w:ascii="Times New Roman" w:hAnsi="Times New Roman"/>
          <w:noProof/>
          <w:color w:val="000000" w:themeColor="text1"/>
          <w:sz w:val="24"/>
          <w:szCs w:val="24"/>
        </w:rPr>
        <w:t xml:space="preserve"> на нашето време, като например осъществяването на прехода към зелена икономика или осигуряването на подходящо здравно обслужване за всички, </w:t>
      </w:r>
      <w:r>
        <w:rPr>
          <w:rFonts w:ascii="Times New Roman" w:hAnsi="Times New Roman"/>
          <w:b/>
          <w:bCs/>
          <w:noProof/>
          <w:color w:val="000000" w:themeColor="text1"/>
          <w:sz w:val="24"/>
          <w:szCs w:val="24"/>
        </w:rPr>
        <w:t>е невъзможно без иновативни решения</w:t>
      </w:r>
      <w:r>
        <w:rPr>
          <w:rFonts w:ascii="Times New Roman" w:hAnsi="Times New Roman"/>
          <w:noProof/>
          <w:color w:val="000000" w:themeColor="text1"/>
          <w:sz w:val="24"/>
          <w:szCs w:val="24"/>
        </w:rPr>
        <w:t xml:space="preserve">. Развитието на екосистемите, използващи енергия от възобновяеми източници и енергия с ниски въглеродни емисии, например зависи от бързото разработване и внедряване на авангардни технологии, както и на ефективен инструментариум за споделяне на критични нематериални активи, каквито са данните. За развитието на процъфтяваща </w:t>
      </w:r>
      <w:r>
        <w:rPr>
          <w:rFonts w:ascii="Times New Roman" w:hAnsi="Times New Roman"/>
          <w:b/>
          <w:bCs/>
          <w:noProof/>
          <w:color w:val="000000" w:themeColor="text1"/>
          <w:sz w:val="24"/>
          <w:szCs w:val="24"/>
        </w:rPr>
        <w:t>здравна екосистема</w:t>
      </w:r>
      <w:r>
        <w:rPr>
          <w:rFonts w:ascii="Times New Roman" w:hAnsi="Times New Roman"/>
          <w:noProof/>
          <w:color w:val="000000" w:themeColor="text1"/>
          <w:sz w:val="24"/>
          <w:szCs w:val="24"/>
        </w:rPr>
        <w:t xml:space="preserve"> в Европа е нужна прозрачна система от стимули за ИС, даваща тласък на иновациите и едновременно с това осигуряваща ефективен достъп до лекарства на достъпни цени. Културните и творческите индустрии не могат да просъществуват без ефективна закрила на ИС</w:t>
      </w:r>
      <w:r>
        <w:rPr>
          <w:rStyle w:val="FootnoteReference"/>
          <w:rFonts w:ascii="Times New Roman" w:eastAsia="Times New Roman" w:hAnsi="Times New Roman" w:cs="Times New Roman"/>
          <w:noProof/>
          <w:color w:val="000000" w:themeColor="text1"/>
          <w:sz w:val="24"/>
          <w:szCs w:val="24"/>
        </w:rPr>
        <w:footnoteReference w:id="10"/>
      </w:r>
      <w:r>
        <w:rPr>
          <w:rFonts w:ascii="Times New Roman" w:hAnsi="Times New Roman"/>
          <w:noProof/>
          <w:color w:val="000000" w:themeColor="text1"/>
          <w:sz w:val="24"/>
          <w:szCs w:val="24"/>
        </w:rPr>
        <w:t>.</w:t>
      </w:r>
    </w:p>
    <w:p>
      <w:pPr>
        <w:pStyle w:val="xmsonormal"/>
        <w:spacing w:after="120"/>
        <w:jc w:val="both"/>
        <w:rPr>
          <w:noProof/>
          <w:color w:val="000000" w:themeColor="text1"/>
        </w:rPr>
      </w:pPr>
      <w:r>
        <w:rPr>
          <w:noProof/>
          <w:color w:val="000000" w:themeColor="text1"/>
        </w:rPr>
        <w:t>Кризата, свързана с COVID-19, показа зависимостта на ЕС от критични иновации и технологии и припомни на Европа значението на ефективните правила и инструменти в областта на ИС за гарантиране на бързото внедряване на критичната ИС. ПИС, заедно с тяхната роля в една конкурентоспособна и иновативна европейска фармацевтична промишленост, също са част от новата фармацевтична стратегия за Европа</w:t>
      </w:r>
      <w:r>
        <w:rPr>
          <w:rStyle w:val="FootnoteReference"/>
          <w:noProof/>
          <w:color w:val="000000" w:themeColor="text1"/>
        </w:rPr>
        <w:footnoteReference w:id="11"/>
      </w:r>
      <w:r>
        <w:rPr>
          <w:noProof/>
          <w:color w:val="000000" w:themeColor="text1"/>
        </w:rPr>
        <w:t>.</w:t>
      </w:r>
    </w:p>
    <w:p>
      <w:pPr>
        <w:pStyle w:val="xmsonormal"/>
        <w:jc w:val="both"/>
        <w:rPr>
          <w:rFonts w:eastAsia="Times New Roman"/>
          <w:noProof/>
          <w:color w:val="000000" w:themeColor="text1"/>
        </w:rPr>
      </w:pPr>
      <w:r>
        <w:rPr>
          <w:b/>
          <w:noProof/>
          <w:color w:val="000000" w:themeColor="text1"/>
        </w:rPr>
        <w:t>Технологичната революция</w:t>
      </w:r>
      <w:r>
        <w:rPr>
          <w:noProof/>
          <w:color w:val="000000" w:themeColor="text1"/>
        </w:rPr>
        <w:t xml:space="preserve"> — икономиката и обществото, основани на данни, преходът към изкуствен интелект („ИИ“), нарастващото значение на новите технологии като блоковите вериги (blockchain), триизмерния печат и интернет на предметите, както и разработването на нови бизнес модели като платформената икономика, икономиката, основана на данни, и кръговата икономика — предлага уникална възможност за модернизиране на подхода ни за закрила на нашите нематериални активи. През последните десетилетия беше постигнат значителен напредък в създаването на единен пазар за ИС, който донесе много ползи за икономиката на ЕС. Налице е набор от инструменти за предлагане на иновативни решения на обществото</w:t>
      </w:r>
      <w:r>
        <w:rPr>
          <w:rFonts w:eastAsia="Times New Roman"/>
          <w:noProof/>
          <w:color w:val="000000" w:themeColor="text1"/>
          <w:vertAlign w:val="superscript"/>
        </w:rPr>
        <w:footnoteReference w:id="12"/>
      </w:r>
      <w:r>
        <w:rPr>
          <w:noProof/>
          <w:color w:val="000000" w:themeColor="text1"/>
        </w:rPr>
        <w:t xml:space="preserve">. Все още съществуват и много пропуски и слабости в начина, по който дружествата от ЕС защитават нематериалния капитал и правят така, че той да носи ползи за европейското общество. </w:t>
      </w:r>
    </w:p>
    <w:p>
      <w:pPr>
        <w:pStyle w:val="xmsonormal"/>
        <w:jc w:val="both"/>
        <w:rPr>
          <w:rFonts w:eastAsia="Times New Roman"/>
          <w:noProof/>
          <w:color w:val="000000" w:themeColor="text1"/>
        </w:rPr>
      </w:pPr>
    </w:p>
    <w:p>
      <w:pPr>
        <w:pStyle w:val="xmsonormal"/>
        <w:keepNext/>
        <w:rPr>
          <w:rFonts w:eastAsia="Times New Roman"/>
          <w:noProof/>
          <w:color w:val="000000" w:themeColor="text1"/>
        </w:rPr>
      </w:pPr>
      <w:r>
        <w:rPr>
          <w:noProof/>
          <w:color w:val="000000" w:themeColor="text1"/>
        </w:rPr>
        <w:t xml:space="preserve">Установихме </w:t>
      </w:r>
      <w:r>
        <w:rPr>
          <w:b/>
          <w:bCs/>
          <w:noProof/>
          <w:color w:val="000000" w:themeColor="text1"/>
        </w:rPr>
        <w:t>пет предизвикателства</w:t>
      </w:r>
      <w:r>
        <w:rPr>
          <w:noProof/>
          <w:color w:val="000000" w:themeColor="text1"/>
        </w:rPr>
        <w:t>:</w:t>
      </w:r>
    </w:p>
    <w:p>
      <w:pPr>
        <w:pStyle w:val="xmsonormal"/>
        <w:keepNext/>
        <w:rPr>
          <w:rFonts w:eastAsia="Times New Roman"/>
          <w:noProof/>
          <w:color w:val="000000" w:themeColor="text1"/>
          <w:lang w:val="en-IE"/>
        </w:rPr>
      </w:pPr>
    </w:p>
    <w:p>
      <w:pPr>
        <w:pStyle w:val="ListParagraph"/>
        <w:keepNext/>
        <w:numPr>
          <w:ilvl w:val="0"/>
          <w:numId w:val="51"/>
        </w:num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На първо място</w:t>
      </w:r>
      <w:r>
        <w:rPr>
          <w:rFonts w:ascii="Times New Roman" w:hAnsi="Times New Roman"/>
          <w:noProof/>
          <w:color w:val="000000" w:themeColor="text1"/>
          <w:sz w:val="24"/>
          <w:szCs w:val="24"/>
        </w:rPr>
        <w:t xml:space="preserve">, въпреки големия напредък, част от </w:t>
      </w:r>
      <w:r>
        <w:rPr>
          <w:rFonts w:ascii="Times New Roman" w:hAnsi="Times New Roman"/>
          <w:b/>
          <w:bCs/>
          <w:noProof/>
          <w:color w:val="000000" w:themeColor="text1"/>
          <w:sz w:val="24"/>
          <w:szCs w:val="24"/>
        </w:rPr>
        <w:t>системата на ИС на ЕС остава прекалено фрагментирана</w:t>
      </w:r>
      <w:r>
        <w:rPr>
          <w:rFonts w:ascii="Times New Roman" w:hAnsi="Times New Roman"/>
          <w:noProof/>
          <w:sz w:val="24"/>
          <w:szCs w:val="24"/>
        </w:rPr>
        <w:t xml:space="preserve"> и включва процедури, които са сложни и оскъпени и понякога не са ясно разписани </w:t>
      </w:r>
      <w:r>
        <w:rPr>
          <w:rFonts w:ascii="Times New Roman" w:hAnsi="Times New Roman"/>
          <w:noProof/>
          <w:color w:val="000000" w:themeColor="text1"/>
          <w:sz w:val="24"/>
          <w:szCs w:val="24"/>
        </w:rPr>
        <w:t>.</w:t>
      </w:r>
    </w:p>
    <w:p>
      <w:pPr>
        <w:pStyle w:val="xmsonormal"/>
        <w:spacing w:before="120" w:after="120"/>
        <w:jc w:val="both"/>
        <w:rPr>
          <w:rFonts w:eastAsia="Times New Roman"/>
          <w:noProof/>
          <w:color w:val="000000" w:themeColor="text1"/>
        </w:rPr>
      </w:pPr>
      <w:r>
        <w:rPr>
          <w:noProof/>
        </w:rPr>
        <w:t xml:space="preserve">Европейските патенти са обект на скъпи национални процедури за валидиране и паралелни съдебни спорове в множество държави от ЕС. По отношение на лекарствените продукти защитата чрез сертификатите за допълнителна закрила (СДЗ) е достъпна единствено на национално равнище. Следва да се подобри закрилата, предоставяна на дизайните и географските означения (ГО). </w:t>
      </w:r>
      <w:r>
        <w:rPr>
          <w:noProof/>
          <w:color w:val="000000" w:themeColor="text1"/>
        </w:rPr>
        <w:t xml:space="preserve">Когато е необходима регистрация за защита на ПИС, процедурите за обслужване на едно гише, предлагащи адекватно покритие, следва да бъдат норма, а не изключение. </w:t>
      </w:r>
    </w:p>
    <w:p>
      <w:pPr>
        <w:pStyle w:val="xmsonormal"/>
        <w:spacing w:before="120" w:after="240"/>
        <w:jc w:val="both"/>
        <w:rPr>
          <w:rFonts w:eastAsia="Times New Roman"/>
          <w:noProof/>
          <w:color w:val="000000" w:themeColor="text1"/>
        </w:rPr>
      </w:pPr>
      <w:r>
        <w:rPr>
          <w:noProof/>
          <w:color w:val="000000" w:themeColor="text1"/>
        </w:rPr>
        <w:t xml:space="preserve">Като част от цифровата трансформация, </w:t>
      </w:r>
      <w:r>
        <w:rPr>
          <w:noProof/>
        </w:rPr>
        <w:t>добре премерената правна закрила на дизайните в цифровата среда става още по-належаща. За да гарантираме например плавното навлизане на технологиите за триизмерен печат, се нуждаем от яснота по отношение на защитата на файловете, използвани за целите на триизмерния печат, и ограниченията за лична употреба на дизайни. Нуждаем се от ясни отговори на такива нови въпроси, като например как да защитим изобретенията, разработени или прилагани посредством използване на ИИ</w:t>
      </w:r>
      <w:r>
        <w:rPr>
          <w:rStyle w:val="FootnoteReference"/>
          <w:noProof/>
          <w:lang w:val="en-IE"/>
        </w:rPr>
        <w:footnoteReference w:id="13"/>
      </w:r>
      <w:r>
        <w:rPr>
          <w:noProof/>
        </w:rPr>
        <w:t>, и как да направим така, че ремонтът и последващата употреба да не бъдат блокирани от нелоялни или прекомерно ограничителни практики в областта на ИС</w:t>
      </w:r>
      <w:r>
        <w:rPr>
          <w:rStyle w:val="FootnoteReference"/>
          <w:rFonts w:eastAsia="Times New Roman"/>
          <w:noProof/>
          <w:color w:val="000000" w:themeColor="text1"/>
        </w:rPr>
        <w:footnoteReference w:id="14"/>
      </w:r>
      <w:r>
        <w:rPr>
          <w:noProof/>
        </w:rPr>
        <w:t>.</w:t>
      </w:r>
      <w:r>
        <w:rPr>
          <w:noProof/>
          <w:color w:val="000000" w:themeColor="text1"/>
        </w:rPr>
        <w:t xml:space="preserve"> </w:t>
      </w:r>
      <w:r>
        <w:rPr>
          <w:noProof/>
        </w:rPr>
        <w:t>Същевременно е необходимо да оползотворим в по-голяма степен потенциала на новите технологии, като например ИИ и блоковите вериги, за да повишим ефективността на системите ни за ИС.</w:t>
      </w:r>
      <w:r>
        <w:rPr>
          <w:noProof/>
          <w:color w:val="000000" w:themeColor="text1"/>
        </w:rPr>
        <w:t xml:space="preserve"> </w:t>
      </w:r>
    </w:p>
    <w:p>
      <w:pPr>
        <w:pStyle w:val="ListParagraph"/>
        <w:keepNext/>
        <w:numPr>
          <w:ilvl w:val="0"/>
          <w:numId w:val="51"/>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 второ място, твърде много дружества, и по-специално</w:t>
      </w:r>
      <w:r>
        <w:rPr>
          <w:rFonts w:ascii="Times New Roman" w:hAnsi="Times New Roman"/>
          <w:b/>
          <w:bCs/>
          <w:noProof/>
          <w:sz w:val="24"/>
          <w:szCs w:val="24"/>
        </w:rPr>
        <w:t xml:space="preserve"> МСП,</w:t>
      </w:r>
      <w:r>
        <w:rPr>
          <w:rFonts w:ascii="Times New Roman" w:hAnsi="Times New Roman"/>
          <w:noProof/>
          <w:sz w:val="24"/>
          <w:szCs w:val="24"/>
        </w:rPr>
        <w:t xml:space="preserve"> и твърде много изследователи </w:t>
      </w:r>
      <w:r>
        <w:rPr>
          <w:rFonts w:ascii="Times New Roman" w:hAnsi="Times New Roman"/>
          <w:b/>
          <w:bCs/>
          <w:noProof/>
          <w:sz w:val="24"/>
          <w:szCs w:val="24"/>
        </w:rPr>
        <w:t xml:space="preserve">не се възползват в пълна степен от възможностите, </w:t>
      </w:r>
      <w:r>
        <w:rPr>
          <w:rFonts w:ascii="Times New Roman" w:hAnsi="Times New Roman"/>
          <w:noProof/>
          <w:sz w:val="24"/>
          <w:szCs w:val="24"/>
        </w:rPr>
        <w:t>които предлага закрилата на ИС.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Едва 9 % от МСП в ЕС са регистрирали права върху ИС. В условията на сегашната криза броят на регистрациите на ИС бележи спад в ущърб на конкурентоспособността и устойчивостта на дружествата. Наскоро извършен анализ показва, че нежеланието на МСП да използват права върху ИС се дължи до голяма степен на липсата на познания за ИС</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Дори когато използват ПИС, те намират системата за прекалено скъпоструваща, сложна и трудна за ориентиране в нея. </w:t>
      </w:r>
    </w:p>
    <w:p>
      <w:pPr>
        <w:spacing w:before="60" w:after="120" w:line="240" w:lineRule="auto"/>
        <w:jc w:val="both"/>
        <w:rPr>
          <w:rFonts w:ascii="Times New Roman" w:hAnsi="Times New Roman" w:cs="Times New Roman"/>
          <w:noProof/>
          <w:sz w:val="24"/>
          <w:szCs w:val="24"/>
        </w:rPr>
      </w:pPr>
      <w:r>
        <w:rPr>
          <w:rFonts w:ascii="Times New Roman" w:hAnsi="Times New Roman"/>
          <w:noProof/>
          <w:sz w:val="24"/>
          <w:szCs w:val="24"/>
        </w:rPr>
        <w:t>В допълнение към ниското ниво на защита на тяхната ИС, МСП не се възползват в пълна степен и от нейната търговска експлоатация. Финансовите анализатори и инвеститорите признават ИС като ключов актив в стойността на дадено предприятие и като показател за технологичния му капацитет и способностите му за растеж. Независимо от това МСП с интензивно използване на познания, които се стремят към финансиране на своята дейност, често не възприемат подходящи стратегии за ИС, които биха помогнали за оползотворяване на техния нематериален капитал. За финансовия сектор оценката на даден патент или марка е от решаващо значение, тъй като заемодателят или инвеститорът се интересува главно от заменяемите обезпечения</w:t>
      </w:r>
      <w:r>
        <w:rPr>
          <w:rFonts w:ascii="Times New Roman" w:hAnsi="Times New Roman" w:cs="Times New Roman"/>
          <w:noProof/>
          <w:sz w:val="24"/>
          <w:szCs w:val="24"/>
          <w:vertAlign w:val="superscript"/>
        </w:rPr>
        <w:footnoteReference w:id="16"/>
      </w:r>
      <w:r>
        <w:rPr>
          <w:rFonts w:ascii="Times New Roman" w:hAnsi="Times New Roman"/>
          <w:noProof/>
          <w:sz w:val="24"/>
          <w:szCs w:val="24"/>
        </w:rPr>
        <w:t xml:space="preserve"> и в по-малка степен – от самото монополно право.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Необходимо е и добро управление на ИС, за да се подкрепят валоризацията и внедряването на резултатите от НИРД в Европа. Например, при все че 26 % от ценните научноизследователски публикации в областта на ИИ идват от Европа, само 4 от 30-те заемащи челно място заявители (13 %) и 7 % от подаващите заявки за патенти за ИИ предприятия в целия свят са европейски</w:t>
      </w:r>
      <w:r>
        <w:rPr>
          <w:rFonts w:ascii="Times New Roman" w:hAnsi="Times New Roman" w:cs="Times New Roman"/>
          <w:noProof/>
          <w:sz w:val="24"/>
          <w:szCs w:val="24"/>
          <w:vertAlign w:val="superscript"/>
          <w:lang w:val="en-IE"/>
        </w:rPr>
        <w:footnoteReference w:id="17"/>
      </w:r>
      <w:r>
        <w:rPr>
          <w:rFonts w:ascii="Times New Roman" w:hAnsi="Times New Roman"/>
          <w:noProof/>
          <w:sz w:val="24"/>
          <w:szCs w:val="24"/>
        </w:rPr>
        <w:t xml:space="preserve">.  </w:t>
      </w:r>
    </w:p>
    <w:p>
      <w:pPr>
        <w:pStyle w:val="ListParagraph"/>
        <w:keepNext/>
        <w:numPr>
          <w:ilvl w:val="0"/>
          <w:numId w:val="51"/>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 трето място, </w:t>
      </w:r>
      <w:r>
        <w:rPr>
          <w:rFonts w:ascii="Times New Roman" w:hAnsi="Times New Roman"/>
          <w:b/>
          <w:bCs/>
          <w:noProof/>
          <w:sz w:val="24"/>
          <w:szCs w:val="24"/>
        </w:rPr>
        <w:t xml:space="preserve">не са разработени достатъчно инструменти за улесняване на достъпа до ИС </w:t>
      </w:r>
      <w:r>
        <w:rPr>
          <w:rFonts w:ascii="Times New Roman" w:hAnsi="Times New Roman"/>
          <w:noProof/>
          <w:sz w:val="24"/>
          <w:szCs w:val="24"/>
        </w:rPr>
        <w:t>(които съответно да позволят навлизането и разпространението на технологиите).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Кризата, свързана с COVID-19, показа нашата зависимост от критични иновации и технологии, особено в здравния сектор. </w:t>
      </w:r>
      <w:r>
        <w:rPr>
          <w:rFonts w:ascii="Times New Roman" w:hAnsi="Times New Roman"/>
          <w:noProof/>
          <w:sz w:val="24"/>
        </w:rPr>
        <w:t>ЕС следва да усъвършенства своя инструментариум, за да направи достъпни, при нужда, тези иновации и технологии, гарантирайки същевременно справедлива възвръщаемост на инвестициите.</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Предоставянето на лицензии за патенти от съществено значение за стандарт (ПСЗС) често е обременително и скъпоструващо начинание както за патентопритежателите, така и за ползвателите на технологии. Предвид растящото значение на ПСЗС (например има над 95 000 уникални патента и заявки за патенти в подкрепа на технологиите от пето поколение – 5G</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е необходима много по-ясна и по-предсказуема рамка, която да поощрява по-скоро добросъвестните преговори, отколкото прибягването до съдебни спорове.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Въпреки че споделянето на данни придобива значение в много сектори, въздействието на рамката в областта на ИС върху споделянето на данни предстои да бъде изяснено. </w:t>
      </w:r>
    </w:p>
    <w:p>
      <w:pPr>
        <w:pStyle w:val="xmsonormal"/>
        <w:keepNext/>
        <w:numPr>
          <w:ilvl w:val="0"/>
          <w:numId w:val="51"/>
        </w:numPr>
        <w:spacing w:before="120" w:after="120"/>
        <w:jc w:val="both"/>
        <w:rPr>
          <w:noProof/>
        </w:rPr>
      </w:pPr>
      <w:r>
        <w:rPr>
          <w:noProof/>
        </w:rPr>
        <w:t xml:space="preserve">На четвърто място, въпреки непрекъснатите усилия за обръщане на тенденцията, </w:t>
      </w:r>
      <w:r>
        <w:rPr>
          <w:b/>
          <w:bCs/>
          <w:noProof/>
        </w:rPr>
        <w:t>фалшифицирането и пиратството все още процъфтяват</w:t>
      </w:r>
      <w:r>
        <w:rPr>
          <w:noProof/>
        </w:rPr>
        <w:t>, включително като се възползват от цифровите технологии.</w:t>
      </w:r>
    </w:p>
    <w:p>
      <w:pPr>
        <w:pStyle w:val="xmsonormal"/>
        <w:spacing w:before="120" w:after="240"/>
        <w:jc w:val="both"/>
        <w:rPr>
          <w:noProof/>
        </w:rPr>
      </w:pPr>
      <w:r>
        <w:rPr>
          <w:noProof/>
        </w:rPr>
        <w:t>Вносът на фалшифицирани и пиратски стоки в ЕС достига 121 млрд. евро, което представлява до 6,8 % от вноса в ЕС през 2016 г. (спрямо 5 % от вноса в ЕС през 2013 г.)</w:t>
      </w:r>
      <w:r>
        <w:rPr>
          <w:noProof/>
          <w:vertAlign w:val="superscript"/>
        </w:rPr>
        <w:footnoteReference w:id="19"/>
      </w:r>
      <w:r>
        <w:rPr>
          <w:noProof/>
        </w:rPr>
        <w:t xml:space="preserve">. Ежегодно това води до преки загуби от продажби в размер на 50 млрд. евро и до пряка загуба на </w:t>
      </w:r>
      <w:r>
        <w:rPr>
          <w:noProof/>
          <w:color w:val="000000" w:themeColor="text1"/>
        </w:rPr>
        <w:t>416 000 работни места</w:t>
      </w:r>
      <w:r>
        <w:rPr>
          <w:noProof/>
          <w:vertAlign w:val="superscript"/>
        </w:rPr>
        <w:footnoteReference w:id="20"/>
      </w:r>
      <w:r>
        <w:rPr>
          <w:noProof/>
        </w:rPr>
        <w:t>.  Кибернетичните кражби на търговски тайни по разчетни данни водят до 60 млрд. евро загуби в ЕС</w:t>
      </w:r>
      <w:r>
        <w:rPr>
          <w:noProof/>
          <w:vertAlign w:val="superscript"/>
        </w:rPr>
        <w:footnoteReference w:id="21"/>
      </w:r>
      <w:r>
        <w:rPr>
          <w:noProof/>
        </w:rPr>
        <w:t xml:space="preserve">. </w:t>
      </w:r>
    </w:p>
    <w:p>
      <w:pPr>
        <w:pStyle w:val="xmsonormal"/>
        <w:keepNext/>
        <w:numPr>
          <w:ilvl w:val="0"/>
          <w:numId w:val="52"/>
        </w:numPr>
        <w:spacing w:before="120" w:after="120"/>
        <w:jc w:val="both"/>
        <w:rPr>
          <w:noProof/>
        </w:rPr>
      </w:pPr>
      <w:r>
        <w:rPr>
          <w:noProof/>
        </w:rPr>
        <w:t xml:space="preserve">И на последно място, факт е, че </w:t>
      </w:r>
      <w:r>
        <w:rPr>
          <w:b/>
          <w:noProof/>
        </w:rPr>
        <w:t>условията за конкуренция в световен мащаб не са еднакви</w:t>
      </w:r>
      <w:r>
        <w:rPr>
          <w:noProof/>
        </w:rPr>
        <w:t xml:space="preserve">, поради което предприятията от ЕС често са на загуба, когато извършват дейност в чужбина. </w:t>
      </w:r>
    </w:p>
    <w:p>
      <w:pPr>
        <w:pStyle w:val="xmsonormal"/>
        <w:spacing w:before="120" w:after="120"/>
        <w:jc w:val="both"/>
        <w:rPr>
          <w:noProof/>
        </w:rPr>
      </w:pPr>
      <w:r>
        <w:rPr>
          <w:noProof/>
        </w:rPr>
        <w:t xml:space="preserve">Някои държави извън ЕС не защитават в достатъчна степен ИС, често в ущърб на дружествата от ЕС. </w:t>
      </w:r>
      <w:r>
        <w:rPr>
          <w:b/>
          <w:bCs/>
          <w:noProof/>
        </w:rPr>
        <w:t>ЕС трябва да впрегне своя потенциал, така че да действа като нормотворец в световен мащаб.</w:t>
      </w:r>
      <w:r>
        <w:rPr>
          <w:noProof/>
        </w:rPr>
        <w:t xml:space="preserve"> Той трябва да увеличи усилията си за противодействие на практиките, свързани със злоупотреба, като например недобросъвестни регистрации на ИС и други случаи на присвояване на ИС. Преди всичко той трябва да служи за пример, като разработва най-съвременни регулторни решения на въпросите, имащи световно измерение, като например предоставянето на лицензии за ОПС или по какъв начин могат да бъдат споделяни данни.  </w:t>
      </w:r>
    </w:p>
    <w:p>
      <w:pPr>
        <w:pStyle w:val="xmsonormal"/>
        <w:spacing w:before="120" w:after="120"/>
        <w:jc w:val="both"/>
        <w:rPr>
          <w:noProof/>
          <w:color w:val="000000" w:themeColor="text1"/>
        </w:rPr>
      </w:pPr>
      <w:r>
        <w:rPr>
          <w:noProof/>
          <w:color w:val="000000" w:themeColor="text1"/>
        </w:rPr>
        <w:t>В отговор на тези пет предизвикателства и въз основа на информацията, предоставена от държавите членки и от заинтересованите страни</w:t>
      </w:r>
      <w:r>
        <w:rPr>
          <w:rStyle w:val="FootnoteReference"/>
          <w:noProof/>
          <w:color w:val="000000" w:themeColor="text1"/>
        </w:rPr>
        <w:footnoteReference w:id="22"/>
      </w:r>
      <w:r>
        <w:rPr>
          <w:noProof/>
          <w:color w:val="000000" w:themeColor="text1"/>
        </w:rPr>
        <w:t xml:space="preserve">, в настоящия план за действие са набелязани </w:t>
      </w:r>
      <w:r>
        <w:rPr>
          <w:b/>
          <w:bCs/>
          <w:noProof/>
          <w:color w:val="000000" w:themeColor="text1"/>
        </w:rPr>
        <w:t>пет ключови приоритетни области</w:t>
      </w:r>
      <w:r>
        <w:rPr>
          <w:noProof/>
          <w:color w:val="000000" w:themeColor="text1"/>
        </w:rPr>
        <w:t>, заедно с конкретни предложения за предприемане на действия с цел:</w:t>
      </w:r>
    </w:p>
    <w:p>
      <w:pPr>
        <w:pStyle w:val="ListParagraph"/>
        <w:numPr>
          <w:ilvl w:val="0"/>
          <w:numId w:val="1"/>
        </w:numPr>
        <w:spacing w:after="12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подобряване на системата за защита на ИС,</w:t>
      </w:r>
    </w:p>
    <w:p>
      <w:pPr>
        <w:pStyle w:val="ListParagraph"/>
        <w:numPr>
          <w:ilvl w:val="0"/>
          <w:numId w:val="1"/>
        </w:numPr>
        <w:spacing w:after="12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поощряване на използването и внедряването на ИС, особено от МСП, </w:t>
      </w:r>
    </w:p>
    <w:p>
      <w:pPr>
        <w:pStyle w:val="ListParagraph"/>
        <w:numPr>
          <w:ilvl w:val="0"/>
          <w:numId w:val="1"/>
        </w:numPr>
        <w:spacing w:after="12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улесняване на достъпа до нематериални активи и споделянето им, като същевременно се гарантира справедлива възвръщаемост на инвестициите,</w:t>
      </w:r>
    </w:p>
    <w:p>
      <w:pPr>
        <w:pStyle w:val="ListParagraph"/>
        <w:numPr>
          <w:ilvl w:val="0"/>
          <w:numId w:val="1"/>
        </w:numPr>
        <w:spacing w:after="12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осигуряване на по-добро правоприлагане в областта на ИС, и</w:t>
      </w:r>
    </w:p>
    <w:p>
      <w:pPr>
        <w:pStyle w:val="ListParagraph"/>
        <w:numPr>
          <w:ilvl w:val="0"/>
          <w:numId w:val="1"/>
        </w:numPr>
        <w:spacing w:before="120" w:after="36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насърчаване на еднаквите условия на конкуренция в световен мащаб. </w:t>
      </w:r>
    </w:p>
    <w:p>
      <w:pPr>
        <w:pStyle w:val="Heading2"/>
        <w:numPr>
          <w:ilvl w:val="0"/>
          <w:numId w:val="7"/>
        </w:numPr>
        <w:spacing w:before="240" w:after="120" w:line="240" w:lineRule="auto"/>
        <w:ind w:left="357" w:hanging="357"/>
        <w:jc w:val="both"/>
        <w:rPr>
          <w:rFonts w:ascii="Times New Roman" w:eastAsia="Times New Roman" w:hAnsi="Times New Roman" w:cs="Times New Roman"/>
          <w:b/>
          <w:bCs/>
          <w:noProof/>
          <w:color w:val="000000" w:themeColor="text1"/>
          <w:sz w:val="28"/>
          <w:szCs w:val="28"/>
        </w:rPr>
      </w:pPr>
      <w:r>
        <w:rPr>
          <w:rFonts w:ascii="Times New Roman" w:hAnsi="Times New Roman"/>
          <w:b/>
          <w:bCs/>
          <w:smallCaps/>
          <w:noProof/>
          <w:color w:val="000000" w:themeColor="text1"/>
          <w:sz w:val="28"/>
          <w:szCs w:val="28"/>
        </w:rPr>
        <w:t xml:space="preserve">По-добра защита на ИС </w:t>
      </w:r>
      <w:r>
        <w:rPr>
          <w:noProof/>
        </w:rPr>
        <w:tab/>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Първият приоритет е да се </w:t>
      </w:r>
      <w:r>
        <w:rPr>
          <w:rFonts w:ascii="Times New Roman" w:hAnsi="Times New Roman"/>
          <w:b/>
          <w:bCs/>
          <w:noProof/>
          <w:color w:val="000000" w:themeColor="text1"/>
          <w:sz w:val="24"/>
          <w:szCs w:val="24"/>
        </w:rPr>
        <w:t>гарантира, че новаторите в ЕС имат достъп до бързи и ефективни инструменти за защита на достъпна цена.</w:t>
      </w:r>
      <w:r>
        <w:rPr>
          <w:rFonts w:ascii="Times New Roman" w:hAnsi="Times New Roman"/>
          <w:noProof/>
          <w:color w:val="000000" w:themeColor="text1"/>
          <w:sz w:val="24"/>
          <w:szCs w:val="24"/>
        </w:rPr>
        <w:t xml:space="preserve"> За тази цел е необходимо да вложим допълнителни усилия за справяне с все още съществуващата фрагментираност и да намалим сложността. Трябва също така да се уверим, че нашата нормативна уредба напълно отговаря на нуждите на новата зелена и цифрова икономика.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За да бъде постигнато това, е необходимо да осигурим </w:t>
      </w:r>
      <w:r>
        <w:rPr>
          <w:rFonts w:ascii="Times New Roman" w:hAnsi="Times New Roman"/>
          <w:b/>
          <w:bCs/>
          <w:noProof/>
          <w:color w:val="000000" w:themeColor="text1"/>
          <w:sz w:val="24"/>
          <w:szCs w:val="24"/>
        </w:rPr>
        <w:t>стартирането на единната патентна система</w:t>
      </w:r>
      <w:r>
        <w:rPr>
          <w:rFonts w:ascii="Times New Roman" w:hAnsi="Times New Roman"/>
          <w:noProof/>
          <w:color w:val="000000" w:themeColor="text1"/>
          <w:sz w:val="24"/>
          <w:szCs w:val="24"/>
        </w:rPr>
        <w:t>. Това ще създаде възможност за обслужване на предприятията на едно гише, което значително ще опрости патентоването в ЕС, ще повиши прозрачността и ще улесни предоставянето на лицензии. Получаването на патент с единно действие (обхващащ 25 държави членки)</w:t>
      </w:r>
      <w:r>
        <w:rPr>
          <w:rStyle w:val="FootnoteReference"/>
          <w:rFonts w:ascii="Times New Roman" w:eastAsia="Times New Roman" w:hAnsi="Times New Roman" w:cs="Times New Roman"/>
          <w:noProof/>
          <w:color w:val="000000" w:themeColor="text1"/>
          <w:sz w:val="24"/>
          <w:szCs w:val="24"/>
          <w:lang w:val="en-IE"/>
        </w:rPr>
        <w:footnoteReference w:id="23"/>
      </w:r>
      <w:r>
        <w:rPr>
          <w:rFonts w:ascii="Times New Roman" w:hAnsi="Times New Roman"/>
          <w:noProof/>
          <w:color w:val="000000" w:themeColor="text1"/>
          <w:sz w:val="24"/>
          <w:szCs w:val="24"/>
        </w:rPr>
        <w:t xml:space="preserve"> и запазването му в сила в течение на стандартна продължителност ще струва около 10 000 EUR, близо шест пъти по-малко отколкото получаването и запазването в сила на еквивалентна закрила в днешни дни. Освен това с централизираното решаване на споровете пред новия Единен патентен съд ще се повиши правната сигурност и ще бъдат избегнати паралелните съдебни производства в множество държави членки, като значително ще се намалят разходите, свързани със съдебните спорове. По този начин единната патентна система ще бъде ключов инструмент за възстановяване на промишлеността в ЕС, особено за екосистемите на енергията от възобновяеми източници, електрониката, авиокосмическата промишленост и отбраната, а също и на мобилността.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Основната липсваща стъпка за осигуряване на стартирането на единната патентна система е ратифицирането от страна на Германия на Споразумението за Единен патентен съд, което вече стана възможно в резултат на неотдавнашно решение на германския Конституционен съд</w:t>
      </w:r>
      <w:r>
        <w:rPr>
          <w:rStyle w:val="FootnoteReference"/>
          <w:rFonts w:ascii="Times New Roman" w:eastAsia="Times New Roman" w:hAnsi="Times New Roman" w:cs="Times New Roman"/>
          <w:noProof/>
          <w:color w:val="000000" w:themeColor="text1"/>
          <w:sz w:val="24"/>
          <w:szCs w:val="24"/>
          <w:lang w:val="en-IE"/>
        </w:rPr>
        <w:footnoteReference w:id="24"/>
      </w:r>
      <w:r>
        <w:rPr>
          <w:rFonts w:ascii="Times New Roman" w:hAnsi="Times New Roman"/>
          <w:noProof/>
          <w:color w:val="000000" w:themeColor="text1"/>
          <w:sz w:val="24"/>
          <w:szCs w:val="24"/>
        </w:rPr>
        <w:t>. Веднага след приключване на ратификационният процес Комисията ще заработи съвместно с Европейското патентно ведомство (ЕПВ) и държавите членки, за да направи единната патентна система работеща между договарящите държави членки</w:t>
      </w:r>
      <w:r>
        <w:rPr>
          <w:rStyle w:val="FootnoteReference"/>
          <w:rFonts w:ascii="Times New Roman" w:eastAsia="Times New Roman" w:hAnsi="Times New Roman" w:cs="Times New Roman"/>
          <w:noProof/>
          <w:color w:val="000000" w:themeColor="text1"/>
          <w:sz w:val="24"/>
          <w:szCs w:val="24"/>
        </w:rPr>
        <w:footnoteReference w:id="25"/>
      </w:r>
      <w:r>
        <w:rPr>
          <w:rFonts w:ascii="Times New Roman" w:hAnsi="Times New Roman"/>
          <w:noProof/>
          <w:color w:val="000000" w:themeColor="text1"/>
          <w:sz w:val="24"/>
          <w:szCs w:val="24"/>
        </w:rPr>
        <w:t xml:space="preserve">. Тя също така ще насърчи държавите членки, които все още не са го направили, да се присъединят към новата система.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Тясно свързани с патентите са </w:t>
      </w:r>
      <w:r>
        <w:rPr>
          <w:rFonts w:ascii="Times New Roman" w:hAnsi="Times New Roman"/>
          <w:b/>
          <w:noProof/>
          <w:color w:val="000000" w:themeColor="text1"/>
          <w:sz w:val="24"/>
          <w:szCs w:val="24"/>
        </w:rPr>
        <w:t>сертификатите за допълнителна закрила</w:t>
      </w:r>
      <w:r>
        <w:rPr>
          <w:rFonts w:ascii="Times New Roman" w:hAnsi="Times New Roman"/>
          <w:noProof/>
          <w:color w:val="000000" w:themeColor="text1"/>
          <w:sz w:val="24"/>
          <w:szCs w:val="24"/>
        </w:rPr>
        <w:t xml:space="preserve"> (СДЗ), с които се предлага допълнителен срок на закрила на ИС по отношение на патентованите лекарствени продукти и продукти за растителна защита, които са предмет на продължителни клинични изпитвания и процедури за издаване на разрешение за пускане на пазара. След като въведе „освобождаване на производството“ от действието на СДЗ през 2019 г.</w:t>
      </w:r>
      <w:r>
        <w:rPr>
          <w:rStyle w:val="FootnoteReference"/>
          <w:rFonts w:ascii="Times New Roman" w:eastAsia="Times New Roman" w:hAnsi="Times New Roman" w:cs="Times New Roman"/>
          <w:noProof/>
          <w:color w:val="000000" w:themeColor="text1"/>
          <w:sz w:val="24"/>
          <w:szCs w:val="24"/>
        </w:rPr>
        <w:footnoteReference w:id="26"/>
      </w:r>
      <w:r>
        <w:rPr>
          <w:rFonts w:ascii="Times New Roman" w:hAnsi="Times New Roman"/>
          <w:noProof/>
          <w:color w:val="000000" w:themeColor="text1"/>
          <w:sz w:val="24"/>
          <w:szCs w:val="24"/>
        </w:rPr>
        <w:t>, Комисията неотдавна завърши подробна оценка на режима на СДЗ</w:t>
      </w:r>
      <w:r>
        <w:rPr>
          <w:rStyle w:val="FootnoteReference"/>
          <w:rFonts w:ascii="Times New Roman" w:eastAsia="Times New Roman" w:hAnsi="Times New Roman" w:cs="Times New Roman"/>
          <w:noProof/>
          <w:color w:val="000000" w:themeColor="text1"/>
          <w:sz w:val="24"/>
          <w:szCs w:val="24"/>
        </w:rPr>
        <w:footnoteReference w:id="27"/>
      </w:r>
      <w:r>
        <w:rPr>
          <w:rFonts w:ascii="Times New Roman" w:hAnsi="Times New Roman"/>
          <w:noProof/>
          <w:color w:val="000000" w:themeColor="text1"/>
          <w:sz w:val="24"/>
          <w:szCs w:val="24"/>
        </w:rPr>
        <w:t xml:space="preserve">. Тя показва, че макар да запазва значението си, системата на СДЗ страда от фрагментираното прилагане в отделните държавите членки. Това води до неефективност и липса на прозрачност и предсказуемост, което затруднява новаторите и производителите на генерични лекарствени продукти и в крайна сметка е във вреда на пациентите. Комисията в момента проучва възможните начини за разрешаване на тези проблеми, включително възможността за въвеждане на единен механизъм за издаване на СДЗ и/или създаване на единeн СДЗ. </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В контекста на новата си фармацевтична стратегия за Европа Комисията внимателно проучва по какъв начин допълнително да оптимизира стимулите и възнаграждаването с цел стимулиране на иновациите, да отговори на неудовлетворените потребности и да насърчи достъпността на приемливи цени като осигури бързото пускане на пазара, а също и непрекъснатите доставки, на лекарствени продукти, включително на генерични и биоподобни такива. Иновациите в тази област следва да са съобразени с нуждите и да станат достъпни за всички пациенти, така че те да могат да се възползват от тях.</w:t>
      </w:r>
      <w:r>
        <w:rPr>
          <w:noProof/>
          <w:color w:val="FF0000"/>
        </w:rPr>
        <w:t xml:space="preserve"> </w:t>
      </w:r>
      <w:r>
        <w:rPr>
          <w:rFonts w:ascii="Times New Roman" w:hAnsi="Times New Roman"/>
          <w:noProof/>
          <w:color w:val="000000" w:themeColor="text1"/>
          <w:sz w:val="24"/>
          <w:szCs w:val="24"/>
        </w:rPr>
        <w:t>В този контекст тя анализира, наред с другото, и приложимия режим за лекарствата сираци и педиатричните лекарства</w:t>
      </w:r>
      <w:r>
        <w:rPr>
          <w:rFonts w:ascii="Times New Roman" w:eastAsia="Times New Roman" w:hAnsi="Times New Roman" w:cs="Times New Roman"/>
          <w:noProof/>
          <w:color w:val="000000" w:themeColor="text1"/>
          <w:sz w:val="24"/>
          <w:szCs w:val="24"/>
          <w:vertAlign w:val="superscript"/>
        </w:rPr>
        <w:footnoteReference w:id="28"/>
      </w:r>
      <w:r>
        <w:rPr>
          <w:rFonts w:ascii="Times New Roman" w:hAnsi="Times New Roman"/>
          <w:noProof/>
          <w:color w:val="000000" w:themeColor="text1"/>
          <w:sz w:val="24"/>
          <w:szCs w:val="24"/>
        </w:rPr>
        <w:t xml:space="preserve"> и освобождаването от патента „Болар“</w:t>
      </w:r>
      <w:r>
        <w:rPr>
          <w:rFonts w:ascii="Times New Roman" w:eastAsia="Times New Roman" w:hAnsi="Times New Roman" w:cs="Times New Roman"/>
          <w:noProof/>
          <w:color w:val="000000" w:themeColor="text1"/>
          <w:sz w:val="24"/>
          <w:szCs w:val="24"/>
          <w:vertAlign w:val="superscript"/>
        </w:rPr>
        <w:footnoteReference w:id="29"/>
      </w:r>
      <w:r>
        <w:rPr>
          <w:rFonts w:ascii="Times New Roman" w:hAnsi="Times New Roman"/>
          <w:noProof/>
          <w:color w:val="000000" w:themeColor="text1"/>
          <w:sz w:val="24"/>
          <w:szCs w:val="24"/>
        </w:rPr>
        <w:t>.</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След успешната реформа на законодателството в областта на марката на ЕС</w:t>
      </w:r>
      <w:r>
        <w:rPr>
          <w:rStyle w:val="FootnoteReference"/>
          <w:rFonts w:ascii="Times New Roman" w:eastAsia="Times New Roman" w:hAnsi="Times New Roman" w:cs="Times New Roman"/>
          <w:noProof/>
          <w:color w:val="000000" w:themeColor="text1"/>
          <w:sz w:val="24"/>
          <w:szCs w:val="24"/>
        </w:rPr>
        <w:footnoteReference w:id="30"/>
      </w:r>
      <w:r>
        <w:rPr>
          <w:rFonts w:ascii="Times New Roman" w:hAnsi="Times New Roman"/>
          <w:noProof/>
          <w:color w:val="000000" w:themeColor="text1"/>
          <w:sz w:val="24"/>
          <w:szCs w:val="24"/>
        </w:rPr>
        <w:t xml:space="preserve"> Комисията ще </w:t>
      </w:r>
      <w:r>
        <w:rPr>
          <w:rFonts w:ascii="Times New Roman" w:hAnsi="Times New Roman"/>
          <w:b/>
          <w:noProof/>
          <w:color w:val="000000" w:themeColor="text1"/>
          <w:sz w:val="24"/>
          <w:szCs w:val="24"/>
        </w:rPr>
        <w:t>ревизира</w:t>
      </w:r>
      <w:r>
        <w:rPr>
          <w:rFonts w:ascii="Times New Roman" w:hAnsi="Times New Roman"/>
          <w:noProof/>
          <w:color w:val="000000" w:themeColor="text1"/>
          <w:sz w:val="24"/>
          <w:szCs w:val="24"/>
        </w:rPr>
        <w:t xml:space="preserve"> </w:t>
      </w:r>
      <w:r>
        <w:rPr>
          <w:rFonts w:ascii="Times New Roman" w:hAnsi="Times New Roman"/>
          <w:b/>
          <w:noProof/>
          <w:color w:val="000000" w:themeColor="text1"/>
          <w:sz w:val="24"/>
          <w:szCs w:val="24"/>
        </w:rPr>
        <w:t>законодателството на ЕС в областта на закрилата на дизайните</w:t>
      </w:r>
      <w:r>
        <w:rPr>
          <w:rFonts w:ascii="Times New Roman" w:hAnsi="Times New Roman"/>
          <w:noProof/>
          <w:color w:val="000000" w:themeColor="text1"/>
          <w:sz w:val="24"/>
          <w:szCs w:val="24"/>
        </w:rPr>
        <w:t>. Целта е да се подобри достъпността, в т.ч. финансовата достъпност, на закрилата на дизайните в ЕС, по-специално що се отнася до екосистемите на текстилната промишленост, мебелировката и електрониката, и да се гарантира, че режимът за закрила на дизайните осигурява по-добра подкрепа за прехода към цифрова и зелена икономика. Дизайнът прави конкретния продукт привлекателен, а добре проектираните продукти осигуряват на производителите значително конкурентно предимство. Резултатите от наскоро извършената оценка</w:t>
      </w:r>
      <w:r>
        <w:rPr>
          <w:rStyle w:val="FootnoteReference"/>
          <w:rFonts w:ascii="Times New Roman" w:eastAsia="Times New Roman" w:hAnsi="Times New Roman" w:cs="Times New Roman"/>
          <w:noProof/>
          <w:color w:val="000000" w:themeColor="text1"/>
          <w:sz w:val="24"/>
          <w:szCs w:val="24"/>
        </w:rPr>
        <w:footnoteReference w:id="31"/>
      </w:r>
      <w:r>
        <w:rPr>
          <w:rFonts w:ascii="Times New Roman" w:hAnsi="Times New Roman"/>
          <w:noProof/>
          <w:color w:val="000000" w:themeColor="text1"/>
          <w:sz w:val="24"/>
          <w:szCs w:val="24"/>
        </w:rPr>
        <w:t xml:space="preserve"> на законодателството на ЕС в областта на закрилата на дизайните</w:t>
      </w:r>
      <w:r>
        <w:rPr>
          <w:rStyle w:val="FootnoteReference"/>
          <w:rFonts w:ascii="Times New Roman" w:eastAsia="Times New Roman" w:hAnsi="Times New Roman" w:cs="Times New Roman"/>
          <w:noProof/>
          <w:color w:val="000000" w:themeColor="text1"/>
          <w:sz w:val="24"/>
          <w:szCs w:val="24"/>
        </w:rPr>
        <w:footnoteReference w:id="32"/>
      </w:r>
      <w:r>
        <w:rPr>
          <w:rFonts w:ascii="Times New Roman" w:hAnsi="Times New Roman"/>
          <w:noProof/>
          <w:color w:val="000000" w:themeColor="text1"/>
          <w:sz w:val="24"/>
          <w:szCs w:val="24"/>
        </w:rPr>
        <w:t xml:space="preserve"> показват, че въпреки доброто функциониране на системите за дизайни на ЕС като цяло, все още има някои недостатъци. Процедурите за регистрация са отчасти остарели и в някои случаи водят до ненужна административна тежест. Закрилата на новите форми на дизайни (например анимирани дизайни, графични потребителски интерфейси) не е достатъчно ясна. Също така липсата на яснота по отношение на обхвата на правата върху дизайни може да породи затруднения, особено във връзка с все по-широкото използване на триизмерния печат или спазването на правата върху дизайни, когато стоки, нарушаващи такива права, преминават транзитно през ЕС. И накрая, в резултат на едва частичната хармонизация в областта на закрилата на дизайните по отношение на компонентите, използвани за ремонт на сложни продукти, икономически важният пазар на резервни части продължава да бъде силно фрагментиран, което сериозно изкривява конкуренцията и е пречка за прехода към по-устойчива и зелена икономика.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На Европа е необходим и </w:t>
      </w:r>
      <w:r>
        <w:rPr>
          <w:rFonts w:ascii="Times New Roman" w:hAnsi="Times New Roman"/>
          <w:b/>
          <w:bCs/>
          <w:noProof/>
          <w:color w:val="000000" w:themeColor="text1"/>
          <w:sz w:val="24"/>
          <w:szCs w:val="24"/>
        </w:rPr>
        <w:t>нов подход към начина на закрила на географските означения (ГО)</w:t>
      </w:r>
      <w:r>
        <w:rPr>
          <w:rFonts w:ascii="Times New Roman" w:hAnsi="Times New Roman"/>
          <w:noProof/>
          <w:color w:val="000000" w:themeColor="text1"/>
          <w:sz w:val="24"/>
          <w:szCs w:val="24"/>
        </w:rPr>
        <w:t>. ГО са наименования на продукти, свързани с естествената среда и с уменията на местните производители. Те са част от културното наследство на Европа и допринасят за социалната, екологичната и икономическата устойчивост на селското стопанство</w:t>
      </w:r>
      <w:r>
        <w:rPr>
          <w:rStyle w:val="FootnoteReference"/>
          <w:rFonts w:ascii="Times New Roman" w:eastAsia="Times New Roman" w:hAnsi="Times New Roman" w:cs="Times New Roman"/>
          <w:noProof/>
          <w:color w:val="000000" w:themeColor="text1"/>
          <w:sz w:val="24"/>
          <w:szCs w:val="24"/>
        </w:rPr>
        <w:footnoteReference w:id="33"/>
      </w:r>
      <w:r>
        <w:rPr>
          <w:rFonts w:ascii="Times New Roman" w:hAnsi="Times New Roman"/>
          <w:noProof/>
          <w:color w:val="000000" w:themeColor="text1"/>
          <w:sz w:val="24"/>
          <w:szCs w:val="24"/>
        </w:rPr>
        <w:t xml:space="preserve"> и понякога са наричани „селскостопански ПИС“. ГО имат голяма икономическа стойност в селскостопанския сектор. През 2017 г. стойността на продажбите на селскостопански хранителни продукти и напитки, чиито наименования се ползват със закрила като ГО на ЕС, възлизаше на 74,76 млрд. евро</w:t>
      </w:r>
      <w:r>
        <w:rPr>
          <w:rFonts w:ascii="Times New Roman" w:hAnsi="Times New Roman"/>
          <w:noProof/>
          <w:color w:val="000000" w:themeColor="text1"/>
        </w:rPr>
        <w:t xml:space="preserve"> </w:t>
      </w:r>
      <w:r>
        <w:rPr>
          <w:rFonts w:ascii="Times New Roman" w:hAnsi="Times New Roman"/>
          <w:noProof/>
          <w:color w:val="000000" w:themeColor="text1"/>
          <w:sz w:val="24"/>
          <w:szCs w:val="24"/>
        </w:rPr>
        <w:t>в рамките на ЕС, което е 7 % от общите продажби в европейския сектор на храните и напитките. Освен това ГО представляват 15,5 % от общия износ на селскостопански хранителни продукти от ЕС, като продажните цени на продуктите със защитено наименование са по-високи</w:t>
      </w:r>
      <w:r>
        <w:rPr>
          <w:rStyle w:val="FootnoteReference"/>
          <w:rFonts w:ascii="Times New Roman" w:eastAsia="Times New Roman" w:hAnsi="Times New Roman" w:cs="Times New Roman"/>
          <w:noProof/>
          <w:color w:val="000000" w:themeColor="text1"/>
          <w:sz w:val="24"/>
          <w:szCs w:val="24"/>
        </w:rPr>
        <w:footnoteReference w:id="34"/>
      </w:r>
      <w:r>
        <w:rPr>
          <w:rFonts w:ascii="Times New Roman" w:hAnsi="Times New Roman"/>
          <w:noProof/>
          <w:color w:val="000000" w:themeColor="text1"/>
          <w:sz w:val="24"/>
          <w:szCs w:val="24"/>
        </w:rPr>
        <w:t>. Налице е обаче все още неизползван потенциал: Прилаганите понастоящем правила за закрила и правоприлагане биха могли да бъдат по-прецизни, а функциите на държавите членки и на Комисията в процеса на регистрация могат да бъдат по-добре очертани. Освен това съществуват различни системи на ГО за различните видове селскостопански продукти. Въз основа на резултатите от текущото оценяване</w:t>
      </w:r>
      <w:r>
        <w:rPr>
          <w:rStyle w:val="FootnoteReference"/>
          <w:rFonts w:ascii="Times New Roman" w:eastAsia="Times New Roman" w:hAnsi="Times New Roman" w:cs="Times New Roman"/>
          <w:noProof/>
          <w:color w:val="000000" w:themeColor="text1"/>
          <w:sz w:val="24"/>
          <w:szCs w:val="24"/>
        </w:rPr>
        <w:footnoteReference w:id="35"/>
      </w:r>
      <w:r>
        <w:rPr>
          <w:rFonts w:ascii="Times New Roman" w:hAnsi="Times New Roman"/>
          <w:noProof/>
          <w:color w:val="000000" w:themeColor="text1"/>
          <w:sz w:val="24"/>
          <w:szCs w:val="24"/>
        </w:rPr>
        <w:t xml:space="preserve">, Комисията ще проучи начините за </w:t>
      </w:r>
      <w:r>
        <w:rPr>
          <w:rFonts w:ascii="Times New Roman" w:hAnsi="Times New Roman"/>
          <w:b/>
          <w:bCs/>
          <w:noProof/>
          <w:color w:val="000000" w:themeColor="text1"/>
          <w:sz w:val="24"/>
          <w:szCs w:val="24"/>
        </w:rPr>
        <w:t>укрепване,</w:t>
      </w:r>
      <w:r>
        <w:rPr>
          <w:rFonts w:ascii="Times New Roman" w:hAnsi="Times New Roman"/>
          <w:noProof/>
          <w:color w:val="000000" w:themeColor="text1"/>
          <w:sz w:val="24"/>
          <w:szCs w:val="24"/>
        </w:rPr>
        <w:t xml:space="preserve"> </w:t>
      </w:r>
      <w:r>
        <w:rPr>
          <w:rFonts w:ascii="Times New Roman" w:hAnsi="Times New Roman"/>
          <w:b/>
          <w:bCs/>
          <w:noProof/>
          <w:color w:val="000000" w:themeColor="text1"/>
          <w:sz w:val="24"/>
          <w:szCs w:val="24"/>
        </w:rPr>
        <w:t>модернизиране, рационализиране и по-добро прилагане на ГО за селскостопански продукти, храни, вина и спиртни напитки</w:t>
      </w:r>
      <w:r>
        <w:rPr>
          <w:rStyle w:val="FootnoteReference"/>
          <w:rFonts w:ascii="Times New Roman" w:eastAsia="Times New Roman" w:hAnsi="Times New Roman" w:cs="Times New Roman"/>
          <w:noProof/>
          <w:color w:val="000000" w:themeColor="text1"/>
          <w:sz w:val="24"/>
          <w:szCs w:val="24"/>
        </w:rPr>
        <w:footnoteReference w:id="36"/>
      </w:r>
      <w:r>
        <w:rPr>
          <w:noProof/>
        </w:rPr>
        <w:t>.</w:t>
      </w:r>
      <w:r>
        <w:rPr>
          <w:rFonts w:ascii="Times New Roman" w:hAnsi="Times New Roman"/>
          <w:noProof/>
          <w:color w:val="000000" w:themeColor="text1"/>
          <w:sz w:val="24"/>
          <w:szCs w:val="24"/>
        </w:rPr>
        <w:t xml:space="preserve">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Само няколкото държави членки имат въведени правила, осигуряващи поставянето под закрила на ГО за неселскостопански продукти (т.нар. занаятчийски изделия). Понастоящем на равнището на ЕС няма единен механизъм за закрила на такива неселскостопански ГО, които често са важна част от местната идентичност, привличат туристи, съхравяват уникални умения и допринасят за създаването на работни места. Неотдавнашно проучване</w:t>
      </w:r>
      <w:r>
        <w:rPr>
          <w:rStyle w:val="FootnoteReference"/>
          <w:rFonts w:ascii="Times New Roman" w:eastAsia="Times New Roman" w:hAnsi="Times New Roman" w:cs="Times New Roman"/>
          <w:noProof/>
          <w:color w:val="000000" w:themeColor="text1"/>
          <w:sz w:val="24"/>
          <w:szCs w:val="24"/>
        </w:rPr>
        <w:footnoteReference w:id="37"/>
      </w:r>
      <w:r>
        <w:rPr>
          <w:rFonts w:ascii="Times New Roman" w:hAnsi="Times New Roman"/>
          <w:noProof/>
          <w:color w:val="000000" w:themeColor="text1"/>
          <w:sz w:val="24"/>
          <w:szCs w:val="24"/>
        </w:rPr>
        <w:t xml:space="preserve"> показва, че за икономиката на ЕС би било от полза евентуалното въвеждане на хармонизирана система за неселскостопанските продукти. Подобна система би ориентирала по-добре потребителите по отношение на автентичността на тези продукти и би придала по-голяма видимост на последните. Тя би могла да помогне на производителите да запазят своята конкурентоспособност и да работят заедно в определени пазарни ниши, както и да даде тласък на по-слабо развитите региони</w:t>
      </w:r>
      <w:r>
        <w:rPr>
          <w:rStyle w:val="FootnoteReference"/>
          <w:rFonts w:ascii="Times New Roman" w:eastAsia="Times New Roman" w:hAnsi="Times New Roman" w:cs="Times New Roman"/>
          <w:noProof/>
          <w:color w:val="000000" w:themeColor="text1"/>
          <w:sz w:val="24"/>
          <w:szCs w:val="24"/>
        </w:rPr>
        <w:footnoteReference w:id="38"/>
      </w:r>
      <w:r>
        <w:rPr>
          <w:rFonts w:ascii="Times New Roman" w:hAnsi="Times New Roman"/>
          <w:noProof/>
          <w:color w:val="000000" w:themeColor="text1"/>
          <w:sz w:val="24"/>
          <w:szCs w:val="24"/>
        </w:rPr>
        <w:t xml:space="preserve">. Поради тези причини, като част от цялостната реформа на системата на ГО, Комисията ще проучи, въз основа на задълбочена оценка на въздействието с оглед на потенциалните разходи и ползи от нея, доколко е целесъобразно създаването на </w:t>
      </w:r>
      <w:r>
        <w:rPr>
          <w:rFonts w:ascii="Times New Roman" w:hAnsi="Times New Roman"/>
          <w:b/>
          <w:bCs/>
          <w:noProof/>
          <w:color w:val="000000" w:themeColor="text1"/>
          <w:sz w:val="24"/>
          <w:szCs w:val="24"/>
        </w:rPr>
        <w:t>ефикасна и прозрачна система на ЕС за закрила на ГО за неселскостопански продукти</w:t>
      </w:r>
      <w:r>
        <w:rPr>
          <w:rFonts w:ascii="Times New Roman" w:hAnsi="Times New Roman"/>
          <w:noProof/>
          <w:color w:val="000000" w:themeColor="text1"/>
          <w:sz w:val="24"/>
          <w:szCs w:val="24"/>
        </w:rPr>
        <w:t>. Това би позволило на ЕС да се възползва напълно и от възможностите, които предоставя международната система на наименованията за произход и ГУ</w:t>
      </w:r>
      <w:r>
        <w:rPr>
          <w:rStyle w:val="FootnoteReference"/>
          <w:rFonts w:ascii="Times New Roman" w:eastAsia="Times New Roman" w:hAnsi="Times New Roman" w:cs="Times New Roman"/>
          <w:noProof/>
          <w:color w:val="000000" w:themeColor="text1"/>
          <w:sz w:val="24"/>
          <w:szCs w:val="24"/>
        </w:rPr>
        <w:footnoteReference w:id="39"/>
      </w:r>
      <w:r>
        <w:rPr>
          <w:rFonts w:ascii="Times New Roman" w:hAnsi="Times New Roman"/>
          <w:noProof/>
          <w:color w:val="000000" w:themeColor="text1"/>
          <w:sz w:val="24"/>
          <w:szCs w:val="24"/>
        </w:rPr>
        <w:t xml:space="preserve">. По принцип това би представлявало повече от успешен старт с оглед насърчаване на признаването на ГО на ЕС в целия свят.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Системата за </w:t>
      </w:r>
      <w:r>
        <w:rPr>
          <w:rFonts w:ascii="Times New Roman" w:hAnsi="Times New Roman"/>
          <w:b/>
          <w:bCs/>
          <w:noProof/>
          <w:color w:val="000000" w:themeColor="text1"/>
          <w:sz w:val="24"/>
          <w:szCs w:val="24"/>
        </w:rPr>
        <w:t xml:space="preserve">правна закрила на сортовете растения на Общността </w:t>
      </w:r>
      <w:r>
        <w:rPr>
          <w:rFonts w:ascii="Times New Roman" w:hAnsi="Times New Roman"/>
          <w:noProof/>
          <w:color w:val="000000" w:themeColor="text1"/>
          <w:sz w:val="24"/>
          <w:szCs w:val="24"/>
        </w:rPr>
        <w:t xml:space="preserve">(CPVR) също играе решаваща роля за икономиката на ЕС. Солидната система за правна закрила на сортовете растения стимулира селекционерите да създават нови сортове, като по този начин допринася за постигането на целите на Европейския зелен пакт и целите за устойчиво развитие на Организацията на обединените нации. Комисията ще продължи да </w:t>
      </w:r>
      <w:r>
        <w:rPr>
          <w:rFonts w:ascii="Times New Roman" w:hAnsi="Times New Roman"/>
          <w:b/>
          <w:bCs/>
          <w:noProof/>
          <w:color w:val="000000" w:themeColor="text1"/>
          <w:sz w:val="24"/>
          <w:szCs w:val="24"/>
        </w:rPr>
        <w:t>следи за правилното прилагане на системата и ще се стреми да внесе допълнителни подобрения, когато е необходимо</w:t>
      </w:r>
      <w:r>
        <w:rPr>
          <w:rFonts w:ascii="Times New Roman" w:eastAsia="Times New Roman" w:hAnsi="Times New Roman" w:cs="Times New Roman"/>
          <w:noProof/>
          <w:color w:val="000000" w:themeColor="text1"/>
          <w:sz w:val="24"/>
          <w:szCs w:val="24"/>
          <w:vertAlign w:val="superscript"/>
          <w:lang w:val="en-US"/>
        </w:rPr>
        <w:footnoteReference w:id="40"/>
      </w:r>
      <w:r>
        <w:rPr>
          <w:rFonts w:ascii="Times New Roman" w:hAnsi="Times New Roman"/>
          <w:noProof/>
          <w:color w:val="000000" w:themeColor="text1"/>
          <w:sz w:val="24"/>
          <w:szCs w:val="24"/>
        </w:rPr>
        <w:t>. В оценката от 2011 г. на законодателството в областта на CPVR беше направено заключението, че системата, която като цяло работи добре, трябва да бъде запазена, макар и с някои внимателно обмислени корекции. Това заключение се подкрепя от наскоро установени недостатъци</w:t>
      </w:r>
      <w:r>
        <w:rPr>
          <w:rStyle w:val="FootnoteReference"/>
          <w:rFonts w:ascii="Times New Roman" w:eastAsia="Times New Roman" w:hAnsi="Times New Roman" w:cs="Times New Roman"/>
          <w:noProof/>
          <w:color w:val="000000" w:themeColor="text1"/>
          <w:sz w:val="24"/>
          <w:szCs w:val="24"/>
        </w:rPr>
        <w:footnoteReference w:id="41"/>
      </w:r>
      <w:r>
        <w:rPr>
          <w:rFonts w:ascii="Times New Roman" w:hAnsi="Times New Roman"/>
          <w:noProof/>
          <w:color w:val="000000" w:themeColor="text1"/>
          <w:sz w:val="24"/>
          <w:szCs w:val="24"/>
        </w:rPr>
        <w:t>, които биха могли да бъдат отстранени, след съответна оценка, в рамките на целенасочено ревизиране на законодателството в средносрочен план.</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допълнение към гореспоменатите реформи, заедно със заинтересованите страни и службите за интелектуална собственост, Комисията ще проучи </w:t>
      </w:r>
      <w:r>
        <w:rPr>
          <w:rFonts w:ascii="Times New Roman" w:hAnsi="Times New Roman"/>
          <w:b/>
          <w:bCs/>
          <w:noProof/>
          <w:color w:val="000000" w:themeColor="text1"/>
          <w:sz w:val="24"/>
          <w:szCs w:val="24"/>
        </w:rPr>
        <w:t xml:space="preserve">използването на нови технологии, </w:t>
      </w:r>
      <w:r>
        <w:rPr>
          <w:rFonts w:ascii="Times New Roman" w:hAnsi="Times New Roman"/>
          <w:noProof/>
          <w:color w:val="000000" w:themeColor="text1"/>
          <w:sz w:val="24"/>
          <w:szCs w:val="24"/>
        </w:rPr>
        <w:t>като ИИ и блоковите вериги</w:t>
      </w:r>
      <w:r>
        <w:rPr>
          <w:rFonts w:ascii="Times New Roman" w:hAnsi="Times New Roman"/>
          <w:b/>
          <w:bCs/>
          <w:noProof/>
          <w:color w:val="000000" w:themeColor="text1"/>
          <w:sz w:val="24"/>
          <w:szCs w:val="24"/>
        </w:rPr>
        <w:t>, с цел допълнително подобряване на ефективността на нашите системи на ИС.</w:t>
      </w:r>
      <w:r>
        <w:rPr>
          <w:rFonts w:ascii="Times New Roman" w:hAnsi="Times New Roman"/>
          <w:noProof/>
          <w:color w:val="000000" w:themeColor="text1"/>
          <w:sz w:val="24"/>
          <w:szCs w:val="24"/>
        </w:rPr>
        <w:t xml:space="preserve"> Всъщност новите технологии могат да спомогнат за улесняване закрилата на ИС</w:t>
      </w:r>
      <w:r>
        <w:rPr>
          <w:rStyle w:val="FootnoteReference"/>
          <w:rFonts w:ascii="Times New Roman" w:eastAsia="Times New Roman" w:hAnsi="Times New Roman" w:cs="Times New Roman"/>
          <w:noProof/>
          <w:color w:val="000000" w:themeColor="text1"/>
          <w:sz w:val="24"/>
          <w:szCs w:val="24"/>
          <w:lang w:val="en-IE"/>
        </w:rPr>
        <w:footnoteReference w:id="42"/>
      </w:r>
      <w:r>
        <w:rPr>
          <w:rFonts w:ascii="Times New Roman" w:hAnsi="Times New Roman"/>
          <w:noProof/>
          <w:color w:val="000000" w:themeColor="text1"/>
          <w:sz w:val="24"/>
          <w:szCs w:val="24"/>
        </w:rPr>
        <w:t>, подобряване на прозрачността, създаване на възможност за по-равномерно разпределение на лицензионните такси</w:t>
      </w:r>
      <w:r>
        <w:rPr>
          <w:rStyle w:val="FootnoteReference"/>
          <w:rFonts w:ascii="Times New Roman" w:eastAsia="Times New Roman" w:hAnsi="Times New Roman" w:cs="Times New Roman"/>
          <w:noProof/>
          <w:color w:val="000000" w:themeColor="text1"/>
          <w:sz w:val="24"/>
          <w:szCs w:val="24"/>
          <w:lang w:val="en-IE"/>
        </w:rPr>
        <w:footnoteReference w:id="43"/>
      </w:r>
      <w:r>
        <w:rPr>
          <w:rFonts w:ascii="Times New Roman" w:hAnsi="Times New Roman"/>
          <w:noProof/>
          <w:color w:val="000000" w:themeColor="text1"/>
          <w:sz w:val="24"/>
          <w:szCs w:val="24"/>
        </w:rPr>
        <w:t xml:space="preserve"> и по-ефективно противодействие на фалшифицирането и пиратството.</w:t>
      </w:r>
      <w:r>
        <w:rPr>
          <w:rFonts w:ascii="Times New Roman" w:hAnsi="Times New Roman"/>
          <w:noProof/>
          <w:color w:val="000000"/>
          <w:sz w:val="24"/>
          <w:szCs w:val="24"/>
        </w:rPr>
        <w:t xml:space="preserve"> </w:t>
      </w:r>
      <w:r>
        <w:rPr>
          <w:rFonts w:ascii="Times New Roman" w:hAnsi="Times New Roman"/>
          <w:noProof/>
          <w:color w:val="000000" w:themeColor="text1"/>
          <w:sz w:val="24"/>
          <w:szCs w:val="24"/>
        </w:rPr>
        <w:t xml:space="preserve">С цел проучване на пълния потенциал на новите технологии и насърчаване на тяхното внедряване Комисията ще поощри </w:t>
      </w:r>
      <w:r>
        <w:rPr>
          <w:rFonts w:ascii="Times New Roman" w:hAnsi="Times New Roman"/>
          <w:b/>
          <w:bCs/>
          <w:noProof/>
          <w:color w:val="000000" w:themeColor="text1"/>
          <w:sz w:val="24"/>
          <w:szCs w:val="24"/>
        </w:rPr>
        <w:t>секторния диалог,</w:t>
      </w:r>
      <w:r>
        <w:rPr>
          <w:rFonts w:ascii="Times New Roman" w:hAnsi="Times New Roman"/>
          <w:noProof/>
          <w:color w:val="000000" w:themeColor="text1"/>
          <w:sz w:val="24"/>
          <w:szCs w:val="24"/>
        </w:rPr>
        <w:t xml:space="preserve"> който да популяризира и съпътства многобройните текущи инициативи в тази област.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Наред с това, цифровата революция изисква </w:t>
      </w:r>
      <w:r>
        <w:rPr>
          <w:rFonts w:ascii="Times New Roman" w:hAnsi="Times New Roman"/>
          <w:b/>
          <w:noProof/>
          <w:color w:val="000000" w:themeColor="text1"/>
          <w:sz w:val="24"/>
          <w:szCs w:val="24"/>
        </w:rPr>
        <w:t>да се обмисли какво точно подлежи на закрила и по какъв начин да се осигури тази закрила</w:t>
      </w:r>
      <w:r>
        <w:rPr>
          <w:rFonts w:ascii="Times New Roman" w:hAnsi="Times New Roman"/>
          <w:noProof/>
          <w:color w:val="000000" w:themeColor="text1"/>
          <w:sz w:val="24"/>
          <w:szCs w:val="24"/>
        </w:rPr>
        <w:t xml:space="preserve">. </w:t>
      </w:r>
      <w:r>
        <w:rPr>
          <w:rFonts w:ascii="Times New Roman" w:hAnsi="Times New Roman"/>
          <w:b/>
          <w:bCs/>
          <w:noProof/>
          <w:sz w:val="24"/>
          <w:szCs w:val="24"/>
        </w:rPr>
        <w:t xml:space="preserve">Технологиите в областта на ИИ </w:t>
      </w:r>
      <w:r>
        <w:rPr>
          <w:rFonts w:ascii="Times New Roman" w:hAnsi="Times New Roman"/>
          <w:noProof/>
          <w:sz w:val="24"/>
          <w:szCs w:val="24"/>
        </w:rPr>
        <w:t xml:space="preserve">създават нови произведения и изобретения. В някои случаи, например в сектора на културата, използването на изобретателски машини може да се превърне в норма. Това развитие повдига въпроса каква закрила следва да се осигури например на продуктите, създавани с помощта на технологиите в областта на ИИ. </w:t>
      </w:r>
      <w:r>
        <w:rPr>
          <w:rFonts w:ascii="Times New Roman" w:hAnsi="Times New Roman"/>
          <w:noProof/>
          <w:color w:val="000000" w:themeColor="text1"/>
          <w:sz w:val="24"/>
          <w:szCs w:val="24"/>
        </w:rPr>
        <w:t>Обсъжданията във връзка с въздействието на ИИ върху ПИС продължават както в Европа, така и в международен план (вж. раздел 6). В публикувано днес проучване</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w:t>
      </w:r>
      <w:r>
        <w:rPr>
          <w:rFonts w:ascii="Times New Roman" w:hAnsi="Times New Roman"/>
          <w:noProof/>
          <w:color w:val="000000" w:themeColor="text1"/>
          <w:sz w:val="24"/>
          <w:szCs w:val="24"/>
        </w:rPr>
        <w:t>се подчертава необходимостта да се прави разграничение между изобретения и произведения, създадени с помощта на технологии в областта на ИИ, и такива, които са създадени единствено от технологии в областта на ИИ. Въпреки че изобретенията и произведенията, създадени самостоятелно от технологии в областта на ИИ, все още са въпрос най-вече на бъдещето, Комисията счита, че системите на ИИ не следва да се считат за автори или изобретатели. Тази гледна точка се подкрепя и от позицията, възприета от ЕПВ по делото Dabus</w:t>
      </w:r>
      <w:r>
        <w:rPr>
          <w:rStyle w:val="FootnoteReference"/>
          <w:rFonts w:ascii="Times New Roman" w:eastAsia="Times New Roman" w:hAnsi="Times New Roman" w:cs="Times New Roman"/>
          <w:noProof/>
          <w:color w:val="000000" w:themeColor="text1"/>
          <w:sz w:val="24"/>
          <w:szCs w:val="24"/>
        </w:rPr>
        <w:footnoteReference w:id="45"/>
      </w:r>
      <w:r>
        <w:rPr>
          <w:noProof/>
        </w:rPr>
        <w:t>.</w:t>
      </w:r>
      <w:r>
        <w:rPr>
          <w:rFonts w:ascii="Times New Roman" w:hAnsi="Times New Roman"/>
          <w:noProof/>
          <w:color w:val="000000" w:themeColor="text1"/>
          <w:sz w:val="24"/>
          <w:szCs w:val="24"/>
        </w:rPr>
        <w:t xml:space="preserve"> Въпросното проучване също така показва, че настоящата рамка на ЕС в областта на ИС и Европейската патентна конвенция изглеждат като цяло подходящи за справяне с предизвикателствата, породени от създаваните с помощта на ИИ изобретения и произведения. Продължават да съществуват обаче известни пропуски в хармонизацията</w:t>
      </w:r>
      <w:r>
        <w:rPr>
          <w:rStyle w:val="FootnoteReference"/>
          <w:rFonts w:ascii="Times New Roman" w:eastAsia="Times New Roman" w:hAnsi="Times New Roman" w:cs="Times New Roman"/>
          <w:noProof/>
          <w:color w:val="000000" w:themeColor="text1"/>
          <w:sz w:val="24"/>
          <w:szCs w:val="24"/>
        </w:rPr>
        <w:footnoteReference w:id="46"/>
      </w:r>
      <w:r>
        <w:rPr>
          <w:rFonts w:ascii="Times New Roman" w:hAnsi="Times New Roman"/>
          <w:noProof/>
          <w:color w:val="000000" w:themeColor="text1"/>
          <w:sz w:val="24"/>
          <w:szCs w:val="24"/>
        </w:rPr>
        <w:t>, но все още има поле за подобрение</w:t>
      </w:r>
      <w:r>
        <w:rPr>
          <w:rStyle w:val="FootnoteReference"/>
          <w:rFonts w:ascii="Times New Roman" w:eastAsia="Times New Roman" w:hAnsi="Times New Roman" w:cs="Times New Roman"/>
          <w:noProof/>
          <w:color w:val="000000" w:themeColor="text1"/>
          <w:sz w:val="24"/>
          <w:szCs w:val="24"/>
        </w:rPr>
        <w:footnoteReference w:id="47"/>
      </w:r>
      <w:r>
        <w:rPr>
          <w:noProof/>
        </w:rPr>
        <w:t>.</w:t>
      </w:r>
      <w:r>
        <w:rPr>
          <w:rFonts w:ascii="Times New Roman" w:hAnsi="Times New Roman"/>
          <w:noProof/>
          <w:color w:val="000000" w:themeColor="text1"/>
          <w:sz w:val="24"/>
          <w:szCs w:val="24"/>
        </w:rPr>
        <w:t xml:space="preserve"> Следва да се намери решение на тези въпроси, за да се изведе на още по-високо равнище челният европейски опит в областта на ИИ. Като първа стъпка Комисията ще очертае и анализира всички проблемни моменти и ще участва в обсъжданията със заинтересованите страни. Гореспоменатият секторен диалог би могъл да послужи като полезен форум в този контекст.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И накрая, Комисията ще </w:t>
      </w:r>
      <w:r>
        <w:rPr>
          <w:rFonts w:ascii="Times New Roman" w:hAnsi="Times New Roman"/>
          <w:b/>
          <w:bCs/>
          <w:noProof/>
          <w:color w:val="000000" w:themeColor="text1"/>
          <w:sz w:val="24"/>
          <w:szCs w:val="24"/>
        </w:rPr>
        <w:t>гарантира съгласувано и авангардно прилагане на правилата</w:t>
      </w:r>
      <w:r>
        <w:rPr>
          <w:rFonts w:ascii="Times New Roman" w:hAnsi="Times New Roman"/>
          <w:noProof/>
          <w:color w:val="000000" w:themeColor="text1"/>
          <w:sz w:val="24"/>
          <w:szCs w:val="24"/>
        </w:rPr>
        <w:t xml:space="preserve"> в сътрудничество с държавите членки и заинтересованите страни.</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областта на </w:t>
      </w:r>
      <w:r>
        <w:rPr>
          <w:rFonts w:ascii="Times New Roman" w:hAnsi="Times New Roman"/>
          <w:b/>
          <w:bCs/>
          <w:noProof/>
          <w:color w:val="000000" w:themeColor="text1"/>
          <w:sz w:val="24"/>
          <w:szCs w:val="24"/>
        </w:rPr>
        <w:t>авторското право</w:t>
      </w:r>
      <w:r>
        <w:rPr>
          <w:rFonts w:ascii="Times New Roman" w:hAnsi="Times New Roman"/>
          <w:noProof/>
          <w:color w:val="000000" w:themeColor="text1"/>
          <w:sz w:val="24"/>
          <w:szCs w:val="24"/>
        </w:rPr>
        <w:t xml:space="preserve"> Комисията съсредоточава усилията си върху подкрепата за навременното и ефективното транспониране и прилагане на двете новоприети директиви за модернизиране на рамката на ЕС в областта на авторското право</w:t>
      </w:r>
      <w:r>
        <w:rPr>
          <w:rStyle w:val="FootnoteReference"/>
          <w:rFonts w:ascii="Times New Roman" w:eastAsia="Times New Roman" w:hAnsi="Times New Roman" w:cs="Times New Roman"/>
          <w:noProof/>
          <w:color w:val="000000" w:themeColor="text1"/>
          <w:sz w:val="24"/>
          <w:szCs w:val="24"/>
        </w:rPr>
        <w:footnoteReference w:id="48"/>
      </w:r>
      <w:r>
        <w:rPr>
          <w:rFonts w:ascii="Times New Roman" w:hAnsi="Times New Roman"/>
          <w:noProof/>
          <w:color w:val="000000" w:themeColor="text1"/>
          <w:sz w:val="24"/>
          <w:szCs w:val="24"/>
        </w:rPr>
        <w:t>.</w:t>
      </w:r>
      <w:r>
        <w:rPr>
          <w:rFonts w:ascii="Times New Roman" w:hAnsi="Times New Roman"/>
          <w:noProof/>
        </w:rPr>
        <w:t xml:space="preserve"> </w:t>
      </w:r>
      <w:r>
        <w:rPr>
          <w:rFonts w:ascii="Times New Roman" w:hAnsi="Times New Roman"/>
          <w:noProof/>
          <w:color w:val="000000" w:themeColor="text1"/>
          <w:sz w:val="24"/>
          <w:szCs w:val="24"/>
        </w:rPr>
        <w:t>Важна част от тази работа се отнася до прилагането на член 17 от Директива за авторското право, по силата на който се въвежда специален правен режим за използването на защитено от авторско право съдържание, качено от ползвателите на платформи за споделяне на съдържание. Комисията проведе обширен диалог със заинтересованите страни, за да събере информация за вижданията на съответните заинтересовани страни по основните теми, свързани с прилагането на този член. Като се опира на резултатите от диалога, Комисията скоро ще публикува насоки, които да подпомогнат държавите членки при прилагането на тази разпоредба. Във връзка със съществуващата рамка на ЕС в областта на авторското право Комисията ще работи и по определен брой доклади, произтичащи от специфични разпоредби, като клаузите за преглед, заложени в няколко инструмента на ЕС относно авторското право, включително Директивата за срока на действие на закрилата, Директивата за колективното управление на права, така наречената директива „Маракеш“, и Регламента за преносимостта</w:t>
      </w:r>
      <w:r>
        <w:rPr>
          <w:rStyle w:val="FootnoteReference"/>
          <w:rFonts w:ascii="Times New Roman" w:eastAsia="Times New Roman" w:hAnsi="Times New Roman" w:cs="Times New Roman"/>
          <w:noProof/>
          <w:color w:val="000000" w:themeColor="text1"/>
          <w:sz w:val="24"/>
          <w:szCs w:val="24"/>
        </w:rPr>
        <w:footnoteReference w:id="49"/>
      </w:r>
      <w:r>
        <w:rPr>
          <w:rFonts w:ascii="Times New Roman" w:hAnsi="Times New Roman"/>
          <w:noProof/>
          <w:color w:val="000000" w:themeColor="text1"/>
          <w:sz w:val="24"/>
          <w:szCs w:val="24"/>
        </w:rPr>
        <w:t>.</w:t>
      </w:r>
    </w:p>
    <w:p>
      <w:pPr>
        <w:spacing w:before="120"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За</w:t>
      </w:r>
      <w:r>
        <w:rPr>
          <w:rFonts w:ascii="Times New Roman" w:hAnsi="Times New Roman"/>
          <w:noProof/>
          <w:color w:val="000000" w:themeColor="text1"/>
          <w:sz w:val="24"/>
        </w:rPr>
        <w:t xml:space="preserve"> целите на</w:t>
      </w:r>
      <w:r>
        <w:rPr>
          <w:rFonts w:ascii="Times New Roman" w:hAnsi="Times New Roman"/>
          <w:noProof/>
          <w:color w:val="000000" w:themeColor="text1"/>
          <w:sz w:val="24"/>
          <w:szCs w:val="24"/>
        </w:rPr>
        <w:t>бързо развиващия се пазар на биотехнологии от особено важно значение е</w:t>
      </w:r>
      <w:r>
        <w:rPr>
          <w:rFonts w:ascii="Times New Roman" w:hAnsi="Times New Roman"/>
          <w:noProof/>
          <w:color w:val="000000" w:themeColor="text1"/>
          <w:sz w:val="24"/>
        </w:rPr>
        <w:t xml:space="preserve"> </w:t>
      </w:r>
      <w:r>
        <w:rPr>
          <w:rFonts w:ascii="Times New Roman" w:hAnsi="Times New Roman"/>
          <w:noProof/>
          <w:color w:val="000000" w:themeColor="text1"/>
          <w:sz w:val="24"/>
          <w:szCs w:val="24"/>
        </w:rPr>
        <w:t xml:space="preserve">прилагането на </w:t>
      </w:r>
      <w:r>
        <w:rPr>
          <w:rFonts w:ascii="Times New Roman" w:hAnsi="Times New Roman"/>
          <w:b/>
          <w:bCs/>
          <w:noProof/>
          <w:color w:val="000000" w:themeColor="text1"/>
          <w:sz w:val="24"/>
          <w:szCs w:val="24"/>
        </w:rPr>
        <w:t>Директивата за биотехнологичните изобретения</w:t>
      </w:r>
      <w:r>
        <w:rPr>
          <w:rStyle w:val="FootnoteReference"/>
          <w:rFonts w:ascii="Times New Roman" w:eastAsia="Times New Roman" w:hAnsi="Times New Roman" w:cs="Times New Roman"/>
          <w:noProof/>
          <w:color w:val="000000" w:themeColor="text1"/>
          <w:sz w:val="24"/>
          <w:szCs w:val="24"/>
          <w:lang w:val="en-US"/>
        </w:rPr>
        <w:footnoteReference w:id="50"/>
      </w:r>
      <w:r>
        <w:rPr>
          <w:rFonts w:ascii="Times New Roman" w:hAnsi="Times New Roman"/>
          <w:noProof/>
          <w:color w:val="000000" w:themeColor="text1"/>
          <w:sz w:val="24"/>
          <w:szCs w:val="24"/>
        </w:rPr>
        <w:t>. Биотехнологичните патенти предлагат изключително важни стимули, но следва да се издават в обосновани случаи. Директивата за биотехнологичните изобретения предлага балансирана рамка в това отношение, като Комисията ще продължи да следи за нейното прилагане</w:t>
      </w:r>
      <w:r>
        <w:rPr>
          <w:rStyle w:val="FootnoteReference"/>
          <w:rFonts w:ascii="Times New Roman" w:eastAsia="Times New Roman" w:hAnsi="Times New Roman" w:cs="Times New Roman"/>
          <w:noProof/>
          <w:color w:val="000000" w:themeColor="text1"/>
          <w:sz w:val="24"/>
          <w:szCs w:val="24"/>
        </w:rPr>
        <w:footnoteReference w:id="51"/>
      </w:r>
      <w:r>
        <w:rPr>
          <w:noProof/>
        </w:rPr>
        <w:t>.</w:t>
      </w:r>
    </w:p>
    <w:p>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color w:val="000000" w:themeColor="text1"/>
        </w:rPr>
      </w:pPr>
      <w:r>
        <w:rPr>
          <w:rFonts w:ascii="Times New Roman" w:hAnsi="Times New Roman"/>
          <w:b/>
          <w:bCs/>
          <w:noProof/>
          <w:color w:val="000000" w:themeColor="text1"/>
          <w:sz w:val="24"/>
          <w:szCs w:val="24"/>
        </w:rPr>
        <w:t>С цел подобряване на начина, по който се защитават ПИС в ЕС, Комисията:</w:t>
      </w:r>
    </w:p>
    <w:p>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ще подкрепи бързото въвеждане на </w:t>
      </w:r>
      <w:r>
        <w:rPr>
          <w:rFonts w:ascii="Times New Roman" w:hAnsi="Times New Roman"/>
          <w:b/>
          <w:bCs/>
          <w:noProof/>
          <w:color w:val="000000" w:themeColor="text1"/>
          <w:sz w:val="24"/>
          <w:szCs w:val="24"/>
        </w:rPr>
        <w:t>единната патентна</w:t>
      </w:r>
      <w:r>
        <w:rPr>
          <w:rFonts w:ascii="Times New Roman" w:hAnsi="Times New Roman"/>
          <w:noProof/>
          <w:color w:val="000000" w:themeColor="text1"/>
          <w:sz w:val="24"/>
          <w:szCs w:val="24"/>
        </w:rPr>
        <w:t xml:space="preserve"> система, за да се създаде възможност за обслужване на едно гише във връзка с патентната закрила и спазването на патентите в целия ЕС (2021 г.),</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ще оптимизира </w:t>
      </w:r>
      <w:r>
        <w:rPr>
          <w:rFonts w:ascii="Times New Roman" w:hAnsi="Times New Roman"/>
          <w:b/>
          <w:bCs/>
          <w:noProof/>
          <w:color w:val="000000" w:themeColor="text1"/>
          <w:sz w:val="24"/>
          <w:szCs w:val="24"/>
        </w:rPr>
        <w:t xml:space="preserve">системата на сертификатите за допълнителна закрила, </w:t>
      </w:r>
      <w:r>
        <w:rPr>
          <w:rFonts w:ascii="Times New Roman" w:hAnsi="Times New Roman"/>
          <w:noProof/>
          <w:color w:val="000000" w:themeColor="text1"/>
          <w:sz w:val="24"/>
          <w:szCs w:val="24"/>
        </w:rPr>
        <w:t xml:space="preserve">за да стане тя по-прозрачна и по-ефикасна (първо тримесечие на 2022 г.), </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noProof/>
        </w:rPr>
      </w:pPr>
      <w:r>
        <w:rPr>
          <w:rFonts w:ascii="Times New Roman" w:hAnsi="Times New Roman"/>
          <w:noProof/>
          <w:color w:val="000000" w:themeColor="text1"/>
          <w:sz w:val="24"/>
          <w:szCs w:val="24"/>
        </w:rPr>
        <w:t xml:space="preserve">ще модернизира законодателството на ЕС в областта на </w:t>
      </w:r>
      <w:r>
        <w:rPr>
          <w:rFonts w:ascii="Times New Roman" w:hAnsi="Times New Roman"/>
          <w:b/>
          <w:bCs/>
          <w:noProof/>
          <w:color w:val="000000" w:themeColor="text1"/>
          <w:sz w:val="24"/>
          <w:szCs w:val="24"/>
        </w:rPr>
        <w:t>дизайните</w:t>
      </w:r>
      <w:r>
        <w:rPr>
          <w:rFonts w:ascii="Times New Roman" w:hAnsi="Times New Roman"/>
          <w:noProof/>
          <w:color w:val="000000" w:themeColor="text1"/>
          <w:sz w:val="24"/>
          <w:szCs w:val="24"/>
        </w:rPr>
        <w:t>, за да стане то по-достъпно и да бъде подкрепен преходът към цифрова и зелена икономика (четвърто тримесечие на 2021 г.),</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noProof/>
        </w:rPr>
      </w:pPr>
      <w:r>
        <w:rPr>
          <w:rFonts w:ascii="Times New Roman" w:hAnsi="Times New Roman"/>
          <w:noProof/>
          <w:color w:val="000000" w:themeColor="text1"/>
          <w:sz w:val="24"/>
          <w:szCs w:val="24"/>
        </w:rPr>
        <w:t xml:space="preserve">ще укрепи системата за закрила на </w:t>
      </w:r>
      <w:r>
        <w:rPr>
          <w:rFonts w:ascii="Times New Roman" w:hAnsi="Times New Roman"/>
          <w:b/>
          <w:bCs/>
          <w:noProof/>
          <w:color w:val="000000" w:themeColor="text1"/>
          <w:sz w:val="24"/>
          <w:szCs w:val="24"/>
        </w:rPr>
        <w:t>географските означения за селскостопански продукти</w:t>
      </w:r>
      <w:r>
        <w:rPr>
          <w:rFonts w:ascii="Times New Roman" w:hAnsi="Times New Roman"/>
          <w:noProof/>
          <w:color w:val="000000" w:themeColor="text1"/>
          <w:sz w:val="24"/>
          <w:szCs w:val="24"/>
        </w:rPr>
        <w:t xml:space="preserve">, за да стане тя по-ефективна, и ще обмисли, въз основа на оценка на въздействието, възможността да предложи система на ЕС за закрила на </w:t>
      </w:r>
      <w:r>
        <w:rPr>
          <w:rFonts w:ascii="Times New Roman" w:hAnsi="Times New Roman"/>
          <w:b/>
          <w:bCs/>
          <w:noProof/>
          <w:color w:val="000000" w:themeColor="text1"/>
          <w:sz w:val="24"/>
          <w:szCs w:val="24"/>
        </w:rPr>
        <w:t>географските означения за неселскостопански продукти</w:t>
      </w:r>
      <w:r>
        <w:rPr>
          <w:rFonts w:ascii="Times New Roman" w:hAnsi="Times New Roman"/>
          <w:noProof/>
          <w:color w:val="000000" w:themeColor="text1"/>
          <w:sz w:val="24"/>
          <w:szCs w:val="24"/>
        </w:rPr>
        <w:t xml:space="preserve"> (четвърто тримесечие на 2021 г.), </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noProof/>
        </w:rPr>
      </w:pPr>
      <w:r>
        <w:rPr>
          <w:rFonts w:ascii="Times New Roman" w:hAnsi="Times New Roman"/>
          <w:noProof/>
          <w:color w:val="000000" w:themeColor="text1"/>
          <w:sz w:val="24"/>
          <w:szCs w:val="24"/>
        </w:rPr>
        <w:t xml:space="preserve">ще подложи на оценка </w:t>
      </w:r>
      <w:r>
        <w:rPr>
          <w:rFonts w:ascii="Times New Roman" w:hAnsi="Times New Roman"/>
          <w:b/>
          <w:noProof/>
          <w:color w:val="000000" w:themeColor="text1"/>
          <w:sz w:val="24"/>
          <w:szCs w:val="24"/>
        </w:rPr>
        <w:t>законодателството в областта на сортовете растения</w:t>
      </w:r>
      <w:r>
        <w:rPr>
          <w:rFonts w:ascii="Times New Roman" w:hAnsi="Times New Roman"/>
          <w:noProof/>
          <w:color w:val="000000" w:themeColor="text1"/>
          <w:sz w:val="24"/>
          <w:szCs w:val="24"/>
        </w:rPr>
        <w:t xml:space="preserve"> (четвърто тримесечие на 2022 г.).</w:t>
      </w:r>
    </w:p>
    <w:p>
      <w:pPr>
        <w:pStyle w:val="ListParagraph"/>
        <w:numPr>
          <w:ilvl w:val="0"/>
          <w:numId w:val="7"/>
        </w:numPr>
        <w:spacing w:before="360" w:after="120" w:line="240" w:lineRule="auto"/>
        <w:ind w:left="357" w:hanging="357"/>
        <w:contextualSpacing w:val="0"/>
        <w:jc w:val="both"/>
        <w:rPr>
          <w:rFonts w:ascii="Times New Roman" w:eastAsia="Times New Roman" w:hAnsi="Times New Roman" w:cs="Times New Roman"/>
          <w:b/>
          <w:bCs/>
          <w:smallCaps/>
          <w:noProof/>
          <w:color w:val="000000" w:themeColor="text1"/>
          <w:sz w:val="28"/>
          <w:szCs w:val="28"/>
        </w:rPr>
      </w:pPr>
      <w:r>
        <w:rPr>
          <w:rFonts w:ascii="Times New Roman" w:hAnsi="Times New Roman"/>
          <w:b/>
          <w:bCs/>
          <w:smallCaps/>
          <w:noProof/>
          <w:color w:val="000000" w:themeColor="text1"/>
          <w:sz w:val="28"/>
          <w:szCs w:val="28"/>
        </w:rPr>
        <w:t xml:space="preserve">Поощряване на ефективното използване и внедряване на ИС, особено от МСП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Въпреки че интелигентните стратегии за ИС могат да бъдат катализатор за растеж, европейските новатори и творци често не успяват пълноценно да се възползват от предимствата на ИС. Това сериозно подкопава капацитета на ЕС за иновации и за укрепване на неговата устойчивост в ключови области на икономиката.</w:t>
      </w:r>
      <w:r>
        <w:rPr>
          <w:noProof/>
        </w:rPr>
        <w:t xml:space="preserve"> </w:t>
      </w:r>
      <w:r>
        <w:rPr>
          <w:rFonts w:ascii="Times New Roman" w:hAnsi="Times New Roman"/>
          <w:noProof/>
          <w:color w:val="000000" w:themeColor="text1"/>
          <w:sz w:val="24"/>
          <w:szCs w:val="24"/>
        </w:rPr>
        <w:t>Европа следва в още по-голяма степен да извлича полза от стойността на знанията, които нашите дружества постоянно създават, развиват и споделят, като им помага да управляват по-активно тези активи и улеснява по-добрия достъп до собствен капитал и финансиране.</w:t>
      </w:r>
    </w:p>
    <w:p>
      <w:pPr>
        <w:keepNext/>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За тази цел Комисията ще предприеме следните мерки: </w:t>
      </w:r>
    </w:p>
    <w:p>
      <w:pPr>
        <w:numPr>
          <w:ilvl w:val="0"/>
          <w:numId w:val="45"/>
        </w:numPr>
        <w:spacing w:after="12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краткосрочен план, заедно с EUIPO, тя ще предложи целева финансова подкрепа или </w:t>
      </w:r>
      <w:r>
        <w:rPr>
          <w:rFonts w:ascii="Times New Roman" w:hAnsi="Times New Roman"/>
          <w:b/>
          <w:bCs/>
          <w:noProof/>
          <w:color w:val="000000" w:themeColor="text1"/>
          <w:sz w:val="24"/>
          <w:szCs w:val="24"/>
        </w:rPr>
        <w:t>ваучери за ИС</w:t>
      </w:r>
      <w:r>
        <w:rPr>
          <w:rFonts w:ascii="Times New Roman" w:hAnsi="Times New Roman"/>
          <w:noProof/>
          <w:color w:val="000000" w:themeColor="text1"/>
          <w:sz w:val="24"/>
          <w:szCs w:val="24"/>
        </w:rPr>
        <w:t xml:space="preserve"> за МСП, засегнати от кризата, причинена от COVID-19, като по този начин ще им помогне да управляват своите портфейли с ИС. Схемата, чийто бюджет е 20 млн. евро</w:t>
      </w:r>
      <w:r>
        <w:rPr>
          <w:rStyle w:val="FootnoteReference"/>
          <w:rFonts w:ascii="Times New Roman" w:eastAsia="Times New Roman" w:hAnsi="Times New Roman" w:cs="Times New Roman"/>
          <w:noProof/>
          <w:color w:val="000000" w:themeColor="text1"/>
          <w:sz w:val="24"/>
          <w:szCs w:val="24"/>
          <w:lang w:val="en-US"/>
        </w:rPr>
        <w:footnoteReference w:id="52"/>
      </w:r>
      <w:r>
        <w:rPr>
          <w:rFonts w:ascii="Times New Roman" w:hAnsi="Times New Roman"/>
          <w:noProof/>
          <w:color w:val="000000" w:themeColor="text1"/>
          <w:sz w:val="24"/>
          <w:szCs w:val="24"/>
        </w:rPr>
        <w:t xml:space="preserve"> за една година, следва да започне да функционира от 1 януари 2021 г. и ще позволи частично възстановяване на разходите за регистрация на марки и дизайни и за аналитичен преглед на ИС (преглед на нематериалните активи на дадено дружество от специалист и някои първоначални съвети как стратегически да се управляват тези активи).</w:t>
      </w:r>
      <w:r>
        <w:rPr>
          <w:rFonts w:ascii="Times New Roman" w:hAnsi="Times New Roman"/>
          <w:noProof/>
          <w:color w:val="000000" w:themeColor="text1"/>
          <w:sz w:val="24"/>
          <w:szCs w:val="24"/>
          <w:vertAlign w:val="superscript"/>
        </w:rPr>
        <w:t xml:space="preserve"> </w:t>
      </w:r>
    </w:p>
    <w:p>
      <w:pPr>
        <w:numPr>
          <w:ilvl w:val="0"/>
          <w:numId w:val="45"/>
        </w:numPr>
        <w:spacing w:after="120" w:line="240" w:lineRule="auto"/>
        <w:jc w:val="both"/>
        <w:rPr>
          <w:noProof/>
        </w:rPr>
      </w:pPr>
      <w:r>
        <w:rPr>
          <w:rFonts w:ascii="Times New Roman" w:hAnsi="Times New Roman"/>
          <w:noProof/>
          <w:color w:val="000000" w:themeColor="text1"/>
          <w:sz w:val="24"/>
          <w:szCs w:val="24"/>
        </w:rPr>
        <w:t>Успоредно с това тя допълнително ще предоставя</w:t>
      </w:r>
      <w:r>
        <w:rPr>
          <w:rStyle w:val="FootnoteReference"/>
          <w:rFonts w:ascii="Times New Roman" w:eastAsiaTheme="majorEastAsia" w:hAnsi="Times New Roman" w:cs="Times New Roman"/>
          <w:noProof/>
          <w:color w:val="000000" w:themeColor="text1"/>
          <w:sz w:val="24"/>
          <w:szCs w:val="24"/>
        </w:rPr>
        <w:footnoteReference w:id="53"/>
      </w:r>
      <w:r>
        <w:rPr>
          <w:rFonts w:ascii="Times New Roman" w:hAnsi="Times New Roman"/>
          <w:noProof/>
          <w:color w:val="000000" w:themeColor="text1"/>
          <w:sz w:val="24"/>
          <w:szCs w:val="24"/>
        </w:rPr>
        <w:t xml:space="preserve"> съобразени с нуждите </w:t>
      </w:r>
      <w:r>
        <w:rPr>
          <w:rFonts w:ascii="Times New Roman" w:hAnsi="Times New Roman"/>
          <w:b/>
          <w:noProof/>
          <w:color w:val="000000" w:themeColor="text1"/>
          <w:sz w:val="24"/>
          <w:szCs w:val="24"/>
        </w:rPr>
        <w:t xml:space="preserve">консултантски услуги в областта на ИС </w:t>
      </w:r>
      <w:r>
        <w:rPr>
          <w:rFonts w:ascii="Times New Roman" w:hAnsi="Times New Roman"/>
          <w:noProof/>
          <w:color w:val="000000" w:themeColor="text1"/>
          <w:sz w:val="24"/>
        </w:rPr>
        <w:t xml:space="preserve">в рамките на </w:t>
      </w:r>
      <w:r>
        <w:rPr>
          <w:rFonts w:ascii="Times New Roman" w:hAnsi="Times New Roman"/>
          <w:noProof/>
          <w:color w:val="000000" w:themeColor="text1"/>
          <w:sz w:val="24"/>
          <w:szCs w:val="24"/>
        </w:rPr>
        <w:t>програмата „Хоризонт Европа“, с цел подпомагане на иновативните предприятия на различни етапи от процеса на изследвания и иновации. Тя също така ще проучи възможностите за разширяване на консултантските услуги в областта на ИС, така че да обхванат и други програми на ЕС за научни изследвания и инвестиции, включително консултантския център в рамките на InvestEU. По отношение на избрана група от много иновативни дружества Комисията ще комбинира стратегическото консултиране с финансова подкрепа за разработване на портфейли с ИС</w:t>
      </w:r>
      <w:r>
        <w:rPr>
          <w:rFonts w:ascii="Times New Roman" w:eastAsiaTheme="majorEastAsia" w:hAnsi="Times New Roman" w:cs="Times New Roman"/>
          <w:noProof/>
          <w:color w:val="000000" w:themeColor="text1"/>
          <w:sz w:val="24"/>
          <w:szCs w:val="24"/>
          <w:vertAlign w:val="superscript"/>
        </w:rPr>
        <w:footnoteReference w:id="54"/>
      </w:r>
      <w:r>
        <w:rPr>
          <w:rFonts w:ascii="Times New Roman" w:hAnsi="Times New Roman"/>
          <w:noProof/>
          <w:color w:val="000000" w:themeColor="text1"/>
          <w:sz w:val="24"/>
          <w:szCs w:val="24"/>
        </w:rPr>
        <w:t>.</w:t>
      </w:r>
    </w:p>
    <w:p>
      <w:pPr>
        <w:numPr>
          <w:ilvl w:val="0"/>
          <w:numId w:val="45"/>
        </w:num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В по-общ план, и в сътрудничество с EUIPO, тя ще осигурява достъп до информация и консултации относно ИС чрез обслужване на едно гише</w:t>
      </w:r>
      <w:r>
        <w:rPr>
          <w:rFonts w:ascii="Times New Roman" w:eastAsia="Times New Roman" w:hAnsi="Times New Roman" w:cs="Times New Roman"/>
          <w:noProof/>
          <w:color w:val="000000" w:themeColor="text1"/>
          <w:sz w:val="24"/>
          <w:szCs w:val="24"/>
          <w:vertAlign w:val="superscript"/>
        </w:rPr>
        <w:footnoteReference w:id="55"/>
      </w:r>
      <w:r>
        <w:rPr>
          <w:rFonts w:ascii="Times New Roman" w:hAnsi="Times New Roman"/>
          <w:noProof/>
          <w:color w:val="000000" w:themeColor="text1"/>
          <w:sz w:val="24"/>
          <w:szCs w:val="24"/>
        </w:rPr>
        <w:t>.</w:t>
      </w:r>
      <w:r>
        <w:rPr>
          <w:rFonts w:ascii="Times New Roman" w:hAnsi="Times New Roman"/>
          <w:bCs/>
          <w:noProof/>
          <w:color w:val="000000" w:themeColor="text1"/>
          <w:sz w:val="24"/>
          <w:szCs w:val="24"/>
        </w:rPr>
        <w:t xml:space="preserve"> </w:t>
      </w:r>
      <w:r>
        <w:rPr>
          <w:rFonts w:ascii="Times New Roman" w:hAnsi="Times New Roman"/>
          <w:noProof/>
          <w:color w:val="000000" w:themeColor="text1"/>
          <w:sz w:val="24"/>
          <w:szCs w:val="24"/>
        </w:rPr>
        <w:t>EUIPO</w:t>
      </w:r>
      <w:r>
        <w:rPr>
          <w:rFonts w:ascii="Times New Roman" w:eastAsia="Times New Roman" w:hAnsi="Times New Roman" w:cs="Times New Roman"/>
          <w:noProof/>
          <w:color w:val="000000" w:themeColor="text1"/>
          <w:sz w:val="24"/>
          <w:szCs w:val="24"/>
          <w:vertAlign w:val="superscript"/>
        </w:rPr>
        <w:footnoteReference w:id="56"/>
      </w:r>
      <w:r>
        <w:rPr>
          <w:rFonts w:ascii="Times New Roman" w:hAnsi="Times New Roman"/>
          <w:noProof/>
          <w:color w:val="000000" w:themeColor="text1"/>
          <w:sz w:val="24"/>
          <w:szCs w:val="24"/>
        </w:rPr>
        <w:t xml:space="preserve"> ще разработи платформа — </w:t>
      </w:r>
      <w:r>
        <w:rPr>
          <w:rFonts w:ascii="Times New Roman" w:hAnsi="Times New Roman"/>
          <w:b/>
          <w:bCs/>
          <w:noProof/>
          <w:color w:val="000000" w:themeColor="text1"/>
          <w:sz w:val="24"/>
          <w:szCs w:val="24"/>
        </w:rPr>
        <w:t>Европейския информационен център за ИС</w:t>
      </w:r>
      <w:r>
        <w:rPr>
          <w:rFonts w:ascii="Times New Roman" w:hAnsi="Times New Roman"/>
          <w:noProof/>
          <w:color w:val="000000" w:themeColor="text1"/>
          <w:sz w:val="24"/>
          <w:szCs w:val="24"/>
        </w:rPr>
        <w:t>, — която ще бъде свързана с единния цифров портал и ще предоставя достъп до цялата значима информация не само относно формалностите в областта на ИС, но и относно свързаните с тях услуги (например подаването на документи за защитата на име на домейн, регистрацията на фирми), като същевременно ще предлага лесни за използване системи за подаване на документи за МСП. Комисията също така ще интегрира подкрепата и консултирането по отношение на ИС с различните си мрежи за подкрепа на МСП,</w:t>
      </w:r>
      <w:r>
        <w:rPr>
          <w:rFonts w:ascii="Times New Roman" w:eastAsia="Times New Roman" w:hAnsi="Times New Roman" w:cs="Times New Roman"/>
          <w:noProof/>
          <w:color w:val="000000" w:themeColor="text1"/>
          <w:sz w:val="24"/>
          <w:szCs w:val="24"/>
          <w:vertAlign w:val="superscript"/>
        </w:rPr>
        <w:footnoteReference w:id="57"/>
      </w:r>
      <w:r>
        <w:rPr>
          <w:rFonts w:ascii="Times New Roman" w:hAnsi="Times New Roman"/>
          <w:noProof/>
          <w:color w:val="000000" w:themeColor="text1"/>
          <w:sz w:val="24"/>
          <w:szCs w:val="24"/>
        </w:rPr>
        <w:t xml:space="preserve"> за да достигнат те по-успешно до малките предприятия.</w:t>
      </w:r>
    </w:p>
    <w:p>
      <w:pPr>
        <w:numPr>
          <w:ilvl w:val="0"/>
          <w:numId w:val="45"/>
        </w:numPr>
        <w:spacing w:after="120" w:line="240" w:lineRule="auto"/>
        <w:jc w:val="both"/>
        <w:rPr>
          <w:noProof/>
        </w:rPr>
      </w:pPr>
      <w:r>
        <w:rPr>
          <w:rFonts w:ascii="Times New Roman" w:hAnsi="Times New Roman"/>
          <w:noProof/>
          <w:sz w:val="24"/>
          <w:szCs w:val="24"/>
        </w:rPr>
        <w:t xml:space="preserve">И накрая, тя ще улесни </w:t>
      </w:r>
      <w:r>
        <w:rPr>
          <w:rFonts w:ascii="Times New Roman" w:hAnsi="Times New Roman"/>
          <w:b/>
          <w:noProof/>
          <w:sz w:val="24"/>
          <w:szCs w:val="24"/>
        </w:rPr>
        <w:t xml:space="preserve">използването на ИС от страна на МСП, когато се опитват да получат достъп до финансиране, именно като средство за постигането на тази цел. </w:t>
      </w:r>
      <w:r>
        <w:rPr>
          <w:rFonts w:ascii="Times New Roman" w:hAnsi="Times New Roman"/>
          <w:noProof/>
          <w:sz w:val="24"/>
          <w:szCs w:val="24"/>
        </w:rPr>
        <w:t>Въпреки че нематериалните активи често са сред най-ценните активи, резултатите от проучване сочат, че малко на брой МСП се възползват от своята ИС, когато се опитват да получат достъп до финансиране</w:t>
      </w:r>
      <w:r>
        <w:rPr>
          <w:rFonts w:ascii="Times New Roman" w:eastAsiaTheme="majorEastAsia" w:hAnsi="Times New Roman" w:cs="Times New Roman"/>
          <w:noProof/>
          <w:color w:val="000000" w:themeColor="text1"/>
          <w:sz w:val="24"/>
          <w:szCs w:val="24"/>
          <w:vertAlign w:val="superscript"/>
        </w:rPr>
        <w:footnoteReference w:id="58"/>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Банките и рисковият капитал не са склонни да предоставят финансиране, разчитайки на ИС като актив, а кризата, породена от COVID-19, допълнително увеличи това нежелание за поемане на риск. Неотдавнашно проучване показва явни пропуски във връзка с финансирането на МСП, използващи интелектуалните си активи</w:t>
      </w:r>
      <w:r>
        <w:rPr>
          <w:rFonts w:ascii="Times New Roman" w:eastAsiaTheme="majorEastAsia" w:hAnsi="Times New Roman" w:cs="Times New Roman"/>
          <w:noProof/>
          <w:color w:val="000000" w:themeColor="text1"/>
          <w:sz w:val="24"/>
          <w:szCs w:val="24"/>
          <w:vertAlign w:val="superscript"/>
        </w:rPr>
        <w:footnoteReference w:id="59"/>
      </w:r>
      <w:r>
        <w:rPr>
          <w:rFonts w:ascii="Times New Roman" w:hAnsi="Times New Roman"/>
          <w:noProof/>
          <w:sz w:val="24"/>
          <w:szCs w:val="24"/>
        </w:rPr>
        <w:t>. Комисията ще обсъди с финансовата общност въпроса по какъв начин оценката на ИС може да им помогне по-добре да вземат предвид интелектуалните активи на МСП</w:t>
      </w:r>
      <w:r>
        <w:rPr>
          <w:rFonts w:ascii="Times New Roman" w:eastAsiaTheme="majorEastAsia" w:hAnsi="Times New Roman" w:cs="Times New Roman"/>
          <w:noProof/>
          <w:color w:val="000000" w:themeColor="text1"/>
          <w:sz w:val="24"/>
          <w:szCs w:val="24"/>
          <w:vertAlign w:val="superscript"/>
        </w:rPr>
        <w:footnoteReference w:id="60"/>
      </w:r>
      <w:r>
        <w:rPr>
          <w:rFonts w:ascii="Times New Roman" w:hAnsi="Times New Roman"/>
          <w:noProof/>
          <w:sz w:val="24"/>
          <w:szCs w:val="24"/>
        </w:rPr>
        <w:t>. Пилотният проект за „комплексна технологична проверка“, обявен в стратегията за МСП, ще позволи да се изпробва оценката на ИС в по-широк, свързан с технологиите контекст</w:t>
      </w:r>
      <w:r>
        <w:rPr>
          <w:rFonts w:ascii="Times New Roman" w:hAnsi="Times New Roman" w:cs="Times New Roman"/>
          <w:noProof/>
          <w:sz w:val="24"/>
          <w:szCs w:val="24"/>
          <w:vertAlign w:val="superscript"/>
        </w:rPr>
        <w:footnoteReference w:id="61"/>
      </w:r>
      <w:r>
        <w:rPr>
          <w:rFonts w:ascii="Times New Roman" w:hAnsi="Times New Roman"/>
          <w:noProof/>
          <w:sz w:val="24"/>
          <w:szCs w:val="24"/>
        </w:rPr>
        <w:t>. Опирайки се на натрупания опит със съществуващите механизми за банкова гаранция</w:t>
      </w:r>
      <w:r>
        <w:rPr>
          <w:rFonts w:ascii="Times New Roman" w:eastAsiaTheme="majorEastAsia" w:hAnsi="Times New Roman" w:cs="Times New Roman"/>
          <w:noProof/>
          <w:color w:val="000000" w:themeColor="text1"/>
          <w:sz w:val="24"/>
          <w:szCs w:val="24"/>
          <w:vertAlign w:val="superscript"/>
        </w:rPr>
        <w:footnoteReference w:id="62"/>
      </w:r>
      <w:r>
        <w:rPr>
          <w:rFonts w:ascii="Times New Roman" w:hAnsi="Times New Roman"/>
          <w:noProof/>
          <w:sz w:val="24"/>
          <w:szCs w:val="24"/>
        </w:rPr>
        <w:t>, Комисията ще проучи и по какъв начин гаранциите биха могли да се използват с повече успех за подпомагане на МСП и творците в рамките на проекти, основани на ИС.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В допълнение към тези  ориентирани към МСП дейности, в съобщението на Комисията, озаглавено „Ново ЕНП за научни изследвания и иновации“</w:t>
      </w:r>
      <w:r>
        <w:rPr>
          <w:rStyle w:val="FootnoteReference"/>
          <w:rFonts w:ascii="Times New Roman" w:hAnsi="Times New Roman"/>
          <w:noProof/>
          <w:color w:val="000000" w:themeColor="text1"/>
          <w:sz w:val="24"/>
        </w:rPr>
        <w:t xml:space="preserve"> </w:t>
      </w:r>
      <w:r>
        <w:rPr>
          <w:rStyle w:val="FootnoteReference"/>
          <w:rFonts w:ascii="Times New Roman" w:hAnsi="Times New Roman"/>
          <w:noProof/>
          <w:color w:val="000000" w:themeColor="text1"/>
          <w:sz w:val="24"/>
        </w:rPr>
        <w:footnoteReference w:id="63"/>
      </w:r>
      <w:r>
        <w:rPr>
          <w:rFonts w:ascii="Times New Roman" w:hAnsi="Times New Roman"/>
          <w:noProof/>
          <w:sz w:val="24"/>
          <w:szCs w:val="24"/>
        </w:rPr>
        <w:t xml:space="preserve"> се подчертава нуждата от превръщане на високите постижения от осъществяваните в Европа научни изследвания в </w:t>
      </w:r>
      <w:r>
        <w:rPr>
          <w:rFonts w:ascii="Times New Roman" w:hAnsi="Times New Roman"/>
          <w:noProof/>
          <w:color w:val="000000" w:themeColor="text1"/>
          <w:sz w:val="24"/>
        </w:rPr>
        <w:t xml:space="preserve">революционни новаторски решения и </w:t>
      </w:r>
      <w:r>
        <w:rPr>
          <w:rFonts w:ascii="Times New Roman" w:hAnsi="Times New Roman"/>
          <w:b/>
          <w:noProof/>
          <w:color w:val="000000" w:themeColor="text1"/>
          <w:sz w:val="24"/>
        </w:rPr>
        <w:t>насърчаване на по-доброто управление на ИС в по-широката общност за научни изследвания и иновации</w:t>
      </w:r>
      <w:r>
        <w:rPr>
          <w:rFonts w:ascii="Times New Roman" w:hAnsi="Times New Roman"/>
          <w:noProof/>
          <w:color w:val="000000" w:themeColor="text1"/>
          <w:sz w:val="24"/>
          <w:szCs w:val="24"/>
        </w:rPr>
        <w:t>; в тази връзка Комисията ще предприеме кампания за повишаване на осведомеността, за да насърчи оползотворяването на ИС при оценката на дружествата от страна на инвеститорите.</w:t>
      </w:r>
      <w:r>
        <w:rPr>
          <w:rFonts w:ascii="Times New Roman" w:hAnsi="Times New Roman"/>
          <w:b/>
          <w:noProof/>
          <w:color w:val="000000" w:themeColor="text1"/>
          <w:sz w:val="24"/>
        </w:rPr>
        <w:t xml:space="preserve"> </w:t>
      </w:r>
      <w:r>
        <w:rPr>
          <w:rFonts w:ascii="Times New Roman" w:hAnsi="Times New Roman"/>
          <w:noProof/>
          <w:sz w:val="24"/>
        </w:rPr>
        <w:t>Например Комисията ще актуализира препоръката си относно управлението на интелектуалната собственост в дейностите по трансфер на знания посредством ръководните принципи за оползотворяване на знанията.</w:t>
      </w:r>
      <w:r>
        <w:rPr>
          <w:rFonts w:ascii="Times New Roman" w:hAnsi="Times New Roman"/>
          <w:noProof/>
          <w:sz w:val="24"/>
          <w:szCs w:val="24"/>
        </w:rPr>
        <w:t xml:space="preserve"> Въпросното ревизиране ще бъде придружено от кодекс на добрите практики за интелигентно използване на ИС и ще бъде съчетано с подкрепа по линия на програмата „InvestEU“ за ръководители на проекти посредством технически, финансови и правни съвети, включително в областта на интелектуалната собственост.</w:t>
      </w:r>
    </w:p>
    <w:p>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sz w:val="24"/>
          <w:szCs w:val="24"/>
        </w:rPr>
        <w:t xml:space="preserve">Ще бъдат предприети също така стъпки, за да се </w:t>
      </w:r>
      <w:r>
        <w:rPr>
          <w:rFonts w:ascii="Times New Roman" w:hAnsi="Times New Roman"/>
          <w:b/>
          <w:bCs/>
          <w:noProof/>
          <w:sz w:val="24"/>
          <w:szCs w:val="24"/>
        </w:rPr>
        <w:t>гарантира, че публично финансираната ИС се използва по справедлив и ефективен начин</w:t>
      </w:r>
      <w:r>
        <w:rPr>
          <w:rFonts w:ascii="Times New Roman" w:hAnsi="Times New Roman"/>
          <w:noProof/>
          <w:sz w:val="24"/>
          <w:szCs w:val="24"/>
        </w:rPr>
        <w:t>.</w:t>
      </w:r>
      <w:r>
        <w:rPr>
          <w:rFonts w:ascii="Times New Roman" w:hAnsi="Times New Roman"/>
          <w:noProof/>
          <w:color w:val="000000" w:themeColor="text1"/>
          <w:sz w:val="24"/>
          <w:szCs w:val="24"/>
        </w:rPr>
        <w:t xml:space="preserve"> Комисията вече стартира нова платформа с цел да се насърчи оползотворяването на резултатите от научни изследвания и иновации, финансирани от ЕС,</w:t>
      </w:r>
      <w:r>
        <w:rPr>
          <w:rFonts w:ascii="Times New Roman" w:eastAsiaTheme="majorEastAsia" w:hAnsi="Times New Roman" w:cs="Times New Roman"/>
          <w:noProof/>
          <w:color w:val="000000" w:themeColor="text1"/>
          <w:sz w:val="24"/>
          <w:szCs w:val="24"/>
          <w:vertAlign w:val="superscript"/>
        </w:rPr>
        <w:footnoteReference w:id="64"/>
      </w:r>
      <w:r>
        <w:rPr>
          <w:rFonts w:ascii="Times New Roman" w:hAnsi="Times New Roman"/>
          <w:noProof/>
          <w:color w:val="000000" w:themeColor="text1"/>
          <w:sz w:val="24"/>
          <w:szCs w:val="24"/>
        </w:rPr>
        <w:t xml:space="preserve"> и платформа, в която са представени подкрепените от ЕС научни изследвания и иновации за борба с разпространението на коронавируса и за оказване на подкрепа за осигуряването на готовност за други епидемични взривове</w:t>
      </w:r>
      <w:r>
        <w:rPr>
          <w:rFonts w:ascii="Times New Roman" w:eastAsiaTheme="majorEastAsia" w:hAnsi="Times New Roman" w:cs="Times New Roman"/>
          <w:noProof/>
          <w:color w:val="000000" w:themeColor="text1"/>
          <w:sz w:val="24"/>
          <w:szCs w:val="24"/>
          <w:vertAlign w:val="superscript"/>
          <w:lang w:val="en-US"/>
        </w:rPr>
        <w:footnoteReference w:id="65"/>
      </w:r>
      <w:r>
        <w:rPr>
          <w:rFonts w:ascii="Times New Roman" w:hAnsi="Times New Roman"/>
          <w:noProof/>
          <w:color w:val="000000" w:themeColor="text1"/>
          <w:sz w:val="24"/>
          <w:szCs w:val="24"/>
        </w:rPr>
        <w:t xml:space="preserve">. Целта е да се </w:t>
      </w:r>
      <w:r>
        <w:rPr>
          <w:rFonts w:ascii="Times New Roman" w:hAnsi="Times New Roman"/>
          <w:b/>
          <w:noProof/>
          <w:color w:val="000000" w:themeColor="text1"/>
          <w:sz w:val="24"/>
          <w:szCs w:val="24"/>
        </w:rPr>
        <w:t>гарантира, че резултатите, постигнати с помощта на финансови средства от ЕС, се използват в полза на икономиката на ЕС</w:t>
      </w:r>
      <w:r>
        <w:rPr>
          <w:rFonts w:ascii="Times New Roman" w:hAnsi="Times New Roman"/>
          <w:noProof/>
          <w:color w:val="000000" w:themeColor="text1"/>
          <w:sz w:val="24"/>
          <w:szCs w:val="24"/>
        </w:rPr>
        <w:t>. Ето защо, в рамките на програмата „Хоризонт Европа“, когато се предвижда ИС, отнасяща се до резултатите от изследванията, да се използва основно в неасоциирани трети държави, ще трябва кандидатите да обяснят по каква причина това все пак е в интерес на ЕС</w:t>
      </w:r>
      <w:r>
        <w:rPr>
          <w:rStyle w:val="FootnoteReference"/>
          <w:rFonts w:ascii="Times New Roman" w:eastAsiaTheme="majorEastAsia" w:hAnsi="Times New Roman" w:cs="Times New Roman"/>
          <w:noProof/>
          <w:color w:val="000000" w:themeColor="text1"/>
          <w:sz w:val="24"/>
          <w:szCs w:val="24"/>
        </w:rPr>
        <w:footnoteReference w:id="66"/>
      </w:r>
      <w:r>
        <w:rPr>
          <w:rFonts w:ascii="Times New Roman" w:hAnsi="Times New Roman"/>
          <w:noProof/>
          <w:color w:val="000000" w:themeColor="text1"/>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color w:val="000000" w:themeColor="text1"/>
          <w:sz w:val="24"/>
          <w:szCs w:val="24"/>
        </w:rPr>
        <w:t>Освен това закрилата на ИС и широкото разпространение на новите технологии ще продължат да бъдат основен елемент от важните проекти от общоевропейски интерес (ВПОИ), свързани с научните изследвания и иновациите, и от финансирането по линия на Европейския фонд за регионално развитие.</w:t>
      </w:r>
    </w:p>
    <w:p>
      <w:pPr>
        <w:spacing w:before="120" w:after="24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Необходимо е също така да </w:t>
      </w:r>
      <w:r>
        <w:rPr>
          <w:rFonts w:ascii="Times New Roman" w:hAnsi="Times New Roman"/>
          <w:b/>
          <w:bCs/>
          <w:noProof/>
          <w:color w:val="000000" w:themeColor="text1"/>
          <w:sz w:val="24"/>
          <w:szCs w:val="24"/>
        </w:rPr>
        <w:t>се подобрят условията, позволяващи на дружествата да осигурят закрилата на ИС и да използват ИС при обществените поръчки</w:t>
      </w:r>
      <w:r>
        <w:rPr>
          <w:rFonts w:ascii="Times New Roman" w:hAnsi="Times New Roman"/>
          <w:noProof/>
          <w:color w:val="000000" w:themeColor="text1"/>
          <w:sz w:val="24"/>
          <w:szCs w:val="24"/>
        </w:rPr>
        <w:t xml:space="preserve"> с цел да бъдат стимулирани иновациите и да се даде тласък на икономиката. Държавите членки следва да обмислят възможността да оставят собствеността върху ИС на изпълнителите по договорите, когато това е целесъобразно, освен ако не са налице по-висш обществен интерес или несъвместими стратегии за предоставяне на отворени лицензии. Както бе обявено в стратегията за МСП, Комисията ще изясни въпросите, свързани с ИС в обществените поръчки, при актуализацията на Ръководството относно процедурите за възлагане на обществени поръчки за иновации.</w:t>
      </w:r>
    </w:p>
    <w:p>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heme="majorEastAsia" w:hAnsi="Times New Roman" w:cs="Times New Roman"/>
          <w:b/>
          <w:bCs/>
          <w:noProof/>
          <w:color w:val="000000" w:themeColor="text1"/>
          <w:sz w:val="24"/>
          <w:szCs w:val="24"/>
        </w:rPr>
      </w:pPr>
      <w:r>
        <w:rPr>
          <w:rFonts w:ascii="Times New Roman" w:hAnsi="Times New Roman"/>
          <w:b/>
          <w:bCs/>
          <w:noProof/>
          <w:color w:val="000000" w:themeColor="text1"/>
          <w:sz w:val="24"/>
          <w:szCs w:val="24"/>
        </w:rPr>
        <w:t>С цел да бъде стимулирано навлизането и използването на ИС, Комисията:</w:t>
      </w:r>
    </w:p>
    <w:p>
      <w:pPr>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ще въведе, заедно с EUIPO, схема от </w:t>
      </w:r>
      <w:r>
        <w:rPr>
          <w:rFonts w:ascii="Times New Roman" w:hAnsi="Times New Roman"/>
          <w:b/>
          <w:bCs/>
          <w:noProof/>
          <w:color w:val="000000" w:themeColor="text1"/>
          <w:sz w:val="24"/>
          <w:szCs w:val="24"/>
        </w:rPr>
        <w:t>ваучери за ИС за МСП</w:t>
      </w:r>
      <w:r>
        <w:rPr>
          <w:rFonts w:ascii="Times New Roman" w:hAnsi="Times New Roman"/>
          <w:noProof/>
          <w:color w:val="000000" w:themeColor="text1"/>
          <w:sz w:val="24"/>
          <w:szCs w:val="24"/>
        </w:rPr>
        <w:t xml:space="preserve"> с оглед финансиране на регистрацията на ПИС и стратегически консултации в областта на ИС (първо тримесечие на 2021 г.),</w:t>
      </w:r>
    </w:p>
    <w:p>
      <w:pPr>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eastAsiaTheme="majorEastAsia" w:hAnsi="Times New Roman" w:cs="Times New Roman"/>
          <w:noProof/>
          <w:color w:val="000000" w:themeColor="text1"/>
          <w:sz w:val="24"/>
          <w:szCs w:val="24"/>
        </w:rPr>
      </w:pPr>
      <w:r>
        <w:rPr>
          <w:rFonts w:ascii="Times New Roman" w:hAnsi="Times New Roman"/>
          <w:b/>
          <w:noProof/>
          <w:color w:val="000000" w:themeColor="text1"/>
          <w:sz w:val="24"/>
        </w:rPr>
        <w:t>ще разгърне услуги за подпомагане на МСП в областта на ИС</w:t>
      </w:r>
      <w:r>
        <w:rPr>
          <w:rFonts w:ascii="Times New Roman" w:hAnsi="Times New Roman"/>
          <w:noProof/>
          <w:color w:val="000000" w:themeColor="text1"/>
          <w:sz w:val="24"/>
          <w:szCs w:val="24"/>
        </w:rPr>
        <w:t xml:space="preserve"> в рамките на програмата „Хоризонт Европа“ и ще разшири техния обхват, така че те да обхванат и други програми на ЕС (2020+).</w:t>
      </w:r>
    </w:p>
    <w:p>
      <w:pPr>
        <w:pStyle w:val="Heading2"/>
        <w:numPr>
          <w:ilvl w:val="0"/>
          <w:numId w:val="7"/>
        </w:numPr>
        <w:spacing w:before="360" w:after="240" w:line="240" w:lineRule="auto"/>
        <w:ind w:left="357" w:hanging="357"/>
        <w:jc w:val="both"/>
        <w:rPr>
          <w:rFonts w:ascii="Times New Roman" w:eastAsia="Times New Roman" w:hAnsi="Times New Roman" w:cs="Times New Roman"/>
          <w:b/>
          <w:bCs/>
          <w:smallCaps/>
          <w:noProof/>
          <w:color w:val="000000" w:themeColor="text1"/>
          <w:sz w:val="24"/>
          <w:szCs w:val="24"/>
        </w:rPr>
      </w:pPr>
      <w:r>
        <w:rPr>
          <w:rFonts w:ascii="Times New Roman" w:hAnsi="Times New Roman"/>
          <w:b/>
          <w:bCs/>
          <w:smallCaps/>
          <w:noProof/>
          <w:color w:val="000000" w:themeColor="text1"/>
          <w:sz w:val="24"/>
          <w:szCs w:val="24"/>
        </w:rPr>
        <w:t>Улесняване на достъпа до защитени с ИС активи и на тяхното споделяне</w:t>
      </w:r>
    </w:p>
    <w:p>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themeColor="text1"/>
          <w:sz w:val="24"/>
          <w:szCs w:val="24"/>
        </w:rPr>
        <w:t>В днешната икономика е от решаващо значение по-лесният и по-бърз достъп до знания, данни и технологии, включително до такива, защитени с ИС. Устойчивата, екологосъобразна</w:t>
      </w:r>
      <w:r>
        <w:rPr>
          <w:rStyle w:val="FootnoteReference"/>
          <w:rFonts w:ascii="Times New Roman" w:eastAsiaTheme="majorEastAsia" w:hAnsi="Times New Roman" w:cs="Times New Roman"/>
          <w:noProof/>
          <w:color w:val="000000" w:themeColor="text1"/>
          <w:sz w:val="24"/>
          <w:szCs w:val="24"/>
        </w:rPr>
        <w:footnoteReference w:id="67"/>
      </w:r>
      <w:r>
        <w:rPr>
          <w:rFonts w:ascii="Times New Roman" w:hAnsi="Times New Roman"/>
          <w:noProof/>
          <w:color w:val="000000" w:themeColor="text1"/>
          <w:sz w:val="24"/>
          <w:szCs w:val="24"/>
        </w:rPr>
        <w:t xml:space="preserve"> и конкурентоспособна икономика се нуждае от инструменти за улесняване на достъпа до критични технологии, защитени с ИС, по време на криза, за да се улесни предоставянето на лицензии в областта на авторското право и за патентите от съществено значение за стандарт, както и за насърчаване на обмена на данни. </w:t>
      </w:r>
    </w:p>
    <w:p>
      <w:pPr>
        <w:pStyle w:val="ListParagraph"/>
        <w:keepNext/>
        <w:numPr>
          <w:ilvl w:val="0"/>
          <w:numId w:val="46"/>
        </w:numPr>
        <w:spacing w:before="120" w:after="120" w:line="240" w:lineRule="auto"/>
        <w:ind w:left="425" w:hanging="425"/>
        <w:contextualSpacing w:val="0"/>
        <w:jc w:val="both"/>
        <w:rPr>
          <w:rFonts w:ascii="Times New Roman" w:eastAsiaTheme="majorEastAsia" w:hAnsi="Times New Roman" w:cs="Times New Roman"/>
          <w:i/>
          <w:iCs/>
          <w:noProof/>
          <w:color w:val="000000" w:themeColor="text1"/>
          <w:sz w:val="24"/>
          <w:szCs w:val="24"/>
        </w:rPr>
      </w:pPr>
      <w:r>
        <w:rPr>
          <w:rFonts w:ascii="Times New Roman" w:hAnsi="Times New Roman"/>
          <w:i/>
          <w:iCs/>
          <w:noProof/>
          <w:color w:val="000000" w:themeColor="text1"/>
          <w:sz w:val="24"/>
          <w:szCs w:val="24"/>
        </w:rPr>
        <w:t>По-добри инструменти за улесняване на достъпа до критична ИС по време на криза</w:t>
      </w:r>
    </w:p>
    <w:p>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b/>
          <w:noProof/>
          <w:sz w:val="24"/>
          <w:szCs w:val="24"/>
        </w:rPr>
        <w:t>Кризата, породена от COVID-19</w:t>
      </w:r>
      <w:r>
        <w:rPr>
          <w:rFonts w:ascii="Times New Roman" w:hAnsi="Times New Roman"/>
          <w:noProof/>
          <w:sz w:val="24"/>
          <w:szCs w:val="24"/>
        </w:rPr>
        <w:t>, придава голямо значение на наличието на ефективна система на ИС, предоставяща мощни стимули за иновации и улеснен достъп до ИС за технологиите.</w:t>
      </w:r>
      <w:r>
        <w:rPr>
          <w:rFonts w:ascii="Times New Roman" w:hAnsi="Times New Roman"/>
          <w:noProof/>
          <w:color w:val="000000"/>
          <w:sz w:val="24"/>
          <w:szCs w:val="24"/>
        </w:rPr>
        <w:t xml:space="preserve"> </w:t>
      </w:r>
      <w:r>
        <w:rPr>
          <w:rFonts w:ascii="Times New Roman" w:hAnsi="Times New Roman"/>
          <w:noProof/>
          <w:color w:val="000000" w:themeColor="text1"/>
          <w:sz w:val="24"/>
          <w:szCs w:val="24"/>
        </w:rPr>
        <w:t xml:space="preserve">Необходими са финансиране за НИРД и съответни стимули, за да се осигури скоростното разработване на нови технологии, като например ваксини или ново лечение, и предоставянето им на разположение в кратки срокове. Поради това е нужно да гарантираме, благодарение на по-добър инструментариум, че системата на ИС дава възможност за достъп до критични технологии, където и когато е необходимо, като едновременно с това е осигурена адекватна възвръщаемост на инвестициите за иноваторите. </w:t>
      </w:r>
    </w:p>
    <w:p>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Досега </w:t>
      </w:r>
      <w:r>
        <w:rPr>
          <w:rFonts w:ascii="Times New Roman" w:hAnsi="Times New Roman"/>
          <w:b/>
          <w:bCs/>
          <w:noProof/>
          <w:color w:val="000000" w:themeColor="text1"/>
          <w:sz w:val="24"/>
          <w:szCs w:val="24"/>
        </w:rPr>
        <w:t xml:space="preserve">кризата, породена от </w:t>
      </w:r>
      <w:r>
        <w:rPr>
          <w:rFonts w:ascii="Times New Roman" w:hAnsi="Times New Roman"/>
          <w:noProof/>
          <w:color w:val="000000" w:themeColor="text1"/>
          <w:sz w:val="24"/>
          <w:szCs w:val="24"/>
        </w:rPr>
        <w:t xml:space="preserve"> </w:t>
      </w:r>
      <w:r>
        <w:rPr>
          <w:rFonts w:ascii="Times New Roman" w:hAnsi="Times New Roman"/>
          <w:b/>
          <w:bCs/>
          <w:noProof/>
          <w:color w:val="000000" w:themeColor="text1"/>
          <w:sz w:val="24"/>
          <w:szCs w:val="24"/>
        </w:rPr>
        <w:t>COVID-19, показа устойчивостта на нашата система на ИС</w:t>
      </w:r>
      <w:r>
        <w:rPr>
          <w:rFonts w:ascii="Times New Roman" w:hAnsi="Times New Roman"/>
          <w:noProof/>
          <w:color w:val="000000" w:themeColor="text1"/>
          <w:sz w:val="24"/>
          <w:szCs w:val="24"/>
        </w:rPr>
        <w:t xml:space="preserve">. Това до голяма степен се дължи на сериозната ангажираност и тясното сътрудничество между различните участници от публичния и частния сектор и на различните инициативи, предприети с оглед стимулиране на разработването и предоставянето на разположение на ваксини и други критични продукти. </w:t>
      </w:r>
    </w:p>
    <w:p>
      <w:pPr>
        <w:spacing w:before="120" w:after="120" w:line="240" w:lineRule="auto"/>
        <w:jc w:val="both"/>
        <w:rPr>
          <w:rFonts w:ascii="Times New Roman" w:hAnsi="Times New Roman"/>
          <w:noProof/>
          <w:color w:val="000000"/>
          <w:sz w:val="24"/>
          <w:szCs w:val="24"/>
        </w:rPr>
      </w:pPr>
      <w:r>
        <w:rPr>
          <w:rFonts w:ascii="Times New Roman" w:hAnsi="Times New Roman"/>
          <w:noProof/>
          <w:color w:val="000000" w:themeColor="text1"/>
          <w:sz w:val="24"/>
          <w:szCs w:val="24"/>
        </w:rPr>
        <w:t>Комисията подкрепя доброволното обединяване и предоставяне на лицензии за ИС, свързани с терапевтични средства и ваксини срещу COVID-19</w:t>
      </w:r>
      <w:r>
        <w:rPr>
          <w:rStyle w:val="FootnoteReference"/>
          <w:rFonts w:ascii="Times New Roman" w:eastAsiaTheme="majorEastAsia" w:hAnsi="Times New Roman" w:cs="Times New Roman"/>
          <w:noProof/>
          <w:color w:val="000000" w:themeColor="text1"/>
          <w:sz w:val="24"/>
          <w:szCs w:val="24"/>
        </w:rPr>
        <w:footnoteReference w:id="68"/>
      </w:r>
      <w:r>
        <w:rPr>
          <w:rFonts w:ascii="Times New Roman" w:hAnsi="Times New Roman"/>
          <w:noProof/>
          <w:color w:val="000000" w:themeColor="text1"/>
          <w:sz w:val="24"/>
          <w:szCs w:val="24"/>
        </w:rPr>
        <w:t>, в съответствие с резолюцията на Световната здравна асамблея</w:t>
      </w:r>
      <w:r>
        <w:rPr>
          <w:rStyle w:val="FootnoteReference"/>
          <w:rFonts w:ascii="Times New Roman" w:eastAsiaTheme="majorEastAsia" w:hAnsi="Times New Roman" w:cs="Times New Roman"/>
          <w:noProof/>
          <w:color w:val="000000" w:themeColor="text1"/>
          <w:sz w:val="24"/>
          <w:szCs w:val="24"/>
        </w:rPr>
        <w:footnoteReference w:id="69"/>
      </w:r>
      <w:r>
        <w:rPr>
          <w:rFonts w:ascii="Times New Roman" w:hAnsi="Times New Roman"/>
          <w:noProof/>
          <w:color w:val="000000" w:themeColor="text1"/>
          <w:sz w:val="24"/>
          <w:szCs w:val="24"/>
        </w:rPr>
        <w:t>.</w:t>
      </w:r>
      <w:r>
        <w:rPr>
          <w:rFonts w:ascii="Times New Roman" w:hAnsi="Times New Roman"/>
          <w:noProof/>
          <w:color w:val="000000"/>
          <w:sz w:val="24"/>
          <w:szCs w:val="24"/>
        </w:rPr>
        <w:t xml:space="preserve"> Такива схеми следва да се основават на доброволно участие, да осигуряват широк и равноправен достъп и да дават възможност на притежателите на ИС да си възвърнат инвестициите по балансиран начин. </w:t>
      </w:r>
      <w:r>
        <w:rPr>
          <w:rFonts w:ascii="Times New Roman" w:hAnsi="Times New Roman"/>
          <w:noProof/>
          <w:color w:val="000000"/>
          <w:sz w:val="24"/>
        </w:rPr>
        <w:t xml:space="preserve">Комисията също така предприе стъпки с оглед насърчаване на сътрудничеството в частния сектор за ефективно справяне с недостига на основни продукти и услуги </w:t>
      </w:r>
      <w:r>
        <w:rPr>
          <w:rStyle w:val="FootnoteReference"/>
          <w:rFonts w:ascii="Times New Roman" w:hAnsi="Times New Roman"/>
          <w:noProof/>
          <w:color w:val="000000"/>
          <w:sz w:val="24"/>
          <w:lang w:val="en-US"/>
        </w:rPr>
        <w:footnoteReference w:id="70"/>
      </w:r>
      <w:r>
        <w:rPr>
          <w:rFonts w:ascii="Times New Roman" w:hAnsi="Times New Roman"/>
          <w:noProof/>
          <w:color w:val="000000"/>
          <w:sz w:val="24"/>
          <w:szCs w:val="24"/>
        </w:rPr>
        <w:t xml:space="preserve"> и за да гарантира, че резултатите от финансираните с публични средства програми за научни изследвания и иновации в ЕС и неговите държави членки се предоставят на разположение, по-специално за да се ускори производството на критични материали</w:t>
      </w:r>
      <w:r>
        <w:rPr>
          <w:rStyle w:val="FootnoteReference"/>
          <w:rFonts w:ascii="Times New Roman" w:hAnsi="Times New Roman"/>
          <w:noProof/>
          <w:color w:val="000000"/>
          <w:sz w:val="24"/>
          <w:szCs w:val="24"/>
          <w:lang w:val="en-US"/>
        </w:rPr>
        <w:footnoteReference w:id="71"/>
      </w:r>
      <w:r>
        <w:rPr>
          <w:rFonts w:ascii="Times New Roman" w:hAnsi="Times New Roman"/>
          <w:noProof/>
          <w:color w:val="000000"/>
          <w:sz w:val="24"/>
          <w:szCs w:val="24"/>
        </w:rPr>
        <w:t xml:space="preserve">. </w:t>
      </w:r>
    </w:p>
    <w:p>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В по-дългосрочен план обаче Комисията смята, че е необходимо да се подобрят съществуващите </w:t>
      </w:r>
      <w:r>
        <w:rPr>
          <w:rFonts w:ascii="Times New Roman" w:hAnsi="Times New Roman"/>
          <w:b/>
          <w:bCs/>
          <w:noProof/>
          <w:color w:val="000000"/>
          <w:sz w:val="24"/>
          <w:szCs w:val="24"/>
        </w:rPr>
        <w:t>инструменти</w:t>
      </w:r>
      <w:r>
        <w:rPr>
          <w:rFonts w:ascii="Times New Roman" w:hAnsi="Times New Roman"/>
          <w:noProof/>
          <w:color w:val="000000"/>
          <w:sz w:val="24"/>
          <w:szCs w:val="24"/>
        </w:rPr>
        <w:t xml:space="preserve"> за </w:t>
      </w:r>
      <w:r>
        <w:rPr>
          <w:rFonts w:ascii="Times New Roman" w:hAnsi="Times New Roman"/>
          <w:b/>
          <w:bCs/>
          <w:noProof/>
          <w:color w:val="000000"/>
          <w:sz w:val="24"/>
          <w:szCs w:val="24"/>
        </w:rPr>
        <w:t>справяне с кризисни ситуации</w:t>
      </w:r>
      <w:r>
        <w:rPr>
          <w:rFonts w:ascii="Times New Roman" w:hAnsi="Times New Roman"/>
          <w:noProof/>
          <w:color w:val="000000"/>
          <w:sz w:val="24"/>
          <w:szCs w:val="24"/>
        </w:rPr>
        <w:t xml:space="preserve">. </w:t>
      </w:r>
    </w:p>
    <w:p>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Комисията в момента проучва възможните варианти на действие за стимулиране на</w:t>
      </w:r>
      <w:r>
        <w:rPr>
          <w:rFonts w:ascii="Times New Roman" w:hAnsi="Times New Roman"/>
          <w:b/>
          <w:bCs/>
          <w:noProof/>
          <w:color w:val="000000"/>
          <w:sz w:val="24"/>
          <w:szCs w:val="24"/>
        </w:rPr>
        <w:t xml:space="preserve"> бързото обединяване на критична ИС по време на криза</w:t>
      </w:r>
      <w:r>
        <w:rPr>
          <w:rFonts w:ascii="Times New Roman" w:hAnsi="Times New Roman"/>
          <w:noProof/>
          <w:color w:val="000000"/>
          <w:sz w:val="24"/>
          <w:szCs w:val="24"/>
        </w:rPr>
        <w:t>, например чрез нова система за предоставяне на лицензии, позволяваща предоставянето на разположение на критична ИС по контролиран начин и на временна основа, така че да може с бързи темпове да се ускори производството на защитени с ИС продукти, включително чрез промяна в профила на производството.</w:t>
      </w:r>
    </w:p>
    <w:p>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И накрая, Комисията смята, че е необходимо да се гарантира, че са въведени </w:t>
      </w:r>
      <w:r>
        <w:rPr>
          <w:rFonts w:ascii="Times New Roman" w:hAnsi="Times New Roman"/>
          <w:b/>
          <w:bCs/>
          <w:noProof/>
          <w:color w:val="000000"/>
          <w:sz w:val="24"/>
          <w:szCs w:val="24"/>
        </w:rPr>
        <w:t>ефективни системи за издаване на принудителни лицензии</w:t>
      </w:r>
      <w:r>
        <w:rPr>
          <w:rFonts w:ascii="Times New Roman" w:hAnsi="Times New Roman"/>
          <w:noProof/>
          <w:color w:val="000000"/>
          <w:sz w:val="24"/>
          <w:szCs w:val="24"/>
        </w:rPr>
        <w:t xml:space="preserve">, които да се използват </w:t>
      </w:r>
      <w:r>
        <w:rPr>
          <w:rFonts w:ascii="Times New Roman" w:hAnsi="Times New Roman"/>
          <w:b/>
          <w:bCs/>
          <w:noProof/>
          <w:color w:val="000000"/>
          <w:sz w:val="24"/>
          <w:szCs w:val="24"/>
        </w:rPr>
        <w:t>като крайно средство</w:t>
      </w:r>
      <w:r>
        <w:rPr>
          <w:rFonts w:ascii="Times New Roman" w:hAnsi="Times New Roman"/>
          <w:noProof/>
          <w:color w:val="000000"/>
          <w:sz w:val="24"/>
          <w:szCs w:val="24"/>
        </w:rPr>
        <w:t xml:space="preserve"> и защитна мрежа, когато всички други усилия за предоставяне на ИС са неуспешни. Споразумението на СТО за свързаните с търговията аспекти на правата върху интелектуалната собственост (ТРИПС) предвижда, при изброените условия, възможност за издаване на принудителни лицензии, т.е. правомощие на органите на публичната власт да дадат разрешение на желаещата да направи това страна да използва конкретно патентовано изобретение без съгласието на патентопритежателя. Процедурата може да бъде ускорена в случай на извънредна ситуация в национален мащаб. В съчетание с Декларацията от Доха относно Споразумението ТРИПС и общественото здраве е ясно, че всяка страна — членка на СТО, има не само правото да предоставя принудителни лицензии, но и свободата да определя основанията за предоставяне на такива лицензии.</w:t>
      </w:r>
    </w:p>
    <w:p>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sz w:val="24"/>
          <w:szCs w:val="24"/>
        </w:rPr>
        <w:t>В Европа предоставянето на принудителни лицензии се урежда основно от националното право.</w:t>
      </w:r>
      <w:r>
        <w:rPr>
          <w:rStyle w:val="FootnoteReference"/>
          <w:rFonts w:ascii="Times New Roman" w:hAnsi="Times New Roman"/>
          <w:noProof/>
          <w:color w:val="000000"/>
          <w:sz w:val="24"/>
          <w:szCs w:val="24"/>
          <w:lang w:val="en-US"/>
        </w:rPr>
        <w:footnoteReference w:id="72"/>
      </w:r>
      <w:r>
        <w:rPr>
          <w:rFonts w:ascii="Times New Roman" w:hAnsi="Times New Roman"/>
          <w:noProof/>
          <w:color w:val="000000"/>
          <w:sz w:val="24"/>
          <w:szCs w:val="24"/>
        </w:rPr>
        <w:t xml:space="preserve"> Комисията приканва държавите членки да гарантират, че инструментите, с които разполагат, са възможно най-ефективни, например чрез въвеждане на ускорена процедура за издаване на принудителни лицензии при извънредни ситуации. Освен това тя смята, че е необходимо да се подобри координацията в тази област, за да се избегнат ефектите на изкривяване върху иновациите и търговията. </w:t>
      </w:r>
      <w:r>
        <w:rPr>
          <w:rFonts w:ascii="Times New Roman" w:hAnsi="Times New Roman"/>
          <w:b/>
          <w:bCs/>
          <w:noProof/>
          <w:color w:val="000000"/>
          <w:sz w:val="24"/>
          <w:szCs w:val="24"/>
        </w:rPr>
        <w:t>Ранната координация и споделянето на информация</w:t>
      </w:r>
      <w:r>
        <w:rPr>
          <w:rFonts w:ascii="Times New Roman" w:hAnsi="Times New Roman"/>
          <w:noProof/>
          <w:color w:val="000000"/>
          <w:sz w:val="24"/>
          <w:szCs w:val="24"/>
        </w:rPr>
        <w:t xml:space="preserve"> между държавите членки, например относно продължителността и лицензионните възнаграждения за такива лицензии, следва да спомогнат за осигуряването на максимални ползи, като същевременно се избягват евентуални прекомерни изкривявания. Комисията ще проучи с държавите членки възможността за създаване на механизъм за спешна координация, който да бъде задействан в кратки срокове, когато държавите членки обмислят издаването на принудителна лицензия.</w:t>
      </w:r>
    </w:p>
    <w:p>
      <w:pPr>
        <w:pStyle w:val="ListParagraph"/>
        <w:keepNext/>
        <w:numPr>
          <w:ilvl w:val="0"/>
          <w:numId w:val="46"/>
        </w:numPr>
        <w:spacing w:before="120" w:after="120" w:line="240" w:lineRule="auto"/>
        <w:ind w:left="425" w:hanging="425"/>
        <w:contextualSpacing w:val="0"/>
        <w:jc w:val="both"/>
        <w:rPr>
          <w:rFonts w:ascii="Times New Roman" w:eastAsiaTheme="majorEastAsia" w:hAnsi="Times New Roman" w:cs="Times New Roman"/>
          <w:i/>
          <w:iCs/>
          <w:noProof/>
          <w:color w:val="000000" w:themeColor="text1"/>
          <w:sz w:val="24"/>
          <w:szCs w:val="24"/>
        </w:rPr>
      </w:pPr>
      <w:r>
        <w:rPr>
          <w:rFonts w:ascii="Times New Roman" w:hAnsi="Times New Roman"/>
          <w:i/>
          <w:iCs/>
          <w:noProof/>
          <w:color w:val="000000" w:themeColor="text1"/>
          <w:sz w:val="24"/>
          <w:szCs w:val="24"/>
        </w:rPr>
        <w:t>Улесняване на лицензирането на ИС чрез повишена прозрачност, по-специално по отношение на авторското право</w:t>
      </w:r>
    </w:p>
    <w:p>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За да се улесни лицензирането и споделянето на ИС, е необходима </w:t>
      </w:r>
      <w:r>
        <w:rPr>
          <w:rFonts w:ascii="Times New Roman" w:hAnsi="Times New Roman"/>
          <w:b/>
          <w:bCs/>
          <w:noProof/>
          <w:color w:val="000000" w:themeColor="text1"/>
          <w:sz w:val="24"/>
          <w:szCs w:val="24"/>
        </w:rPr>
        <w:t>по-голяма прозрачност</w:t>
      </w:r>
      <w:r>
        <w:rPr>
          <w:rFonts w:ascii="Times New Roman" w:hAnsi="Times New Roman"/>
          <w:noProof/>
          <w:color w:val="000000" w:themeColor="text1"/>
          <w:sz w:val="24"/>
          <w:szCs w:val="24"/>
        </w:rPr>
        <w:t xml:space="preserve"> </w:t>
      </w:r>
      <w:r>
        <w:rPr>
          <w:rFonts w:ascii="Times New Roman" w:hAnsi="Times New Roman"/>
          <w:b/>
          <w:bCs/>
          <w:noProof/>
          <w:color w:val="000000" w:themeColor="text1"/>
          <w:sz w:val="24"/>
          <w:szCs w:val="24"/>
        </w:rPr>
        <w:t>по отношение на собствеността и управлението</w:t>
      </w:r>
      <w:r>
        <w:rPr>
          <w:rFonts w:ascii="Times New Roman" w:hAnsi="Times New Roman"/>
          <w:noProof/>
          <w:color w:val="000000" w:themeColor="text1"/>
          <w:sz w:val="24"/>
          <w:szCs w:val="24"/>
        </w:rPr>
        <w:t xml:space="preserve"> на всички видове ИС. Патентът с единно действие ще осигури възможност за постигане на действителен напредък в областта на патентите. </w:t>
      </w:r>
    </w:p>
    <w:p>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Използването на </w:t>
      </w:r>
      <w:r>
        <w:rPr>
          <w:rFonts w:ascii="Times New Roman" w:hAnsi="Times New Roman"/>
          <w:b/>
          <w:bCs/>
          <w:noProof/>
          <w:color w:val="000000" w:themeColor="text1"/>
          <w:sz w:val="24"/>
          <w:szCs w:val="24"/>
        </w:rPr>
        <w:t>висококачествени метаданни и нови технологии,</w:t>
      </w:r>
      <w:r>
        <w:rPr>
          <w:rFonts w:ascii="Times New Roman" w:hAnsi="Times New Roman"/>
          <w:noProof/>
          <w:color w:val="000000" w:themeColor="text1"/>
          <w:sz w:val="24"/>
          <w:szCs w:val="24"/>
        </w:rPr>
        <w:t xml:space="preserve"> като например блоковите вериги, също може да спомогне за постигането на по-голяма прозрачност и по-добро управление на данните за правата, по-специално по отношение на </w:t>
      </w:r>
      <w:r>
        <w:rPr>
          <w:rFonts w:ascii="Times New Roman" w:hAnsi="Times New Roman"/>
          <w:b/>
          <w:bCs/>
          <w:noProof/>
          <w:color w:val="000000" w:themeColor="text1"/>
          <w:sz w:val="24"/>
          <w:szCs w:val="24"/>
        </w:rPr>
        <w:t>авторското право</w:t>
      </w:r>
      <w:r>
        <w:rPr>
          <w:rFonts w:ascii="Times New Roman" w:hAnsi="Times New Roman"/>
          <w:noProof/>
          <w:color w:val="000000" w:themeColor="text1"/>
          <w:sz w:val="24"/>
          <w:szCs w:val="24"/>
        </w:rPr>
        <w:t>, и за по-лесната идентификация на притежателите на права</w:t>
      </w:r>
      <w:r>
        <w:rPr>
          <w:rStyle w:val="FootnoteReference"/>
          <w:rFonts w:ascii="Times New Roman" w:eastAsiaTheme="majorEastAsia" w:hAnsi="Times New Roman" w:cs="Times New Roman"/>
          <w:noProof/>
          <w:color w:val="000000" w:themeColor="text1"/>
          <w:sz w:val="24"/>
          <w:szCs w:val="24"/>
        </w:rPr>
        <w:footnoteReference w:id="73"/>
      </w:r>
      <w:r>
        <w:rPr>
          <w:rFonts w:ascii="Times New Roman" w:hAnsi="Times New Roman"/>
          <w:noProof/>
          <w:color w:val="000000" w:themeColor="text1"/>
          <w:sz w:val="24"/>
          <w:szCs w:val="24"/>
        </w:rPr>
        <w:t>.</w:t>
      </w:r>
    </w:p>
    <w:p>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themeColor="text1"/>
          <w:sz w:val="24"/>
          <w:szCs w:val="24"/>
        </w:rPr>
        <w:t>Комисията предприе проучване относно авторското право и новите технологии, в което основното ударение ще бъде поставено върху управлението на данни в областта на авторското право и върху изкуствения интелект. Резултатите от проучването се очаква да бъдат на разположение през 2021 г. Комисията ще продължи да работи съвместно със съответните заинтересовани страни за постигане на по-високо качество на данните в областта на авторското право и на добре функционираща „</w:t>
      </w:r>
      <w:r>
        <w:rPr>
          <w:rFonts w:ascii="Times New Roman" w:hAnsi="Times New Roman"/>
          <w:b/>
          <w:bCs/>
          <w:noProof/>
          <w:color w:val="000000" w:themeColor="text1"/>
          <w:sz w:val="24"/>
          <w:szCs w:val="24"/>
        </w:rPr>
        <w:t>инфраструктура на авторското право</w:t>
      </w:r>
      <w:r>
        <w:rPr>
          <w:rStyle w:val="FootnoteReference"/>
          <w:rFonts w:ascii="Times New Roman" w:eastAsiaTheme="majorEastAsia" w:hAnsi="Times New Roman" w:cs="Times New Roman"/>
          <w:noProof/>
          <w:color w:val="000000" w:themeColor="text1"/>
          <w:sz w:val="24"/>
          <w:szCs w:val="24"/>
        </w:rPr>
        <w:footnoteReference w:id="74"/>
      </w:r>
      <w:r>
        <w:rPr>
          <w:rFonts w:ascii="Times New Roman" w:hAnsi="Times New Roman"/>
          <w:noProof/>
          <w:color w:val="000000" w:themeColor="text1"/>
          <w:sz w:val="24"/>
          <w:szCs w:val="24"/>
        </w:rPr>
        <w:t>“ (например подобряване на достъпа до достоверна и актуализирана информация за носителите на права, условията и възможностите за лицензиране)</w:t>
      </w:r>
      <w:r>
        <w:rPr>
          <w:rFonts w:ascii="Times New Roman" w:eastAsiaTheme="majorEastAsia" w:hAnsi="Times New Roman" w:cs="Times New Roman"/>
          <w:noProof/>
          <w:color w:val="000000" w:themeColor="text1"/>
          <w:sz w:val="24"/>
          <w:szCs w:val="24"/>
          <w:vertAlign w:val="superscript"/>
        </w:rPr>
        <w:footnoteReference w:id="75"/>
      </w:r>
      <w:r>
        <w:rPr>
          <w:rFonts w:ascii="Times New Roman" w:hAnsi="Times New Roman"/>
          <w:noProof/>
          <w:color w:val="000000" w:themeColor="text1"/>
          <w:sz w:val="24"/>
          <w:szCs w:val="24"/>
        </w:rPr>
        <w:t>.</w:t>
      </w:r>
    </w:p>
    <w:p>
      <w:pPr>
        <w:pStyle w:val="ListParagraph"/>
        <w:keepNext/>
        <w:numPr>
          <w:ilvl w:val="0"/>
          <w:numId w:val="46"/>
        </w:numPr>
        <w:spacing w:before="120" w:after="120" w:line="240" w:lineRule="auto"/>
        <w:ind w:left="425" w:hanging="425"/>
        <w:contextualSpacing w:val="0"/>
        <w:jc w:val="both"/>
        <w:rPr>
          <w:rFonts w:ascii="Times New Roman" w:eastAsiaTheme="majorEastAsia" w:hAnsi="Times New Roman" w:cs="Times New Roman"/>
          <w:i/>
          <w:iCs/>
          <w:noProof/>
          <w:color w:val="000000" w:themeColor="text1"/>
          <w:sz w:val="24"/>
          <w:szCs w:val="24"/>
        </w:rPr>
      </w:pPr>
      <w:r>
        <w:rPr>
          <w:rFonts w:ascii="Times New Roman" w:hAnsi="Times New Roman"/>
          <w:i/>
          <w:iCs/>
          <w:noProof/>
          <w:color w:val="000000" w:themeColor="text1"/>
          <w:sz w:val="24"/>
          <w:szCs w:val="24"/>
        </w:rPr>
        <w:t>Патенти от съществено значение за стандарт</w:t>
      </w:r>
    </w:p>
    <w:p>
      <w:pPr>
        <w:spacing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b/>
          <w:bCs/>
          <w:noProof/>
          <w:color w:val="000000" w:themeColor="text1"/>
          <w:sz w:val="24"/>
          <w:szCs w:val="24"/>
        </w:rPr>
        <w:t>Патентите от съществено значение за стандарт</w:t>
      </w:r>
      <w:r>
        <w:rPr>
          <w:rFonts w:ascii="Times New Roman" w:hAnsi="Times New Roman"/>
          <w:noProof/>
          <w:color w:val="000000" w:themeColor="text1"/>
          <w:sz w:val="24"/>
          <w:szCs w:val="24"/>
        </w:rPr>
        <w:t xml:space="preserve"> (ПСЗС) са патенти за технологии, инкорпорирани в стандарти. Количеството на ПСЗС и броят на притежателите на ПСЗС все повече растат (например във връзка със стандарти за мобилна връзка пред Европейския институт за стандарти в далекосъобщенията (ETSI) са декларирани над 25 000 семейства патенти</w:t>
      </w:r>
      <w:r>
        <w:rPr>
          <w:rStyle w:val="FootnoteReference"/>
          <w:rFonts w:ascii="Times New Roman" w:eastAsiaTheme="majorEastAsia" w:hAnsi="Times New Roman" w:cs="Times New Roman"/>
          <w:noProof/>
          <w:color w:val="000000" w:themeColor="text1"/>
          <w:sz w:val="24"/>
          <w:szCs w:val="24"/>
        </w:rPr>
        <w:footnoteReference w:id="76"/>
      </w:r>
      <w:r>
        <w:rPr>
          <w:rFonts w:ascii="Times New Roman" w:hAnsi="Times New Roman"/>
          <w:noProof/>
          <w:color w:val="000000" w:themeColor="text1"/>
          <w:sz w:val="24"/>
          <w:szCs w:val="24"/>
        </w:rPr>
        <w:t xml:space="preserve"> от все по-голяма група притежатели на ПСЗС, а нововъзникващите технологични стандарти често съдържат и ПСЗС).</w:t>
      </w:r>
      <w:r>
        <w:rPr>
          <w:noProof/>
        </w:rPr>
        <w:t xml:space="preserve"> </w:t>
      </w:r>
      <w:r>
        <w:rPr>
          <w:rFonts w:ascii="Times New Roman" w:hAnsi="Times New Roman"/>
          <w:noProof/>
          <w:color w:val="000000" w:themeColor="text1"/>
          <w:sz w:val="24"/>
          <w:szCs w:val="24"/>
        </w:rPr>
        <w:t xml:space="preserve">ПСЗС играят решаваща роля за развитието на 5G и на интернет на предметите. Цифровата интеграция на предмети, устройства, сензори и предмети от ежедневието с приложения, вариращи от свързани автомобили, здравеопазване, енергия до интелигентни градове, изисква оперативно съвместими решения, основани на стандарти. </w:t>
      </w:r>
    </w:p>
    <w:p>
      <w:pPr>
        <w:spacing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themeColor="text1"/>
          <w:sz w:val="24"/>
          <w:szCs w:val="24"/>
        </w:rPr>
        <w:t>В този контекст е от съществено значение да има стабилни, ефикасни и справедливи правила, на които да се подчинява предоставянето на лицензии за ПСЗС. Въпреки насоките, предоставени в съобщението от 2017 г. относно ПСЗС</w:t>
      </w:r>
      <w:r>
        <w:rPr>
          <w:rStyle w:val="FootnoteReference"/>
          <w:rFonts w:ascii="Times New Roman" w:eastAsiaTheme="majorEastAsia" w:hAnsi="Times New Roman" w:cs="Times New Roman"/>
          <w:noProof/>
          <w:color w:val="000000" w:themeColor="text1"/>
          <w:sz w:val="24"/>
          <w:szCs w:val="24"/>
        </w:rPr>
        <w:footnoteReference w:id="77"/>
      </w:r>
      <w:r>
        <w:rPr>
          <w:rFonts w:ascii="Times New Roman" w:hAnsi="Times New Roman"/>
          <w:noProof/>
          <w:color w:val="000000" w:themeColor="text1"/>
          <w:sz w:val="24"/>
          <w:szCs w:val="24"/>
        </w:rPr>
        <w:t>, някои предприятия все още трудно се съгласяват да предоставят лицензии за ПСЗС. Това често може да доведе до спорове, при които патентопритежателите твърдят, че техният ПСЗС е нарушен, а другата страна се оплаква, че патентопритежателят е наложил несправедливи условия в рамките на лицензионно споразумение. Въпреки че понастоящем най-големите спорове изглежда възникват в автомобилния сектор, възможно е те допълнително да разширят своя обхват, тъй като предоставянето на лицензии за ПСЗС е от значение и за екосистемите на здравеопазването, енергетиката, интелигентното производство, цифровите технологии и електрониката</w:t>
      </w:r>
      <w:r>
        <w:rPr>
          <w:rStyle w:val="FootnoteReference"/>
          <w:rFonts w:ascii="Times New Roman" w:eastAsiaTheme="majorEastAsia" w:hAnsi="Times New Roman" w:cs="Times New Roman"/>
          <w:noProof/>
          <w:color w:val="000000" w:themeColor="text1"/>
          <w:sz w:val="24"/>
          <w:szCs w:val="24"/>
        </w:rPr>
        <w:footnoteReference w:id="78"/>
      </w:r>
      <w:r>
        <w:rPr>
          <w:rFonts w:ascii="Times New Roman" w:hAnsi="Times New Roman"/>
          <w:noProof/>
          <w:color w:val="000000" w:themeColor="text1"/>
          <w:sz w:val="24"/>
          <w:szCs w:val="24"/>
        </w:rPr>
        <w:t xml:space="preserve">. </w:t>
      </w:r>
    </w:p>
    <w:p>
      <w:pPr>
        <w:spacing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themeColor="text1"/>
          <w:sz w:val="24"/>
          <w:szCs w:val="24"/>
        </w:rPr>
        <w:t>В краткосрочен план Комисията ще улесни осъществяването на инициативи, водеща роля при които има промишлеността, за намаляване на разногласията и съдебните спорове между участниците в конкретни сектори.</w:t>
      </w:r>
    </w:p>
    <w:p>
      <w:pPr>
        <w:spacing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Успоредно с това, въз основа на подхода от 2017 г., Комисията ще обмисли </w:t>
      </w:r>
      <w:r>
        <w:rPr>
          <w:rFonts w:ascii="Times New Roman" w:hAnsi="Times New Roman"/>
          <w:b/>
          <w:bCs/>
          <w:noProof/>
          <w:color w:val="000000" w:themeColor="text1"/>
          <w:sz w:val="24"/>
          <w:szCs w:val="24"/>
        </w:rPr>
        <w:t>реформи</w:t>
      </w:r>
      <w:r>
        <w:rPr>
          <w:rFonts w:ascii="Times New Roman" w:hAnsi="Times New Roman"/>
          <w:noProof/>
          <w:color w:val="000000" w:themeColor="text1"/>
          <w:sz w:val="24"/>
          <w:szCs w:val="24"/>
        </w:rPr>
        <w:t xml:space="preserve"> за допълнително изясняване и подобряване на рамката, уреждаща декларирането на ПСЗС, предоставянето на лицензии за тях и спазването им. Комисията например ще проучи възможността за създаване на независима система за проверки за наличието на съществен характер от трети страни с цел повишаване на правната сигурност и намаляване на съдебните разноски</w:t>
      </w:r>
      <w:r>
        <w:rPr>
          <w:rStyle w:val="FootnoteReference"/>
          <w:rFonts w:ascii="Times New Roman" w:eastAsiaTheme="majorEastAsia" w:hAnsi="Times New Roman" w:cs="Times New Roman"/>
          <w:noProof/>
          <w:color w:val="000000" w:themeColor="text1"/>
          <w:sz w:val="24"/>
          <w:szCs w:val="24"/>
        </w:rPr>
        <w:footnoteReference w:id="79"/>
      </w:r>
      <w:r>
        <w:rPr>
          <w:rFonts w:ascii="Times New Roman" w:hAnsi="Times New Roman"/>
          <w:noProof/>
          <w:color w:val="000000" w:themeColor="text1"/>
          <w:sz w:val="24"/>
          <w:szCs w:val="24"/>
        </w:rPr>
        <w:t xml:space="preserve">. При евентуалните реформи ще бъдат взети предвид опитът, свързан с насоките, предоставени в съобщението от 2017 г. относно ПСЗС, и обсъжданията със съответните заинтересовани страни. </w:t>
      </w:r>
    </w:p>
    <w:p>
      <w:pPr>
        <w:pStyle w:val="ListParagraph"/>
        <w:keepNext/>
        <w:numPr>
          <w:ilvl w:val="0"/>
          <w:numId w:val="46"/>
        </w:numPr>
        <w:spacing w:before="120" w:after="120" w:line="240" w:lineRule="auto"/>
        <w:ind w:left="425" w:hanging="425"/>
        <w:contextualSpacing w:val="0"/>
        <w:jc w:val="both"/>
        <w:rPr>
          <w:rFonts w:ascii="Times New Roman" w:eastAsiaTheme="majorEastAsia" w:hAnsi="Times New Roman" w:cs="Times New Roman"/>
          <w:i/>
          <w:iCs/>
          <w:noProof/>
          <w:color w:val="000000" w:themeColor="text1"/>
          <w:sz w:val="24"/>
          <w:szCs w:val="24"/>
        </w:rPr>
      </w:pPr>
      <w:r>
        <w:rPr>
          <w:rFonts w:ascii="Times New Roman" w:hAnsi="Times New Roman"/>
          <w:i/>
          <w:iCs/>
          <w:noProof/>
          <w:color w:val="000000" w:themeColor="text1"/>
          <w:sz w:val="24"/>
          <w:szCs w:val="24"/>
        </w:rPr>
        <w:t>Насърчаване на споделянето на данни</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И накрая, както е посочено и в наскоро публикуваната Европейска стратегия за данните на Комисията</w:t>
      </w:r>
      <w:r>
        <w:rPr>
          <w:rStyle w:val="FootnoteReference"/>
          <w:rFonts w:ascii="Times New Roman" w:eastAsia="Times New Roman" w:hAnsi="Times New Roman" w:cs="Times New Roman"/>
          <w:noProof/>
          <w:color w:val="000000" w:themeColor="text1"/>
          <w:sz w:val="24"/>
          <w:szCs w:val="24"/>
        </w:rPr>
        <w:footnoteReference w:id="80"/>
      </w:r>
      <w:r>
        <w:rPr>
          <w:rFonts w:ascii="Times New Roman" w:hAnsi="Times New Roman"/>
          <w:noProof/>
          <w:color w:val="000000" w:themeColor="text1"/>
          <w:sz w:val="24"/>
          <w:szCs w:val="24"/>
        </w:rPr>
        <w:t xml:space="preserve">, ЕС се нуждае от солидна </w:t>
      </w:r>
      <w:r>
        <w:rPr>
          <w:rFonts w:ascii="Times New Roman" w:hAnsi="Times New Roman"/>
          <w:b/>
          <w:bCs/>
          <w:noProof/>
          <w:color w:val="000000" w:themeColor="text1"/>
          <w:sz w:val="24"/>
          <w:szCs w:val="24"/>
        </w:rPr>
        <w:t>рамка, която да даде възможност на предприятията да създават данни, да имат достъп до тях, да ги споделят и да ги използват</w:t>
      </w:r>
      <w:r>
        <w:rPr>
          <w:rFonts w:ascii="Times New Roman" w:hAnsi="Times New Roman"/>
          <w:noProof/>
          <w:color w:val="000000" w:themeColor="text1"/>
          <w:sz w:val="24"/>
          <w:szCs w:val="24"/>
        </w:rPr>
        <w:t>. Между 2018 и 2025 г. стойността на основаната на данни икономика на ЕС ще бъде почти утроена, като през 2025 г. ще достигне 829 млрд. евро и ще представлява 5,8 % от БВП на ЕС</w:t>
      </w:r>
      <w:r>
        <w:rPr>
          <w:rStyle w:val="FootnoteReference"/>
          <w:rFonts w:ascii="Times New Roman" w:eastAsia="Times New Roman" w:hAnsi="Times New Roman" w:cs="Times New Roman"/>
          <w:noProof/>
          <w:color w:val="000000" w:themeColor="text1"/>
          <w:sz w:val="24"/>
          <w:szCs w:val="24"/>
        </w:rPr>
        <w:footnoteReference w:id="81"/>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Като се има предвид, че някои данни могат да бъдат защитени с права върху ИС или като търговска тайна, понастоящем Комисията извършва оценка на рамката в областта на ИС с цел осигуряване на баланс между необходимостта от насърчаване на споделянето на данни (например с цел улесняване на достъпа и използването на данни от МСП, а също с цел улесняване на поправката) и необходимостта от защита на законните интереси.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Насърчаването на споделянето на данни изисква сигурна среда, в която предприятията могат да продължат да инвестират в генериране и събиране на данни, като същевременно ги споделят по сигурен начин, уверени, че техните чувствителните търговски данни няма да бъдат придобити, използвани или оповестени незаконно. </w:t>
      </w:r>
      <w:r>
        <w:rPr>
          <w:rFonts w:ascii="Times New Roman" w:hAnsi="Times New Roman"/>
          <w:b/>
          <w:bCs/>
          <w:noProof/>
          <w:color w:val="000000" w:themeColor="text1"/>
          <w:sz w:val="24"/>
          <w:szCs w:val="24"/>
        </w:rPr>
        <w:t>Директивата за търговските тайни</w:t>
      </w:r>
      <w:r>
        <w:rPr>
          <w:rStyle w:val="FootnoteReference"/>
          <w:rFonts w:ascii="Times New Roman" w:eastAsia="Times New Roman" w:hAnsi="Times New Roman" w:cs="Times New Roman"/>
          <w:noProof/>
          <w:color w:val="000000" w:themeColor="text1"/>
          <w:sz w:val="24"/>
          <w:szCs w:val="24"/>
        </w:rPr>
        <w:footnoteReference w:id="82"/>
      </w:r>
      <w:r>
        <w:rPr>
          <w:rFonts w:ascii="Times New Roman" w:hAnsi="Times New Roman"/>
          <w:noProof/>
          <w:color w:val="000000" w:themeColor="text1"/>
          <w:sz w:val="24"/>
          <w:szCs w:val="24"/>
        </w:rPr>
        <w:t xml:space="preserve"> вече предоставя ефективни инструменти за закрила, но може да се наложи да се прецизира нейният обхват, като например се поясни какъв вид данни или набори от данни биха могли да се квалифицират като „търговска тайна“, дали предвиденият понастоящем набор от изключения може да подкрепи икономиката, основана на данни, и екологосъобразната икономика</w:t>
      </w:r>
      <w:r>
        <w:rPr>
          <w:rStyle w:val="FootnoteReference"/>
          <w:rFonts w:ascii="Times New Roman" w:eastAsia="Times New Roman" w:hAnsi="Times New Roman" w:cs="Times New Roman"/>
          <w:noProof/>
          <w:color w:val="000000" w:themeColor="text1"/>
          <w:sz w:val="24"/>
          <w:szCs w:val="24"/>
          <w:lang w:val="en-US"/>
        </w:rPr>
        <w:footnoteReference w:id="83"/>
      </w:r>
      <w:r>
        <w:rPr>
          <w:rFonts w:ascii="Times New Roman" w:hAnsi="Times New Roman"/>
          <w:noProof/>
          <w:color w:val="000000" w:themeColor="text1"/>
          <w:sz w:val="24"/>
          <w:szCs w:val="24"/>
        </w:rPr>
        <w:t>, а също така дали и как инструментите, предлагани от директивата, могат да бъдат използвани, за да се противодейства ефикасно на незаконното придобиване, използване и оповестяване на данни и набори от данни. С цел изясняване на тези въпроси и идентифициране на най-добрите практики Комисията предприе проучване със специален акцент върху стратегическите сектори, включително сектора на здравеопазването и автомобилния сектор. Въз основа на получените резултати и като част от законодателния акт за данните</w:t>
      </w:r>
      <w:r>
        <w:rPr>
          <w:rStyle w:val="FootnoteReference"/>
          <w:rFonts w:ascii="Times New Roman" w:eastAsia="Times New Roman" w:hAnsi="Times New Roman" w:cs="Times New Roman"/>
          <w:noProof/>
          <w:color w:val="000000" w:themeColor="text1"/>
          <w:sz w:val="24"/>
          <w:szCs w:val="24"/>
          <w:lang w:val="en-US"/>
        </w:rPr>
        <w:footnoteReference w:id="84"/>
      </w:r>
      <w:r>
        <w:rPr>
          <w:rFonts w:ascii="Times New Roman" w:hAnsi="Times New Roman"/>
          <w:noProof/>
          <w:color w:val="000000" w:themeColor="text1"/>
          <w:sz w:val="24"/>
          <w:szCs w:val="24"/>
        </w:rPr>
        <w:t xml:space="preserve"> Комисията ще обмисли необходимостта от допълнителни действия, например целеви насоки.</w:t>
      </w:r>
    </w:p>
    <w:p>
      <w:pPr>
        <w:spacing w:before="120"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bCs/>
          <w:noProof/>
          <w:color w:val="000000" w:themeColor="text1"/>
          <w:sz w:val="24"/>
          <w:szCs w:val="24"/>
        </w:rPr>
        <w:t>Директивата за базите данни</w:t>
      </w:r>
      <w:r>
        <w:rPr>
          <w:rStyle w:val="FootnoteReference"/>
          <w:rFonts w:ascii="Times New Roman" w:eastAsia="Times New Roman" w:hAnsi="Times New Roman" w:cs="Times New Roman"/>
          <w:noProof/>
          <w:color w:val="000000" w:themeColor="text1"/>
          <w:sz w:val="24"/>
          <w:szCs w:val="24"/>
        </w:rPr>
        <w:footnoteReference w:id="85"/>
      </w:r>
      <w:r>
        <w:rPr>
          <w:rFonts w:ascii="Times New Roman" w:hAnsi="Times New Roman"/>
          <w:noProof/>
          <w:color w:val="000000" w:themeColor="text1"/>
          <w:sz w:val="24"/>
          <w:szCs w:val="24"/>
        </w:rPr>
        <w:t xml:space="preserve"> предвижда закрила </w:t>
      </w:r>
      <w:r>
        <w:rPr>
          <w:rFonts w:ascii="Times New Roman" w:hAnsi="Times New Roman"/>
          <w:i/>
          <w:iCs/>
          <w:noProof/>
          <w:color w:val="000000" w:themeColor="text1"/>
          <w:sz w:val="24"/>
          <w:szCs w:val="24"/>
        </w:rPr>
        <w:t>sui generis</w:t>
      </w:r>
      <w:r>
        <w:rPr>
          <w:rFonts w:ascii="Times New Roman" w:hAnsi="Times New Roman"/>
          <w:noProof/>
          <w:color w:val="000000" w:themeColor="text1"/>
          <w:sz w:val="24"/>
          <w:szCs w:val="24"/>
        </w:rPr>
        <w:t xml:space="preserve"> за базите данни, които са резултат от значителни инвестиции. Наскоро извършена оценка</w:t>
      </w:r>
      <w:r>
        <w:rPr>
          <w:rStyle w:val="FootnoteReference"/>
          <w:rFonts w:ascii="Times New Roman" w:eastAsia="Times New Roman" w:hAnsi="Times New Roman" w:cs="Times New Roman"/>
          <w:noProof/>
          <w:color w:val="000000"/>
          <w:sz w:val="24"/>
          <w:szCs w:val="24"/>
          <w:lang w:val="en-US"/>
        </w:rPr>
        <w:footnoteReference w:id="86"/>
      </w:r>
      <w:r>
        <w:rPr>
          <w:rFonts w:ascii="Times New Roman" w:hAnsi="Times New Roman"/>
          <w:noProof/>
          <w:color w:val="000000"/>
          <w:sz w:val="24"/>
          <w:szCs w:val="24"/>
        </w:rPr>
        <w:t xml:space="preserve"> показа, че макар Директивата за базите данни да осигурява добавена стойност, тя би могла да бъде преразгледана с цел </w:t>
      </w:r>
      <w:r>
        <w:rPr>
          <w:rFonts w:ascii="Times New Roman" w:hAnsi="Times New Roman"/>
          <w:noProof/>
          <w:color w:val="000000" w:themeColor="text1"/>
          <w:sz w:val="24"/>
          <w:szCs w:val="24"/>
        </w:rPr>
        <w:t>улесняване на достъпа до данни и на тяхното използване. По тази причина, като последващо действие във връзка с Европейската стратегия за данните, Комисията ще преразгледа директивата, по-специално с цел улесняване на споделянето и търговията с машинно генерирани данни и данни, генерирани в контекста на въвеждането на интернет на предметите. Преразглеждането ще се извърши успоредно с приемането на законодателния акт за данните</w:t>
      </w:r>
      <w:r>
        <w:rPr>
          <w:rStyle w:val="FootnoteReference"/>
          <w:rFonts w:ascii="Times New Roman" w:eastAsia="Times New Roman" w:hAnsi="Times New Roman" w:cs="Times New Roman"/>
          <w:noProof/>
          <w:color w:val="000000" w:themeColor="text1"/>
          <w:sz w:val="24"/>
          <w:szCs w:val="24"/>
        </w:rPr>
        <w:footnoteReference w:id="87"/>
      </w:r>
      <w:r>
        <w:rPr>
          <w:rFonts w:ascii="Times New Roman" w:hAnsi="Times New Roman"/>
          <w:noProof/>
          <w:color w:val="000000" w:themeColor="text1"/>
          <w:sz w:val="24"/>
          <w:szCs w:val="24"/>
        </w:rPr>
        <w:t xml:space="preserve"> и ще вземе предвид инициативите за споделяне на данни в областта на антитръстовото право</w:t>
      </w:r>
      <w:r>
        <w:rPr>
          <w:rStyle w:val="FootnoteReference"/>
          <w:rFonts w:ascii="Times New Roman" w:eastAsia="Times New Roman" w:hAnsi="Times New Roman" w:cs="Times New Roman"/>
          <w:noProof/>
          <w:color w:val="000000" w:themeColor="text1"/>
          <w:sz w:val="24"/>
          <w:szCs w:val="24"/>
        </w:rPr>
        <w:footnoteReference w:id="88"/>
      </w:r>
      <w:r>
        <w:rPr>
          <w:rFonts w:ascii="Times New Roman" w:hAnsi="Times New Roman"/>
          <w:noProof/>
          <w:color w:val="000000" w:themeColor="text1"/>
          <w:sz w:val="24"/>
          <w:szCs w:val="24"/>
        </w:rPr>
        <w:t xml:space="preserve">. </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noProof/>
          <w:color w:val="000000" w:themeColor="text1"/>
          <w:sz w:val="24"/>
          <w:szCs w:val="24"/>
        </w:rPr>
        <w:t xml:space="preserve">С цел да се улесни предоставянето на лицензии и споделянето на ИС, Комисията: </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ще гарантира </w:t>
      </w:r>
      <w:r>
        <w:rPr>
          <w:rFonts w:ascii="Times New Roman" w:hAnsi="Times New Roman"/>
          <w:b/>
          <w:bCs/>
          <w:noProof/>
          <w:color w:val="000000" w:themeColor="text1"/>
          <w:sz w:val="24"/>
          <w:szCs w:val="24"/>
        </w:rPr>
        <w:t>наличността на критична ИС по време на криза</w:t>
      </w:r>
      <w:r>
        <w:rPr>
          <w:rFonts w:ascii="Times New Roman" w:hAnsi="Times New Roman"/>
          <w:noProof/>
          <w:color w:val="000000" w:themeColor="text1"/>
          <w:sz w:val="24"/>
          <w:szCs w:val="24"/>
        </w:rPr>
        <w:t>, включително чрез нови инструменти за предоставяне на лицензии и система за координиране на предоставянето на принудителни лицензии (2021-2022 г.),</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ше подобри </w:t>
      </w:r>
      <w:r>
        <w:rPr>
          <w:rFonts w:ascii="Times New Roman" w:hAnsi="Times New Roman"/>
          <w:b/>
          <w:bCs/>
          <w:noProof/>
          <w:color w:val="000000" w:themeColor="text1"/>
          <w:sz w:val="24"/>
          <w:szCs w:val="24"/>
        </w:rPr>
        <w:t>прозрачността и предсказуемостта при предоставянето на лицензии за ПСЗС</w:t>
      </w:r>
      <w:r>
        <w:rPr>
          <w:rFonts w:ascii="Times New Roman" w:hAnsi="Times New Roman"/>
          <w:noProof/>
          <w:color w:val="000000" w:themeColor="text1"/>
          <w:sz w:val="24"/>
          <w:szCs w:val="24"/>
        </w:rPr>
        <w:t xml:space="preserve"> чрез насърчаване на инициативи, при които водеща роля има промишлеността, в най-силно засегнатите сектори, в съчетание с евентуални реформи, включително регулаторни такива, при нужда, с цел изясняване и подобряване на рамката за ПСЗС и предлагане на ефективни инструменти за прозрачност (първо тримесечие на 2022 г.),</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ще насърчава </w:t>
      </w:r>
      <w:r>
        <w:rPr>
          <w:rFonts w:ascii="Times New Roman" w:hAnsi="Times New Roman"/>
          <w:b/>
          <w:bCs/>
          <w:noProof/>
          <w:color w:val="000000" w:themeColor="text1"/>
          <w:sz w:val="24"/>
          <w:szCs w:val="24"/>
        </w:rPr>
        <w:t>достъпа до данни и споделянето им</w:t>
      </w:r>
      <w:r>
        <w:rPr>
          <w:rFonts w:ascii="Times New Roman" w:hAnsi="Times New Roman"/>
          <w:noProof/>
          <w:color w:val="000000" w:themeColor="text1"/>
          <w:sz w:val="24"/>
          <w:szCs w:val="24"/>
        </w:rPr>
        <w:t>, като същевременно защитава законните интереси чрез изясняване на ключови разпоредби на Директивата за търговските тайни и преразглеждане на Директивата за базите данни (трето тримесечие на 2021 г.).</w:t>
      </w:r>
    </w:p>
    <w:p>
      <w:pPr>
        <w:pStyle w:val="Heading2"/>
        <w:numPr>
          <w:ilvl w:val="0"/>
          <w:numId w:val="7"/>
        </w:numPr>
        <w:spacing w:before="360" w:after="120" w:line="240" w:lineRule="auto"/>
        <w:ind w:left="357" w:hanging="357"/>
        <w:jc w:val="both"/>
        <w:rPr>
          <w:rFonts w:ascii="Times New Roman" w:eastAsia="Times New Roman" w:hAnsi="Times New Roman" w:cs="Times New Roman"/>
          <w:b/>
          <w:bCs/>
          <w:smallCaps/>
          <w:noProof/>
          <w:color w:val="000000" w:themeColor="text1"/>
          <w:sz w:val="28"/>
          <w:szCs w:val="28"/>
        </w:rPr>
      </w:pPr>
      <w:r>
        <w:rPr>
          <w:rFonts w:ascii="Times New Roman" w:hAnsi="Times New Roman"/>
          <w:b/>
          <w:bCs/>
          <w:smallCaps/>
          <w:noProof/>
          <w:color w:val="000000" w:themeColor="text1"/>
          <w:sz w:val="28"/>
          <w:szCs w:val="28"/>
        </w:rPr>
        <w:t>Борба срещу нарушенията на ПИС</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Ефективното правоприлагане допринася за доброто функциониране на системата на ИС. Комисията продължава да </w:t>
      </w:r>
      <w:r>
        <w:rPr>
          <w:rFonts w:ascii="Times New Roman" w:hAnsi="Times New Roman"/>
          <w:b/>
          <w:bCs/>
          <w:noProof/>
          <w:color w:val="000000" w:themeColor="text1"/>
          <w:sz w:val="24"/>
          <w:szCs w:val="24"/>
        </w:rPr>
        <w:t>следи отблизо прилагането на Директивата относно упражняването на ПИС</w:t>
      </w:r>
      <w:r>
        <w:rPr>
          <w:rStyle w:val="FootnoteReference"/>
          <w:rFonts w:ascii="Times New Roman" w:eastAsia="Times New Roman" w:hAnsi="Times New Roman" w:cs="Times New Roman"/>
          <w:noProof/>
          <w:color w:val="000000" w:themeColor="text1"/>
          <w:sz w:val="24"/>
          <w:szCs w:val="24"/>
        </w:rPr>
        <w:footnoteReference w:id="89"/>
      </w:r>
      <w:r>
        <w:rPr>
          <w:rFonts w:ascii="Times New Roman" w:hAnsi="Times New Roman"/>
          <w:noProof/>
          <w:color w:val="000000" w:themeColor="text1"/>
          <w:sz w:val="24"/>
          <w:szCs w:val="24"/>
        </w:rPr>
        <w:t xml:space="preserve"> с цел гарантиране на ефективна и балансирана съдебна защита. Тя работи съвместно с държавите членки и със заинтересованите страни, за да се осигури прилагането на практика на наскоро публикуваните насоки на Комисията</w:t>
      </w:r>
      <w:r>
        <w:rPr>
          <w:rStyle w:val="FootnoteReference"/>
          <w:rFonts w:ascii="Times New Roman" w:eastAsia="Times New Roman" w:hAnsi="Times New Roman" w:cs="Times New Roman"/>
          <w:noProof/>
          <w:color w:val="000000" w:themeColor="text1"/>
          <w:sz w:val="24"/>
          <w:szCs w:val="24"/>
        </w:rPr>
        <w:footnoteReference w:id="90"/>
      </w:r>
      <w:r>
        <w:rPr>
          <w:rFonts w:ascii="Times New Roman" w:hAnsi="Times New Roman"/>
          <w:noProof/>
          <w:color w:val="000000" w:themeColor="text1"/>
          <w:sz w:val="24"/>
          <w:szCs w:val="24"/>
        </w:rPr>
        <w:t>, например с цел да се гарантира, че — когато са изпълнени всички условия, в т.ч. това за пропорционалността — предписанията се прилагат еднакво и ефикасно във всички държави членки.</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В областта на патентите създаването на Единен патентен съд би трябвало допълнително да улесни и опрости прилагането на патентните права.</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Що се отнася до фалшифицирането и пиратството, Комисията смята, че очевидно е необходимо да се увеличат усилията. През 2016 г. вносът на фалшифицирани и пиратски стоки в ЕС достига около 121 млрд. евро, което представлява до 6,8 % от вноса в ЕС (спрямо 5 % от вноса в ЕС през 2013 г.)</w:t>
      </w:r>
      <w:r>
        <w:rPr>
          <w:rStyle w:val="FootnoteReference"/>
          <w:rFonts w:ascii="Times New Roman" w:eastAsia="Times New Roman" w:hAnsi="Times New Roman" w:cs="Times New Roman"/>
          <w:noProof/>
          <w:color w:val="000000" w:themeColor="text1"/>
          <w:sz w:val="24"/>
          <w:szCs w:val="24"/>
        </w:rPr>
        <w:footnoteReference w:id="91"/>
      </w:r>
      <w:r>
        <w:rPr>
          <w:rFonts w:ascii="Times New Roman" w:hAnsi="Times New Roman"/>
          <w:noProof/>
          <w:color w:val="000000" w:themeColor="text1"/>
          <w:sz w:val="24"/>
          <w:szCs w:val="24"/>
        </w:rPr>
        <w:t>. Присъствието на фалшифицирани продукти на пазара на ЕС води до преки загуби от продажби в размер на 50 млрд. евро и преки загуби на 416 000 работни места годишно</w:t>
      </w:r>
      <w:r>
        <w:rPr>
          <w:rStyle w:val="FootnoteReference"/>
          <w:rFonts w:ascii="Times New Roman" w:eastAsia="Times New Roman" w:hAnsi="Times New Roman" w:cs="Times New Roman"/>
          <w:noProof/>
          <w:color w:val="000000" w:themeColor="text1"/>
          <w:sz w:val="24"/>
          <w:szCs w:val="24"/>
        </w:rPr>
        <w:footnoteReference w:id="92"/>
      </w:r>
      <w:r>
        <w:rPr>
          <w:rFonts w:ascii="Times New Roman" w:hAnsi="Times New Roman"/>
          <w:noProof/>
          <w:color w:val="000000" w:themeColor="text1"/>
          <w:sz w:val="24"/>
          <w:szCs w:val="24"/>
        </w:rPr>
        <w:t>. Освен това то сериозно застрашава здравето, безопасността и сигурността на потребителите (например фалшиви маски за лице)</w:t>
      </w:r>
      <w:r>
        <w:rPr>
          <w:rStyle w:val="FootnoteReference"/>
          <w:rFonts w:ascii="Times New Roman" w:eastAsia="Times New Roman" w:hAnsi="Times New Roman" w:cs="Times New Roman"/>
          <w:noProof/>
          <w:color w:val="000000" w:themeColor="text1"/>
          <w:sz w:val="24"/>
          <w:szCs w:val="24"/>
        </w:rPr>
        <w:footnoteReference w:id="93"/>
      </w:r>
      <w:r>
        <w:rPr>
          <w:rFonts w:ascii="Times New Roman" w:hAnsi="Times New Roman"/>
          <w:noProof/>
          <w:color w:val="000000" w:themeColor="text1"/>
          <w:sz w:val="24"/>
          <w:szCs w:val="24"/>
        </w:rPr>
        <w:t xml:space="preserve"> и оказва отрицателно въздействие върху околната среда</w:t>
      </w:r>
      <w:r>
        <w:rPr>
          <w:rStyle w:val="FootnoteReference"/>
          <w:rFonts w:ascii="Times New Roman" w:eastAsia="Times New Roman" w:hAnsi="Times New Roman" w:cs="Times New Roman"/>
          <w:noProof/>
          <w:color w:val="000000" w:themeColor="text1"/>
          <w:sz w:val="24"/>
          <w:szCs w:val="24"/>
        </w:rPr>
        <w:footnoteReference w:id="94"/>
      </w:r>
      <w:r>
        <w:rPr>
          <w:rFonts w:ascii="Times New Roman" w:hAnsi="Times New Roman"/>
          <w:noProof/>
          <w:color w:val="000000" w:themeColor="text1"/>
          <w:sz w:val="24"/>
          <w:szCs w:val="24"/>
        </w:rPr>
        <w:t>.</w:t>
      </w:r>
      <w:r>
        <w:rPr>
          <w:noProof/>
        </w:rPr>
        <w:t xml:space="preserve"> </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В интернет възникнаха нови форми на нарушаване на ПИС, като например кибернетични кражби на търговски тайни (които по разчетни данни представляват приблизително 60 млрд. евро загуби в ЕС</w:t>
      </w:r>
      <w:r>
        <w:rPr>
          <w:rFonts w:ascii="Times New Roman" w:eastAsia="Times New Roman" w:hAnsi="Times New Roman" w:cs="Times New Roman"/>
          <w:noProof/>
          <w:color w:val="000000" w:themeColor="text1"/>
          <w:sz w:val="24"/>
          <w:szCs w:val="24"/>
          <w:vertAlign w:val="superscript"/>
        </w:rPr>
        <w:footnoteReference w:id="95"/>
      </w:r>
      <w:r>
        <w:rPr>
          <w:rFonts w:ascii="Times New Roman" w:hAnsi="Times New Roman"/>
          <w:noProof/>
          <w:color w:val="000000" w:themeColor="text1"/>
          <w:sz w:val="24"/>
          <w:szCs w:val="24"/>
        </w:rPr>
        <w:t>), незаконна телевизия през интернет протокол (IPTV) и други форми на незаконен (пряк) стрийминг. Те пораждат особени предизвикателства за производството, творческата и културната индустрии, както и за сектора на спорта.</w:t>
      </w:r>
    </w:p>
    <w:p>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Комисията вече обяви, че до края на годината </w:t>
      </w:r>
      <w:r>
        <w:rPr>
          <w:rFonts w:ascii="Times New Roman" w:hAnsi="Times New Roman"/>
          <w:b/>
          <w:bCs/>
          <w:noProof/>
          <w:color w:val="000000" w:themeColor="text1"/>
          <w:sz w:val="24"/>
          <w:szCs w:val="24"/>
        </w:rPr>
        <w:t>отговорностите на онлайн платформите ще бъдат</w:t>
      </w:r>
      <w:r>
        <w:rPr>
          <w:rFonts w:ascii="Times New Roman" w:hAnsi="Times New Roman"/>
          <w:noProof/>
          <w:color w:val="000000" w:themeColor="text1"/>
          <w:sz w:val="24"/>
          <w:szCs w:val="24"/>
        </w:rPr>
        <w:t xml:space="preserve"> </w:t>
      </w:r>
      <w:r>
        <w:rPr>
          <w:rFonts w:ascii="Times New Roman" w:hAnsi="Times New Roman"/>
          <w:b/>
          <w:bCs/>
          <w:noProof/>
          <w:color w:val="000000" w:themeColor="text1"/>
          <w:sz w:val="24"/>
          <w:szCs w:val="24"/>
        </w:rPr>
        <w:t>изяснени и увеличени</w:t>
      </w:r>
      <w:r>
        <w:rPr>
          <w:rFonts w:ascii="Times New Roman" w:hAnsi="Times New Roman"/>
          <w:noProof/>
          <w:color w:val="000000" w:themeColor="text1"/>
          <w:sz w:val="24"/>
          <w:szCs w:val="24"/>
        </w:rPr>
        <w:t xml:space="preserve"> с помощта на нови правила, чрез които ще се премахнат възпиращите фактори за доброволни действия от страна на онлайн платформите за борба с незаконното съдържание (стоки или услуги), за което предлагат посреднически услуги. Предстоящото предложение за законодателен пакет в областта на цифровите услуги ще има за цел да хармонизира набор от специфични, обвързващи и пропорционални задължения за цифровите услуги, чието спазване ще бъде осигурено чрез подобрена рамка за наблюдение</w:t>
      </w:r>
      <w:r>
        <w:rPr>
          <w:rFonts w:ascii="Times New Roman" w:eastAsiaTheme="majorEastAsia" w:hAnsi="Times New Roman" w:cs="Times New Roman"/>
          <w:noProof/>
          <w:color w:val="000000" w:themeColor="text1"/>
          <w:sz w:val="24"/>
          <w:szCs w:val="24"/>
          <w:vertAlign w:val="superscript"/>
        </w:rPr>
        <w:footnoteReference w:id="96"/>
      </w:r>
      <w:r>
        <w:rPr>
          <w:rFonts w:ascii="Times New Roman" w:hAnsi="Times New Roman"/>
          <w:noProof/>
          <w:color w:val="000000" w:themeColor="text1"/>
          <w:sz w:val="24"/>
          <w:szCs w:val="24"/>
        </w:rPr>
        <w:t>.</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Освен това </w:t>
      </w:r>
      <w:r>
        <w:rPr>
          <w:rFonts w:ascii="Times New Roman" w:hAnsi="Times New Roman"/>
          <w:b/>
          <w:bCs/>
          <w:noProof/>
          <w:color w:val="000000" w:themeColor="text1"/>
          <w:sz w:val="24"/>
          <w:szCs w:val="24"/>
        </w:rPr>
        <w:t>е необходимо значително да се укрепи капацитетът на правоприлагащите органи.</w:t>
      </w:r>
      <w:r>
        <w:rPr>
          <w:rFonts w:ascii="Times New Roman" w:hAnsi="Times New Roman"/>
          <w:noProof/>
          <w:color w:val="000000" w:themeColor="text1"/>
          <w:sz w:val="24"/>
          <w:szCs w:val="24"/>
        </w:rPr>
        <w:t xml:space="preserve"> Фалшифицирането и пиратството трябва да се превърнат в основен приоритет. Комисията настоятелно приканва държавите членки и Съвета да включат престъпността, свързана с ИС, сред приоритетите на следващия цикъл на политиката на ЕС –</w:t>
      </w:r>
      <w:r>
        <w:rPr>
          <w:b/>
          <w:bCs/>
          <w:i/>
          <w:iCs/>
          <w:noProof/>
        </w:rPr>
        <w:t xml:space="preserve"> </w:t>
      </w:r>
      <w:r>
        <w:rPr>
          <w:rFonts w:ascii="Times New Roman" w:hAnsi="Times New Roman"/>
          <w:noProof/>
          <w:color w:val="000000" w:themeColor="text1"/>
          <w:sz w:val="24"/>
          <w:szCs w:val="24"/>
        </w:rPr>
        <w:t>Европейската мултидисциплинарна платформа за борба с криминални заплахи</w:t>
      </w:r>
      <w:r>
        <w:rPr>
          <w:rFonts w:ascii="Times New Roman" w:hAnsi="Times New Roman"/>
          <w:b/>
          <w:bCs/>
          <w:noProof/>
          <w:color w:val="000000" w:themeColor="text1"/>
          <w:sz w:val="24"/>
          <w:szCs w:val="24"/>
        </w:rPr>
        <w:t xml:space="preserve"> </w:t>
      </w:r>
      <w:r>
        <w:rPr>
          <w:rFonts w:ascii="Times New Roman" w:hAnsi="Times New Roman"/>
          <w:noProof/>
          <w:color w:val="000000" w:themeColor="text1"/>
          <w:sz w:val="24"/>
          <w:szCs w:val="24"/>
        </w:rPr>
        <w:t>(EMPACT)</w:t>
      </w:r>
      <w:r>
        <w:rPr>
          <w:rFonts w:ascii="Times New Roman" w:eastAsia="Times New Roman" w:hAnsi="Times New Roman" w:cs="Times New Roman"/>
          <w:noProof/>
          <w:color w:val="000000" w:themeColor="text1"/>
          <w:sz w:val="24"/>
          <w:szCs w:val="24"/>
          <w:vertAlign w:val="superscript"/>
        </w:rPr>
        <w:footnoteReference w:id="97"/>
      </w:r>
      <w:r>
        <w:rPr>
          <w:rFonts w:ascii="Times New Roman" w:hAnsi="Times New Roman"/>
          <w:noProof/>
          <w:color w:val="000000" w:themeColor="text1"/>
          <w:sz w:val="24"/>
          <w:szCs w:val="24"/>
        </w:rPr>
        <w:t>, за периода 2022-2025 г. Тя предвижда да укрепи спазването на ПИС на равнището на ЕС, като разшири правомощията на Европейската служба за борба с измамите (OLAF), така че последната не само да предотвратява навлизането на фалшифицирани стоки на единния пазар, но също така да може да противодейства на нелегалното производство на фалшификати в рамките на ЕС.</w:t>
      </w:r>
      <w:r>
        <w:rPr>
          <w:rFonts w:ascii="Times New Roman" w:eastAsia="Times New Roman" w:hAnsi="Times New Roman" w:cs="Times New Roman"/>
          <w:noProof/>
          <w:color w:val="000000" w:themeColor="text1"/>
          <w:sz w:val="24"/>
          <w:szCs w:val="24"/>
          <w:vertAlign w:val="superscript"/>
        </w:rPr>
        <w:footnoteReference w:id="98"/>
      </w:r>
      <w:r>
        <w:rPr>
          <w:rFonts w:ascii="Times New Roman" w:hAnsi="Times New Roman"/>
          <w:noProof/>
          <w:color w:val="000000" w:themeColor="text1"/>
          <w:sz w:val="24"/>
          <w:szCs w:val="24"/>
        </w:rPr>
        <w:t xml:space="preserve"> Комисията насърчава също така всички съответни заинтересовани страни да продължат взаимодействието си с Европол с цел подобряване на цялостната оценка на заплахите и допринасяне за ефективни и координирани действия срещу свързаната с ИС престъпност.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Комисията също така ще подкрепи действията на митническите органи на държавите членки за подобряване на мерките за уравление на риска и за борба с измамите, по-специално чрез изграждането на равнището на ЕС на капацитет за анализ на данни, чрез по-добро екипиране на държавите членки с оборудване за митнически контрол и чрез засилване на сътрудничеството в рамките на ЕС и с митническите органи на държавите партньори</w:t>
      </w:r>
      <w:r>
        <w:rPr>
          <w:rStyle w:val="FootnoteReference"/>
          <w:rFonts w:ascii="Times New Roman" w:eastAsia="Times New Roman" w:hAnsi="Times New Roman" w:cs="Times New Roman"/>
          <w:noProof/>
          <w:color w:val="000000" w:themeColor="text1"/>
          <w:sz w:val="24"/>
          <w:szCs w:val="24"/>
        </w:rPr>
        <w:footnoteReference w:id="99"/>
      </w:r>
      <w:r>
        <w:rPr>
          <w:rFonts w:ascii="Times New Roman" w:hAnsi="Times New Roman"/>
          <w:noProof/>
          <w:color w:val="000000" w:themeColor="text1"/>
          <w:sz w:val="24"/>
          <w:szCs w:val="24"/>
        </w:rPr>
        <w:t xml:space="preserve">.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Комисията ще укрепи сътрудничеството между всички участници — носители на права, доставчици, различни групи посредници (например онлайн платформи, социални медии, рекламна индустрия, платежни услуги, регистратори/регистри на имена на домейни и транспортни и логистични дружества) и публичните правоприлагащи органи (включително административни органи, митници, полиция, органи за надзор на пазара и прокуратура) за противодействие на пиратството и фалшифицирането. За тази цел тя ще създаде </w:t>
      </w:r>
      <w:r>
        <w:rPr>
          <w:rFonts w:ascii="Times New Roman" w:hAnsi="Times New Roman"/>
          <w:b/>
          <w:bCs/>
          <w:noProof/>
          <w:color w:val="000000" w:themeColor="text1"/>
          <w:sz w:val="24"/>
          <w:szCs w:val="24"/>
        </w:rPr>
        <w:t>инструментариум на ЕС за борба с фалшифицирането</w:t>
      </w:r>
      <w:r>
        <w:rPr>
          <w:rFonts w:ascii="Times New Roman" w:hAnsi="Times New Roman"/>
          <w:noProof/>
          <w:color w:val="000000" w:themeColor="text1"/>
          <w:sz w:val="24"/>
          <w:szCs w:val="24"/>
        </w:rPr>
        <w:t>, въз основа, наред с другото, на докладваните практики и на принципите, разработени в контекста на различни инициативи на сектора</w:t>
      </w:r>
      <w:r>
        <w:rPr>
          <w:rStyle w:val="FootnoteReference"/>
          <w:rFonts w:ascii="Times New Roman" w:eastAsia="Times New Roman" w:hAnsi="Times New Roman" w:cs="Times New Roman"/>
          <w:noProof/>
          <w:color w:val="000000" w:themeColor="text1"/>
          <w:sz w:val="24"/>
          <w:szCs w:val="24"/>
        </w:rPr>
        <w:footnoteReference w:id="100"/>
      </w:r>
      <w:r>
        <w:rPr>
          <w:rFonts w:ascii="Times New Roman" w:hAnsi="Times New Roman"/>
          <w:noProof/>
          <w:color w:val="000000" w:themeColor="text1"/>
          <w:sz w:val="24"/>
          <w:szCs w:val="24"/>
        </w:rPr>
        <w:t>. Инструментариумът ще позволи да се внесе повече яснота по отношение на ролите и отговорностите и да се определят механизмите за съвместна работа. Основен елемент е споделянето на значими данни за продукти и търговци в съответствие със законодателството на ЕС за защита на личните данни, във връзка с което може да са необходими допълнителни насоки</w:t>
      </w:r>
      <w:r>
        <w:rPr>
          <w:rStyle w:val="FootnoteReference"/>
          <w:rFonts w:ascii="Times New Roman" w:eastAsia="Times New Roman" w:hAnsi="Times New Roman" w:cs="Times New Roman"/>
          <w:noProof/>
          <w:color w:val="000000" w:themeColor="text1"/>
          <w:sz w:val="24"/>
          <w:szCs w:val="24"/>
        </w:rPr>
        <w:footnoteReference w:id="101"/>
      </w:r>
      <w:r>
        <w:rPr>
          <w:rFonts w:ascii="Times New Roman" w:hAnsi="Times New Roman"/>
          <w:noProof/>
          <w:color w:val="000000" w:themeColor="text1"/>
          <w:sz w:val="24"/>
          <w:szCs w:val="24"/>
        </w:rPr>
        <w:t>. Инструментариумът също така ще насърчи използването на нови технологии, като например разпознаване на изображения, изкуствен интелект и блокови вериги</w:t>
      </w:r>
      <w:r>
        <w:rPr>
          <w:rStyle w:val="FootnoteReference"/>
          <w:rFonts w:ascii="Times New Roman" w:eastAsia="Times New Roman" w:hAnsi="Times New Roman" w:cs="Times New Roman"/>
          <w:noProof/>
          <w:color w:val="000000" w:themeColor="text1"/>
          <w:sz w:val="24"/>
          <w:szCs w:val="24"/>
        </w:rPr>
        <w:footnoteReference w:id="102"/>
      </w:r>
      <w:r>
        <w:rPr>
          <w:rFonts w:ascii="Times New Roman" w:hAnsi="Times New Roman"/>
          <w:noProof/>
          <w:color w:val="000000" w:themeColor="text1"/>
          <w:sz w:val="24"/>
          <w:szCs w:val="24"/>
        </w:rPr>
        <w:t>. Когато е подходящо, инструментариумът ще бъде съпътстван от референтни показатели, за да бъде възможно измерването на напредъка.</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Опирайки се на успеха на  конкретни превантивни и репресивни действия срещу фалшифицирани продукти, свързани с COVID-19</w:t>
      </w:r>
      <w:r>
        <w:rPr>
          <w:rStyle w:val="FootnoteReference"/>
          <w:rFonts w:ascii="Times New Roman" w:eastAsia="Times New Roman" w:hAnsi="Times New Roman" w:cs="Times New Roman"/>
          <w:noProof/>
          <w:color w:val="000000" w:themeColor="text1"/>
          <w:sz w:val="24"/>
          <w:szCs w:val="24"/>
        </w:rPr>
        <w:footnoteReference w:id="103"/>
      </w:r>
      <w:r>
        <w:rPr>
          <w:rFonts w:ascii="Times New Roman" w:hAnsi="Times New Roman"/>
          <w:noProof/>
          <w:color w:val="000000" w:themeColor="text1"/>
          <w:sz w:val="24"/>
          <w:szCs w:val="24"/>
        </w:rPr>
        <w:t xml:space="preserve">, Комисията ще насърчава </w:t>
      </w:r>
      <w:r>
        <w:rPr>
          <w:rFonts w:ascii="Times New Roman" w:hAnsi="Times New Roman"/>
          <w:b/>
          <w:bCs/>
          <w:noProof/>
          <w:color w:val="000000" w:themeColor="text1"/>
          <w:sz w:val="24"/>
          <w:szCs w:val="24"/>
        </w:rPr>
        <w:t xml:space="preserve">кампании </w:t>
      </w:r>
      <w:r>
        <w:rPr>
          <w:rFonts w:ascii="Times New Roman" w:hAnsi="Times New Roman"/>
          <w:noProof/>
          <w:color w:val="000000" w:themeColor="text1"/>
          <w:sz w:val="24"/>
          <w:szCs w:val="24"/>
        </w:rPr>
        <w:t>за борба с навлизането на пазара на онези фалшификати, които нанасят най-голяма вреда на потребителите</w:t>
      </w:r>
      <w:r>
        <w:rPr>
          <w:rStyle w:val="FootnoteReference"/>
          <w:rFonts w:ascii="Times New Roman" w:eastAsia="Times New Roman" w:hAnsi="Times New Roman" w:cs="Times New Roman"/>
          <w:noProof/>
          <w:color w:val="000000" w:themeColor="text1"/>
          <w:sz w:val="24"/>
          <w:szCs w:val="24"/>
        </w:rPr>
        <w:footnoteReference w:id="104"/>
      </w:r>
      <w:r>
        <w:rPr>
          <w:rFonts w:ascii="Times New Roman" w:hAnsi="Times New Roman"/>
          <w:noProof/>
          <w:color w:val="000000" w:themeColor="text1"/>
          <w:sz w:val="24"/>
          <w:szCs w:val="24"/>
        </w:rPr>
        <w:t xml:space="preserve">. </w:t>
      </w:r>
    </w:p>
    <w:p>
      <w:pPr>
        <w:spacing w:before="120"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И накрая, икономическото въздействие на кибернетичните кражби на търговски тайни би могло да бъде намалено в значителна степен чрез </w:t>
      </w:r>
      <w:r>
        <w:rPr>
          <w:rFonts w:ascii="Times New Roman" w:hAnsi="Times New Roman"/>
          <w:b/>
          <w:bCs/>
          <w:noProof/>
          <w:color w:val="000000" w:themeColor="text1"/>
          <w:sz w:val="24"/>
          <w:szCs w:val="24"/>
        </w:rPr>
        <w:t>насърчаване на повишаването на осведомеността за киберсигурността и на умелото управление на ИС</w:t>
      </w:r>
      <w:r>
        <w:rPr>
          <w:rFonts w:ascii="Times New Roman" w:hAnsi="Times New Roman"/>
          <w:noProof/>
          <w:color w:val="000000" w:themeColor="text1"/>
          <w:sz w:val="24"/>
          <w:szCs w:val="24"/>
        </w:rPr>
        <w:t>. Съобразно своята компетентност в областта на киберсигурността и в съответствие със своите действия за повишаване на осведомеността в рамките на стратегията за Съюз на сигурност</w:t>
      </w:r>
      <w:r>
        <w:rPr>
          <w:rStyle w:val="FootnoteReference"/>
          <w:rFonts w:ascii="Times New Roman" w:eastAsia="Times New Roman" w:hAnsi="Times New Roman" w:cs="Times New Roman"/>
          <w:noProof/>
          <w:color w:val="000000" w:themeColor="text1"/>
          <w:sz w:val="24"/>
          <w:szCs w:val="24"/>
        </w:rPr>
        <w:footnoteReference w:id="105"/>
      </w:r>
      <w:r>
        <w:rPr>
          <w:rFonts w:ascii="Times New Roman" w:hAnsi="Times New Roman"/>
          <w:noProof/>
          <w:color w:val="000000" w:themeColor="text1"/>
          <w:sz w:val="24"/>
          <w:szCs w:val="24"/>
        </w:rPr>
        <w:t>,</w:t>
      </w:r>
      <w:r>
        <w:rPr>
          <w:i/>
          <w:iCs/>
          <w:noProof/>
        </w:rPr>
        <w:t xml:space="preserve"> </w:t>
      </w:r>
      <w:r>
        <w:rPr>
          <w:rFonts w:ascii="Times New Roman" w:hAnsi="Times New Roman"/>
          <w:noProof/>
          <w:color w:val="000000" w:themeColor="text1"/>
          <w:sz w:val="24"/>
          <w:szCs w:val="24"/>
        </w:rPr>
        <w:t>Комисията, в сътрудничество с EUIPO, държавите членки и деловите среди, ще разработи инструменти за повишаване на осведомеността и целеви насоки, които ще повишат устойчивостта на предприятията в ЕС (и по-специално МСП) спрямо кибернетичните кражби на търговски тайни.</w:t>
      </w:r>
    </w:p>
    <w:p>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noProof/>
          <w:color w:val="000000" w:themeColor="text1"/>
          <w:sz w:val="24"/>
          <w:szCs w:val="24"/>
        </w:rPr>
        <w:t>С цел борба срещу нарушенията на ПИС Комисията:</w:t>
      </w:r>
    </w:p>
    <w:p>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hAnsi="Times New Roman"/>
          <w:bCs/>
          <w:noProof/>
          <w:color w:val="000000" w:themeColor="text1"/>
          <w:sz w:val="24"/>
          <w:szCs w:val="24"/>
        </w:rPr>
        <w:t>изясни и увеличи</w:t>
      </w:r>
      <w:r>
        <w:rPr>
          <w:rFonts w:ascii="Times New Roman" w:hAnsi="Times New Roman"/>
          <w:b/>
          <w:bCs/>
          <w:noProof/>
          <w:color w:val="000000" w:themeColor="text1"/>
          <w:sz w:val="24"/>
          <w:szCs w:val="24"/>
        </w:rPr>
        <w:t xml:space="preserve"> отговорностите на цифровите услуги, и по-специално на онлайн платформите</w:t>
      </w:r>
      <w:r>
        <w:rPr>
          <w:rFonts w:ascii="Times New Roman" w:hAnsi="Times New Roman"/>
          <w:noProof/>
          <w:color w:val="000000" w:themeColor="text1"/>
          <w:sz w:val="24"/>
          <w:szCs w:val="24"/>
        </w:rPr>
        <w:t>, посредством законодателството относно цифровите услуги (четвърто тримесечие на 2020 г.),</w:t>
      </w:r>
    </w:p>
    <w:p>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ще укрепи ролята на OLAF в борбата срещу фалшифицирането и пиратството (2022 г.),</w:t>
      </w:r>
    </w:p>
    <w:p>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hAnsi="Times New Roman"/>
          <w:b/>
          <w:bCs/>
          <w:noProof/>
          <w:color w:val="000000" w:themeColor="text1"/>
          <w:sz w:val="24"/>
          <w:szCs w:val="24"/>
        </w:rPr>
        <w:t>ще създаде инструментариум на ЕС за борба с фалшифицирането</w:t>
      </w:r>
      <w:r>
        <w:rPr>
          <w:rFonts w:ascii="Times New Roman" w:hAnsi="Times New Roman"/>
          <w:noProof/>
          <w:color w:val="000000" w:themeColor="text1"/>
          <w:sz w:val="24"/>
          <w:szCs w:val="24"/>
        </w:rPr>
        <w:t>, в който ще бъдат дефинирани принципите, от които ще се ръководят съвместните действия, сътрудничеството и споделянето на данни между носителите на права, посредниците и правоприлагащите органи (второ тримесечие на 2022 г.).</w:t>
      </w:r>
    </w:p>
    <w:p>
      <w:pPr>
        <w:pStyle w:val="Heading2"/>
        <w:numPr>
          <w:ilvl w:val="0"/>
          <w:numId w:val="7"/>
        </w:numPr>
        <w:spacing w:before="360" w:after="120" w:line="240" w:lineRule="auto"/>
        <w:ind w:left="357" w:hanging="357"/>
        <w:jc w:val="both"/>
        <w:rPr>
          <w:rFonts w:ascii="Times New Roman" w:eastAsia="Times New Roman" w:hAnsi="Times New Roman" w:cs="Times New Roman"/>
          <w:b/>
          <w:bCs/>
          <w:noProof/>
          <w:color w:val="000000" w:themeColor="text1"/>
          <w:sz w:val="28"/>
          <w:szCs w:val="28"/>
        </w:rPr>
      </w:pPr>
      <w:r>
        <w:rPr>
          <w:rFonts w:ascii="Times New Roman" w:hAnsi="Times New Roman"/>
          <w:b/>
          <w:bCs/>
          <w:smallCaps/>
          <w:noProof/>
          <w:color w:val="000000" w:themeColor="text1"/>
          <w:sz w:val="28"/>
          <w:szCs w:val="28"/>
        </w:rPr>
        <w:t>еднакви условия на конкуренция в световен мащаб</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ИС играе важна роля в търговията и инвестициите и в нашите отношения с държавите извън ЕС. На отраслите с интензивно използване на ПИС се падат 93 % от общия износ на стоки от ЕС към останалата част на света.</w:t>
      </w:r>
      <w:r>
        <w:rPr>
          <w:rFonts w:ascii="Times New Roman" w:eastAsia="Times New Roman" w:hAnsi="Times New Roman" w:cs="Times New Roman"/>
          <w:noProof/>
          <w:color w:val="000000" w:themeColor="text1"/>
          <w:sz w:val="24"/>
          <w:szCs w:val="24"/>
          <w:vertAlign w:val="superscript"/>
        </w:rPr>
        <w:footnoteReference w:id="106"/>
      </w:r>
      <w:r>
        <w:rPr>
          <w:rFonts w:ascii="Times New Roman" w:hAnsi="Times New Roman"/>
          <w:noProof/>
          <w:color w:val="000000" w:themeColor="text1"/>
          <w:sz w:val="24"/>
          <w:szCs w:val="24"/>
        </w:rPr>
        <w:t xml:space="preserve"> Все по-голям брой държави по света използват активи на ИС, за да засилят своето развитие и своята национална конкурентоспособност. Политиките за закрила на ИС придобиват геополитическо значение</w:t>
      </w:r>
      <w:r>
        <w:rPr>
          <w:rStyle w:val="FootnoteReference"/>
          <w:rFonts w:ascii="Times New Roman" w:eastAsia="Times New Roman" w:hAnsi="Times New Roman" w:cs="Times New Roman"/>
          <w:noProof/>
          <w:color w:val="000000" w:themeColor="text1"/>
          <w:sz w:val="24"/>
          <w:szCs w:val="24"/>
          <w:lang w:val="en-IE"/>
        </w:rPr>
        <w:footnoteReference w:id="107"/>
      </w:r>
      <w:r>
        <w:rPr>
          <w:rFonts w:ascii="Times New Roman" w:hAnsi="Times New Roman"/>
          <w:noProof/>
          <w:color w:val="000000" w:themeColor="text1"/>
          <w:sz w:val="24"/>
          <w:szCs w:val="24"/>
        </w:rPr>
        <w:t xml:space="preserve">. </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Нашите предприятия трябва да разчитат на стабилна, глобална равнопоставеност, когато се конкурират в чужбина. Фактите обаче</w:t>
      </w:r>
      <w:r>
        <w:rPr>
          <w:rStyle w:val="FootnoteReference"/>
          <w:rFonts w:ascii="Times New Roman" w:eastAsia="Times New Roman" w:hAnsi="Times New Roman" w:cs="Times New Roman"/>
          <w:noProof/>
          <w:color w:val="000000" w:themeColor="text1"/>
          <w:sz w:val="24"/>
          <w:szCs w:val="24"/>
        </w:rPr>
        <w:footnoteReference w:id="108"/>
      </w:r>
      <w:r>
        <w:rPr>
          <w:rFonts w:ascii="Times New Roman" w:hAnsi="Times New Roman"/>
          <w:noProof/>
          <w:color w:val="000000" w:themeColor="text1"/>
          <w:sz w:val="24"/>
          <w:szCs w:val="24"/>
        </w:rPr>
        <w:t xml:space="preserve"> сочат, че нашите предприятия все още са изправени пред сериозни предизвикателства, когато извършват дейност в държави извън ЕС, включително слаби правила за ИС и незадоволително правоприлагане, принудителен трансфер на технологии и други нелоялни практики, като например ограничения в притежаването на ИС върху резултатите от съвместни научни изследвания, забрани за водене на съдебно производство, имащи твърде широк екстратериториален обхват, и кибернетични кражби. </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Със своя обширен единен пазар</w:t>
      </w:r>
      <w:r>
        <w:rPr>
          <w:rFonts w:ascii="Times New Roman" w:hAnsi="Times New Roman"/>
          <w:b/>
          <w:bCs/>
          <w:noProof/>
          <w:sz w:val="24"/>
          <w:szCs w:val="24"/>
        </w:rPr>
        <w:t xml:space="preserve"> ЕС е в уникалната позиция да играе ролята на лидер, определящ стандартите в областта на ИС, в световен мащаб</w:t>
      </w:r>
      <w:r>
        <w:rPr>
          <w:rFonts w:ascii="Times New Roman" w:hAnsi="Times New Roman"/>
          <w:b/>
          <w:bCs/>
          <w:noProof/>
          <w:color w:val="000000" w:themeColor="text1"/>
          <w:sz w:val="24"/>
          <w:szCs w:val="24"/>
        </w:rPr>
        <w:t xml:space="preserve">. </w:t>
      </w:r>
      <w:r>
        <w:rPr>
          <w:rFonts w:ascii="Times New Roman" w:hAnsi="Times New Roman"/>
          <w:noProof/>
          <w:color w:val="000000" w:themeColor="text1"/>
          <w:sz w:val="24"/>
          <w:szCs w:val="24"/>
        </w:rPr>
        <w:t xml:space="preserve">Той може и ще продължи да се бори за стабилна и ефективна глобална рамка в областта на ИС. В същото време е необходимо </w:t>
      </w:r>
      <w:r>
        <w:rPr>
          <w:rFonts w:ascii="Times New Roman" w:hAnsi="Times New Roman"/>
          <w:b/>
          <w:bCs/>
          <w:noProof/>
          <w:color w:val="000000" w:themeColor="text1"/>
          <w:sz w:val="24"/>
          <w:szCs w:val="24"/>
        </w:rPr>
        <w:t>по-добре да се предпазим от кражби на ИС</w:t>
      </w:r>
      <w:r>
        <w:rPr>
          <w:rFonts w:ascii="Times New Roman" w:hAnsi="Times New Roman"/>
          <w:noProof/>
          <w:color w:val="000000" w:themeColor="text1"/>
          <w:sz w:val="24"/>
          <w:szCs w:val="24"/>
        </w:rPr>
        <w:t>, свързания с ИС шпионаж и други незаконни присвоявания на ИС, които произхождат от държави извън ЕС, но засягат нашите европейски пазари.  Държавите членки следва също така да обърнат специално внимание на ефективната закрила на ИС в критичните технологии, за да се гарантира нашата устойчивост в стратегическите сектори.</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За тази цел Комисията ще предприеме следните действия:  </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контекста на </w:t>
      </w:r>
      <w:r>
        <w:rPr>
          <w:rFonts w:ascii="Times New Roman" w:hAnsi="Times New Roman"/>
          <w:b/>
          <w:bCs/>
          <w:noProof/>
          <w:color w:val="000000" w:themeColor="text1"/>
          <w:sz w:val="24"/>
          <w:szCs w:val="24"/>
        </w:rPr>
        <w:t>споразуменията за свободна търговия</w:t>
      </w:r>
      <w:r>
        <w:rPr>
          <w:rFonts w:ascii="Times New Roman" w:hAnsi="Times New Roman"/>
          <w:noProof/>
          <w:color w:val="000000" w:themeColor="text1"/>
          <w:sz w:val="24"/>
          <w:szCs w:val="24"/>
        </w:rPr>
        <w:t xml:space="preserve"> (ССТ) Комисията ще продължи да се стреми към амбициозни раздели относно ИС с високи стандарти за закрила, с цел да се гарантира равнопоставеност на предприятията от ЕС и да се даде тласък на икономическия растеж. Тя ще се стреми към пълно прилагане на разпоредбите в областта на ИС в съществуващите ССТ, включително чрез уреждане на спорове и, когато е приложимо, използването на Регламента за правоприлагането в областта на търговията, след като бъде изменен.</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 xml:space="preserve">Комисията ще използва пълноценно </w:t>
      </w:r>
      <w:r>
        <w:rPr>
          <w:rFonts w:ascii="Times New Roman" w:hAnsi="Times New Roman"/>
          <w:b/>
          <w:bCs/>
          <w:noProof/>
          <w:sz w:val="24"/>
          <w:szCs w:val="24"/>
        </w:rPr>
        <w:t>диалога по въпроси на ИС</w:t>
      </w:r>
      <w:r>
        <w:rPr>
          <w:rFonts w:ascii="Times New Roman" w:hAnsi="Times New Roman"/>
          <w:noProof/>
          <w:sz w:val="24"/>
          <w:szCs w:val="24"/>
        </w:rPr>
        <w:t xml:space="preserve"> с главните търговски партньори и други приоритетни държави, като например Съединените американски щати, Китай, Република Корея, Тайланд, Турция и Бразилия, за насърчаване на реформи и допълнително ще разшири обхвата на своите програми „IP Key“, предлагащи техническо сътрудничество с Китай, Югоизточна Азия и Латинска Америка.</w:t>
      </w:r>
      <w:r>
        <w:rPr>
          <w:rFonts w:ascii="Times New Roman" w:hAnsi="Times New Roman"/>
          <w:noProof/>
          <w:color w:val="000000" w:themeColor="text1"/>
          <w:sz w:val="24"/>
          <w:szCs w:val="24"/>
        </w:rPr>
        <w:t xml:space="preserve"> </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Въпреки че Комисията ще продължи да насърчава равнопоставеността в световен мащаб, тя ще увеличи усилията в защита на дружествата от ЕС срещу нелоялните практики. Тя ще използва като средство за влияние </w:t>
      </w:r>
      <w:r>
        <w:rPr>
          <w:rFonts w:ascii="Times New Roman" w:hAnsi="Times New Roman"/>
          <w:b/>
          <w:bCs/>
          <w:noProof/>
          <w:color w:val="000000" w:themeColor="text1"/>
          <w:sz w:val="24"/>
          <w:szCs w:val="24"/>
        </w:rPr>
        <w:t>списъка за наблюдение на фалшифицирането и пиратството</w:t>
      </w:r>
      <w:r>
        <w:rPr>
          <w:rStyle w:val="FootnoteReference"/>
          <w:rFonts w:ascii="Times New Roman" w:eastAsia="Times New Roman" w:hAnsi="Times New Roman" w:cs="Times New Roman"/>
          <w:noProof/>
          <w:color w:val="000000" w:themeColor="text1"/>
          <w:sz w:val="24"/>
          <w:szCs w:val="24"/>
          <w:lang w:val="en-IE"/>
        </w:rPr>
        <w:footnoteReference w:id="109"/>
      </w:r>
      <w:r>
        <w:rPr>
          <w:rFonts w:ascii="Times New Roman" w:hAnsi="Times New Roman"/>
          <w:noProof/>
          <w:color w:val="000000" w:themeColor="text1"/>
          <w:sz w:val="24"/>
          <w:szCs w:val="24"/>
        </w:rPr>
        <w:t xml:space="preserve">, в който се посочват пазарите и доставчиците на услуги, за които се твърди, че участват, улесняват или се възползват от фалшифициране и пиратство, а също така </w:t>
      </w:r>
      <w:r>
        <w:rPr>
          <w:rFonts w:ascii="Times New Roman" w:hAnsi="Times New Roman"/>
          <w:b/>
          <w:bCs/>
          <w:noProof/>
          <w:color w:val="000000" w:themeColor="text1"/>
          <w:sz w:val="24"/>
          <w:szCs w:val="24"/>
        </w:rPr>
        <w:t>Доклада относно третите държави</w:t>
      </w:r>
      <w:r>
        <w:rPr>
          <w:rStyle w:val="FootnoteReference"/>
          <w:rFonts w:ascii="Times New Roman" w:eastAsia="Times New Roman" w:hAnsi="Times New Roman" w:cs="Times New Roman"/>
          <w:noProof/>
          <w:color w:val="000000" w:themeColor="text1"/>
          <w:sz w:val="24"/>
          <w:szCs w:val="24"/>
          <w:lang w:val="en-IE"/>
        </w:rPr>
        <w:footnoteReference w:id="110"/>
      </w:r>
      <w:r>
        <w:rPr>
          <w:rFonts w:ascii="Times New Roman" w:hAnsi="Times New Roman"/>
          <w:noProof/>
          <w:color w:val="000000" w:themeColor="text1"/>
          <w:sz w:val="24"/>
          <w:szCs w:val="24"/>
        </w:rPr>
        <w:t xml:space="preserve">, в който се идентифицират трети държави, в които състоянието на закрилата и спазването на ПИС (както онлайн, така и офлайн) поражда най-голямо ниво на загриженост. Както списъкът за наблюдение, така и докладът ще бъдат редовно актуализирани, а действията за отстраняване на установените недостатъци ще се следят внимателно. </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Освен това в своите Насоки от март 2020 г. относно преките чуждестранни инвестиции и защитата на стратегическите активи на Европа от март 2020 г. Комисията прикани всички държави — членки на ЕС, да използват пълноценно своите </w:t>
      </w:r>
      <w:r>
        <w:rPr>
          <w:rFonts w:ascii="Times New Roman" w:hAnsi="Times New Roman"/>
          <w:b/>
          <w:bCs/>
          <w:noProof/>
          <w:color w:val="000000" w:themeColor="text1"/>
          <w:sz w:val="24"/>
          <w:szCs w:val="24"/>
        </w:rPr>
        <w:t>механизми за скрининг на чуждестранни инвестиции</w:t>
      </w:r>
      <w:r>
        <w:rPr>
          <w:rFonts w:ascii="Times New Roman" w:hAnsi="Times New Roman"/>
          <w:noProof/>
          <w:color w:val="000000" w:themeColor="text1"/>
          <w:sz w:val="24"/>
          <w:szCs w:val="24"/>
        </w:rPr>
        <w:t>, като същевременно прикани онези държави членки, които понастоящем не разполагат с механизъм за скрининг, да създадат пълноценен механизъм за скрининг, за да се отчетат съответните аспекти, свързани със сигурността и обществения ред, на преките чуждестранни инвестиции, които могат да включват критични активи в областта на ИС в Европейския съюз</w:t>
      </w:r>
      <w:r>
        <w:rPr>
          <w:rFonts w:ascii="Times New Roman" w:eastAsia="Times New Roman" w:hAnsi="Times New Roman" w:cs="Times New Roman"/>
          <w:noProof/>
          <w:color w:val="000000" w:themeColor="text1"/>
          <w:sz w:val="24"/>
          <w:szCs w:val="24"/>
          <w:vertAlign w:val="superscript"/>
          <w:lang w:val="en-US"/>
        </w:rPr>
        <w:footnoteReference w:id="111"/>
      </w:r>
      <w:r>
        <w:rPr>
          <w:rFonts w:ascii="Times New Roman" w:hAnsi="Times New Roman"/>
          <w:noProof/>
          <w:color w:val="000000" w:themeColor="text1"/>
          <w:sz w:val="24"/>
          <w:szCs w:val="24"/>
        </w:rPr>
        <w:t xml:space="preserve">. </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Комисията също така смята, че е необходимо да </w:t>
      </w:r>
      <w:r>
        <w:rPr>
          <w:rFonts w:ascii="Times New Roman" w:hAnsi="Times New Roman"/>
          <w:b/>
          <w:bCs/>
          <w:noProof/>
          <w:color w:val="000000" w:themeColor="text1"/>
          <w:sz w:val="24"/>
          <w:szCs w:val="24"/>
        </w:rPr>
        <w:t xml:space="preserve"> </w:t>
      </w:r>
      <w:r>
        <w:rPr>
          <w:rFonts w:ascii="Times New Roman" w:hAnsi="Times New Roman"/>
          <w:noProof/>
          <w:color w:val="000000" w:themeColor="text1"/>
          <w:sz w:val="24"/>
          <w:szCs w:val="24"/>
        </w:rPr>
        <w:t>се гарантира, че всички държави извън ЕС и техните предприятия спазват правилата,</w:t>
      </w:r>
      <w:r>
        <w:rPr>
          <w:rFonts w:ascii="Times New Roman" w:hAnsi="Times New Roman"/>
          <w:b/>
          <w:bCs/>
          <w:noProof/>
          <w:color w:val="000000" w:themeColor="text1"/>
          <w:sz w:val="24"/>
          <w:szCs w:val="24"/>
        </w:rPr>
        <w:t xml:space="preserve"> </w:t>
      </w:r>
      <w:r>
        <w:rPr>
          <w:rFonts w:ascii="Times New Roman" w:hAnsi="Times New Roman"/>
          <w:noProof/>
          <w:color w:val="000000" w:themeColor="text1"/>
          <w:sz w:val="24"/>
          <w:szCs w:val="24"/>
        </w:rPr>
        <w:t>включително когато си сътрудничат с европейски изследователски организации</w:t>
      </w:r>
      <w:r>
        <w:rPr>
          <w:rFonts w:ascii="Times New Roman" w:hAnsi="Times New Roman"/>
          <w:b/>
          <w:bCs/>
          <w:noProof/>
          <w:color w:val="000000" w:themeColor="text1"/>
          <w:sz w:val="24"/>
          <w:szCs w:val="24"/>
        </w:rPr>
        <w:t>.</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За тази цел ще бъдат разработени </w:t>
      </w:r>
      <w:r>
        <w:rPr>
          <w:rFonts w:ascii="Times New Roman" w:hAnsi="Times New Roman"/>
          <w:b/>
          <w:bCs/>
          <w:noProof/>
          <w:sz w:val="24"/>
          <w:szCs w:val="24"/>
        </w:rPr>
        <w:t>нови рамкови условия за международно сътрудничество в областта на научните изследвания със субекти от държави извън ЕС</w:t>
      </w:r>
      <w:r>
        <w:rPr>
          <w:rFonts w:ascii="Times New Roman" w:hAnsi="Times New Roman"/>
          <w:noProof/>
          <w:color w:val="000000" w:themeColor="text1"/>
          <w:sz w:val="24"/>
          <w:szCs w:val="24"/>
        </w:rPr>
        <w:t xml:space="preserve">. Те ще осигурят справедлива и ненарушаваща конкуренцията глобална екосистема за иновации, основана на равнопоставеност и реципрочност, като същевременно ще запазят високи етични и научни стандарти за почтеност. В тази връзка Комисията ще изготви насоки за чуждестранната намеса, чийто адресат ще бъдат университетите и висшите учебни заведения в ЕС, с цел да се повиши осведомеността за възможните кражби на ИС при участие в международно сътрудничество (2021 г.). </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областта на външната политика Комисията, в сътрудничество с върховния представител и държавите членки, е готова да използва наличните ограничителни мерки за противодействие на частния и спонсорирания от държавното управление </w:t>
      </w:r>
      <w:r>
        <w:rPr>
          <w:rFonts w:ascii="Times New Roman" w:hAnsi="Times New Roman"/>
          <w:b/>
          <w:bCs/>
          <w:noProof/>
          <w:color w:val="000000" w:themeColor="text1"/>
          <w:sz w:val="24"/>
          <w:szCs w:val="24"/>
        </w:rPr>
        <w:t>кибершпионаж</w:t>
      </w:r>
      <w:r>
        <w:rPr>
          <w:rFonts w:ascii="Times New Roman" w:hAnsi="Times New Roman"/>
          <w:noProof/>
          <w:color w:val="000000" w:themeColor="text1"/>
          <w:sz w:val="24"/>
          <w:szCs w:val="24"/>
        </w:rPr>
        <w:t>, с който се цели придобиването на авангардни европейски активи на ИС.</w:t>
      </w:r>
      <w:r>
        <w:rPr>
          <w:rStyle w:val="FootnoteReference"/>
          <w:rFonts w:ascii="Times New Roman" w:eastAsia="Times New Roman" w:hAnsi="Times New Roman" w:cs="Times New Roman"/>
          <w:noProof/>
          <w:color w:val="000000" w:themeColor="text1"/>
          <w:sz w:val="24"/>
          <w:szCs w:val="24"/>
        </w:rPr>
        <w:footnoteReference w:id="112"/>
      </w:r>
      <w:r>
        <w:rPr>
          <w:rFonts w:ascii="Times New Roman" w:hAnsi="Times New Roman"/>
          <w:noProof/>
          <w:color w:val="000000" w:themeColor="text1"/>
          <w:sz w:val="24"/>
          <w:szCs w:val="24"/>
        </w:rPr>
        <w:t xml:space="preserve"> </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Изключително важно е </w:t>
      </w:r>
      <w:r>
        <w:rPr>
          <w:rFonts w:ascii="Times New Roman" w:hAnsi="Times New Roman"/>
          <w:b/>
          <w:bCs/>
          <w:noProof/>
          <w:color w:val="000000" w:themeColor="text1"/>
          <w:sz w:val="24"/>
          <w:szCs w:val="24"/>
        </w:rPr>
        <w:t>ЕС да говори решително и на един глас на световни форуми,</w:t>
      </w:r>
      <w:r>
        <w:rPr>
          <w:rFonts w:ascii="Times New Roman" w:hAnsi="Times New Roman"/>
          <w:noProof/>
          <w:color w:val="000000" w:themeColor="text1"/>
          <w:sz w:val="24"/>
          <w:szCs w:val="24"/>
        </w:rPr>
        <w:t xml:space="preserve"> като например Световната организация за интелектуална собственост (СОИС), Световната търговска организация (СТО</w:t>
      </w:r>
      <w:r>
        <w:rPr>
          <w:rFonts w:ascii="Times New Roman" w:hAnsi="Times New Roman"/>
          <w:noProof/>
          <w:sz w:val="24"/>
          <w:szCs w:val="24"/>
        </w:rPr>
        <w:t xml:space="preserve">), </w:t>
      </w:r>
      <w:r>
        <w:rPr>
          <w:rFonts w:ascii="Times New Roman" w:hAnsi="Times New Roman"/>
          <w:noProof/>
          <w:color w:val="4D5156"/>
          <w:sz w:val="24"/>
          <w:szCs w:val="24"/>
          <w:shd w:val="clear" w:color="auto" w:fill="FFFFFF"/>
        </w:rPr>
        <w:t>М</w:t>
      </w:r>
      <w:r>
        <w:rPr>
          <w:rFonts w:ascii="Times New Roman" w:hAnsi="Times New Roman"/>
          <w:noProof/>
          <w:sz w:val="24"/>
          <w:szCs w:val="24"/>
        </w:rPr>
        <w:t xml:space="preserve">еждународния съюз за закрила на новите сортове растения (UPOV), Световната здравна организация (СЗО) и Организацията за икономическо сътрудничество и развитие (ОИСР). Комисията ще работи съвместно с държавите членки и другите заинтересовани страни за дефинирането и защитата на глобални стандарти за закрила на ИС и за намирането на възможно най-добрите решения на новите предизвикателства, като например необходимостта да се осигури равноправен достъп до лечение, ваксини и диагностика в борбата срещу </w:t>
      </w:r>
      <w:r>
        <w:rPr>
          <w:rFonts w:ascii="Times New Roman" w:hAnsi="Times New Roman"/>
          <w:noProof/>
          <w:color w:val="000000" w:themeColor="text1"/>
          <w:sz w:val="24"/>
          <w:szCs w:val="24"/>
        </w:rPr>
        <w:t>COVID-19. Дебатът в рамките на СОИС по въпроса за отражението на ИИ върху ИС е друга уникална възможност за Европа да упражни влияние в момент, в който правилата все още се дефинират, което може да има дълготрайно въздействие върху протичащата в този момент цифрова трансформация на световната икономика.</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За да защити стойността на марките, Комисията ще обмисли възможността  за</w:t>
      </w:r>
      <w:r>
        <w:rPr>
          <w:rFonts w:ascii="Times New Roman" w:hAnsi="Times New Roman"/>
          <w:b/>
          <w:noProof/>
          <w:color w:val="000000" w:themeColor="text1"/>
          <w:sz w:val="24"/>
          <w:szCs w:val="24"/>
        </w:rPr>
        <w:t>присъединяване на ЕС към Сингапурския договор за правото в областта на търговските марки</w:t>
      </w:r>
      <w:r>
        <w:rPr>
          <w:rFonts w:ascii="Times New Roman" w:hAnsi="Times New Roman"/>
          <w:noProof/>
          <w:color w:val="000000" w:themeColor="text1"/>
          <w:sz w:val="24"/>
          <w:szCs w:val="24"/>
        </w:rPr>
        <w:t xml:space="preserve">. Комисията ще работи заедно с международните партньори за осигуряване закрилата на ГО в целия свят чрез многостранния лисабонски регистър на СОИС. </w:t>
      </w:r>
      <w:r>
        <w:rPr>
          <w:rFonts w:ascii="Times New Roman" w:hAnsi="Times New Roman"/>
          <w:noProof/>
          <w:sz w:val="24"/>
          <w:szCs w:val="24"/>
        </w:rPr>
        <w:t>Тя ще активизира също така участието си в световни форуми в интернет, така че международната система от имена на домейни напълно да спазва ПИС, включително ГО, и ще гарантира, че закрилата на ИС е инкорпорирана по подходящ начин и в политиките, отнасящи се до управлението на пространството с имена на домейни и до достъпа на регистрантите до информация (данните „Whois“).</w:t>
      </w:r>
      <w:r>
        <w:rPr>
          <w:rFonts w:ascii="Times New Roman" w:hAnsi="Times New Roman"/>
          <w:noProof/>
          <w:color w:val="000000" w:themeColor="text1"/>
          <w:sz w:val="24"/>
          <w:szCs w:val="24"/>
        </w:rPr>
        <w:t xml:space="preserve"> В областта на </w:t>
      </w:r>
      <w:r>
        <w:rPr>
          <w:rFonts w:ascii="Times New Roman" w:hAnsi="Times New Roman"/>
          <w:b/>
          <w:bCs/>
          <w:noProof/>
          <w:color w:val="000000" w:themeColor="text1"/>
          <w:sz w:val="24"/>
          <w:szCs w:val="24"/>
        </w:rPr>
        <w:t>авторското право</w:t>
      </w:r>
      <w:r>
        <w:rPr>
          <w:rFonts w:ascii="Times New Roman" w:hAnsi="Times New Roman"/>
          <w:noProof/>
          <w:color w:val="000000" w:themeColor="text1"/>
          <w:sz w:val="24"/>
          <w:szCs w:val="24"/>
        </w:rPr>
        <w:t xml:space="preserve"> Комисията ще продължи да участва активно в преговорите на СОИС с цел постигане на споразумение за нов договор, осигуряващ международна закрила на </w:t>
      </w:r>
      <w:r>
        <w:rPr>
          <w:rFonts w:ascii="Times New Roman" w:hAnsi="Times New Roman"/>
          <w:b/>
          <w:bCs/>
          <w:noProof/>
          <w:color w:val="000000" w:themeColor="text1"/>
          <w:sz w:val="24"/>
          <w:szCs w:val="24"/>
        </w:rPr>
        <w:t>излъчващите</w:t>
      </w:r>
      <w:r>
        <w:rPr>
          <w:rFonts w:ascii="Times New Roman" w:hAnsi="Times New Roman"/>
          <w:noProof/>
          <w:color w:val="000000" w:themeColor="text1"/>
          <w:sz w:val="24"/>
          <w:szCs w:val="24"/>
        </w:rPr>
        <w:t xml:space="preserve"> организации. </w:t>
      </w:r>
      <w:r>
        <w:rPr>
          <w:rFonts w:ascii="Times New Roman" w:hAnsi="Times New Roman"/>
          <w:noProof/>
          <w:sz w:val="24"/>
          <w:szCs w:val="24"/>
        </w:rPr>
        <w:t xml:space="preserve">Тя ще работи също и за осигуряване на ратифицирането от страна на ЕС на </w:t>
      </w:r>
      <w:r>
        <w:rPr>
          <w:rFonts w:ascii="Times New Roman" w:hAnsi="Times New Roman"/>
          <w:b/>
          <w:bCs/>
          <w:noProof/>
          <w:sz w:val="24"/>
          <w:szCs w:val="24"/>
        </w:rPr>
        <w:t>Пекинския договор на СОИС</w:t>
      </w:r>
      <w:r>
        <w:rPr>
          <w:rFonts w:ascii="Times New Roman" w:hAnsi="Times New Roman"/>
          <w:noProof/>
          <w:sz w:val="24"/>
          <w:szCs w:val="24"/>
        </w:rPr>
        <w:t xml:space="preserve"> (подписан от ЕС през 2013 г.), който предоставя международна закрила на аудиовизуалните изпълнения.</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Комисията ще продължи да подпомага европейските предприятия в чужбина. В допълнение към съществуващите международни </w:t>
      </w:r>
      <w:r>
        <w:rPr>
          <w:rFonts w:ascii="Times New Roman" w:hAnsi="Times New Roman"/>
          <w:b/>
          <w:bCs/>
          <w:noProof/>
          <w:color w:val="000000" w:themeColor="text1"/>
          <w:sz w:val="24"/>
          <w:szCs w:val="24"/>
        </w:rPr>
        <w:t>бюра за помощ за МСП в областта на ИС</w:t>
      </w:r>
      <w:r>
        <w:rPr>
          <w:rFonts w:ascii="Times New Roman" w:hAnsi="Times New Roman"/>
          <w:noProof/>
          <w:color w:val="000000" w:themeColor="text1"/>
          <w:sz w:val="24"/>
          <w:szCs w:val="24"/>
        </w:rPr>
        <w:t xml:space="preserve"> в Китай, Югоизточна Азия и Латинска Америка</w:t>
      </w:r>
      <w:r>
        <w:rPr>
          <w:rStyle w:val="FootnoteReference"/>
          <w:rFonts w:ascii="Times New Roman" w:eastAsia="Times New Roman" w:hAnsi="Times New Roman" w:cs="Times New Roman"/>
          <w:noProof/>
          <w:color w:val="000000" w:themeColor="text1"/>
          <w:sz w:val="24"/>
          <w:szCs w:val="24"/>
        </w:rPr>
        <w:footnoteReference w:id="113"/>
      </w:r>
      <w:r>
        <w:rPr>
          <w:rFonts w:ascii="Times New Roman" w:hAnsi="Times New Roman"/>
          <w:noProof/>
          <w:color w:val="000000" w:themeColor="text1"/>
          <w:sz w:val="24"/>
          <w:szCs w:val="24"/>
        </w:rPr>
        <w:t xml:space="preserve">, тя ще разкрие ново бюро за помощ за МСП в областта на ИС, което да подпомага европейските предприятия в Индия (в началото на 2021 г.). </w:t>
      </w:r>
    </w:p>
    <w:p>
      <w:pPr>
        <w:spacing w:before="120"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И накрая, Комисията ще увеличи усилията си с цел да предложи квалифицирана </w:t>
      </w:r>
      <w:r>
        <w:rPr>
          <w:rFonts w:ascii="Times New Roman" w:hAnsi="Times New Roman"/>
          <w:b/>
          <w:bCs/>
          <w:noProof/>
          <w:color w:val="000000" w:themeColor="text1"/>
          <w:sz w:val="24"/>
          <w:szCs w:val="24"/>
        </w:rPr>
        <w:t>техническа помощ, за да помогне на развиващите се страни</w:t>
      </w:r>
      <w:r>
        <w:rPr>
          <w:rFonts w:ascii="Times New Roman" w:hAnsi="Times New Roman"/>
          <w:noProof/>
          <w:color w:val="000000" w:themeColor="text1"/>
          <w:sz w:val="24"/>
          <w:szCs w:val="24"/>
        </w:rPr>
        <w:t xml:space="preserve"> да използват възможно най-добре ИС в подкрепа на своя икономически растеж. Например, в рамките на плана за действие в областта на ПИС за Африка, Комисията ще насърчи по-доброто генериране, закрила и управление на ИС (включително ГО</w:t>
      </w:r>
      <w:r>
        <w:rPr>
          <w:rFonts w:ascii="Times New Roman" w:eastAsia="Times New Roman" w:hAnsi="Times New Roman" w:cs="Times New Roman"/>
          <w:noProof/>
          <w:color w:val="000000" w:themeColor="text1"/>
          <w:sz w:val="24"/>
          <w:szCs w:val="24"/>
          <w:vertAlign w:val="superscript"/>
          <w:lang w:val="en-US"/>
        </w:rPr>
        <w:footnoteReference w:id="114"/>
      </w:r>
      <w:r>
        <w:rPr>
          <w:rFonts w:ascii="Times New Roman" w:hAnsi="Times New Roman"/>
          <w:noProof/>
          <w:color w:val="000000" w:themeColor="text1"/>
          <w:sz w:val="24"/>
          <w:szCs w:val="24"/>
        </w:rPr>
        <w:t>) на този континент</w:t>
      </w:r>
      <w:r>
        <w:rPr>
          <w:rStyle w:val="FootnoteReference"/>
          <w:rFonts w:ascii="Times New Roman" w:eastAsia="Times New Roman" w:hAnsi="Times New Roman" w:cs="Times New Roman"/>
          <w:noProof/>
          <w:color w:val="000000" w:themeColor="text1"/>
          <w:sz w:val="24"/>
          <w:szCs w:val="24"/>
        </w:rPr>
        <w:footnoteReference w:id="115"/>
      </w:r>
      <w:r>
        <w:rPr>
          <w:rFonts w:ascii="Times New Roman" w:hAnsi="Times New Roman"/>
          <w:noProof/>
          <w:color w:val="000000" w:themeColor="text1"/>
          <w:sz w:val="24"/>
          <w:szCs w:val="24"/>
        </w:rPr>
        <w:t xml:space="preserve">. </w:t>
      </w:r>
    </w:p>
    <w:p>
      <w:pPr>
        <w:pStyle w:val="Heading2"/>
        <w:numPr>
          <w:ilvl w:val="0"/>
          <w:numId w:val="7"/>
        </w:numPr>
        <w:spacing w:before="360" w:after="120" w:line="240" w:lineRule="auto"/>
        <w:ind w:left="357" w:hanging="357"/>
        <w:jc w:val="both"/>
        <w:rPr>
          <w:rFonts w:ascii="Times New Roman" w:eastAsia="Times New Roman" w:hAnsi="Times New Roman" w:cs="Times New Roman"/>
          <w:b/>
          <w:bCs/>
          <w:smallCaps/>
          <w:noProof/>
          <w:color w:val="000000" w:themeColor="text1"/>
          <w:sz w:val="28"/>
          <w:szCs w:val="28"/>
        </w:rPr>
      </w:pPr>
      <w:r>
        <w:rPr>
          <w:rFonts w:ascii="Times New Roman" w:hAnsi="Times New Roman"/>
          <w:b/>
          <w:bCs/>
          <w:smallCaps/>
          <w:noProof/>
          <w:color w:val="000000" w:themeColor="text1"/>
          <w:sz w:val="28"/>
          <w:szCs w:val="28"/>
        </w:rPr>
        <w:t xml:space="preserve">Съвместна работа с държавите членки и заинтересованите страни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Комисията разчита на Европейския парламент и на Съвета, както и на всички заинтересовани страни, да подкрепят и помогнат за изпълнението на този план за действие и на различните действия, включени в него.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Тя също така приканва държавите членки да разработят свои </w:t>
      </w:r>
      <w:r>
        <w:rPr>
          <w:rFonts w:ascii="Times New Roman" w:hAnsi="Times New Roman"/>
          <w:b/>
          <w:bCs/>
          <w:noProof/>
          <w:color w:val="000000" w:themeColor="text1"/>
          <w:sz w:val="24"/>
          <w:szCs w:val="24"/>
        </w:rPr>
        <w:t>национални политики и стратегии в областта на ИС</w:t>
      </w:r>
      <w:r>
        <w:rPr>
          <w:rFonts w:ascii="Times New Roman" w:hAnsi="Times New Roman"/>
          <w:noProof/>
          <w:color w:val="000000" w:themeColor="text1"/>
          <w:sz w:val="24"/>
          <w:szCs w:val="24"/>
        </w:rPr>
        <w:t xml:space="preserve"> в съответствие с целите, заложени в този план за действие, и превърнат подобряването на закрилата и спазването на ИС в приоритет в рамките на собствените си усилия за гарантиране на икономическото възстановяване.</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Комисията също така ще стимулира дебата между всички заинтересовани участници, по-специално в съответните промишлени екосистеми, с цел осигуряване на по-добра обвързаност на политиката в областта на ИС с променящите се реалности и нужди на промишлеността на ЕС, в съответствие със своя доклад за стратегическото прогнозиране</w:t>
      </w:r>
      <w:r>
        <w:rPr>
          <w:rStyle w:val="FootnoteReference"/>
          <w:rFonts w:ascii="Times New Roman" w:eastAsia="Times New Roman" w:hAnsi="Times New Roman" w:cs="Times New Roman"/>
          <w:noProof/>
          <w:color w:val="000000" w:themeColor="text1"/>
          <w:sz w:val="24"/>
          <w:szCs w:val="24"/>
          <w:lang w:val="en-US"/>
        </w:rPr>
        <w:footnoteReference w:id="116"/>
      </w:r>
      <w:r>
        <w:rPr>
          <w:rFonts w:ascii="Times New Roman" w:hAnsi="Times New Roman"/>
          <w:noProof/>
          <w:color w:val="000000" w:themeColor="text1"/>
          <w:sz w:val="24"/>
          <w:szCs w:val="24"/>
        </w:rPr>
        <w:t xml:space="preserve"> и своята програма. За постигане на тези цели Комисията ще провежда редовни обсъждания по въпроси, свързани с ИС, в контекста на съществуващи прояви и форуми, където се чертае индустриалната политика. </w:t>
      </w:r>
    </w:p>
    <w:p>
      <w:pPr>
        <w:spacing w:line="240" w:lineRule="auto"/>
        <w:rPr>
          <w:rFonts w:ascii="Times New Roman" w:eastAsia="Times New Roman" w:hAnsi="Times New Roman" w:cs="Times New Roman"/>
          <w:noProof/>
          <w:color w:val="000000" w:themeColor="text1"/>
          <w:sz w:val="24"/>
          <w:szCs w:val="24"/>
        </w:rPr>
      </w:pPr>
      <w:r>
        <w:rPr>
          <w:noProof/>
        </w:rPr>
        <w:br w:type="page"/>
      </w:r>
    </w:p>
    <w:p>
      <w:pPr>
        <w:rPr>
          <w:rFonts w:ascii="Times New Roman" w:hAnsi="Times New Roman"/>
          <w:b/>
          <w:bCs/>
          <w:smallCaps/>
          <w:noProof/>
          <w:color w:val="000000" w:themeColor="text1"/>
          <w:sz w:val="28"/>
          <w:szCs w:val="28"/>
        </w:rPr>
      </w:pPr>
      <w:r>
        <w:rPr>
          <w:rFonts w:ascii="Times New Roman" w:hAnsi="Times New Roman"/>
          <w:b/>
          <w:bCs/>
          <w:smallCaps/>
          <w:noProof/>
          <w:color w:val="000000" w:themeColor="text1"/>
          <w:sz w:val="28"/>
          <w:szCs w:val="28"/>
        </w:rPr>
        <w:t>ДОПЪЛНЕНИЕ І</w:t>
      </w:r>
    </w:p>
    <w:p>
      <w:pPr>
        <w:rPr>
          <w:rFonts w:ascii="Times New Roman" w:eastAsia="Times New Roman" w:hAnsi="Times New Roman" w:cs="Times New Roman"/>
          <w:b/>
          <w:bCs/>
          <w:smallCaps/>
          <w:noProof/>
          <w:color w:val="000000" w:themeColor="text1"/>
          <w:sz w:val="28"/>
          <w:szCs w:val="28"/>
        </w:rPr>
      </w:pPr>
      <w:r>
        <w:rPr>
          <w:rFonts w:ascii="Times New Roman" w:hAnsi="Times New Roman"/>
          <w:b/>
          <w:bCs/>
          <w:smallCaps/>
          <w:noProof/>
          <w:color w:val="000000" w:themeColor="text1"/>
          <w:sz w:val="28"/>
          <w:szCs w:val="28"/>
        </w:rPr>
        <w:t>ПРИНОС НА ОТРАСЛИТЕ С ИНТЕНЗИВНО ИЗПОЛЗВАНЕ НА ПИС ЗА ЗАЕТОСТТА В ПРОМИШЛЕНИТЕ ЕКОСИСТЕМИ</w:t>
      </w:r>
    </w:p>
    <w:p>
      <w:pPr>
        <w:spacing w:line="240" w:lineRule="auto"/>
        <w:jc w:val="center"/>
        <w:rPr>
          <w:noProof/>
        </w:rPr>
      </w:pPr>
      <w:r>
        <w:rPr>
          <w:noProof/>
          <w:lang w:val="en-GB" w:eastAsia="en-GB"/>
        </w:rPr>
        <w:drawing>
          <wp:inline distT="0" distB="0" distL="0" distR="0">
            <wp:extent cx="5921375" cy="4972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4383" cy="4974576"/>
                    </a:xfrm>
                    <a:prstGeom prst="rect">
                      <a:avLst/>
                    </a:prstGeom>
                    <a:noFill/>
                    <a:ln>
                      <a:noFill/>
                    </a:ln>
                  </pic:spPr>
                </pic:pic>
              </a:graphicData>
            </a:graphic>
          </wp:inline>
        </w:drawing>
      </w:r>
    </w:p>
    <w:p>
      <w:pPr>
        <w:spacing w:line="240" w:lineRule="auto"/>
        <w:jc w:val="center"/>
        <w:rPr>
          <w:rFonts w:ascii="Times New Roman" w:hAnsi="Times New Roman" w:cs="Times New Roman"/>
          <w:noProof/>
          <w:sz w:val="20"/>
          <w:szCs w:val="20"/>
        </w:rPr>
      </w:pPr>
      <w:r>
        <w:rPr>
          <w:rFonts w:ascii="Times New Roman" w:hAnsi="Times New Roman"/>
          <w:noProof/>
          <w:sz w:val="20"/>
          <w:szCs w:val="20"/>
        </w:rPr>
        <w:t xml:space="preserve">Източник: </w:t>
      </w:r>
      <w:r>
        <w:rPr>
          <w:rFonts w:ascii="Times New Roman" w:hAnsi="Times New Roman"/>
          <w:noProof/>
          <w:sz w:val="20"/>
        </w:rPr>
        <w:t xml:space="preserve">Изчисления на EUIPO и ЕК въз основа на </w:t>
      </w:r>
      <w:r>
        <w:rPr>
          <w:rFonts w:ascii="Times New Roman" w:hAnsi="Times New Roman"/>
          <w:noProof/>
          <w:sz w:val="20"/>
          <w:szCs w:val="20"/>
        </w:rPr>
        <w:t xml:space="preserve">данни от проучването на тема </w:t>
      </w:r>
      <w:r>
        <w:rPr>
          <w:rFonts w:ascii="Times New Roman" w:hAnsi="Times New Roman"/>
          <w:noProof/>
          <w:sz w:val="20"/>
        </w:rPr>
        <w:t xml:space="preserve"> „Отрасли с интензивно използване на ПИС и икономическа ефективност в Европейския съюз“, ЕПВ &amp; EUIPO, 2019 г.</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Тази графика онагледява приноса на отраслите с интензивно използване на ПИС за заетостта във всяка една промишлена екосистема. Това обяснява например видимо слабия принос на ПИС за здравната екосистема. Фармацевтичният отрасъл и производството на медицински изделия, които представляват отрасли с много интензивно използване на ПИС, допринасят едва с 6 % за заетостта, докато в други сектори, като например болниците и медицинските грижи, няма интензивно използване на ПИС. </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Има се предвид приносът на притежаващите ПИС дружества за заетостта в ЕС. В този смисъл графиката показва част от картината на влиянието на ПИС върху икономиката. Тя не отразява по-широкото въздействие на правата върху интелектуална собственост върху дружествата, които може да не притежават ПИС, но използват защитени с ПИС ресурси, вложени в техните продукти или услуги (например приобретателите, получателите на лицензии за технологии, подизпълнителите, секторите на хотелиерството или търговията на дребно, когато се споделят продукти на културната индустрия).</w:t>
      </w:r>
    </w:p>
    <w:sectPr>
      <w:headerReference w:type="even" r:id="rId20"/>
      <w:headerReference w:type="default" r:id="rId21"/>
      <w:footerReference w:type="even" r:id="rId22"/>
      <w:footerReference w:type="default" r:id="rId23"/>
      <w:headerReference w:type="first" r:id="rId24"/>
      <w:footerReference w:type="first" r:id="rId25"/>
      <w:pgSz w:w="11906" w:h="16838"/>
      <w:pgMar w:top="1303" w:right="1440" w:bottom="993" w:left="1560" w:header="708"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24008355"/>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jc w:val="both"/>
        <w:rPr>
          <w:rFonts w:ascii="Times New Roman" w:hAnsi="Times New Roman" w:cs="Times New Roman"/>
          <w:color w:val="FF0000"/>
        </w:rPr>
      </w:pPr>
      <w:r>
        <w:rPr>
          <w:rStyle w:val="FootnoteReference"/>
          <w:rFonts w:ascii="Times New Roman" w:hAnsi="Times New Roman" w:cs="Times New Roman"/>
        </w:rPr>
        <w:footnoteRef/>
      </w:r>
      <w:r>
        <w:rPr>
          <w:rFonts w:ascii="Times New Roman" w:hAnsi="Times New Roman"/>
        </w:rPr>
        <w:t xml:space="preserve"> Съгласно стандартите SNA2008/ESA2010 системата от национални сметки обхваща в категорията активи „продукти, обект на интелектуална собственост“ редица специфични нематериални активи, като например НИРД, проучването на полезни изкопаеми, компютърния софтуер и базите данни, оригиналите на развлекателни, литературни и художествени творби.</w:t>
      </w:r>
    </w:p>
  </w:footnote>
  <w:footnote w:id="3">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Отключване на инвестициите в нематериални активи, </w:t>
      </w:r>
      <w:hyperlink r:id="rId1" w:history="1">
        <w:r>
          <w:rPr>
            <w:rStyle w:val="Hyperlink"/>
            <w:rFonts w:ascii="Times New Roman" w:hAnsi="Times New Roman"/>
          </w:rPr>
          <w:t>DG ECFIN discussion paper 047</w:t>
        </w:r>
      </w:hyperlink>
      <w:r>
        <w:rPr>
          <w:rFonts w:ascii="Times New Roman" w:hAnsi="Times New Roman"/>
        </w:rPr>
        <w:t xml:space="preserve"> (документ за обсъждане 047 на ГД „Икономически и финансови въпроси“), май 2017 г.</w:t>
      </w:r>
    </w:p>
  </w:footnote>
  <w:footnote w:id="4">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anchor="tab3" w:history="1">
        <w:r>
          <w:rPr>
            <w:rStyle w:val="Hyperlink"/>
            <w:rFonts w:ascii="Times New Roman" w:hAnsi="Times New Roman"/>
          </w:rPr>
          <w:t>Intellectual property rights intensive industries and economic performance in the EU (Отрасли с интензивно използване на права върху интелектуална собственост и икономическа ефективност в ЕС)</w:t>
        </w:r>
      </w:hyperlink>
      <w:r>
        <w:rPr>
          <w:rFonts w:ascii="Times New Roman" w:hAnsi="Times New Roman"/>
          <w:color w:val="000000" w:themeColor="text1"/>
        </w:rPr>
        <w:t xml:space="preserve">, </w:t>
      </w:r>
      <w:r>
        <w:rPr>
          <w:rFonts w:ascii="Times New Roman" w:hAnsi="Times New Roman"/>
        </w:rPr>
        <w:t>Служба на ЕС за интелектуална собственост (EUIPO) — Европейско патентно ведомство (ЕПВ), 2019 г.</w:t>
      </w:r>
    </w:p>
  </w:footnote>
  <w:footnote w:id="5">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„Hidden treasures. Mapping Europe’s sources of competitive advantage in doing business“ („Скрити съкровища: източници на конкурентни предимства за бизнеса в Европа“), D. Kalff, A. Renda, Център за европейски политически изследвания (CEPS), Брюксел 2019 г., стр. 59; вж. също </w:t>
      </w:r>
      <w:hyperlink r:id="rId3" w:history="1">
        <w:r>
          <w:rPr>
            <w:rStyle w:val="Hyperlink"/>
            <w:rFonts w:ascii="Times New Roman" w:hAnsi="Times New Roman"/>
          </w:rPr>
          <w:t>доклада на тема качество на ЕПВ от 2018 г.</w:t>
        </w:r>
      </w:hyperlink>
    </w:p>
  </w:footnote>
  <w:footnote w:id="6">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Информационно табло на ЕС за промишлените инвестиции в НИРД</w:t>
        </w:r>
      </w:hyperlink>
      <w:r>
        <w:t xml:space="preserve"> от 2019 г.</w:t>
      </w:r>
    </w:p>
  </w:footnote>
  <w:footnote w:id="7">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Дял на заявленията по Договора за патентно коопериране (PCT) във връзка с обществените предизвикателства. Вж. раздела относно климата и околната среда в </w:t>
      </w:r>
      <w:hyperlink r:id="rId5" w:history="1">
        <w:r>
          <w:rPr>
            <w:rStyle w:val="Hyperlink"/>
            <w:rFonts w:ascii="Times New Roman" w:hAnsi="Times New Roman"/>
          </w:rPr>
          <w:t>доклада от 2020 г. за постиженията на ЕС в областта на науката, изследванията и иновациите</w:t>
        </w:r>
      </w:hyperlink>
      <w:r>
        <w:rPr>
          <w:rFonts w:ascii="Times New Roman" w:hAnsi="Times New Roman"/>
        </w:rPr>
        <w:t xml:space="preserve">.  </w:t>
      </w:r>
    </w:p>
  </w:footnote>
  <w:footnote w:id="8">
    <w:p>
      <w:pPr>
        <w:pStyle w:val="FootnoteText"/>
        <w:spacing w:after="0"/>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Вж.: </w:t>
      </w:r>
      <w:hyperlink r:id="rId6" w:history="1">
        <w:r>
          <w:rPr>
            <w:rStyle w:val="Hyperlink"/>
            <w:rFonts w:ascii="Times New Roman" w:hAnsi="Times New Roman"/>
          </w:rPr>
          <w:t>Climate change mitigation technologies in Europe – evidence from patent and economic data</w:t>
        </w:r>
      </w:hyperlink>
      <w:r>
        <w:rPr>
          <w:rFonts w:ascii="Times New Roman" w:hAnsi="Times New Roman"/>
        </w:rPr>
        <w:t>, (Технологии за смекчаване на последиците от изменението на климата в Европа — доказателства въз основа на патентни и икономически данни), Европейско патентно ведомство, 2015 г.</w:t>
      </w:r>
    </w:p>
  </w:footnote>
  <w:footnote w:id="9">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Проучванията показват, че малките и средните предприятия (МСП), използващи ПИС, се развиват по-бързо и са по-устойчиви на икономически кризи — </w:t>
      </w:r>
      <w:hyperlink r:id="rId7" w:history="1">
        <w:r>
          <w:rPr>
            <w:rStyle w:val="Hyperlink"/>
            <w:rFonts w:ascii="Times New Roman" w:hAnsi="Times New Roman"/>
          </w:rPr>
          <w:t>High-growth firms and intellectual property rights (Бързо развиващи се дружества и права върху интелектуална собственост),</w:t>
        </w:r>
        <w:r>
          <w:rPr>
            <w:rStyle w:val="Hyperlink"/>
            <w:rFonts w:ascii="Times New Roman" w:hAnsi="Times New Roman"/>
            <w:color w:val="auto"/>
            <w:u w:val="none"/>
          </w:rPr>
          <w:t xml:space="preserve"> EUIPO-ЕПВ, 2019 г</w:t>
        </w:r>
      </w:hyperlink>
      <w:r>
        <w:rPr>
          <w:rStyle w:val="Hyperlink"/>
          <w:rFonts w:ascii="Times New Roman" w:hAnsi="Times New Roman"/>
          <w:color w:val="auto"/>
          <w:u w:val="none"/>
        </w:rPr>
        <w:t>.</w:t>
      </w:r>
    </w:p>
  </w:footnote>
  <w:footnote w:id="10">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допълнението графично е представена ролята на отраслите с интензивно използване на ПИС в различните екосистеми.</w:t>
      </w:r>
    </w:p>
  </w:footnote>
  <w:footnote w:id="11">
    <w:p>
      <w:pPr>
        <w:pStyle w:val="FootnoteText"/>
        <w:spacing w:after="0"/>
        <w:rPr>
          <w:color w:val="FF0000"/>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hyperlink r:id="rId8" w:history="1">
        <w:r>
          <w:rPr>
            <w:rStyle w:val="Hyperlink"/>
            <w:rFonts w:ascii="Times New Roman" w:hAnsi="Times New Roman"/>
          </w:rPr>
          <w:t xml:space="preserve">COM(2020) </w:t>
        </w:r>
        <w:r>
          <w:rPr>
            <w:rStyle w:val="Hyperlink"/>
          </w:rPr>
          <w:t>761</w:t>
        </w:r>
      </w:hyperlink>
    </w:p>
  </w:footnote>
  <w:footnote w:id="12">
    <w:p>
      <w:pPr>
        <w:pStyle w:val="FootnoteText"/>
        <w:spacing w:after="0"/>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color w:val="000000" w:themeColor="text1"/>
        </w:rPr>
        <w:t xml:space="preserve">Например в наши дни е възможно само с една заявка да се постигне правна закрила на марка, дизайн или сорт растения в целия ЕС, а също така съществува общ набор от правила за защита на търговската тайна. </w:t>
      </w:r>
    </w:p>
  </w:footnote>
  <w:footnote w:id="13">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Проучване относно тенденциите и новите развития в областта на </w:t>
      </w:r>
      <w:hyperlink r:id="rId9" w:history="1">
        <w:r>
          <w:rPr>
            <w:rStyle w:val="Hyperlink"/>
            <w:rFonts w:ascii="Times New Roman" w:hAnsi="Times New Roman"/>
          </w:rPr>
          <w:t>Artificial Intelligence – Challenges to the IPR framework</w:t>
        </w:r>
      </w:hyperlink>
      <w:r>
        <w:rPr>
          <w:rFonts w:ascii="Times New Roman" w:hAnsi="Times New Roman"/>
        </w:rPr>
        <w:t xml:space="preserve"> (Изкуствения интелект – предизвикателства пред рамката на ПИС), проведено от IVIR и JIPP, ноември 2020 г. </w:t>
      </w:r>
    </w:p>
  </w:footnote>
  <w:footnote w:id="14">
    <w:p>
      <w:pPr>
        <w:pStyle w:val="FootnoteText"/>
        <w:spacing w:after="0"/>
        <w:jc w:val="both"/>
      </w:pPr>
      <w:r>
        <w:rPr>
          <w:rStyle w:val="FootnoteReference"/>
        </w:rPr>
        <w:footnoteRef/>
      </w:r>
      <w:r>
        <w:t xml:space="preserve"> </w:t>
      </w:r>
      <w:hyperlink r:id="rId10" w:history="1">
        <w:r>
          <w:rPr>
            <w:rFonts w:ascii="Times New Roman" w:hAnsi="Times New Roman"/>
          </w:rPr>
          <w:t>Вж. приложимите изисквания по силата на регламентите, отнасящи се до прилагането на екодизайна, въведени през октомври 2019 г.:</w:t>
        </w:r>
      </w:hyperlink>
      <w:r>
        <w:rPr>
          <w:rFonts w:ascii="Times New Roman" w:hAnsi="Times New Roman"/>
        </w:rPr>
        <w:t xml:space="preserve"> </w:t>
      </w:r>
      <w:r>
        <w:rPr>
          <w:rFonts w:ascii="Times New Roman" w:hAnsi="Times New Roman"/>
          <w:color w:val="000000" w:themeColor="text1"/>
        </w:rPr>
        <w:t>C(2019) 2120-7, C(2019) 5380, C(2019) 6843</w:t>
      </w:r>
      <w:r>
        <w:t>.</w:t>
      </w:r>
    </w:p>
  </w:footnote>
  <w:footnote w:id="15">
    <w:p>
      <w:pPr>
        <w:pStyle w:val="FootnoteText"/>
        <w:tabs>
          <w:tab w:val="left" w:pos="142"/>
          <w:tab w:val="left" w:pos="284"/>
        </w:tabs>
        <w:spacing w:after="0"/>
        <w:jc w:val="both"/>
        <w:rPr>
          <w:rFonts w:ascii="Times New Roman" w:hAnsi="Times New Roman" w:cs="Times New Roman"/>
          <w:color w:val="FF000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МСП, които не притежават права върху ИС, посочиха, че липсата на познания за ИС е основната причина да не поискат регистрация (38 % от респондентите). </w:t>
      </w:r>
      <w:hyperlink r:id="rId11" w:history="1">
        <w:r>
          <w:rPr>
            <w:rStyle w:val="Hyperlink"/>
            <w:rFonts w:ascii="Times New Roman" w:hAnsi="Times New Roman"/>
          </w:rPr>
          <w:t>Intellectual property SME scoreboard</w:t>
        </w:r>
      </w:hyperlink>
      <w:r>
        <w:rPr>
          <w:rFonts w:ascii="Times New Roman" w:hAnsi="Times New Roman"/>
        </w:rPr>
        <w:t xml:space="preserve"> (Информационно табло за интелектуалната собственост и МСП), EUIPO, 2019 г.</w:t>
      </w:r>
    </w:p>
  </w:footnote>
  <w:footnote w:id="16">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Целта му често е да го продаде или предостави лицензия за него, като по този начин монетизира нематериалните активи.</w:t>
      </w:r>
    </w:p>
  </w:footnote>
  <w:footnote w:id="17">
    <w:p>
      <w:pPr>
        <w:pStyle w:val="FootnoteText"/>
        <w:tabs>
          <w:tab w:val="left" w:pos="142"/>
          <w:tab w:val="left" w:pos="284"/>
        </w:tabs>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2" w:history="1">
        <w:r>
          <w:rPr>
            <w:rStyle w:val="Hyperlink"/>
            <w:rFonts w:ascii="Times New Roman" w:hAnsi="Times New Roman"/>
          </w:rPr>
          <w:t>Report Science, Research and Innovation Performance of the EU 2020</w:t>
        </w:r>
      </w:hyperlink>
      <w:r>
        <w:rPr>
          <w:rFonts w:ascii="Times New Roman" w:hAnsi="Times New Roman"/>
        </w:rPr>
        <w:t xml:space="preserve"> (Доклад „Постижения в областта на науката, изследванията и иновациите в ЕС“, 2020 г).  </w:t>
      </w:r>
    </w:p>
  </w:footnote>
  <w:footnote w:id="18">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3" w:history="1">
        <w:r>
          <w:rPr>
            <w:rStyle w:val="Hyperlink"/>
            <w:rFonts w:ascii="Times New Roman" w:hAnsi="Times New Roman"/>
          </w:rPr>
          <w:t>Fact finding study on patents declared to the 5G standard</w:t>
        </w:r>
      </w:hyperlink>
      <w:r>
        <w:rPr>
          <w:rFonts w:ascii="Times New Roman" w:hAnsi="Times New Roman"/>
        </w:rPr>
        <w:t xml:space="preserve"> (Проучване за установяване на фактите относно заявените по стандарта за 5G патенти), IPlytics, 2020 г.</w:t>
      </w:r>
    </w:p>
  </w:footnote>
  <w:footnote w:id="19">
    <w:p>
      <w:pPr>
        <w:pStyle w:val="FootnoteText"/>
        <w:tabs>
          <w:tab w:val="left" w:pos="142"/>
          <w:tab w:val="left" w:pos="284"/>
        </w:tabs>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Trends in Trade in Counterfeit and Pirated Goods (Тенденции в търговията с фалшифицирани и пиратски стоки)</w:t>
        </w:r>
      </w:hyperlink>
      <w:r>
        <w:rPr>
          <w:rFonts w:ascii="Times New Roman" w:hAnsi="Times New Roman"/>
        </w:rPr>
        <w:t>, ОИСР и EUIPO, 2019 г.</w:t>
      </w:r>
    </w:p>
  </w:footnote>
  <w:footnote w:id="20">
    <w:p>
      <w:pPr>
        <w:pStyle w:val="FootnoteText"/>
        <w:tabs>
          <w:tab w:val="left" w:pos="142"/>
          <w:tab w:val="left" w:pos="284"/>
        </w:tabs>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anchor="Status_Report_2020" w:history="1">
        <w:r>
          <w:rPr>
            <w:rStyle w:val="Hyperlink"/>
            <w:rFonts w:ascii="Times New Roman" w:hAnsi="Times New Roman"/>
          </w:rPr>
          <w:t>Status Report on IPR infringement (Доклад за състоянието на нарушенията на ПИС)</w:t>
        </w:r>
      </w:hyperlink>
      <w:r>
        <w:rPr>
          <w:rFonts w:ascii="Times New Roman" w:hAnsi="Times New Roman"/>
        </w:rPr>
        <w:t>, EUIPO, 2020 г.</w:t>
      </w:r>
      <w:r>
        <w:rPr>
          <w:rStyle w:val="Hyperlink"/>
          <w:rFonts w:ascii="Times New Roman" w:hAnsi="Times New Roman"/>
          <w:color w:val="auto"/>
          <w:u w:val="none"/>
        </w:rPr>
        <w:t xml:space="preserve">: </w:t>
      </w:r>
      <w:r>
        <w:rPr>
          <w:rFonts w:ascii="Times New Roman" w:hAnsi="Times New Roman"/>
        </w:rPr>
        <w:t>средногодишни цифри</w:t>
      </w:r>
      <w:r>
        <w:rPr>
          <w:rFonts w:ascii="Times New Roman" w:hAnsi="Times New Roman"/>
          <w:color w:val="000000" w:themeColor="text1"/>
        </w:rPr>
        <w:t>, 2013—2017 г</w:t>
      </w:r>
      <w:r>
        <w:rPr>
          <w:rStyle w:val="Hyperlink"/>
          <w:rFonts w:ascii="Times New Roman" w:hAnsi="Times New Roman"/>
          <w:color w:val="auto"/>
          <w:u w:val="none"/>
        </w:rPr>
        <w:t>.</w:t>
      </w:r>
    </w:p>
  </w:footnote>
  <w:footnote w:id="21">
    <w:p>
      <w:pPr>
        <w:pStyle w:val="FootnoteText"/>
        <w:tabs>
          <w:tab w:val="left" w:pos="142"/>
          <w:tab w:val="left" w:pos="284"/>
        </w:tabs>
        <w:spacing w:after="0"/>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The scale and impact of industrial espionage and theft of trade secrets through cyber (Мащабът и въздействието на промишления шпионаж и кражбата на търговски тайни чрез киберсредства)</w:t>
        </w:r>
      </w:hyperlink>
      <w:r>
        <w:rPr>
          <w:rFonts w:ascii="Times New Roman" w:hAnsi="Times New Roman"/>
        </w:rPr>
        <w:t>, 2018 г.</w:t>
      </w:r>
    </w:p>
  </w:footnote>
  <w:footnote w:id="22">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t xml:space="preserve"> Настоящият план за действие се основава на</w:t>
      </w:r>
      <w:r>
        <w:rPr>
          <w:rFonts w:ascii="Times New Roman" w:hAnsi="Times New Roman"/>
        </w:rPr>
        <w:t xml:space="preserve"> получената обратна връзка относно неговата </w:t>
      </w:r>
      <w:hyperlink r:id="rId17" w:history="1">
        <w:r>
          <w:rPr>
            <w:rStyle w:val="Hyperlink"/>
            <w:rFonts w:ascii="Times New Roman" w:hAnsi="Times New Roman"/>
          </w:rPr>
          <w:t>пътна карта</w:t>
        </w:r>
      </w:hyperlink>
      <w:r>
        <w:rPr>
          <w:rFonts w:ascii="Times New Roman" w:hAnsi="Times New Roman"/>
        </w:rPr>
        <w:t>, а също и на информацията, предоставена от държавите членки и заинтересованите страни както в писмен вид, така и в рамките на проведените обсъждания по време на конференциите, посветени на бъдещата политика в областта на ИС, а също и в рамките на целенасочени обсъждания в Парламента и в Съвета.</w:t>
      </w:r>
    </w:p>
  </w:footnote>
  <w:footnote w:id="23">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Единната патентна система се въвежда посредством засилено сътрудничество на 25 участващи държави членки (всички държави — членки на ЕС, с изключение на Испания и Хърватия).</w:t>
      </w:r>
    </w:p>
  </w:footnote>
  <w:footnote w:id="24">
    <w:p>
      <w:pPr>
        <w:pStyle w:val="FootnoteText"/>
        <w:spacing w:after="0"/>
      </w:pPr>
      <w:r>
        <w:rPr>
          <w:rStyle w:val="FootnoteReference"/>
          <w:rFonts w:ascii="Times New Roman" w:hAnsi="Times New Roman"/>
        </w:rPr>
        <w:footnoteRef/>
      </w:r>
      <w:r>
        <w:rPr>
          <w:rFonts w:ascii="Times New Roman" w:hAnsi="Times New Roman"/>
        </w:rPr>
        <w:t xml:space="preserve"> </w:t>
      </w:r>
      <w:hyperlink r:id="rId18" w:history="1">
        <w:r>
          <w:rPr>
            <w:rStyle w:val="Hyperlink"/>
            <w:rFonts w:ascii="Times New Roman" w:hAnsi="Times New Roman"/>
          </w:rPr>
          <w:t>Определение от 13 февруари 2020 г.</w:t>
        </w:r>
      </w:hyperlink>
      <w:r>
        <w:rPr>
          <w:rFonts w:ascii="Times New Roman" w:hAnsi="Times New Roman"/>
        </w:rPr>
        <w:t>, 2 BvR 739/17, публикувано на 20 март 2020 г.</w:t>
      </w:r>
    </w:p>
  </w:footnote>
  <w:footnote w:id="25">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Освен ратифицирането от страна на Германия на Споразумението за Единен патентен съд ще бъде необходимо и съгласието на държавите членки за започване на „периода на временно прилагане“. Това ще направи възможно завършването на изграждането на институционалната и практическата структура на Съда преди пълното стартиране на единната патентна система. В съответствие с </w:t>
      </w:r>
      <w:hyperlink r:id="rId19" w:history="1">
        <w:r>
          <w:rPr>
            <w:rStyle w:val="Hyperlink"/>
            <w:rFonts w:ascii="Times New Roman" w:hAnsi="Times New Roman"/>
          </w:rPr>
          <w:t>Регламент (ЕС) № 1257/2012</w:t>
        </w:r>
      </w:hyperlink>
      <w:r>
        <w:rPr>
          <w:rFonts w:ascii="Times New Roman" w:hAnsi="Times New Roman"/>
        </w:rPr>
        <w:t xml:space="preserve"> за осъществяване на засилено сътрудничество в областта на създаването на единна патентна закрила ще е необходимо също така Комисията и ЕПВ да сключат работно споразумение, предвиждащо тясно сътрудничество, що се отнася до функционирането на единната патентна система.</w:t>
      </w:r>
      <w:r>
        <w:t xml:space="preserve"> </w:t>
      </w:r>
      <w:r>
        <w:rPr>
          <w:rFonts w:ascii="Times New Roman" w:hAnsi="Times New Roman"/>
        </w:rPr>
        <w:t>Не се очаква оттеглянето на Обединеното кралство от ЕС да бъде пречка за стартирането на единната патентна система.</w:t>
      </w:r>
    </w:p>
  </w:footnote>
  <w:footnote w:id="26">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Регламент (ЕС) № 2019/933</w:t>
        </w:r>
      </w:hyperlink>
      <w:r>
        <w:rPr>
          <w:rFonts w:ascii="Times New Roman" w:hAnsi="Times New Roman"/>
        </w:rPr>
        <w:t xml:space="preserve"> за изменение на Регламент (ЕО) № 469/2009 относно сертификата за допълнителна закрила на лекарствените продукти.</w:t>
      </w:r>
    </w:p>
  </w:footnote>
  <w:footnote w:id="27">
    <w:p>
      <w:pPr>
        <w:pStyle w:val="FootnoteText"/>
        <w:spacing w:after="0"/>
        <w:jc w:val="both"/>
        <w:rPr>
          <w:rFonts w:ascii="Times New Roman" w:hAnsi="Times New Roman"/>
        </w:rPr>
      </w:pPr>
      <w:r>
        <w:rPr>
          <w:rStyle w:val="FootnoteReference"/>
          <w:rFonts w:ascii="Times New Roman" w:hAnsi="Times New Roman" w:cs="Times New Roman"/>
        </w:rPr>
        <w:footnoteRef/>
      </w:r>
      <w:r>
        <w:rPr>
          <w:rFonts w:ascii="Times New Roman" w:hAnsi="Times New Roman"/>
          <w:i/>
          <w:iCs/>
        </w:rPr>
        <w:t xml:space="preserve"> </w:t>
      </w:r>
      <w:r>
        <w:rPr>
          <w:rFonts w:ascii="Times New Roman" w:hAnsi="Times New Roman"/>
        </w:rPr>
        <w:t>Оценка на системата на ЕС от сертификати за допълнителна закрила – SWD/2020/8508</w:t>
      </w:r>
    </w:p>
  </w:footnote>
  <w:footnote w:id="28">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1" w:history="1">
        <w:r>
          <w:rPr>
            <w:rStyle w:val="Hyperlink"/>
            <w:rFonts w:ascii="Times New Roman" w:hAnsi="Times New Roman"/>
          </w:rPr>
          <w:t>Нова промишлена стратегия за Европа</w:t>
        </w:r>
      </w:hyperlink>
      <w:r>
        <w:rPr>
          <w:rFonts w:ascii="Times New Roman" w:hAnsi="Times New Roman"/>
        </w:rPr>
        <w:t>, COM/2020/102 final</w:t>
      </w:r>
      <w:r>
        <w:rPr>
          <w:rStyle w:val="Hyperlink"/>
          <w:rFonts w:ascii="Times New Roman" w:hAnsi="Times New Roman"/>
          <w:color w:val="auto"/>
          <w:u w:val="none"/>
        </w:rPr>
        <w:t xml:space="preserve">, стр. 14; </w:t>
      </w:r>
      <w:r>
        <w:rPr>
          <w:rStyle w:val="Hyperlink"/>
          <w:color w:val="auto"/>
          <w:u w:val="none"/>
        </w:rPr>
        <w:t>„</w:t>
      </w:r>
      <w:hyperlink r:id="rId22" w:history="1">
        <w:r>
          <w:rPr>
            <w:rStyle w:val="Hyperlink"/>
            <w:rFonts w:ascii="Times New Roman" w:hAnsi="Times New Roman"/>
          </w:rPr>
          <w:t>Пътна карта „Фармацевтични продукти — безопасни лекарства на достъпни цени (нова стратегия на ЕС)</w:t>
        </w:r>
      </w:hyperlink>
      <w:r>
        <w:rPr>
          <w:rStyle w:val="Hyperlink"/>
          <w:rFonts w:ascii="Times New Roman" w:hAnsi="Times New Roman"/>
          <w:color w:val="auto"/>
          <w:u w:val="none"/>
        </w:rPr>
        <w:t>“.</w:t>
      </w:r>
    </w:p>
  </w:footnote>
  <w:footnote w:id="29">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Освобождаването от патента „Болар“ е защита срещу нарушаване на патент, особено по отношение на лекарства, при които патентовано изобретение може да бъде използвано — за ограничен период от време преди края на срока на патента — от трета страна единствено за целите на научни изследвания и изпитвания и за получаване на необходимите регулаторни одобрения.</w:t>
      </w:r>
    </w:p>
  </w:footnote>
  <w:footnote w:id="30">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 15 декември 2015 г. Европейският парламент одобри пакета от мерки за реформа на марката: </w:t>
      </w:r>
      <w:hyperlink r:id="rId23" w:history="1">
        <w:r>
          <w:rPr>
            <w:rStyle w:val="Hyperlink"/>
            <w:rFonts w:ascii="Times New Roman" w:hAnsi="Times New Roman"/>
          </w:rPr>
          <w:t>https://ec.europa.eu/growth/industry/policy/intellectual-property/trade-mark-protection_bg</w:t>
        </w:r>
      </w:hyperlink>
    </w:p>
  </w:footnote>
  <w:footnote w:id="31">
    <w:p>
      <w:pPr>
        <w:pStyle w:val="FootnoteText"/>
        <w:spacing w:after="0"/>
        <w:rPr>
          <w:rFonts w:ascii="Times New Roman" w:hAnsi="Times New Roman" w:cs="Times New Roman"/>
          <w:color w:val="FF0000"/>
        </w:rPr>
      </w:pPr>
      <w:r>
        <w:rPr>
          <w:rStyle w:val="FootnoteReference"/>
          <w:rFonts w:ascii="Times New Roman" w:hAnsi="Times New Roman"/>
        </w:rPr>
        <w:footnoteRef/>
      </w:r>
      <w:r>
        <w:rPr>
          <w:rFonts w:ascii="Times New Roman" w:hAnsi="Times New Roman"/>
        </w:rPr>
        <w:t xml:space="preserve"> </w:t>
      </w:r>
      <w:hyperlink r:id="rId24" w:history="1">
        <w:r>
          <w:rPr>
            <w:rStyle w:val="Hyperlink"/>
            <w:rFonts w:ascii="Times New Roman" w:hAnsi="Times New Roman"/>
          </w:rPr>
          <w:t>Доклад относно оценката на законодателството на ЕС в областта на закрилата на дизайните</w:t>
        </w:r>
      </w:hyperlink>
      <w:r>
        <w:rPr>
          <w:rFonts w:ascii="Times New Roman" w:hAnsi="Times New Roman"/>
        </w:rPr>
        <w:t>.</w:t>
      </w:r>
    </w:p>
  </w:footnote>
  <w:footnote w:id="32">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5" w:history="1">
        <w:r>
          <w:rPr>
            <w:rStyle w:val="Hyperlink"/>
            <w:rFonts w:ascii="Times New Roman" w:hAnsi="Times New Roman"/>
          </w:rPr>
          <w:t>Директива 98/71/EО</w:t>
        </w:r>
      </w:hyperlink>
      <w:r>
        <w:rPr>
          <w:rFonts w:ascii="Times New Roman" w:hAnsi="Times New Roman"/>
        </w:rPr>
        <w:t xml:space="preserve"> относно правната защита на индустриални дизайни и </w:t>
      </w:r>
      <w:hyperlink r:id="rId26" w:history="1">
        <w:r>
          <w:rPr>
            <w:rStyle w:val="Hyperlink"/>
            <w:rFonts w:ascii="Times New Roman" w:hAnsi="Times New Roman"/>
          </w:rPr>
          <w:t>Регламент (EО) № 6/2002</w:t>
        </w:r>
      </w:hyperlink>
      <w:r>
        <w:rPr>
          <w:rFonts w:ascii="Times New Roman" w:hAnsi="Times New Roman"/>
        </w:rPr>
        <w:t xml:space="preserve"> на Съвета относно промишления дизайн на Общността. </w:t>
      </w:r>
    </w:p>
  </w:footnote>
  <w:footnote w:id="33">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hyperlink r:id="rId27" w:history="1">
        <w:r>
          <w:rPr>
            <w:rStyle w:val="Hyperlink"/>
            <w:rFonts w:ascii="Times New Roman" w:hAnsi="Times New Roman"/>
          </w:rPr>
          <w:t>стратегията  „От фермата до трапезата“</w:t>
        </w:r>
      </w:hyperlink>
      <w:r>
        <w:rPr>
          <w:rFonts w:ascii="Times New Roman" w:hAnsi="Times New Roman"/>
        </w:rPr>
        <w:t>, обявена от Комисията с цел постигане на по-голяма устойчивост на критериите относно ГО.</w:t>
      </w:r>
    </w:p>
  </w:footnote>
  <w:footnote w:id="34">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8" w:history="1">
        <w:r>
          <w:rPr>
            <w:rStyle w:val="Hyperlink"/>
            <w:rFonts w:ascii="Times New Roman" w:hAnsi="Times New Roman"/>
          </w:rPr>
          <w:t>Evaluation of (agricultural) GIs and Traditional Specialities Guaranteed protected in the EU (Оценка на (селскостопанските) ГО и храните с традиционно специфичен характер, ползващи се с правна закрила в ЕС)</w:t>
        </w:r>
      </w:hyperlink>
      <w:r>
        <w:rPr>
          <w:rFonts w:ascii="Times New Roman" w:hAnsi="Times New Roman"/>
        </w:rPr>
        <w:t>, 2019 г.</w:t>
      </w:r>
      <w:r>
        <w:t>.</w:t>
      </w:r>
    </w:p>
  </w:footnote>
  <w:footnote w:id="35">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9" w:history="1">
        <w:r>
          <w:rPr>
            <w:rStyle w:val="Hyperlink"/>
            <w:rFonts w:ascii="Times New Roman" w:hAnsi="Times New Roman"/>
          </w:rPr>
          <w:t>Evaluation of (agricultural) GIs and Traditional Specialities Guaranteed protected in the EU (Оценка на (селскостопанските) ГО и храните с традиционно специфичен характер, защитени в ЕС)</w:t>
        </w:r>
      </w:hyperlink>
      <w:r>
        <w:rPr>
          <w:rStyle w:val="Hyperlink"/>
          <w:rFonts w:ascii="Times New Roman" w:hAnsi="Times New Roman"/>
          <w:color w:val="auto"/>
          <w:u w:val="none"/>
        </w:rPr>
        <w:t>, 2019 г.</w:t>
      </w:r>
      <w:r>
        <w:rPr>
          <w:rFonts w:ascii="Times New Roman" w:hAnsi="Times New Roman"/>
        </w:rPr>
        <w:t xml:space="preserve">. </w:t>
      </w:r>
    </w:p>
  </w:footnote>
  <w:footnote w:id="36">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Ревизиране на системата за географски означения (ГО) в ЕС, отнасяща се до селскостопанските продукти и храни, вината и спиртните напитки (</w:t>
      </w:r>
      <w:hyperlink r:id="rId30" w:history="1">
        <w:r>
          <w:rPr>
            <w:rStyle w:val="Hyperlink"/>
            <w:rFonts w:ascii="Times New Roman" w:hAnsi="Times New Roman"/>
          </w:rPr>
          <w:t>консултация в рамките на предварителната оценка на въздействието</w:t>
        </w:r>
      </w:hyperlink>
      <w:r>
        <w:rPr>
          <w:rFonts w:ascii="Times New Roman" w:hAnsi="Times New Roman"/>
        </w:rPr>
        <w:t>).</w:t>
      </w:r>
    </w:p>
  </w:footnote>
  <w:footnote w:id="37">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1" w:history="1">
        <w:r>
          <w:rPr>
            <w:rStyle w:val="Hyperlink"/>
            <w:rFonts w:ascii="Times New Roman" w:hAnsi="Times New Roman"/>
          </w:rPr>
          <w:t>Economic aspects of geographical indication protection at the EU level for non-agricultural products (Икономически аспекти на закрилата на географските означения за неселскостопански продукти на равнището на ЕС)</w:t>
        </w:r>
      </w:hyperlink>
      <w:r>
        <w:rPr>
          <w:rFonts w:ascii="Times New Roman" w:hAnsi="Times New Roman"/>
        </w:rPr>
        <w:t>, 2020 г.</w:t>
      </w:r>
    </w:p>
  </w:footnote>
  <w:footnote w:id="38">
    <w:p>
      <w:pPr>
        <w:pStyle w:val="FootnoteText"/>
        <w:spacing w:after="0"/>
        <w:jc w:val="both"/>
        <w:rPr>
          <w:rFonts w:ascii="Times New Roman" w:hAnsi="Times New Roman" w:cs="Times New Roman"/>
          <w:szCs w:val="22"/>
        </w:rPr>
      </w:pPr>
      <w:r>
        <w:rPr>
          <w:rStyle w:val="FootnoteReference"/>
          <w:rFonts w:ascii="Times New Roman" w:hAnsi="Times New Roman" w:cs="Times New Roman"/>
        </w:rPr>
        <w:footnoteRef/>
      </w:r>
      <w:r>
        <w:rPr>
          <w:rFonts w:ascii="Times New Roman" w:hAnsi="Times New Roman"/>
        </w:rPr>
        <w:t xml:space="preserve"> По-специално въвеждането на общоевропейска закрила на ГО за неселскостопански продукти би могло в дългосрочен план да доведе до общо очаквано увеличение на търговията в рамките на ЕС от около 4,9—6,6 % спрямо настоящия износ в рамките на ЕС (37,6—</w:t>
      </w:r>
      <w:r>
        <w:rPr>
          <w:rFonts w:ascii="Times New Roman" w:hAnsi="Times New Roman"/>
          <w:szCs w:val="22"/>
        </w:rPr>
        <w:t xml:space="preserve">50 млрд. евро). Прогнозите показват, че при единна система регионалната заетост може да нарасне с 0,12—0,14 % и че в ЕС като цяло могат да бъдат създадени 284 000—338 000 нови работни места. </w:t>
      </w:r>
      <w:r>
        <w:rPr>
          <w:szCs w:val="22"/>
        </w:rPr>
        <w:t xml:space="preserve">Вж. </w:t>
      </w:r>
      <w:hyperlink r:id="rId32" w:history="1">
        <w:r>
          <w:rPr>
            <w:rStyle w:val="Hyperlink"/>
            <w:rFonts w:ascii="Times New Roman" w:hAnsi="Times New Roman"/>
            <w:szCs w:val="22"/>
          </w:rPr>
          <w:t>Географски означения за неселскостопански продукти.</w:t>
        </w:r>
      </w:hyperlink>
      <w:hyperlink r:id="rId33" w:history="1">
        <w:r>
          <w:rPr>
            <w:rStyle w:val="Hyperlink"/>
            <w:rFonts w:ascii="Times New Roman" w:hAnsi="Times New Roman"/>
            <w:szCs w:val="22"/>
          </w:rPr>
          <w:t>Доклад за цената от неизпълнението на европейското законодателство</w:t>
        </w:r>
      </w:hyperlink>
      <w:r>
        <w:rPr>
          <w:rFonts w:ascii="Times New Roman" w:hAnsi="Times New Roman"/>
          <w:szCs w:val="22"/>
        </w:rPr>
        <w:t>, 2019 г.</w:t>
      </w:r>
    </w:p>
  </w:footnote>
  <w:footnote w:id="39">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Въз основа на </w:t>
      </w:r>
      <w:hyperlink r:id="rId34" w:history="1">
        <w:r>
          <w:rPr>
            <w:rStyle w:val="Hyperlink"/>
            <w:rFonts w:ascii="Times New Roman" w:hAnsi="Times New Roman"/>
          </w:rPr>
          <w:t>Лисабонската система за международна регистрация на наименованията за произход и географските указания,</w:t>
        </w:r>
      </w:hyperlink>
      <w:r>
        <w:rPr>
          <w:rFonts w:ascii="Times New Roman" w:hAnsi="Times New Roman"/>
        </w:rPr>
        <w:t xml:space="preserve"> управлявана от Световната организация за интелектуална собственост.</w:t>
      </w:r>
    </w:p>
  </w:footnote>
  <w:footnote w:id="40">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5" w:anchor="tab3" w:history="1">
        <w:r>
          <w:rPr>
            <w:rStyle w:val="Hyperlink"/>
            <w:rFonts w:ascii="Times New Roman" w:hAnsi="Times New Roman"/>
          </w:rPr>
          <w:t>Intellectual property rights intensive industries and economic performance in the EU (Отрасли с интензивно използване на права върху интелектуална собственост и икономическа ефективност в ЕС)</w:t>
        </w:r>
      </w:hyperlink>
      <w:r>
        <w:rPr>
          <w:rFonts w:ascii="Times New Roman" w:hAnsi="Times New Roman"/>
          <w:color w:val="000000" w:themeColor="text1"/>
        </w:rPr>
        <w:t xml:space="preserve">, </w:t>
      </w:r>
      <w:r>
        <w:rPr>
          <w:rFonts w:ascii="Times New Roman" w:hAnsi="Times New Roman"/>
        </w:rPr>
        <w:t>Служба на ЕС за интелектуална собственост (EUIPO) — Европейско патентно ведомство (ЕПВ), 2019 г.</w:t>
      </w:r>
    </w:p>
  </w:footnote>
  <w:footnote w:id="41">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Установени по-специално въз основа на представените коментари от заинтересовани страни, анализ на решенията на Съда на ЕС, препоръките на междуинституционални работни групи.</w:t>
      </w:r>
    </w:p>
  </w:footnote>
  <w:footnote w:id="42">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Например чрез ускоряване на проучванията за наличие на предходни права и процедурите за регистрация.</w:t>
      </w:r>
    </w:p>
  </w:footnote>
  <w:footnote w:id="43">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Метаданни, свързани с авторско право, както по отношение на притежаването на ИС, така и по отношение на предоставянето на лицензии за ИС.</w:t>
      </w:r>
    </w:p>
  </w:footnote>
  <w:footnote w:id="44">
    <w:p>
      <w:pPr>
        <w:spacing w:after="0" w:line="240" w:lineRule="auto"/>
        <w:jc w:val="both"/>
        <w:rPr>
          <w:color w:val="000000" w:themeColor="text1"/>
        </w:rPr>
      </w:pPr>
      <w:r>
        <w:rPr>
          <w:rStyle w:val="FootnoteReference"/>
        </w:rPr>
        <w:footnoteRef/>
      </w:r>
      <w:r>
        <w:rPr>
          <w:rFonts w:ascii="Times New Roman" w:hAnsi="Times New Roman"/>
          <w:color w:val="FF0000"/>
          <w:sz w:val="20"/>
          <w:szCs w:val="20"/>
        </w:rPr>
        <w:t xml:space="preserve"> </w:t>
      </w:r>
      <w:r>
        <w:rPr>
          <w:color w:val="000000" w:themeColor="text1"/>
        </w:rPr>
        <w:t xml:space="preserve"> </w:t>
      </w:r>
      <w:r>
        <w:rPr>
          <w:rFonts w:ascii="Times New Roman" w:hAnsi="Times New Roman" w:cs="Times New Roman"/>
          <w:color w:val="000000" w:themeColor="text1"/>
          <w:sz w:val="20"/>
          <w:szCs w:val="20"/>
        </w:rPr>
        <w:t xml:space="preserve">Проучване относно тенденциите и новите развития в областта на </w:t>
      </w:r>
      <w:hyperlink r:id="rId36" w:history="1">
        <w:r>
          <w:rPr>
            <w:rStyle w:val="Hyperlink"/>
            <w:rFonts w:ascii="Times New Roman" w:hAnsi="Times New Roman" w:cs="Times New Roman"/>
            <w:sz w:val="20"/>
            <w:szCs w:val="20"/>
          </w:rPr>
          <w:t>Artificial Intelligence – Challenges to the IPR framework</w:t>
        </w:r>
      </w:hyperlink>
      <w:r>
        <w:rPr>
          <w:rFonts w:ascii="Times New Roman" w:hAnsi="Times New Roman" w:cs="Times New Roman"/>
          <w:color w:val="000000" w:themeColor="text1"/>
          <w:sz w:val="20"/>
          <w:szCs w:val="20"/>
        </w:rPr>
        <w:t xml:space="preserve"> (Изкуствения интелект – предизвикателства пред рамката на ПИС), проведено от IVIR и JIPP, ноември 2020 г.</w:t>
      </w:r>
      <w:r>
        <w:rPr>
          <w:rFonts w:ascii="Times New Roman" w:hAnsi="Times New Roman"/>
          <w:color w:val="000000" w:themeColor="text1"/>
          <w:sz w:val="20"/>
          <w:szCs w:val="20"/>
        </w:rPr>
        <w:t xml:space="preserve"> </w:t>
      </w:r>
    </w:p>
  </w:footnote>
  <w:footnote w:id="45">
    <w:p>
      <w:pPr>
        <w:pStyle w:val="FootnoteText"/>
        <w:spacing w:after="0"/>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През 2018 г. бяха подадени две заявки за европейски патент в ЕПВ.</w:t>
      </w:r>
      <w:r>
        <w:rPr>
          <w:rFonts w:ascii="Times New Roman" w:hAnsi="Times New Roman"/>
        </w:rPr>
        <w:t xml:space="preserve"> И в двете заявки машината „DABUS“ беше посочена като изобретател. Двете заявки за патент бяха отказани от ЕПВ. ЕПВ счете, че изобретателят, посочен в европейски патент, трябва да бъде физическо лице. Освен това ЕПВ тълкува термина „изобретател“ като отнасящ се до физическо лице съгласно международно приложим стандарт. Тези решения бяха обжалвани.</w:t>
      </w:r>
    </w:p>
  </w:footnote>
  <w:footnote w:id="46">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проучването например се подчертава липсата на хармонизация на правилата относно авторството и собствеността върху авторското право, което може да доведе до разнопосочност на националните решения по отношение на произведенията, създадени с помощта на ИИ.</w:t>
      </w:r>
    </w:p>
  </w:footnote>
  <w:footnote w:id="47">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проучването се предоставят например препоръки за адаптиране на понятията, залегнали в патентното право, като понятието за изобретателска стъпка и задължението за оповестяване, за изобретения, създадени с помощта на ИИ. </w:t>
      </w:r>
    </w:p>
  </w:footnote>
  <w:footnote w:id="48">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7" w:history="1">
        <w:r>
          <w:rPr>
            <w:rStyle w:val="Hyperlink"/>
            <w:rFonts w:ascii="Times New Roman" w:hAnsi="Times New Roman"/>
          </w:rPr>
          <w:t>Директива (EС) 2019/790</w:t>
        </w:r>
      </w:hyperlink>
      <w:r>
        <w:rPr>
          <w:rFonts w:ascii="Times New Roman" w:hAnsi="Times New Roman"/>
        </w:rPr>
        <w:t xml:space="preserve"> относно авторското право и сродните му права в цифровия единен пазар и за изменение на директиви 96/9/EО и 2001/29/EО; </w:t>
      </w:r>
      <w:hyperlink r:id="rId38" w:history="1">
        <w:r>
          <w:rPr>
            <w:rStyle w:val="Hyperlink"/>
            <w:rFonts w:ascii="Times New Roman" w:hAnsi="Times New Roman"/>
          </w:rPr>
          <w:t>Директива (ЕС) 2019/789</w:t>
        </w:r>
      </w:hyperlink>
      <w:r>
        <w:rPr>
          <w:rFonts w:ascii="Times New Roman" w:hAnsi="Times New Roman"/>
        </w:rPr>
        <w:t xml:space="preserve"> за установяване на правила във връзка с упражняването на авторското право и сродните му права, приложими за определени онлайн предавания на излъчващите организации и за препредаването на телевизионни и радиопрограми и за изменение на Директива 93/83/ЕИО на Съвета. Държавите членки трябва да транспонират тези директиви до 7 юни 2021 г.</w:t>
      </w:r>
    </w:p>
  </w:footnote>
  <w:footnote w:id="49">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9" w:history="1">
        <w:r>
          <w:rPr>
            <w:rStyle w:val="Hyperlink"/>
            <w:rFonts w:ascii="Times New Roman" w:hAnsi="Times New Roman"/>
          </w:rPr>
          <w:t>Директива 2011/77/ЕС</w:t>
        </w:r>
      </w:hyperlink>
      <w:r>
        <w:rPr>
          <w:rFonts w:ascii="Times New Roman" w:hAnsi="Times New Roman"/>
        </w:rPr>
        <w:t xml:space="preserve"> за изменение на Директива 2006/116/ЕО за срока за закрила на авторското право и някои сродни права; </w:t>
      </w:r>
      <w:hyperlink r:id="rId40" w:history="1">
        <w:r>
          <w:rPr>
            <w:rStyle w:val="Hyperlink"/>
            <w:rFonts w:ascii="Times New Roman" w:hAnsi="Times New Roman"/>
          </w:rPr>
          <w:t>Директива 2014/26/ЕС</w:t>
        </w:r>
      </w:hyperlink>
      <w:r>
        <w:rPr>
          <w:rFonts w:ascii="Times New Roman" w:hAnsi="Times New Roman"/>
        </w:rPr>
        <w:t xml:space="preserve"> относно колективното управление на авторското право и сродните му права и многотериториалното лицензиране на правата върху музикални произведения за използване онлайн на вътрешния пазар; </w:t>
      </w:r>
      <w:hyperlink r:id="rId41" w:history="1">
        <w:r>
          <w:rPr>
            <w:rStyle w:val="Hyperlink"/>
            <w:rFonts w:ascii="Times New Roman" w:hAnsi="Times New Roman"/>
          </w:rPr>
          <w:t>Директива (ЕС) 2017/1564</w:t>
        </w:r>
      </w:hyperlink>
      <w:r>
        <w:rPr>
          <w:rFonts w:ascii="Times New Roman" w:hAnsi="Times New Roman"/>
        </w:rPr>
        <w:t xml:space="preserve"> относно определени позволени видове използване на определени произведения и други обекти, закриляни от авторското право и сродните му права, в полза на слепи хора, лица с нарушено зрение или с други увреждания, които не позволяват четенето на печатни материали; </w:t>
      </w:r>
      <w:hyperlink r:id="rId42" w:history="1">
        <w:r>
          <w:rPr>
            <w:rStyle w:val="Hyperlink"/>
            <w:rFonts w:ascii="Times New Roman" w:hAnsi="Times New Roman"/>
          </w:rPr>
          <w:t>Регламент (ЕС) 2017/1128</w:t>
        </w:r>
      </w:hyperlink>
      <w:r>
        <w:rPr>
          <w:rFonts w:ascii="Times New Roman" w:hAnsi="Times New Roman"/>
        </w:rPr>
        <w:t xml:space="preserve"> за трансграничната преносимост на услугите за онлайн съдържание.</w:t>
      </w:r>
    </w:p>
  </w:footnote>
  <w:footnote w:id="50">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3" w:history="1">
        <w:r>
          <w:rPr>
            <w:rStyle w:val="Hyperlink"/>
            <w:rFonts w:ascii="Times New Roman" w:hAnsi="Times New Roman"/>
          </w:rPr>
          <w:t>Директива 98/44/EО</w:t>
        </w:r>
      </w:hyperlink>
      <w:r>
        <w:rPr>
          <w:rFonts w:ascii="Times New Roman" w:hAnsi="Times New Roman"/>
        </w:rPr>
        <w:t xml:space="preserve"> относно правната закрила на биотехнологичните изобретения.</w:t>
      </w:r>
    </w:p>
  </w:footnote>
  <w:footnote w:id="51">
    <w:p>
      <w:pPr>
        <w:pStyle w:val="FootnoteText"/>
        <w:spacing w:after="0"/>
        <w:jc w:val="both"/>
      </w:pPr>
      <w:r>
        <w:rPr>
          <w:rStyle w:val="FootnoteReference"/>
          <w:rFonts w:ascii="Times New Roman" w:hAnsi="Times New Roman" w:cs="Times New Roman"/>
        </w:rPr>
        <w:footnoteRef/>
      </w:r>
      <w:r>
        <w:rPr>
          <w:rFonts w:ascii="Times New Roman" w:hAnsi="Times New Roman"/>
        </w:rPr>
        <w:t xml:space="preserve"> По-</w:t>
      </w:r>
      <w:r>
        <w:rPr>
          <w:rFonts w:ascii="Times New Roman" w:hAnsi="Times New Roman"/>
          <w:color w:val="000000" w:themeColor="text1"/>
        </w:rPr>
        <w:t xml:space="preserve">специално с цел да осигури пълното прилагане на </w:t>
      </w:r>
      <w:hyperlink r:id="rId44" w:history="1">
        <w:r>
          <w:rPr>
            <w:rStyle w:val="Hyperlink"/>
            <w:rFonts w:ascii="Times New Roman" w:hAnsi="Times New Roman"/>
          </w:rPr>
          <w:t>Известието на Комисията относно някои разпоредби на Директива 98/44/ЕО на Европейския парламент и на Съвета относно правната закрила на биотехнологичните изобретения</w:t>
        </w:r>
      </w:hyperlink>
      <w:r>
        <w:rPr>
          <w:rFonts w:ascii="Times New Roman" w:hAnsi="Times New Roman"/>
        </w:rPr>
        <w:t xml:space="preserve"> </w:t>
      </w:r>
      <w:r>
        <w:rPr>
          <w:rFonts w:ascii="Times New Roman" w:hAnsi="Times New Roman"/>
          <w:color w:val="000000" w:themeColor="text1"/>
        </w:rPr>
        <w:t>от 3 ноември 2016 г., във вида, в който е одобрено от Парламента и Съвета, в което се пояснява, че продуктите, получени чрез биологични по своята същност процеси, не са патентоспособни.</w:t>
      </w:r>
    </w:p>
  </w:footnote>
  <w:footnote w:id="52">
    <w:p>
      <w:pPr>
        <w:pStyle w:val="FootnoteText"/>
        <w:spacing w:after="0"/>
        <w:rPr>
          <w:rFonts w:ascii="Times New Roman" w:hAnsi="Times New Roman" w:cs="Times New Roman"/>
          <w:color w:val="FF0000"/>
        </w:rPr>
      </w:pPr>
      <w:r>
        <w:rPr>
          <w:rStyle w:val="FootnoteReference"/>
          <w:rFonts w:ascii="Times New Roman" w:hAnsi="Times New Roman" w:cs="Times New Roman"/>
        </w:rPr>
        <w:footnoteRef/>
      </w:r>
      <w:r>
        <w:rPr>
          <w:rFonts w:ascii="Times New Roman" w:hAnsi="Times New Roman"/>
        </w:rPr>
        <w:t xml:space="preserve"> По линия на Програмата за конкурентоспособност на предприятията и малките и средните предприятия (COSME) и основно финансирана от бюджетния излишък на EUIPO. </w:t>
      </w:r>
    </w:p>
  </w:footnote>
  <w:footnote w:id="53">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осъществяваната понастоящем програма </w:t>
      </w:r>
      <w:hyperlink r:id="rId45" w:history="1">
        <w:r>
          <w:rPr>
            <w:rStyle w:val="Hyperlink"/>
            <w:rFonts w:ascii="Times New Roman" w:hAnsi="Times New Roman"/>
          </w:rPr>
          <w:t>IPA4SME</w:t>
        </w:r>
      </w:hyperlink>
      <w:r>
        <w:rPr>
          <w:rFonts w:ascii="Times New Roman" w:hAnsi="Times New Roman"/>
        </w:rPr>
        <w:t>.</w:t>
      </w:r>
    </w:p>
  </w:footnote>
  <w:footnote w:id="54">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Комисията ще изпробва концепцията в рамките на проекта „</w:t>
      </w:r>
      <w:hyperlink r:id="rId46" w:history="1">
        <w:r>
          <w:rPr>
            <w:rStyle w:val="Hyperlink"/>
            <w:rFonts w:ascii="Times New Roman" w:hAnsi="Times New Roman"/>
          </w:rPr>
          <w:t>Closing the finance gap for IPR-driven start-ups and SMEs</w:t>
        </w:r>
      </w:hyperlink>
      <w:r>
        <w:rPr>
          <w:rStyle w:val="Hyperlink"/>
          <w:color w:val="auto"/>
          <w:u w:val="none"/>
        </w:rPr>
        <w:t xml:space="preserve">“ </w:t>
      </w:r>
      <w:r>
        <w:rPr>
          <w:rStyle w:val="Hyperlink"/>
          <w:rFonts w:ascii="Times New Roman" w:hAnsi="Times New Roman" w:cs="Times New Roman"/>
          <w:color w:val="auto"/>
          <w:u w:val="none"/>
        </w:rPr>
        <w:t>(Запълване на празнината във финансирането на основаващи се на ПИС стартиращи предприятия и МСП).</w:t>
      </w:r>
      <w:r>
        <w:rPr>
          <w:rFonts w:ascii="Times New Roman" w:hAnsi="Times New Roman" w:cs="Times New Roman"/>
        </w:rPr>
        <w:t xml:space="preserve"> </w:t>
      </w:r>
    </w:p>
  </w:footnote>
  <w:footnote w:id="55">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Така че всяко МСП да има достъп до консултиране, както се подчертава в стратегията за МСП.</w:t>
      </w:r>
    </w:p>
  </w:footnote>
  <w:footnote w:id="56">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Става дума за инициатива в рамките на програмата на EUIPO за МСП, която ще бъде разработена в сътрудничество с мрежата на Европейския съюз за интелектуална собственост (EUIPN), състояща се от EUIPO и националните служби за ИС на държавите — членки на ЕС.</w:t>
      </w:r>
    </w:p>
  </w:footnote>
  <w:footnote w:id="57">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Такива консултанти работят чрез мрежи или доставчици на консултации в рамките на мрежата Enterprise Europe Network, иновационните центрове, </w:t>
      </w:r>
      <w:hyperlink r:id="rId47" w:history="1">
        <w:r>
          <w:rPr>
            <w:rStyle w:val="Hyperlink"/>
            <w:rFonts w:ascii="Times New Roman" w:hAnsi="Times New Roman"/>
          </w:rPr>
          <w:t>мрежите от клъстери</w:t>
        </w:r>
      </w:hyperlink>
      <w:r>
        <w:rPr>
          <w:rFonts w:ascii="Times New Roman" w:hAnsi="Times New Roman"/>
        </w:rPr>
        <w:t xml:space="preserve"> или консултантския център по програмата InvestEU (който се развива от настоящия </w:t>
      </w:r>
      <w:hyperlink r:id="rId48" w:history="1">
        <w:r>
          <w:rPr>
            <w:rStyle w:val="Hyperlink"/>
            <w:rFonts w:ascii="Times New Roman" w:hAnsi="Times New Roman"/>
          </w:rPr>
          <w:t>Европейски консултантски център по инвестиционни въпроси</w:t>
        </w:r>
      </w:hyperlink>
      <w:r>
        <w:rPr>
          <w:rFonts w:ascii="Times New Roman" w:hAnsi="Times New Roman"/>
        </w:rPr>
        <w:t>).</w:t>
      </w:r>
    </w:p>
  </w:footnote>
  <w:footnote w:id="58">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Съгласно </w:t>
      </w:r>
      <w:hyperlink r:id="rId49" w:history="1">
        <w:r>
          <w:rPr>
            <w:rStyle w:val="Hyperlink"/>
            <w:rFonts w:ascii="Times New Roman" w:hAnsi="Times New Roman"/>
          </w:rPr>
          <w:t>Таблото с показатели за МСП на EUIPO</w:t>
        </w:r>
      </w:hyperlink>
      <w:r>
        <w:rPr>
          <w:rFonts w:ascii="Times New Roman" w:hAnsi="Times New Roman"/>
        </w:rPr>
        <w:t xml:space="preserve">, 2019, само 13 % от МСП, притежаващи права върху ИС, са се опитали да използват нематериални активи за получаване на финансиране: 9 % успешно и 4 % неуспешно. </w:t>
      </w:r>
    </w:p>
  </w:footnote>
  <w:footnote w:id="59">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Проучване на тема „</w:t>
      </w:r>
      <w:hyperlink r:id="rId50" w:history="1">
        <w:r>
          <w:rPr>
            <w:rStyle w:val="Hyperlink"/>
            <w:rFonts w:ascii="Times New Roman" w:hAnsi="Times New Roman"/>
          </w:rPr>
          <w:t>Финансиране на нематериални активи:</w:t>
        </w:r>
      </w:hyperlink>
      <w:hyperlink r:id="rId51" w:history="1">
        <w:r>
          <w:rPr>
            <w:rStyle w:val="Hyperlink"/>
            <w:rFonts w:ascii="Times New Roman" w:hAnsi="Times New Roman"/>
          </w:rPr>
          <w:t xml:space="preserve"> съществува ли пазарна неефективност?</w:t>
        </w:r>
      </w:hyperlink>
      <w:r>
        <w:rPr>
          <w:rFonts w:ascii="Times New Roman" w:hAnsi="Times New Roman"/>
        </w:rPr>
        <w:t>“, ЕК, 2020 г.</w:t>
      </w:r>
    </w:p>
  </w:footnote>
  <w:footnote w:id="60">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Това може да бъде направено в рамките на програмата InvestEU и ще се основава на опита, придобит от проекта „Финансиране, обучение, иновации и патентоване за културните и творческите индустрии” и проучването на тема „</w:t>
      </w:r>
      <w:hyperlink r:id="rId52" w:history="1">
        <w:r>
          <w:rPr>
            <w:rStyle w:val="Hyperlink"/>
            <w:rFonts w:ascii="Times New Roman" w:hAnsi="Times New Roman"/>
          </w:rPr>
          <w:t>Финансиране на нематериални активи:</w:t>
        </w:r>
      </w:hyperlink>
      <w:hyperlink r:id="rId53" w:history="1">
        <w:r>
          <w:rPr>
            <w:rStyle w:val="Hyperlink"/>
            <w:rFonts w:ascii="Times New Roman" w:hAnsi="Times New Roman"/>
          </w:rPr>
          <w:t xml:space="preserve"> съществува ли пазарна неефективност?</w:t>
        </w:r>
      </w:hyperlink>
      <w:r>
        <w:rPr>
          <w:rFonts w:ascii="Times New Roman" w:hAnsi="Times New Roman"/>
        </w:rPr>
        <w:t>“, ЕК, 2020 г.</w:t>
      </w:r>
    </w:p>
  </w:footnote>
  <w:footnote w:id="61">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4" w:history="1">
        <w:r>
          <w:rPr>
            <w:rStyle w:val="Hyperlink"/>
            <w:rFonts w:ascii="Times New Roman" w:hAnsi="Times New Roman"/>
          </w:rPr>
          <w:t>Съобщение на Комисията</w:t>
        </w:r>
      </w:hyperlink>
      <w:r>
        <w:rPr>
          <w:rFonts w:ascii="Times New Roman" w:hAnsi="Times New Roman"/>
        </w:rPr>
        <w:t>, Стратегия за мястото на МСП в устойчива и цифрова Европа,</w:t>
      </w:r>
      <w:r>
        <w:rPr>
          <w:rFonts w:ascii="Times New Roman" w:hAnsi="Times New Roman"/>
          <w:b/>
          <w:color w:val="444444"/>
          <w:shd w:val="clear" w:color="auto" w:fill="FFFFFF"/>
        </w:rPr>
        <w:t xml:space="preserve"> </w:t>
      </w:r>
      <w:r>
        <w:rPr>
          <w:rFonts w:ascii="Times New Roman" w:hAnsi="Times New Roman"/>
        </w:rPr>
        <w:t xml:space="preserve">COM(2020) 103 final, 10 март 2020 г.  </w:t>
      </w:r>
    </w:p>
  </w:footnote>
  <w:footnote w:id="6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Вж. </w:t>
      </w:r>
      <w:hyperlink r:id="rId55" w:history="1">
        <w:r>
          <w:rPr>
            <w:rStyle w:val="Hyperlink"/>
            <w:rFonts w:ascii="Times New Roman" w:hAnsi="Times New Roman"/>
            <w:sz w:val="20"/>
            <w:szCs w:val="20"/>
          </w:rPr>
          <w:t>гаранционния механизъм за МСП „InnovFin“</w:t>
        </w:r>
      </w:hyperlink>
      <w:r>
        <w:rPr>
          <w:rFonts w:ascii="Times New Roman" w:hAnsi="Times New Roman"/>
          <w:sz w:val="20"/>
          <w:szCs w:val="20"/>
        </w:rPr>
        <w:t xml:space="preserve"> или гаранционния механизъм за секторите на културата и творчеството.</w:t>
      </w:r>
    </w:p>
  </w:footnote>
  <w:footnote w:id="63">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6" w:history="1">
        <w:r>
          <w:rPr>
            <w:rStyle w:val="Hyperlink"/>
            <w:rFonts w:ascii="Times New Roman" w:hAnsi="Times New Roman"/>
          </w:rPr>
          <w:t>Съобщение относно европейското научноизследователско пространство (ЕНП)</w:t>
        </w:r>
      </w:hyperlink>
      <w:r>
        <w:rPr>
          <w:rStyle w:val="Hyperlink"/>
          <w:rFonts w:ascii="Times New Roman" w:hAnsi="Times New Roman"/>
        </w:rPr>
        <w:t>.</w:t>
      </w:r>
    </w:p>
  </w:footnote>
  <w:footnote w:id="64">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hyperlink r:id="rId57" w:history="1">
        <w:r>
          <w:rPr>
            <w:rStyle w:val="Hyperlink"/>
            <w:rFonts w:ascii="Times New Roman" w:hAnsi="Times New Roman"/>
          </w:rPr>
          <w:t>Платформата за резултатите от програмата „Хоризонт“</w:t>
        </w:r>
      </w:hyperlink>
      <w:r>
        <w:rPr>
          <w:rFonts w:ascii="Times New Roman" w:hAnsi="Times New Roman"/>
        </w:rPr>
        <w:t>.</w:t>
      </w:r>
    </w:p>
  </w:footnote>
  <w:footnote w:id="65">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платформата </w:t>
      </w:r>
      <w:hyperlink r:id="rId58" w:history="1">
        <w:r>
          <w:rPr>
            <w:rStyle w:val="Hyperlink"/>
            <w:rFonts w:ascii="Times New Roman" w:hAnsi="Times New Roman"/>
          </w:rPr>
          <w:t>Научни изследвания и иновации в подкрепа на борбата с коронавируса</w:t>
        </w:r>
      </w:hyperlink>
      <w:r>
        <w:rPr>
          <w:rFonts w:ascii="Times New Roman" w:hAnsi="Times New Roman"/>
        </w:rPr>
        <w:t xml:space="preserve">. </w:t>
      </w:r>
    </w:p>
  </w:footnote>
  <w:footnote w:id="66">
    <w:p>
      <w:pPr>
        <w:pStyle w:val="FootnoteText"/>
        <w:jc w:val="both"/>
        <w:rPr>
          <w:rFonts w:ascii="Times New Roman" w:hAnsi="Times New Roman" w:cs="Times New Roman"/>
          <w:color w:val="FF0000"/>
        </w:rPr>
      </w:pPr>
      <w:r>
        <w:rPr>
          <w:rStyle w:val="FootnoteReference"/>
          <w:rFonts w:ascii="Times New Roman" w:hAnsi="Times New Roman" w:cs="Times New Roman"/>
        </w:rPr>
        <w:footnoteRef/>
      </w:r>
      <w:r>
        <w:rPr>
          <w:rFonts w:ascii="Times New Roman" w:hAnsi="Times New Roman"/>
        </w:rPr>
        <w:t xml:space="preserve"> По същия начин, в рамките на Европейския фонд за отбрана (EDF) бяха въведени специални разпоредби за защита на резултатите от ползващите се с финансова подкрепа научноизследователски и развойни дейности и тяхната достъпност в ЕС. Те включват задължение за предварително уведомяване на Комисията в случай на прехвърляне на собственост върху резултатите и свързаната с тях ИС (и на предоставяне на изключителни лицензии за научноизследователски дейности) на неасоциирани трети държави или субекти от трети държави, а също така задължение за възстановяване на предоставеното финансиране от ЕС, в случай че такова прехвърляне на резултатите/ИС би противоречало на интересите на Съюза и на неговите държави членки в областта на сигурността и отбраната или на целите на EDF.</w:t>
      </w:r>
    </w:p>
  </w:footnote>
  <w:footnote w:id="67">
    <w:p>
      <w:pPr>
        <w:pStyle w:val="FootnoteText"/>
        <w:spacing w:after="0"/>
        <w:jc w:val="both"/>
      </w:pPr>
      <w:r>
        <w:rPr>
          <w:rStyle w:val="FootnoteReference"/>
        </w:rPr>
        <w:footnoteRef/>
      </w:r>
      <w:r>
        <w:t xml:space="preserve"> </w:t>
      </w:r>
      <w:r>
        <w:rPr>
          <w:rFonts w:ascii="Times New Roman" w:hAnsi="Times New Roman"/>
        </w:rPr>
        <w:t>В областта на данните за околната среда (които позволяват изготвянето на анализ на жизнения цикъл) следва да се постигне балансираност на контролираните от ПИС данни с обществения интерес, какъвто представлява изчисляването на екологичния отпечатък на продуктите и организациите.</w:t>
      </w:r>
    </w:p>
  </w:footnote>
  <w:footnote w:id="68">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9" w:history="1">
        <w:r>
          <w:rPr>
            <w:rStyle w:val="Hyperlink"/>
            <w:rFonts w:ascii="Times New Roman" w:hAnsi="Times New Roman"/>
          </w:rPr>
          <w:t>Съобщение на Комисията</w:t>
        </w:r>
      </w:hyperlink>
      <w:r>
        <w:rPr>
          <w:rFonts w:ascii="Times New Roman" w:hAnsi="Times New Roman"/>
        </w:rPr>
        <w:t xml:space="preserve"> – Стратегия на ЕС за ваксините срещу COVID-19, COM(2020) 245 final, 17 юни 2020 г.</w:t>
      </w:r>
    </w:p>
  </w:footnote>
  <w:footnote w:id="69">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0" w:history="1">
        <w:r>
          <w:rPr>
            <w:rStyle w:val="Hyperlink"/>
            <w:rFonts w:ascii="Times New Roman" w:hAnsi="Times New Roman"/>
          </w:rPr>
          <w:t>Резолюция 73 на Световната здравна асамблея</w:t>
        </w:r>
      </w:hyperlink>
      <w:r>
        <w:rPr>
          <w:rFonts w:ascii="Times New Roman" w:hAnsi="Times New Roman"/>
        </w:rPr>
        <w:t>.</w:t>
      </w:r>
    </w:p>
  </w:footnote>
  <w:footnote w:id="70">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1" w:history="1">
        <w:r>
          <w:rPr>
            <w:rStyle w:val="Hyperlink"/>
            <w:rFonts w:ascii="Times New Roman" w:hAnsi="Times New Roman"/>
          </w:rPr>
          <w:t>Съобщение на Комисията</w:t>
        </w:r>
      </w:hyperlink>
      <w:r>
        <w:rPr>
          <w:rFonts w:ascii="Times New Roman" w:hAnsi="Times New Roman"/>
        </w:rPr>
        <w:t xml:space="preserve"> – Временна рамка за оценка на антитръстови въпроси относно икономическо сътрудничество в отговор на спешни ситуации, произтичащи от настоящото разпространение на COVID-19, C(2020) 3200 final.</w:t>
      </w:r>
    </w:p>
  </w:footnote>
  <w:footnote w:id="71">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2" w:history="1">
        <w:r>
          <w:rPr>
            <w:rStyle w:val="Hyperlink"/>
            <w:rFonts w:ascii="Times New Roman" w:hAnsi="Times New Roman"/>
          </w:rPr>
          <w:t>Mанифестът за научните изследвания на ЕС във връзка с Covid-19</w:t>
        </w:r>
      </w:hyperlink>
      <w:r>
        <w:rPr>
          <w:rFonts w:ascii="Times New Roman" w:hAnsi="Times New Roman"/>
        </w:rPr>
        <w:t xml:space="preserve">, издаден с цел да се увеличи максимално достъпността на резултатите от научните изследвания в борбата с COVID-19, до момента е подкрепен от над 600 организации (като университети, научноизследователски институти, частни компании, включително МСП, и организации на гражданското общество) и от над 1800 частни лица от цяла Европа и останалата част на света. </w:t>
      </w:r>
    </w:p>
  </w:footnote>
  <w:footnote w:id="72">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Единственото изключение е </w:t>
      </w:r>
      <w:hyperlink r:id="rId63" w:history="1">
        <w:r>
          <w:rPr>
            <w:rStyle w:val="Hyperlink"/>
            <w:rFonts w:ascii="Times New Roman" w:hAnsi="Times New Roman"/>
          </w:rPr>
          <w:t>Регламент (EО) № 816/2006</w:t>
        </w:r>
      </w:hyperlink>
      <w:r>
        <w:rPr>
          <w:rFonts w:ascii="Times New Roman" w:hAnsi="Times New Roman"/>
        </w:rPr>
        <w:t>, който предвижда специален режим на принудителни лицензии за целите на прилагането на член 31а от Споразумението ТРИПС и се отнася за производството на фармацевтични продукти за износ в държави с проблеми в областта общественото здраве.</w:t>
      </w:r>
    </w:p>
  </w:footnote>
  <w:footnote w:id="73">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също така </w:t>
      </w:r>
      <w:hyperlink r:id="rId64" w:history="1">
        <w:r>
          <w:rPr>
            <w:rStyle w:val="Hyperlink"/>
            <w:rFonts w:ascii="Times New Roman" w:hAnsi="Times New Roman"/>
          </w:rPr>
          <w:t>Документ 15016/19 на Съвета</w:t>
        </w:r>
      </w:hyperlink>
      <w:r>
        <w:rPr>
          <w:rFonts w:ascii="Times New Roman" w:hAnsi="Times New Roman"/>
        </w:rPr>
        <w:t>, озаглавен „Developing the Copyright Infrastructure - Stocktaking of work and progress under the Finnish Presidency“ („Развитие на инфраструктурата в областта на авторското право — обзорен преглед на свършената работа и постигнатия напредък по време на финландското председателство“).</w:t>
      </w:r>
    </w:p>
  </w:footnote>
  <w:footnote w:id="74">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Съвкупността от правила, технологии и институции, които рамкират практиките за управление на данни в творческите индустрии.</w:t>
      </w:r>
    </w:p>
  </w:footnote>
  <w:footnote w:id="75">
    <w:p>
      <w:pPr>
        <w:pStyle w:val="FootnoteText"/>
        <w:spacing w:after="0"/>
        <w:jc w:val="both"/>
        <w:rPr>
          <w:rFonts w:ascii="Times New Roman" w:hAnsi="Times New Roman" w:cs="Times New Roman"/>
          <w:highlight w:val="green"/>
        </w:rPr>
      </w:pPr>
      <w:r>
        <w:rPr>
          <w:rStyle w:val="FootnoteReference"/>
          <w:rFonts w:ascii="Times New Roman" w:hAnsi="Times New Roman" w:cs="Times New Roman"/>
        </w:rPr>
        <w:footnoteRef/>
      </w:r>
      <w:r>
        <w:rPr>
          <w:rFonts w:ascii="Times New Roman" w:hAnsi="Times New Roman"/>
        </w:rPr>
        <w:t xml:space="preserve"> Вж. „</w:t>
      </w:r>
      <w:hyperlink r:id="rId65" w:history="1">
        <w:r>
          <w:rPr>
            <w:rStyle w:val="Hyperlink"/>
            <w:rFonts w:ascii="Times New Roman" w:hAnsi="Times New Roman"/>
          </w:rPr>
          <w:t>SMART 2019/0038</w:t>
        </w:r>
      </w:hyperlink>
      <w:r>
        <w:rPr>
          <w:rFonts w:ascii="Times New Roman" w:hAnsi="Times New Roman"/>
        </w:rPr>
        <w:t xml:space="preserve"> – Проучване относно авторското право и новите технологии: управление на данни, свързани с авторско право, и изкуствен интелект“.</w:t>
      </w:r>
    </w:p>
  </w:footnote>
  <w:footnote w:id="76">
    <w:p>
      <w:pPr>
        <w:pStyle w:val="FootnoteText"/>
        <w:spacing w:after="0"/>
        <w:jc w:val="both"/>
        <w:rPr>
          <w:rFonts w:ascii="Times New Roman" w:hAnsi="Times New Roman" w:cs="Times New Roman"/>
          <w:color w:val="FF0000"/>
        </w:rPr>
      </w:pPr>
      <w:r>
        <w:rPr>
          <w:rStyle w:val="FootnoteReference"/>
          <w:rFonts w:ascii="Times New Roman" w:hAnsi="Times New Roman" w:cs="Times New Roman"/>
        </w:rPr>
        <w:footnoteRef/>
      </w:r>
      <w:r>
        <w:rPr>
          <w:rFonts w:ascii="Times New Roman" w:hAnsi="Times New Roman"/>
        </w:rPr>
        <w:t xml:space="preserve"> </w:t>
      </w:r>
      <w:hyperlink r:id="rId66" w:history="1">
        <w:r>
          <w:rPr>
            <w:rStyle w:val="Hyperlink"/>
            <w:rFonts w:ascii="Times New Roman" w:hAnsi="Times New Roman"/>
          </w:rPr>
          <w:t>Landscape study of potentially essential patents disclosed to ETSI (Ландшафтно проучване на потенциалните патенти от съществено значение за стандарт, оповестени пред Европейския институт за стандарти в далекосъобщенията (ETSI), 2020 г.</w:t>
        </w:r>
      </w:hyperlink>
      <w:r>
        <w:rPr>
          <w:rFonts w:ascii="Times New Roman" w:hAnsi="Times New Roman"/>
        </w:rPr>
        <w:t xml:space="preserve"> </w:t>
      </w:r>
    </w:p>
  </w:footnote>
  <w:footnote w:id="77">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7" w:history="1">
        <w:r>
          <w:rPr>
            <w:rStyle w:val="Hyperlink"/>
            <w:rFonts w:ascii="Times New Roman" w:hAnsi="Times New Roman"/>
          </w:rPr>
          <w:t>Съобщение на Комисията</w:t>
        </w:r>
      </w:hyperlink>
      <w:r>
        <w:rPr>
          <w:rFonts w:ascii="Times New Roman" w:hAnsi="Times New Roman"/>
        </w:rPr>
        <w:t xml:space="preserve"> – Определяне на подхода на ЕС по отношение на патентите от съществено значение за стандарт, COM(2017) 712 final, 29 ноември 2017 г. </w:t>
      </w:r>
    </w:p>
  </w:footnote>
  <w:footnote w:id="78">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А също така тези на интелигентното здравеопазване, интелигентната енергия и интернет на предметите.</w:t>
      </w:r>
    </w:p>
  </w:footnote>
  <w:footnote w:id="79">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8" w:history="1">
        <w:r>
          <w:rPr>
            <w:rStyle w:val="Hyperlink"/>
            <w:rFonts w:ascii="Times New Roman" w:hAnsi="Times New Roman"/>
          </w:rPr>
          <w:t>Пилотно проучване за оценка по отношение на наличието на същественост при патентите от съществено значение за стандарт</w:t>
        </w:r>
      </w:hyperlink>
      <w:r>
        <w:rPr>
          <w:rFonts w:ascii="Times New Roman" w:hAnsi="Times New Roman"/>
        </w:rPr>
        <w:t xml:space="preserve"> </w:t>
      </w:r>
      <w:r>
        <w:rPr>
          <w:rFonts w:ascii="Times New Roman" w:hAnsi="Times New Roman"/>
          <w:i/>
          <w:color w:val="FF0000"/>
        </w:rPr>
        <w:t xml:space="preserve"> </w:t>
      </w:r>
    </w:p>
  </w:footnote>
  <w:footnote w:id="80">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9" w:history="1">
        <w:r>
          <w:rPr>
            <w:rStyle w:val="Hyperlink"/>
            <w:rFonts w:ascii="Times New Roman" w:hAnsi="Times New Roman"/>
          </w:rPr>
          <w:t>Съобщение на Комисията</w:t>
        </w:r>
      </w:hyperlink>
      <w:r>
        <w:rPr>
          <w:rFonts w:ascii="Times New Roman" w:hAnsi="Times New Roman"/>
        </w:rPr>
        <w:t xml:space="preserve"> – Европейска стратегия за данните, COM(2020) 66 final, 19 февруари 2020 г. </w:t>
      </w:r>
    </w:p>
  </w:footnote>
  <w:footnote w:id="81">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hyperlink r:id="rId70" w:history="1">
        <w:r>
          <w:rPr>
            <w:rStyle w:val="Hyperlink"/>
            <w:rFonts w:ascii="Times New Roman" w:hAnsi="Times New Roman"/>
          </w:rPr>
          <w:t>информационния документ „Европейска стратегия за данните“</w:t>
        </w:r>
      </w:hyperlink>
      <w:r>
        <w:rPr>
          <w:rFonts w:ascii="Times New Roman" w:hAnsi="Times New Roman"/>
        </w:rPr>
        <w:t>.</w:t>
      </w:r>
    </w:p>
  </w:footnote>
  <w:footnote w:id="82">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1" w:history="1">
        <w:r>
          <w:rPr>
            <w:rStyle w:val="Hyperlink"/>
            <w:rFonts w:ascii="Times New Roman" w:hAnsi="Times New Roman"/>
          </w:rPr>
          <w:t>Директива (ЕС) 2016/943</w:t>
        </w:r>
      </w:hyperlink>
      <w:r>
        <w:rPr>
          <w:rFonts w:ascii="Times New Roman" w:hAnsi="Times New Roman"/>
          <w:bCs/>
          <w:color w:val="000000"/>
          <w:shd w:val="clear" w:color="auto" w:fill="FFFFFF"/>
        </w:rPr>
        <w:t xml:space="preserve"> относно закрилата на неразкрити ноу-хау и търговска информация (търговски тайни) срещу тяхното незаконно придобиване, използване и разкриванe.</w:t>
      </w:r>
    </w:p>
  </w:footnote>
  <w:footnote w:id="83">
    <w:p>
      <w:pPr>
        <w:pStyle w:val="FootnoteText"/>
        <w:spacing w:after="0"/>
        <w:jc w:val="both"/>
        <w:rPr>
          <w:rFonts w:ascii="Times New Roman" w:hAnsi="Times New Roman" w:cs="Times New Roman"/>
          <w:bCs/>
          <w:color w:val="000000"/>
          <w:shd w:val="clear" w:color="auto" w:fill="FFFFFF"/>
        </w:rPr>
      </w:pPr>
      <w:r>
        <w:rPr>
          <w:rStyle w:val="FootnoteReference"/>
          <w:rFonts w:ascii="Times New Roman" w:hAnsi="Times New Roman"/>
        </w:rPr>
        <w:footnoteRef/>
      </w:r>
      <w:r>
        <w:rPr>
          <w:rFonts w:ascii="Times New Roman" w:hAnsi="Times New Roman"/>
        </w:rPr>
        <w:t xml:space="preserve"> </w:t>
      </w:r>
      <w:r>
        <w:rPr>
          <w:rFonts w:ascii="Times New Roman" w:hAnsi="Times New Roman"/>
          <w:bCs/>
          <w:color w:val="000000"/>
          <w:shd w:val="clear" w:color="auto" w:fill="FFFFFF"/>
        </w:rPr>
        <w:t xml:space="preserve">Например в сектора на мастилото и тонер касетите за принтери бяха изтъкнати основно от производителите на оригинално оборудване (ПОО) различни аргументи срещу вторичното производство на техните продукти от трети страни, докато независимите предприятия, занимаващи се с вторично производство (в частност МСП), не разполагат с нужните ресурси, за да участват в съдебни производства срещу крупни ПОО, дори когато занимащото се с вторично производство предприятие може да функционира законно.  Тази предполагаема заплаха може да има възпиращ ефект върху по-малките дружества, които желаят да навлязат в сектора на вторичното производство. Вж.: </w:t>
      </w:r>
      <w:hyperlink r:id="rId72" w:history="1">
        <w:r>
          <w:rPr>
            <w:rFonts w:ascii="Times New Roman" w:hAnsi="Times New Roman"/>
            <w:color w:val="000000"/>
            <w:shd w:val="clear" w:color="auto" w:fill="FFFFFF"/>
          </w:rPr>
          <w:t xml:space="preserve">Study on the implementation of product design requirements set out in Article 4 of the WEEE Directive – The case of re-usability of printer cartridges – final report (Проучване относно изпълнението на изискванията за проектиране на продукти, посочени в член 4 от Директивата за ОЕЕО </w:t>
        </w:r>
        <w:r>
          <w:rPr>
            <w:rFonts w:ascii="Times New Roman" w:hAnsi="Times New Roman"/>
            <w:bCs/>
            <w:color w:val="000000"/>
            <w:shd w:val="clear" w:color="auto" w:fill="FFFFFF"/>
          </w:rPr>
          <w:t>Казусът с повторната</w:t>
        </w:r>
        <w:r>
          <w:rPr>
            <w:rFonts w:ascii="Times New Roman" w:hAnsi="Times New Roman"/>
            <w:color w:val="000000"/>
            <w:shd w:val="clear" w:color="auto" w:fill="FFFFFF"/>
          </w:rPr>
          <w:t>използваемост на тонер касетите за принтери</w:t>
        </w:r>
        <w:r>
          <w:rPr>
            <w:rFonts w:ascii="Times New Roman" w:hAnsi="Times New Roman"/>
            <w:bCs/>
            <w:color w:val="000000"/>
            <w:shd w:val="clear" w:color="auto" w:fill="FFFFFF"/>
          </w:rPr>
          <w:t>:</w:t>
        </w:r>
      </w:hyperlink>
      <w:hyperlink r:id="rId73" w:history="1">
        <w:r>
          <w:rPr>
            <w:rFonts w:ascii="Times New Roman" w:hAnsi="Times New Roman"/>
            <w:bCs/>
            <w:color w:val="000000"/>
            <w:shd w:val="clear" w:color="auto" w:fill="FFFFFF"/>
          </w:rPr>
          <w:t xml:space="preserve"> окончателен доклад</w:t>
        </w:r>
      </w:hyperlink>
      <w:r>
        <w:rPr>
          <w:rFonts w:ascii="Times New Roman" w:hAnsi="Times New Roman"/>
          <w:bCs/>
          <w:color w:val="000000"/>
          <w:shd w:val="clear" w:color="auto" w:fill="FFFFFF"/>
        </w:rPr>
        <w:t>), Kling et al, възложено от Европейската комисия ГД „Околна среда“, 2018 г.</w:t>
      </w:r>
    </w:p>
  </w:footnote>
  <w:footnote w:id="84">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Европейската стратегия за данните предвижда да се проучи необходимостта от законодателно действие по въпроси, които засягат отношенията между участниците в основаната на данни икономика, за да се осигурят стимули за междусекторния обмен на данни. Тези въпроси (напр. споделянето на данни между предприятия и органи на публичната власт, споделянето на данни между предприятия чрез права за ползване на съвместно генерирани данни) могат да бъдат разгледани в законодателен акт за данните (2021 г.).</w:t>
      </w:r>
    </w:p>
  </w:footnote>
  <w:footnote w:id="85">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4" w:history="1">
        <w:r>
          <w:rPr>
            <w:rStyle w:val="Hyperlink"/>
            <w:rFonts w:ascii="Times New Roman" w:hAnsi="Times New Roman"/>
          </w:rPr>
          <w:t>Директива 96/9/EО</w:t>
        </w:r>
      </w:hyperlink>
      <w:r>
        <w:rPr>
          <w:rFonts w:ascii="Times New Roman" w:hAnsi="Times New Roman"/>
          <w:bCs/>
          <w:color w:val="000000"/>
          <w:shd w:val="clear" w:color="auto" w:fill="FFFFFF"/>
        </w:rPr>
        <w:t xml:space="preserve"> за правна закрила на базите данни.</w:t>
      </w:r>
    </w:p>
  </w:footnote>
  <w:footnote w:id="86">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5" w:history="1">
        <w:r>
          <w:rPr>
            <w:rStyle w:val="Hyperlink"/>
            <w:rFonts w:ascii="Times New Roman" w:hAnsi="Times New Roman"/>
          </w:rPr>
          <w:t>Оценка на Директива 96/9/EО</w:t>
        </w:r>
      </w:hyperlink>
      <w:r>
        <w:rPr>
          <w:rFonts w:ascii="Times New Roman" w:hAnsi="Times New Roman"/>
        </w:rPr>
        <w:t xml:space="preserve"> за правна закрила на базите данни, SWD(2018) 147 final. </w:t>
      </w:r>
    </w:p>
  </w:footnote>
  <w:footnote w:id="87">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6" w:history="1">
        <w:r>
          <w:rPr>
            <w:rStyle w:val="Hyperlink"/>
            <w:rFonts w:ascii="Times New Roman" w:hAnsi="Times New Roman"/>
          </w:rPr>
          <w:t>Работна програма на Комисията за 2021 г.</w:t>
        </w:r>
      </w:hyperlink>
      <w:r>
        <w:rPr>
          <w:rFonts w:ascii="Times New Roman" w:hAnsi="Times New Roman"/>
        </w:rPr>
        <w:t>.</w:t>
      </w:r>
    </w:p>
  </w:footnote>
  <w:footnote w:id="88">
    <w:p>
      <w:pPr>
        <w:pStyle w:val="FootnoteText"/>
        <w:spacing w:after="0"/>
        <w:jc w:val="both"/>
      </w:pPr>
      <w:r>
        <w:rPr>
          <w:rStyle w:val="FootnoteReference"/>
        </w:rPr>
        <w:footnoteRef/>
      </w:r>
      <w:r>
        <w:t xml:space="preserve"> </w:t>
      </w:r>
      <w:r>
        <w:rPr>
          <w:rFonts w:ascii="Times New Roman" w:hAnsi="Times New Roman"/>
          <w:color w:val="000000" w:themeColor="text1"/>
        </w:rPr>
        <w:t>Споделянето на данни представлява обмен на информация, който трябва да се осъществява в съответствие с антитръстовите правила, както е посочено в хоризонталните насоки на Комисията, в които се обяснява кои видове информация могат да бъдат споделяни. В хода на осъществяваното понастоящем преразглеждане на тези насоки ще бъде преценено дали са необходими насоки за споделянето на данни във връзка с нови форми на сътрудничество в областта на НИРД. Комисията ще обмисли също така дали са необходими допълнителни насоки относно обстоятелствата, при които достъпът до данните може да бъде направен задължителен съгласно доктрината за същественото съдържание.</w:t>
      </w:r>
    </w:p>
  </w:footnote>
  <w:footnote w:id="89">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7" w:history="1">
        <w:r>
          <w:rPr>
            <w:rStyle w:val="Hyperlink"/>
            <w:rFonts w:ascii="Times New Roman" w:hAnsi="Times New Roman"/>
          </w:rPr>
          <w:t>Директива 2004/48/EО</w:t>
        </w:r>
      </w:hyperlink>
      <w:r>
        <w:rPr>
          <w:rFonts w:ascii="Times New Roman" w:hAnsi="Times New Roman"/>
        </w:rPr>
        <w:t xml:space="preserve"> </w:t>
      </w:r>
      <w:r>
        <w:rPr>
          <w:rFonts w:ascii="Times New Roman" w:hAnsi="Times New Roman"/>
          <w:bCs/>
        </w:rPr>
        <w:t>относно упражняването на права върху интелектуалната собственост.</w:t>
      </w:r>
    </w:p>
  </w:footnote>
  <w:footnote w:id="90">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fldChar w:fldCharType="begin"/>
      </w:r>
      <w:r>
        <w:fldChar w:fldCharType="separate"/>
      </w:r>
      <w:r>
        <w:rPr>
          <w:rStyle w:val="Hyperlink"/>
          <w:rFonts w:ascii="Times New Roman" w:hAnsi="Times New Roman" w:cs="Times New Roman"/>
        </w:rPr>
        <w:t>Commission communication</w:t>
      </w:r>
      <w:r>
        <w:rPr>
          <w:rStyle w:val="Hyperlink"/>
          <w:rFonts w:ascii="Times New Roman" w:hAnsi="Times New Roman" w:cs="Times New Roman"/>
        </w:rPr>
        <w:fldChar w:fldCharType="end"/>
      </w:r>
      <w:hyperlink r:id="rId78" w:history="1">
        <w:r>
          <w:rPr>
            <w:rStyle w:val="Hyperlink"/>
            <w:rFonts w:ascii="Times New Roman" w:hAnsi="Times New Roman"/>
          </w:rPr>
          <w:t>Насоки относно определени аспекти на Директива 2004/48/ЕО</w:t>
        </w:r>
      </w:hyperlink>
      <w:r>
        <w:rPr>
          <w:rFonts w:ascii="Times New Roman" w:hAnsi="Times New Roman"/>
        </w:rPr>
        <w:t xml:space="preserve"> относно упражняването на права върху интелектуалната собственост, COM(2017) 708 final, 29 ноември 2017 г.</w:t>
      </w:r>
    </w:p>
  </w:footnote>
  <w:footnote w:id="91">
    <w:p>
      <w:pPr>
        <w:pStyle w:val="FootnoteText"/>
        <w:spacing w:after="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79" w:history="1">
        <w:r>
          <w:rPr>
            <w:rStyle w:val="Hyperlink"/>
            <w:rFonts w:ascii="Times New Roman" w:hAnsi="Times New Roman"/>
          </w:rPr>
          <w:t>Trends in Trade in Counterfeit and Pirated Goods (Тенденции в търговията с фалшифицирани и пиратски стоки)</w:t>
        </w:r>
      </w:hyperlink>
      <w:r>
        <w:rPr>
          <w:rFonts w:ascii="Times New Roman" w:hAnsi="Times New Roman"/>
        </w:rPr>
        <w:t>, ОИСР и EUIPO, 2019 г.</w:t>
      </w:r>
    </w:p>
  </w:footnote>
  <w:footnote w:id="9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80" w:anchor="Status_Report_2020" w:history="1">
        <w:r>
          <w:rPr>
            <w:rStyle w:val="Hyperlink"/>
            <w:rFonts w:ascii="Times New Roman" w:hAnsi="Times New Roman"/>
          </w:rPr>
          <w:t>Status Report on IPR infringement (Доклад за състоянието на нарушенията на ПИС)</w:t>
        </w:r>
      </w:hyperlink>
      <w:r>
        <w:rPr>
          <w:rFonts w:ascii="Times New Roman" w:hAnsi="Times New Roman"/>
        </w:rPr>
        <w:t>, EUIPO, 2020 г.</w:t>
      </w:r>
      <w:r>
        <w:rPr>
          <w:rStyle w:val="Hyperlink"/>
          <w:rFonts w:ascii="Times New Roman" w:hAnsi="Times New Roman"/>
          <w:color w:val="auto"/>
          <w:u w:val="none"/>
        </w:rPr>
        <w:t xml:space="preserve">: </w:t>
      </w:r>
      <w:r>
        <w:rPr>
          <w:rFonts w:ascii="Times New Roman" w:hAnsi="Times New Roman"/>
          <w:color w:val="000000" w:themeColor="text1"/>
        </w:rPr>
        <w:t>средногодишни стойности, 2013—2017 г.</w:t>
      </w:r>
    </w:p>
  </w:footnote>
  <w:footnote w:id="93">
    <w:p>
      <w:pPr>
        <w:pStyle w:val="FootnoteText"/>
        <w:spacing w:after="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1" w:history="1">
        <w:r>
          <w:rPr>
            <w:rStyle w:val="Hyperlink"/>
            <w:rFonts w:ascii="Times New Roman" w:hAnsi="Times New Roman"/>
          </w:rPr>
          <w:t>Qualitative Study on Risks Posed by Counterfeits to Consumers (Качествено проучване на рисковете, които фалшификатите пораждат за потребителите)</w:t>
        </w:r>
      </w:hyperlink>
      <w:r>
        <w:rPr>
          <w:rFonts w:ascii="Times New Roman" w:hAnsi="Times New Roman"/>
        </w:rPr>
        <w:t>, EUIPO, 2019 г.</w:t>
      </w:r>
    </w:p>
  </w:footnote>
  <w:footnote w:id="94">
    <w:p>
      <w:pPr>
        <w:pStyle w:val="FootnoteText"/>
        <w:spacing w:after="0"/>
      </w:pPr>
      <w:r>
        <w:rPr>
          <w:rStyle w:val="FootnoteReference"/>
          <w:rFonts w:ascii="Times New Roman" w:hAnsi="Times New Roman"/>
        </w:rPr>
        <w:footnoteRef/>
      </w:r>
      <w:r>
        <w:rPr>
          <w:rFonts w:ascii="Times New Roman" w:hAnsi="Times New Roman"/>
        </w:rPr>
        <w:t xml:space="preserve"> Вж. операциите, проведени с помощта на Европейската служба за борба с измамите, например изземването на 550 тона нелегални или фалшиви пестициди през 2019 г. като част от операцията „Сребърна брадва IV“ (вж. </w:t>
      </w:r>
      <w:hyperlink r:id="rId82" w:history="1">
        <w:r>
          <w:rPr>
            <w:rStyle w:val="Hyperlink"/>
            <w:rFonts w:ascii="Times New Roman" w:hAnsi="Times New Roman"/>
          </w:rPr>
          <w:t>съобщение за пресата</w:t>
        </w:r>
      </w:hyperlink>
      <w:r>
        <w:rPr>
          <w:rFonts w:ascii="Times New Roman" w:hAnsi="Times New Roman"/>
        </w:rPr>
        <w:t>).</w:t>
      </w:r>
    </w:p>
  </w:footnote>
  <w:footnote w:id="95">
    <w:p>
      <w:pPr>
        <w:pStyle w:val="FootnoteText"/>
        <w:spacing w:after="0"/>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w:t>
      </w:r>
      <w:hyperlink r:id="rId83" w:history="1">
        <w:r>
          <w:rPr>
            <w:rStyle w:val="Hyperlink"/>
            <w:rFonts w:ascii="Times New Roman" w:hAnsi="Times New Roman"/>
          </w:rPr>
          <w:t>The scale and impact of industrial espionage and theft of trade secrets through cyber</w:t>
        </w:r>
        <w:r>
          <w:rPr>
            <w:rStyle w:val="Hyperlink"/>
            <w:rFonts w:ascii="Times New Roman" w:hAnsi="Times New Roman"/>
            <w:u w:val="none"/>
          </w:rPr>
          <w:t xml:space="preserve"> (Мащабът и въздействието на промишления шпионаж и кражбата на търговски тайни чрез киберсредства)</w:t>
        </w:r>
      </w:hyperlink>
      <w:r>
        <w:rPr>
          <w:rFonts w:ascii="Times New Roman" w:hAnsi="Times New Roman"/>
        </w:rPr>
        <w:t>, 2018 г.</w:t>
      </w:r>
    </w:p>
  </w:footnote>
  <w:footnote w:id="96">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hyperlink r:id="rId84" w:history="1">
        <w:r>
          <w:rPr>
            <w:rStyle w:val="Hyperlink"/>
            <w:rFonts w:ascii="Times New Roman" w:hAnsi="Times New Roman"/>
          </w:rPr>
          <w:t>обществената консултация</w:t>
        </w:r>
      </w:hyperlink>
      <w:r>
        <w:rPr>
          <w:rFonts w:ascii="Times New Roman" w:hAnsi="Times New Roman"/>
        </w:rPr>
        <w:t>, започната на 2 юни 2020 г., и последващите действия.</w:t>
      </w:r>
    </w:p>
  </w:footnote>
  <w:footnote w:id="97">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5" w:history="1">
        <w:r>
          <w:rPr>
            <w:rStyle w:val="Hyperlink"/>
            <w:rFonts w:ascii="Times New Roman" w:hAnsi="Times New Roman"/>
          </w:rPr>
          <w:t>Европейска мултидисциплинарна платформа за борба с криминални заплахи</w:t>
        </w:r>
      </w:hyperlink>
      <w:r>
        <w:rPr>
          <w:rFonts w:ascii="Times New Roman" w:hAnsi="Times New Roman"/>
        </w:rPr>
        <w:t>.</w:t>
      </w:r>
    </w:p>
  </w:footnote>
  <w:footnote w:id="98">
    <w:p>
      <w:pPr>
        <w:pStyle w:val="FootnoteText"/>
        <w:spacing w:after="0"/>
        <w:jc w:val="both"/>
        <w:rPr>
          <w:rFonts w:ascii="Times New Roman" w:hAnsi="Times New Roman" w:cs="Times New Roman"/>
        </w:rPr>
      </w:pPr>
      <w:r>
        <w:rPr>
          <w:rStyle w:val="FootnoteReference"/>
          <w:rFonts w:ascii="Times New Roman" w:hAnsi="Times New Roman" w:cs="Times New Roman"/>
          <w:shd w:val="clear" w:color="auto" w:fill="FFFFFF" w:themeFill="background1"/>
        </w:rPr>
        <w:footnoteRef/>
      </w:r>
      <w:r>
        <w:rPr>
          <w:rFonts w:ascii="Times New Roman" w:hAnsi="Times New Roman"/>
          <w:shd w:val="clear" w:color="auto" w:fill="FFFFFF" w:themeFill="background1"/>
        </w:rPr>
        <w:t xml:space="preserve"> </w:t>
      </w:r>
      <w:hyperlink r:id="rId86" w:history="1">
        <w:r>
          <w:rPr>
            <w:rStyle w:val="Hyperlink"/>
            <w:rFonts w:ascii="Times New Roman" w:hAnsi="Times New Roman"/>
          </w:rPr>
          <w:t>Съобщение на Комисията</w:t>
        </w:r>
      </w:hyperlink>
      <w:r>
        <w:rPr>
          <w:rFonts w:ascii="Times New Roman" w:hAnsi="Times New Roman"/>
        </w:rPr>
        <w:t xml:space="preserve"> –</w:t>
      </w:r>
      <w:r>
        <w:rPr>
          <w:rFonts w:ascii="Times New Roman" w:hAnsi="Times New Roman"/>
          <w:shd w:val="clear" w:color="auto" w:fill="FFFFFF" w:themeFill="background1"/>
        </w:rPr>
        <w:t xml:space="preserve"> Дългосрочен план за действие за по-добро изпълнение и ефективно прилагане на правилата на единния пазар, COM(2020) 94 final, стр. 11—12</w:t>
      </w:r>
      <w:r>
        <w:rPr>
          <w:rFonts w:ascii="Times New Roman" w:hAnsi="Times New Roman"/>
        </w:rPr>
        <w:t>, 10 март 2020 г.</w:t>
      </w:r>
    </w:p>
  </w:footnote>
  <w:footnote w:id="99">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hyperlink r:id="rId87" w:history="1">
        <w:r>
          <w:rPr>
            <w:rStyle w:val="Hyperlink"/>
            <w:rFonts w:ascii="Times New Roman" w:hAnsi="Times New Roman"/>
          </w:rPr>
          <w:t>Плана за действие в областта на митниците</w:t>
        </w:r>
      </w:hyperlink>
      <w:r>
        <w:rPr>
          <w:rFonts w:ascii="Times New Roman" w:hAnsi="Times New Roman"/>
        </w:rPr>
        <w:t>, COM(2020) 581 final, 28 септември 2020 г.</w:t>
      </w:r>
    </w:p>
  </w:footnote>
  <w:footnote w:id="100">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например публикуваните наскоро доклади относно функционирането на </w:t>
      </w:r>
      <w:hyperlink r:id="rId88" w:history="1">
        <w:r>
          <w:rPr>
            <w:rStyle w:val="Hyperlink"/>
            <w:rFonts w:ascii="Times New Roman" w:hAnsi="Times New Roman"/>
          </w:rPr>
          <w:t>Меморандума за разбирателство относно продажбата на фалшифицирани стоки по интернет</w:t>
        </w:r>
      </w:hyperlink>
      <w:r>
        <w:t xml:space="preserve"> и </w:t>
      </w:r>
      <w:hyperlink r:id="rId89" w:history="1">
        <w:r>
          <w:rPr>
            <w:rStyle w:val="Hyperlink"/>
            <w:rFonts w:ascii="Times New Roman" w:hAnsi="Times New Roman"/>
          </w:rPr>
          <w:t>Меморандума за разбирателство относно онлайн рекламата и ПИС</w:t>
        </w:r>
      </w:hyperlink>
      <w:r>
        <w:rPr>
          <w:rStyle w:val="Hyperlink"/>
          <w:rFonts w:ascii="Times New Roman" w:hAnsi="Times New Roman"/>
          <w:color w:val="auto"/>
          <w:u w:val="none"/>
        </w:rPr>
        <w:t>.</w:t>
      </w:r>
    </w:p>
  </w:footnote>
  <w:footnote w:id="101">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По-нататъшното разширяване на </w:t>
      </w:r>
      <w:hyperlink r:id="rId90" w:history="1">
        <w:r>
          <w:rPr>
            <w:rStyle w:val="Hyperlink"/>
            <w:rFonts w:ascii="Times New Roman" w:hAnsi="Times New Roman"/>
          </w:rPr>
          <w:t>портала за защита на правата върху ИС</w:t>
        </w:r>
      </w:hyperlink>
      <w:r>
        <w:rPr>
          <w:rFonts w:ascii="Times New Roman" w:hAnsi="Times New Roman"/>
        </w:rPr>
        <w:t>,</w:t>
      </w:r>
      <w:r>
        <w:rPr>
          <w:rFonts w:ascii="Times New Roman" w:hAnsi="Times New Roman"/>
          <w:u w:val="single"/>
        </w:rPr>
        <w:t xml:space="preserve"> </w:t>
      </w:r>
      <w:r>
        <w:rPr>
          <w:rFonts w:ascii="Times New Roman" w:hAnsi="Times New Roman"/>
        </w:rPr>
        <w:t xml:space="preserve">управляван от EUIPO, също ще позволи по-ефективен обмен на данни между всички заинтересовани участници. Например разширяването ще включва интегрирането на данни за ПИС, които все още не са обхванати от портала, като например правната закрила на сортовете растения и ГО. </w:t>
      </w:r>
    </w:p>
  </w:footnote>
  <w:footnote w:id="102">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например </w:t>
      </w:r>
      <w:hyperlink r:id="rId91" w:history="1">
        <w:r>
          <w:rPr>
            <w:rStyle w:val="Hyperlink"/>
            <w:rFonts w:ascii="Times New Roman" w:hAnsi="Times New Roman"/>
          </w:rPr>
          <w:t>Форума чрез Blockathon за борба с фалшифицирането</w:t>
        </w:r>
      </w:hyperlink>
      <w:r>
        <w:rPr>
          <w:rFonts w:ascii="Times New Roman" w:hAnsi="Times New Roman"/>
        </w:rPr>
        <w:t xml:space="preserve"> на Обсерваторията на EUIPO, който има за цел да изгради обща инфраструктура на блокови вериги, където всички страни (посредници, носители на права и правоприлагащи органи) могат да се свързват и споделят данни с цел защита на веригите за доставки срещу проникването на фалшифицирани стоки.</w:t>
      </w:r>
    </w:p>
  </w:footnote>
  <w:footnote w:id="103">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hyperlink r:id="rId92" w:history="1">
        <w:r>
          <w:rPr>
            <w:rStyle w:val="Hyperlink"/>
            <w:rFonts w:ascii="Times New Roman" w:hAnsi="Times New Roman"/>
            <w:shd w:val="clear" w:color="auto" w:fill="FFFFFF"/>
          </w:rPr>
          <w:t>OLAF започва проверка на фалшифицирани продукти, свързани с COVID-19</w:t>
        </w:r>
      </w:hyperlink>
      <w:r>
        <w:rPr>
          <w:rFonts w:ascii="Times New Roman" w:hAnsi="Times New Roman"/>
        </w:rPr>
        <w:t xml:space="preserve">. Вж. също: </w:t>
      </w:r>
      <w:hyperlink r:id="rId93" w:history="1">
        <w:r>
          <w:rPr>
            <w:rStyle w:val="Hyperlink"/>
            <w:rFonts w:ascii="Times New Roman" w:hAnsi="Times New Roman"/>
          </w:rPr>
          <w:t>Обзорен преглед</w:t>
        </w:r>
      </w:hyperlink>
      <w:r>
        <w:rPr>
          <w:rFonts w:ascii="Times New Roman" w:hAnsi="Times New Roman"/>
        </w:rPr>
        <w:t xml:space="preserve"> на незаконните дейности и действия, и </w:t>
      </w:r>
      <w:hyperlink r:id="rId94" w:history="1">
        <w:r>
          <w:rPr>
            <w:rStyle w:val="Hyperlink"/>
            <w:rFonts w:ascii="Times New Roman" w:hAnsi="Times New Roman"/>
          </w:rPr>
          <w:t>Измами, свързани с COVID-19</w:t>
        </w:r>
      </w:hyperlink>
      <w:r>
        <w:rPr>
          <w:rFonts w:ascii="Times New Roman" w:hAnsi="Times New Roman"/>
        </w:rPr>
        <w:t>.</w:t>
      </w:r>
    </w:p>
  </w:footnote>
  <w:footnote w:id="104">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Европейските потребителски центрове работят по създаването на образователни материали за повишаване на осведомеността на потребителите за рисковете от фалшифицирани стоки. </w:t>
      </w:r>
      <w:hyperlink r:id="rId95" w:history="1">
        <w:r>
          <w:rPr>
            <w:rStyle w:val="Hyperlink"/>
            <w:rFonts w:ascii="Times New Roman" w:hAnsi="Times New Roman"/>
          </w:rPr>
          <w:t>Полезни съвети за потребителите</w:t>
        </w:r>
      </w:hyperlink>
      <w:r>
        <w:rPr>
          <w:rFonts w:ascii="Times New Roman" w:hAnsi="Times New Roman"/>
        </w:rPr>
        <w:t xml:space="preserve"> и </w:t>
      </w:r>
      <w:hyperlink r:id="rId96" w:history="1">
        <w:r>
          <w:rPr>
            <w:rStyle w:val="Hyperlink"/>
            <w:rFonts w:ascii="Times New Roman" w:hAnsi="Times New Roman"/>
          </w:rPr>
          <w:t>Доклад на европейските потребителски центрове относно фалшифицирането</w:t>
        </w:r>
      </w:hyperlink>
      <w:r>
        <w:rPr>
          <w:rFonts w:ascii="Times New Roman" w:hAnsi="Times New Roman"/>
        </w:rPr>
        <w:t>.</w:t>
      </w:r>
    </w:p>
  </w:footnote>
  <w:footnote w:id="105">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Стратегия за Съюза на сигурност, COM(2020) 605 final (стр. 25).</w:t>
      </w:r>
    </w:p>
  </w:footnote>
  <w:footnote w:id="106">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7" w:history="1">
        <w:r>
          <w:rPr>
            <w:rStyle w:val="Hyperlink"/>
            <w:rFonts w:ascii="Times New Roman" w:hAnsi="Times New Roman"/>
          </w:rPr>
          <w:t>Доклад за състоянието на нарушенията на ПИС за 2019 г.</w:t>
        </w:r>
      </w:hyperlink>
      <w:r>
        <w:rPr>
          <w:rFonts w:ascii="Times New Roman" w:hAnsi="Times New Roman"/>
        </w:rPr>
        <w:t>, Европейска обсерватория за нарушенията на ПИС, 2019 г.</w:t>
      </w:r>
    </w:p>
  </w:footnote>
  <w:footnote w:id="107">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например </w:t>
      </w:r>
      <w:hyperlink r:id="rId98" w:history="1">
        <w:r>
          <w:rPr>
            <w:rStyle w:val="Hyperlink"/>
            <w:rFonts w:ascii="Times New Roman" w:hAnsi="Times New Roman"/>
          </w:rPr>
          <w:t>декларацията, приета от държавите от Г-7</w:t>
        </w:r>
      </w:hyperlink>
      <w:r>
        <w:rPr>
          <w:rFonts w:ascii="Times New Roman" w:hAnsi="Times New Roman"/>
        </w:rPr>
        <w:t xml:space="preserve"> през 2019 г.</w:t>
      </w:r>
    </w:p>
  </w:footnote>
  <w:footnote w:id="108">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9" w:history="1">
        <w:r>
          <w:rPr>
            <w:rStyle w:val="Hyperlink"/>
            <w:rFonts w:ascii="Times New Roman" w:hAnsi="Times New Roman"/>
          </w:rPr>
          <w:t>Доклад на Комисията</w:t>
        </w:r>
      </w:hyperlink>
      <w:r>
        <w:rPr>
          <w:rFonts w:ascii="Times New Roman" w:hAnsi="Times New Roman"/>
        </w:rPr>
        <w:t xml:space="preserve"> относно закрилата и спазването на правата върху интелектуална собственост в трети държави, SWD(2019) 452 final/2.</w:t>
      </w:r>
    </w:p>
  </w:footnote>
  <w:footnote w:id="109">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0" w:history="1">
        <w:r>
          <w:rPr>
            <w:rStyle w:val="Hyperlink"/>
            <w:rFonts w:ascii="Times New Roman" w:hAnsi="Times New Roman"/>
          </w:rPr>
          <w:t>SWD(2018) 492</w:t>
        </w:r>
      </w:hyperlink>
      <w:r>
        <w:rPr>
          <w:rStyle w:val="Hyperlink"/>
          <w:color w:val="auto"/>
          <w:u w:val="none"/>
        </w:rPr>
        <w:t>.</w:t>
      </w:r>
      <w:r>
        <w:rPr>
          <w:rFonts w:ascii="Times New Roman" w:hAnsi="Times New Roman"/>
        </w:rPr>
        <w:t xml:space="preserve"> </w:t>
      </w:r>
    </w:p>
  </w:footnote>
  <w:footnote w:id="110">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1" w:history="1">
        <w:r>
          <w:rPr>
            <w:rStyle w:val="Hyperlink"/>
            <w:rFonts w:ascii="Times New Roman" w:hAnsi="Times New Roman"/>
          </w:rPr>
          <w:t>SWD(2019) 452</w:t>
        </w:r>
      </w:hyperlink>
      <w:r>
        <w:rPr>
          <w:rFonts w:ascii="Times New Roman" w:hAnsi="Times New Roman"/>
        </w:rPr>
        <w:t>.</w:t>
      </w:r>
    </w:p>
  </w:footnote>
  <w:footnote w:id="111">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2" w:history="1">
        <w:r>
          <w:rPr>
            <w:rStyle w:val="Hyperlink"/>
            <w:rFonts w:ascii="Times New Roman" w:hAnsi="Times New Roman"/>
          </w:rPr>
          <w:t>Съобщение на Комисията</w:t>
        </w:r>
      </w:hyperlink>
      <w:r>
        <w:rPr>
          <w:rFonts w:ascii="Times New Roman" w:hAnsi="Times New Roman"/>
        </w:rPr>
        <w:t xml:space="preserve"> – </w:t>
      </w:r>
      <w:r>
        <w:rPr>
          <w:rFonts w:ascii="Times New Roman" w:hAnsi="Times New Roman"/>
          <w:bCs/>
        </w:rPr>
        <w:t xml:space="preserve">Насоки за държавите членки във връзка с преките чуждестранни инвестиции и свободното движение на капитали от трети държави и защитата на стратегическите активи на Европа преди прилагането на Регламент (ЕС) 2019/452 (Регламента за скрининг на преки чуждестранни инвестиции) </w:t>
      </w:r>
      <w:r>
        <w:rPr>
          <w:rFonts w:ascii="Times New Roman" w:hAnsi="Times New Roman"/>
        </w:rPr>
        <w:t>(2020/C 99 I/01).</w:t>
      </w:r>
      <w:r>
        <w:rPr>
          <w:rFonts w:ascii="Times New Roman" w:hAnsi="Times New Roman"/>
          <w:sz w:val="24"/>
          <w:szCs w:val="24"/>
        </w:rPr>
        <w:t xml:space="preserve"> </w:t>
      </w:r>
      <w:r>
        <w:rPr>
          <w:rFonts w:ascii="Times New Roman" w:hAnsi="Times New Roman"/>
        </w:rPr>
        <w:t>Например технологии за производство на лични предпазни средства (ЛПС) или бъдещи ваксини.</w:t>
      </w:r>
    </w:p>
  </w:footnote>
  <w:footnote w:id="112">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3" w:history="1">
        <w:r>
          <w:rPr>
            <w:rStyle w:val="Hyperlink"/>
            <w:rFonts w:ascii="Times New Roman" w:hAnsi="Times New Roman"/>
          </w:rPr>
          <w:t>Решение (ОВППС) 2020/1127 на Съвета</w:t>
        </w:r>
      </w:hyperlink>
      <w:r>
        <w:rPr>
          <w:rFonts w:ascii="Times New Roman" w:hAnsi="Times New Roman"/>
        </w:rPr>
        <w:t>.</w:t>
      </w:r>
    </w:p>
  </w:footnote>
  <w:footnote w:id="113">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4" w:history="1">
        <w:r>
          <w:rPr>
            <w:rStyle w:val="Hyperlink"/>
            <w:rFonts w:ascii="Times New Roman" w:hAnsi="Times New Roman"/>
          </w:rPr>
          <w:t>Международно бюро за помощ за МСП в областта на ИС</w:t>
        </w:r>
      </w:hyperlink>
      <w:r>
        <w:rPr>
          <w:rFonts w:ascii="Times New Roman" w:hAnsi="Times New Roman"/>
        </w:rPr>
        <w:t xml:space="preserve">. </w:t>
      </w:r>
    </w:p>
  </w:footnote>
  <w:footnote w:id="114">
    <w:p>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5" w:history="1">
        <w:r>
          <w:rPr>
            <w:rStyle w:val="Hyperlink"/>
            <w:rFonts w:ascii="Times New Roman" w:hAnsi="Times New Roman"/>
          </w:rPr>
          <w:t xml:space="preserve"> Континентална стратегия за географските означения в Африка 2018—2023 г.</w:t>
        </w:r>
      </w:hyperlink>
    </w:p>
  </w:footnote>
  <w:footnote w:id="115">
    <w:p>
      <w:pPr>
        <w:pStyle w:val="FootnoteText"/>
        <w:spacing w:after="0"/>
        <w:jc w:val="both"/>
        <w:rPr>
          <w:rFonts w:ascii="Times New Roman" w:hAnsi="Times New Roman" w:cs="Times New Roman"/>
          <w:sz w:val="18"/>
          <w:szCs w:val="18"/>
          <w:highlight w:val="yellow"/>
        </w:rPr>
      </w:pPr>
      <w:r>
        <w:rPr>
          <w:rStyle w:val="FootnoteReference"/>
          <w:rFonts w:ascii="Times New Roman" w:hAnsi="Times New Roman" w:cs="Times New Roman"/>
          <w:szCs w:val="18"/>
        </w:rPr>
        <w:footnoteRef/>
      </w:r>
      <w:r>
        <w:rPr>
          <w:rFonts w:ascii="Times New Roman" w:hAnsi="Times New Roman"/>
          <w:szCs w:val="18"/>
        </w:rPr>
        <w:t xml:space="preserve"> </w:t>
      </w:r>
      <w:hyperlink r:id="rId106" w:history="1">
        <w:r>
          <w:rPr>
            <w:rStyle w:val="Hyperlink"/>
            <w:rFonts w:ascii="Times New Roman" w:hAnsi="Times New Roman"/>
            <w:szCs w:val="18"/>
          </w:rPr>
          <w:t>Партньорството Африка—ЕС</w:t>
        </w:r>
      </w:hyperlink>
      <w:r>
        <w:rPr>
          <w:rFonts w:ascii="Times New Roman" w:hAnsi="Times New Roman"/>
          <w:szCs w:val="18"/>
        </w:rPr>
        <w:t xml:space="preserve">. </w:t>
      </w:r>
    </w:p>
  </w:footnote>
  <w:footnote w:id="116">
    <w:p>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7" w:history="1">
        <w:r>
          <w:rPr>
            <w:rStyle w:val="Hyperlink"/>
            <w:rFonts w:ascii="Times New Roman" w:hAnsi="Times New Roman"/>
          </w:rPr>
          <w:t>Доклад за стратегическото прогнозиране от 2020 г.</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BCB"/>
    <w:multiLevelType w:val="hybridMultilevel"/>
    <w:tmpl w:val="C436D3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2702645"/>
    <w:multiLevelType w:val="hybridMultilevel"/>
    <w:tmpl w:val="9AC8729A"/>
    <w:lvl w:ilvl="0" w:tplc="080C0001">
      <w:start w:val="1"/>
      <w:numFmt w:val="bullet"/>
      <w:lvlText w:val=""/>
      <w:lvlJc w:val="left"/>
      <w:pPr>
        <w:tabs>
          <w:tab w:val="num" w:pos="720"/>
        </w:tabs>
        <w:ind w:left="720" w:hanging="360"/>
      </w:pPr>
      <w:rPr>
        <w:rFonts w:ascii="Symbol" w:hAnsi="Symbol" w:hint="default"/>
      </w:rPr>
    </w:lvl>
    <w:lvl w:ilvl="1" w:tplc="22462764" w:tentative="1">
      <w:start w:val="1"/>
      <w:numFmt w:val="bullet"/>
      <w:lvlText w:val="•"/>
      <w:lvlJc w:val="left"/>
      <w:pPr>
        <w:tabs>
          <w:tab w:val="num" w:pos="1440"/>
        </w:tabs>
        <w:ind w:left="1440" w:hanging="360"/>
      </w:pPr>
      <w:rPr>
        <w:rFonts w:ascii="Arial" w:hAnsi="Arial" w:hint="default"/>
      </w:rPr>
    </w:lvl>
    <w:lvl w:ilvl="2" w:tplc="B4EC6900" w:tentative="1">
      <w:start w:val="1"/>
      <w:numFmt w:val="bullet"/>
      <w:lvlText w:val="•"/>
      <w:lvlJc w:val="left"/>
      <w:pPr>
        <w:tabs>
          <w:tab w:val="num" w:pos="2160"/>
        </w:tabs>
        <w:ind w:left="2160" w:hanging="360"/>
      </w:pPr>
      <w:rPr>
        <w:rFonts w:ascii="Arial" w:hAnsi="Arial" w:hint="default"/>
      </w:rPr>
    </w:lvl>
    <w:lvl w:ilvl="3" w:tplc="8CA05F34" w:tentative="1">
      <w:start w:val="1"/>
      <w:numFmt w:val="bullet"/>
      <w:lvlText w:val="•"/>
      <w:lvlJc w:val="left"/>
      <w:pPr>
        <w:tabs>
          <w:tab w:val="num" w:pos="2880"/>
        </w:tabs>
        <w:ind w:left="2880" w:hanging="360"/>
      </w:pPr>
      <w:rPr>
        <w:rFonts w:ascii="Arial" w:hAnsi="Arial" w:hint="default"/>
      </w:rPr>
    </w:lvl>
    <w:lvl w:ilvl="4" w:tplc="A3965932" w:tentative="1">
      <w:start w:val="1"/>
      <w:numFmt w:val="bullet"/>
      <w:lvlText w:val="•"/>
      <w:lvlJc w:val="left"/>
      <w:pPr>
        <w:tabs>
          <w:tab w:val="num" w:pos="3600"/>
        </w:tabs>
        <w:ind w:left="3600" w:hanging="360"/>
      </w:pPr>
      <w:rPr>
        <w:rFonts w:ascii="Arial" w:hAnsi="Arial" w:hint="default"/>
      </w:rPr>
    </w:lvl>
    <w:lvl w:ilvl="5" w:tplc="39C49318" w:tentative="1">
      <w:start w:val="1"/>
      <w:numFmt w:val="bullet"/>
      <w:lvlText w:val="•"/>
      <w:lvlJc w:val="left"/>
      <w:pPr>
        <w:tabs>
          <w:tab w:val="num" w:pos="4320"/>
        </w:tabs>
        <w:ind w:left="4320" w:hanging="360"/>
      </w:pPr>
      <w:rPr>
        <w:rFonts w:ascii="Arial" w:hAnsi="Arial" w:hint="default"/>
      </w:rPr>
    </w:lvl>
    <w:lvl w:ilvl="6" w:tplc="95707ECC" w:tentative="1">
      <w:start w:val="1"/>
      <w:numFmt w:val="bullet"/>
      <w:lvlText w:val="•"/>
      <w:lvlJc w:val="left"/>
      <w:pPr>
        <w:tabs>
          <w:tab w:val="num" w:pos="5040"/>
        </w:tabs>
        <w:ind w:left="5040" w:hanging="360"/>
      </w:pPr>
      <w:rPr>
        <w:rFonts w:ascii="Arial" w:hAnsi="Arial" w:hint="default"/>
      </w:rPr>
    </w:lvl>
    <w:lvl w:ilvl="7" w:tplc="DC5EB6DE" w:tentative="1">
      <w:start w:val="1"/>
      <w:numFmt w:val="bullet"/>
      <w:lvlText w:val="•"/>
      <w:lvlJc w:val="left"/>
      <w:pPr>
        <w:tabs>
          <w:tab w:val="num" w:pos="5760"/>
        </w:tabs>
        <w:ind w:left="5760" w:hanging="360"/>
      </w:pPr>
      <w:rPr>
        <w:rFonts w:ascii="Arial" w:hAnsi="Arial" w:hint="default"/>
      </w:rPr>
    </w:lvl>
    <w:lvl w:ilvl="8" w:tplc="17E402A2" w:tentative="1">
      <w:start w:val="1"/>
      <w:numFmt w:val="bullet"/>
      <w:lvlText w:val="•"/>
      <w:lvlJc w:val="left"/>
      <w:pPr>
        <w:tabs>
          <w:tab w:val="num" w:pos="6480"/>
        </w:tabs>
        <w:ind w:left="6480" w:hanging="360"/>
      </w:pPr>
      <w:rPr>
        <w:rFonts w:ascii="Arial" w:hAnsi="Arial" w:hint="default"/>
      </w:rPr>
    </w:lvl>
  </w:abstractNum>
  <w:abstractNum w:abstractNumId="2">
    <w:nsid w:val="037E1B4C"/>
    <w:multiLevelType w:val="hybridMultilevel"/>
    <w:tmpl w:val="CA466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9F65E40"/>
    <w:multiLevelType w:val="hybridMultilevel"/>
    <w:tmpl w:val="30C0B7C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nsid w:val="11E22D63"/>
    <w:multiLevelType w:val="hybridMultilevel"/>
    <w:tmpl w:val="960251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43C7922"/>
    <w:multiLevelType w:val="hybridMultilevel"/>
    <w:tmpl w:val="DCDA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B57DE7"/>
    <w:multiLevelType w:val="hybridMultilevel"/>
    <w:tmpl w:val="7B9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52709"/>
    <w:multiLevelType w:val="hybridMultilevel"/>
    <w:tmpl w:val="5FD04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9A4BDD"/>
    <w:multiLevelType w:val="hybridMultilevel"/>
    <w:tmpl w:val="186E7C56"/>
    <w:lvl w:ilvl="0" w:tplc="33A25AE2">
      <w:start w:val="1"/>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0C90629"/>
    <w:multiLevelType w:val="hybridMultilevel"/>
    <w:tmpl w:val="21505F7E"/>
    <w:lvl w:ilvl="0" w:tplc="BBAC3CFA">
      <w:start w:val="1"/>
      <w:numFmt w:val="bullet"/>
      <w:lvlText w:val=""/>
      <w:lvlJc w:val="left"/>
      <w:pPr>
        <w:ind w:left="720" w:hanging="360"/>
      </w:pPr>
      <w:rPr>
        <w:rFonts w:ascii="Symbol" w:hAnsi="Symbol" w:hint="default"/>
        <w:b w:val="0"/>
        <w:i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D00363"/>
    <w:multiLevelType w:val="hybridMultilevel"/>
    <w:tmpl w:val="3D4A9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BD44E8"/>
    <w:multiLevelType w:val="hybridMultilevel"/>
    <w:tmpl w:val="70E45718"/>
    <w:lvl w:ilvl="0" w:tplc="BBAC3CF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9322E81"/>
    <w:multiLevelType w:val="hybridMultilevel"/>
    <w:tmpl w:val="74960D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AD974AD"/>
    <w:multiLevelType w:val="hybridMultilevel"/>
    <w:tmpl w:val="BDE23454"/>
    <w:lvl w:ilvl="0" w:tplc="FBA0CE60">
      <w:start w:val="1"/>
      <w:numFmt w:val="bullet"/>
      <w:lvlText w:val=""/>
      <w:lvlJc w:val="left"/>
      <w:pPr>
        <w:ind w:left="720" w:hanging="360"/>
      </w:pPr>
      <w:rPr>
        <w:rFonts w:ascii="Symbol" w:hAnsi="Symbol" w:hint="default"/>
      </w:rPr>
    </w:lvl>
    <w:lvl w:ilvl="1" w:tplc="B858AF66">
      <w:start w:val="1"/>
      <w:numFmt w:val="bullet"/>
      <w:lvlText w:val="o"/>
      <w:lvlJc w:val="left"/>
      <w:pPr>
        <w:ind w:left="1440" w:hanging="360"/>
      </w:pPr>
      <w:rPr>
        <w:rFonts w:ascii="Courier New" w:hAnsi="Courier New" w:hint="default"/>
      </w:rPr>
    </w:lvl>
    <w:lvl w:ilvl="2" w:tplc="5E36BF94">
      <w:start w:val="1"/>
      <w:numFmt w:val="bullet"/>
      <w:lvlText w:val=""/>
      <w:lvlJc w:val="left"/>
      <w:pPr>
        <w:ind w:left="2160" w:hanging="360"/>
      </w:pPr>
      <w:rPr>
        <w:rFonts w:ascii="Wingdings" w:hAnsi="Wingdings" w:hint="default"/>
      </w:rPr>
    </w:lvl>
    <w:lvl w:ilvl="3" w:tplc="07746604">
      <w:start w:val="1"/>
      <w:numFmt w:val="bullet"/>
      <w:lvlText w:val=""/>
      <w:lvlJc w:val="left"/>
      <w:pPr>
        <w:ind w:left="2880" w:hanging="360"/>
      </w:pPr>
      <w:rPr>
        <w:rFonts w:ascii="Symbol" w:hAnsi="Symbol" w:hint="default"/>
      </w:rPr>
    </w:lvl>
    <w:lvl w:ilvl="4" w:tplc="085289F0">
      <w:start w:val="1"/>
      <w:numFmt w:val="bullet"/>
      <w:lvlText w:val="o"/>
      <w:lvlJc w:val="left"/>
      <w:pPr>
        <w:ind w:left="3600" w:hanging="360"/>
      </w:pPr>
      <w:rPr>
        <w:rFonts w:ascii="Courier New" w:hAnsi="Courier New" w:hint="default"/>
      </w:rPr>
    </w:lvl>
    <w:lvl w:ilvl="5" w:tplc="2BB66C6C">
      <w:start w:val="1"/>
      <w:numFmt w:val="bullet"/>
      <w:lvlText w:val=""/>
      <w:lvlJc w:val="left"/>
      <w:pPr>
        <w:ind w:left="4320" w:hanging="360"/>
      </w:pPr>
      <w:rPr>
        <w:rFonts w:ascii="Wingdings" w:hAnsi="Wingdings" w:hint="default"/>
      </w:rPr>
    </w:lvl>
    <w:lvl w:ilvl="6" w:tplc="C56E9DA0">
      <w:start w:val="1"/>
      <w:numFmt w:val="bullet"/>
      <w:lvlText w:val=""/>
      <w:lvlJc w:val="left"/>
      <w:pPr>
        <w:ind w:left="5040" w:hanging="360"/>
      </w:pPr>
      <w:rPr>
        <w:rFonts w:ascii="Symbol" w:hAnsi="Symbol" w:hint="default"/>
      </w:rPr>
    </w:lvl>
    <w:lvl w:ilvl="7" w:tplc="8430C052">
      <w:start w:val="1"/>
      <w:numFmt w:val="bullet"/>
      <w:lvlText w:val="o"/>
      <w:lvlJc w:val="left"/>
      <w:pPr>
        <w:ind w:left="5760" w:hanging="360"/>
      </w:pPr>
      <w:rPr>
        <w:rFonts w:ascii="Courier New" w:hAnsi="Courier New" w:hint="default"/>
      </w:rPr>
    </w:lvl>
    <w:lvl w:ilvl="8" w:tplc="C00C2388">
      <w:start w:val="1"/>
      <w:numFmt w:val="bullet"/>
      <w:lvlText w:val=""/>
      <w:lvlJc w:val="left"/>
      <w:pPr>
        <w:ind w:left="6480" w:hanging="360"/>
      </w:pPr>
      <w:rPr>
        <w:rFonts w:ascii="Wingdings" w:hAnsi="Wingdings" w:hint="default"/>
      </w:rPr>
    </w:lvl>
  </w:abstractNum>
  <w:abstractNum w:abstractNumId="14">
    <w:nsid w:val="2CBF51F3"/>
    <w:multiLevelType w:val="multilevel"/>
    <w:tmpl w:val="372AC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05454A9"/>
    <w:multiLevelType w:val="hybridMultilevel"/>
    <w:tmpl w:val="2EA86A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514443"/>
    <w:multiLevelType w:val="hybridMultilevel"/>
    <w:tmpl w:val="78AAB69A"/>
    <w:lvl w:ilvl="0" w:tplc="FEFC8F3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47E038C"/>
    <w:multiLevelType w:val="hybridMultilevel"/>
    <w:tmpl w:val="836EA88A"/>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37A5779E"/>
    <w:multiLevelType w:val="hybridMultilevel"/>
    <w:tmpl w:val="5412B02C"/>
    <w:lvl w:ilvl="0" w:tplc="BBAC3CF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7B42773"/>
    <w:multiLevelType w:val="hybridMultilevel"/>
    <w:tmpl w:val="1DB8A334"/>
    <w:lvl w:ilvl="0" w:tplc="D4EE276C">
      <w:start w:val="1"/>
      <w:numFmt w:val="upperRoman"/>
      <w:lvlText w:val="%1."/>
      <w:lvlJc w:val="left"/>
      <w:pPr>
        <w:ind w:left="720" w:hanging="360"/>
      </w:pPr>
      <w:rPr>
        <w:rFonts w:ascii="Times New Roman" w:hAnsi="Times New Roman" w:hint="default"/>
        <w:b w:val="0"/>
        <w:i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1542D6"/>
    <w:multiLevelType w:val="hybridMultilevel"/>
    <w:tmpl w:val="B1E08762"/>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Times New Roman"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Times New Roman"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Times New Roman" w:hint="default"/>
      </w:rPr>
    </w:lvl>
    <w:lvl w:ilvl="8" w:tplc="080C0005">
      <w:start w:val="1"/>
      <w:numFmt w:val="bullet"/>
      <w:lvlText w:val=""/>
      <w:lvlJc w:val="left"/>
      <w:pPr>
        <w:ind w:left="6120" w:hanging="360"/>
      </w:pPr>
      <w:rPr>
        <w:rFonts w:ascii="Wingdings" w:hAnsi="Wingdings" w:hint="default"/>
      </w:rPr>
    </w:lvl>
  </w:abstractNum>
  <w:abstractNum w:abstractNumId="21">
    <w:nsid w:val="3B1D0BCE"/>
    <w:multiLevelType w:val="hybridMultilevel"/>
    <w:tmpl w:val="2DB4C3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E952DED"/>
    <w:multiLevelType w:val="hybridMultilevel"/>
    <w:tmpl w:val="4752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EF195F"/>
    <w:multiLevelType w:val="hybridMultilevel"/>
    <w:tmpl w:val="EDC2E2EA"/>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3F4E4E9A"/>
    <w:multiLevelType w:val="hybridMultilevel"/>
    <w:tmpl w:val="5EC64E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5614B48"/>
    <w:multiLevelType w:val="hybridMultilevel"/>
    <w:tmpl w:val="305A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615C9B"/>
    <w:multiLevelType w:val="hybridMultilevel"/>
    <w:tmpl w:val="F7EA72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4D39518B"/>
    <w:multiLevelType w:val="hybridMultilevel"/>
    <w:tmpl w:val="F550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95004B"/>
    <w:multiLevelType w:val="hybridMultilevel"/>
    <w:tmpl w:val="B80C1C8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nsid w:val="59571564"/>
    <w:multiLevelType w:val="hybridMultilevel"/>
    <w:tmpl w:val="85C6A2CE"/>
    <w:lvl w:ilvl="0" w:tplc="8F1E15CC">
      <w:start w:val="29"/>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367575"/>
    <w:multiLevelType w:val="hybridMultilevel"/>
    <w:tmpl w:val="FA180A98"/>
    <w:lvl w:ilvl="0" w:tplc="BBAC3C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BD78B2"/>
    <w:multiLevelType w:val="hybridMultilevel"/>
    <w:tmpl w:val="78B070FA"/>
    <w:lvl w:ilvl="0" w:tplc="F98295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6875BF"/>
    <w:multiLevelType w:val="multilevel"/>
    <w:tmpl w:val="0809001F"/>
    <w:lvl w:ilvl="0">
      <w:start w:val="1"/>
      <w:numFmt w:val="decimal"/>
      <w:lvlText w:val="%1."/>
      <w:lvlJc w:val="left"/>
      <w:pPr>
        <w:ind w:left="360" w:hanging="360"/>
      </w:pPr>
    </w:lvl>
    <w:lvl w:ilvl="1">
      <w:start w:val="1"/>
      <w:numFmt w:val="decimal"/>
      <w:lvlText w:val="%1.%2."/>
      <w:lvlJc w:val="left"/>
      <w:pPr>
        <w:ind w:left="596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F272FFA"/>
    <w:multiLevelType w:val="hybridMultilevel"/>
    <w:tmpl w:val="7262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521E5E"/>
    <w:multiLevelType w:val="hybridMultilevel"/>
    <w:tmpl w:val="73FE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3B3ACF"/>
    <w:multiLevelType w:val="hybridMultilevel"/>
    <w:tmpl w:val="BC989A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624B2F68"/>
    <w:multiLevelType w:val="hybridMultilevel"/>
    <w:tmpl w:val="52B6815A"/>
    <w:lvl w:ilvl="0" w:tplc="86EC95A4">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8A30646"/>
    <w:multiLevelType w:val="hybridMultilevel"/>
    <w:tmpl w:val="B41A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D616723"/>
    <w:multiLevelType w:val="hybridMultilevel"/>
    <w:tmpl w:val="120CAF50"/>
    <w:lvl w:ilvl="0" w:tplc="806C174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E2555AA"/>
    <w:multiLevelType w:val="hybridMultilevel"/>
    <w:tmpl w:val="4CC80EAA"/>
    <w:lvl w:ilvl="0" w:tplc="8E42EF4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6F6D7973"/>
    <w:multiLevelType w:val="hybridMultilevel"/>
    <w:tmpl w:val="07AC97A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41">
    <w:nsid w:val="705712DD"/>
    <w:multiLevelType w:val="hybridMultilevel"/>
    <w:tmpl w:val="EE000012"/>
    <w:lvl w:ilvl="0" w:tplc="1F0679D8">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nsid w:val="711C119C"/>
    <w:multiLevelType w:val="hybridMultilevel"/>
    <w:tmpl w:val="9356B9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20F0066"/>
    <w:multiLevelType w:val="hybridMultilevel"/>
    <w:tmpl w:val="E8665532"/>
    <w:lvl w:ilvl="0" w:tplc="BBAC3CF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722F3D90"/>
    <w:multiLevelType w:val="hybridMultilevel"/>
    <w:tmpl w:val="13D06D9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5">
    <w:nsid w:val="73124B66"/>
    <w:multiLevelType w:val="hybridMultilevel"/>
    <w:tmpl w:val="7B5266BE"/>
    <w:lvl w:ilvl="0" w:tplc="9B9E8A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nsid w:val="76932469"/>
    <w:multiLevelType w:val="hybridMultilevel"/>
    <w:tmpl w:val="5D82DC12"/>
    <w:lvl w:ilvl="0" w:tplc="806C17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010A81"/>
    <w:multiLevelType w:val="hybridMultilevel"/>
    <w:tmpl w:val="33547E40"/>
    <w:lvl w:ilvl="0" w:tplc="9440E9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40419A"/>
    <w:multiLevelType w:val="hybridMultilevel"/>
    <w:tmpl w:val="28D27BD6"/>
    <w:lvl w:ilvl="0" w:tplc="65141D9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9">
    <w:nsid w:val="7F7921B0"/>
    <w:multiLevelType w:val="hybridMultilevel"/>
    <w:tmpl w:val="50367F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40"/>
  </w:num>
  <w:num w:numId="4">
    <w:abstractNumId w:val="30"/>
  </w:num>
  <w:num w:numId="5">
    <w:abstractNumId w:val="28"/>
  </w:num>
  <w:num w:numId="6">
    <w:abstractNumId w:val="44"/>
  </w:num>
  <w:num w:numId="7">
    <w:abstractNumId w:val="32"/>
  </w:num>
  <w:num w:numId="8">
    <w:abstractNumId w:val="31"/>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7"/>
  </w:num>
  <w:num w:numId="16">
    <w:abstractNumId w:val="37"/>
  </w:num>
  <w:num w:numId="17">
    <w:abstractNumId w:val="5"/>
  </w:num>
  <w:num w:numId="18">
    <w:abstractNumId w:val="0"/>
  </w:num>
  <w:num w:numId="19">
    <w:abstractNumId w:val="23"/>
  </w:num>
  <w:num w:numId="20">
    <w:abstractNumId w:val="41"/>
  </w:num>
  <w:num w:numId="21">
    <w:abstractNumId w:val="4"/>
  </w:num>
  <w:num w:numId="22">
    <w:abstractNumId w:val="35"/>
  </w:num>
  <w:num w:numId="23">
    <w:abstractNumId w:val="15"/>
  </w:num>
  <w:num w:numId="24">
    <w:abstractNumId w:val="49"/>
  </w:num>
  <w:num w:numId="25">
    <w:abstractNumId w:val="19"/>
  </w:num>
  <w:num w:numId="26">
    <w:abstractNumId w:val="9"/>
  </w:num>
  <w:num w:numId="27">
    <w:abstractNumId w:val="16"/>
  </w:num>
  <w:num w:numId="28">
    <w:abstractNumId w:val="24"/>
  </w:num>
  <w:num w:numId="29">
    <w:abstractNumId w:val="47"/>
  </w:num>
  <w:num w:numId="30">
    <w:abstractNumId w:val="3"/>
  </w:num>
  <w:num w:numId="31">
    <w:abstractNumId w:val="42"/>
  </w:num>
  <w:num w:numId="32">
    <w:abstractNumId w:val="43"/>
  </w:num>
  <w:num w:numId="33">
    <w:abstractNumId w:val="26"/>
  </w:num>
  <w:num w:numId="34">
    <w:abstractNumId w:val="48"/>
  </w:num>
  <w:num w:numId="35">
    <w:abstractNumId w:val="26"/>
  </w:num>
  <w:num w:numId="36">
    <w:abstractNumId w:val="18"/>
  </w:num>
  <w:num w:numId="37">
    <w:abstractNumId w:val="39"/>
  </w:num>
  <w:num w:numId="38">
    <w:abstractNumId w:val="17"/>
  </w:num>
  <w:num w:numId="39">
    <w:abstractNumId w:val="11"/>
  </w:num>
  <w:num w:numId="40">
    <w:abstractNumId w:val="8"/>
  </w:num>
  <w:num w:numId="41">
    <w:abstractNumId w:val="22"/>
  </w:num>
  <w:num w:numId="42">
    <w:abstractNumId w:val="34"/>
  </w:num>
  <w:num w:numId="43">
    <w:abstractNumId w:val="10"/>
  </w:num>
  <w:num w:numId="44">
    <w:abstractNumId w:val="30"/>
  </w:num>
  <w:num w:numId="45">
    <w:abstractNumId w:val="21"/>
  </w:num>
  <w:num w:numId="46">
    <w:abstractNumId w:val="12"/>
  </w:num>
  <w:num w:numId="47">
    <w:abstractNumId w:val="25"/>
  </w:num>
  <w:num w:numId="48">
    <w:abstractNumId w:val="20"/>
  </w:num>
  <w:num w:numId="49">
    <w:abstractNumId w:val="29"/>
  </w:num>
  <w:num w:numId="50">
    <w:abstractNumId w:val="36"/>
  </w:num>
  <w:num w:numId="51">
    <w:abstractNumId w:val="6"/>
  </w:num>
  <w:num w:numId="52">
    <w:abstractNumId w:val="33"/>
  </w:num>
  <w:num w:numId="53">
    <w:abstractNumId w:val="45"/>
  </w:num>
  <w:num w:numId="54">
    <w:abstractNumId w:val="46"/>
  </w:num>
  <w:num w:numId="55">
    <w:abstractNumId w:val="38"/>
  </w:num>
  <w:num w:numId="56">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nl-NL" w:vendorID="64" w:dllVersion="131078" w:nlCheck="1" w:checkStyle="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13C3F32-F12E-4B2F-A836-6A0D0106DBE1"/>
    <w:docVar w:name="LW_COVERPAGE_TYPE" w:val="1"/>
    <w:docVar w:name="LW_CROSSREFERENCE" w:val="&lt;UNUSED&gt;"/>
    <w:docVar w:name="LW_DocType" w:val="NORMAL"/>
    <w:docVar w:name="LW_EMISSION" w:val="25.11.2020"/>
    <w:docVar w:name="LW_EMISSION_ISODATE" w:val="2020-11-25"/>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7?\u1072? \u1084?\u1072?\u1082?\u1089?\u1080?\u1084?\u1072?\u1083?\u1085?\u1086? \u1086?\u1087?\u1086?\u1083?\u1079?\u1086?\u1090?\u1074?\u1086?\u1088?\u1103?\u1074?\u1072?\u1085?\u1077? \u1085?\u1072? \u1087?\u1086?\u1090?\u1077?\u1085?\u1094?\u1080?\u1072?\u1083?\u1072? \u1079?\u1072? \u1080?\u1085?\u1086?\u1074?\u1072?\u1094?\u1080?\u1080? \u1085?\u1072? \u1045?\u1057?&lt;/FMT&gt;_x000d__x000d__x000d__x000d__x000d__x000d__x000d__x000d__x000d__x000d__x000d__x000d__x000d__x000d__x000d__x000b_&lt;FMT:Bold&gt;\u1055?\u1083?\u1072?\u1085? \u1079?\u1072? \u1076?\u1077?\u1081?\u1089?\u1090?\u1074?\u1080?\u1077? \u1074? \u1086?\u1073?\u1083?\u1072?\u1089?\u1090?\u1090?\u1072? \u1085?\u1072? \u1080?\u1085?\u1090?\u1077?\u1083?\u1077?\u1082?\u1090?\u1091?\u1072?\u1083?\u1085?\u1072?\u1090?\u1072? \u1089?\u1086?\u1073?\u1089?\u1090?\u1074?\u1077?\u1085?\u1086?\u1089?\u1090? \u1074? \u1087?\u1086?\u1076?\u1082?\u1088?\u1077?\u1087?\u1072? \u1085?\u1072? \u1074?\u1098?\u1079?\u1089?\u1090?\u1072?\u1085?\u1086?\u1074?\u1103?\u1074?\u1072?\u1085?\u1077?\u1090?\u1086? \u1080? \u1091?\u1089?\u1090?\u1086?\u1081?\u1095?\u1080?\u1074?\u1086?\u1089?\u1090?\u1090?\u1072? \u1085?\u1072? \u1045?\u1057?&lt;/FMT&gt;_x000d__x000d__x000d__x000d__x000d__x000d__x000d__x000d__x000d__x000d__x000d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nhideWhenUsed/>
    <w:qFormat/>
    <w:pPr>
      <w:spacing w:after="6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Ref"/>
    <w:basedOn w:val="DefaultParagraphFont"/>
    <w:link w:val="CharCharCha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unhideWhenUsed/>
    <w:pPr>
      <w:spacing w:after="8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CharCharChar">
    <w:name w:val="Char Char Char"/>
    <w:basedOn w:val="Normal"/>
    <w:link w:val="FootnoteReference"/>
    <w:uiPriority w:val="99"/>
    <w:pPr>
      <w:spacing w:after="160" w:line="240" w:lineRule="exact"/>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dttext">
    <w:name w:val="dttext"/>
    <w:basedOn w:val="DefaultParagraphFont"/>
  </w:style>
  <w:style w:type="character" w:customStyle="1" w:styleId="ex-sent">
    <w:name w:val="ex-sen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locked/>
  </w:style>
  <w:style w:type="paragraph" w:customStyle="1" w:styleId="xmsonormal">
    <w:name w:val="xmsonormal"/>
    <w:basedOn w:val="Normal"/>
    <w:pPr>
      <w:spacing w:after="0" w:line="240" w:lineRule="auto"/>
    </w:pPr>
    <w:rPr>
      <w:rFonts w:ascii="Times New Roman" w:hAnsi="Times New Roman" w:cs="Times New Roman"/>
      <w:sz w:val="24"/>
      <w:szCs w:val="24"/>
      <w:lang w:eastAsia="fr-BE"/>
    </w:rPr>
  </w:style>
  <w:style w:type="paragraph" w:customStyle="1" w:styleId="LTTBody1">
    <w:name w:val="LTT Body 1"/>
    <w:basedOn w:val="Normal"/>
    <w:qFormat/>
    <w:pPr>
      <w:numPr>
        <w:numId w:val="38"/>
      </w:numPr>
      <w:spacing w:after="0" w:line="240" w:lineRule="auto"/>
    </w:pPr>
    <w:rPr>
      <w:rFonts w:ascii="Calibri" w:eastAsia="Times New Roman" w:hAnsi="Calibri" w:cs="Calibri"/>
      <w:sz w:val="28"/>
      <w:szCs w:val="28"/>
      <w:lang w:eastAsia="en-GB"/>
    </w:rPr>
  </w:style>
  <w:style w:type="paragraph" w:customStyle="1" w:styleId="xmsonormal0">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nhideWhenUsed/>
    <w:qFormat/>
    <w:pPr>
      <w:spacing w:after="6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Ref"/>
    <w:basedOn w:val="DefaultParagraphFont"/>
    <w:link w:val="CharCharCha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unhideWhenUsed/>
    <w:pPr>
      <w:spacing w:after="8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CharCharChar">
    <w:name w:val="Char Char Char"/>
    <w:basedOn w:val="Normal"/>
    <w:link w:val="FootnoteReference"/>
    <w:uiPriority w:val="99"/>
    <w:pPr>
      <w:spacing w:after="160" w:line="240" w:lineRule="exact"/>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dttext">
    <w:name w:val="dttext"/>
    <w:basedOn w:val="DefaultParagraphFont"/>
  </w:style>
  <w:style w:type="character" w:customStyle="1" w:styleId="ex-sent">
    <w:name w:val="ex-sen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locked/>
  </w:style>
  <w:style w:type="paragraph" w:customStyle="1" w:styleId="xmsonormal">
    <w:name w:val="xmsonormal"/>
    <w:basedOn w:val="Normal"/>
    <w:pPr>
      <w:spacing w:after="0" w:line="240" w:lineRule="auto"/>
    </w:pPr>
    <w:rPr>
      <w:rFonts w:ascii="Times New Roman" w:hAnsi="Times New Roman" w:cs="Times New Roman"/>
      <w:sz w:val="24"/>
      <w:szCs w:val="24"/>
      <w:lang w:eastAsia="fr-BE"/>
    </w:rPr>
  </w:style>
  <w:style w:type="paragraph" w:customStyle="1" w:styleId="LTTBody1">
    <w:name w:val="LTT Body 1"/>
    <w:basedOn w:val="Normal"/>
    <w:qFormat/>
    <w:pPr>
      <w:numPr>
        <w:numId w:val="38"/>
      </w:numPr>
      <w:spacing w:after="0" w:line="240" w:lineRule="auto"/>
    </w:pPr>
    <w:rPr>
      <w:rFonts w:ascii="Calibri" w:eastAsia="Times New Roman" w:hAnsi="Calibri" w:cs="Calibri"/>
      <w:sz w:val="28"/>
      <w:szCs w:val="28"/>
      <w:lang w:eastAsia="en-GB"/>
    </w:rPr>
  </w:style>
  <w:style w:type="paragraph" w:customStyle="1" w:styleId="xmsonormal0">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776">
      <w:bodyDiv w:val="1"/>
      <w:marLeft w:val="0"/>
      <w:marRight w:val="0"/>
      <w:marTop w:val="0"/>
      <w:marBottom w:val="0"/>
      <w:divBdr>
        <w:top w:val="none" w:sz="0" w:space="0" w:color="auto"/>
        <w:left w:val="none" w:sz="0" w:space="0" w:color="auto"/>
        <w:bottom w:val="none" w:sz="0" w:space="0" w:color="auto"/>
        <w:right w:val="none" w:sz="0" w:space="0" w:color="auto"/>
      </w:divBdr>
    </w:div>
    <w:div w:id="15080572">
      <w:bodyDiv w:val="1"/>
      <w:marLeft w:val="0"/>
      <w:marRight w:val="0"/>
      <w:marTop w:val="0"/>
      <w:marBottom w:val="0"/>
      <w:divBdr>
        <w:top w:val="none" w:sz="0" w:space="0" w:color="auto"/>
        <w:left w:val="none" w:sz="0" w:space="0" w:color="auto"/>
        <w:bottom w:val="none" w:sz="0" w:space="0" w:color="auto"/>
        <w:right w:val="none" w:sz="0" w:space="0" w:color="auto"/>
      </w:divBdr>
      <w:divsChild>
        <w:div w:id="307058495">
          <w:marLeft w:val="708"/>
          <w:marRight w:val="0"/>
          <w:marTop w:val="0"/>
          <w:marBottom w:val="120"/>
          <w:divBdr>
            <w:top w:val="none" w:sz="0" w:space="0" w:color="auto"/>
            <w:left w:val="none" w:sz="0" w:space="0" w:color="auto"/>
            <w:bottom w:val="none" w:sz="0" w:space="0" w:color="auto"/>
            <w:right w:val="none" w:sz="0" w:space="0" w:color="auto"/>
          </w:divBdr>
        </w:div>
        <w:div w:id="871184280">
          <w:marLeft w:val="708"/>
          <w:marRight w:val="0"/>
          <w:marTop w:val="0"/>
          <w:marBottom w:val="120"/>
          <w:divBdr>
            <w:top w:val="none" w:sz="0" w:space="0" w:color="auto"/>
            <w:left w:val="none" w:sz="0" w:space="0" w:color="auto"/>
            <w:bottom w:val="none" w:sz="0" w:space="0" w:color="auto"/>
            <w:right w:val="none" w:sz="0" w:space="0" w:color="auto"/>
          </w:divBdr>
        </w:div>
        <w:div w:id="1254971391">
          <w:marLeft w:val="708"/>
          <w:marRight w:val="0"/>
          <w:marTop w:val="0"/>
          <w:marBottom w:val="120"/>
          <w:divBdr>
            <w:top w:val="none" w:sz="0" w:space="0" w:color="auto"/>
            <w:left w:val="none" w:sz="0" w:space="0" w:color="auto"/>
            <w:bottom w:val="none" w:sz="0" w:space="0" w:color="auto"/>
            <w:right w:val="none" w:sz="0" w:space="0" w:color="auto"/>
          </w:divBdr>
        </w:div>
        <w:div w:id="1786579571">
          <w:marLeft w:val="708"/>
          <w:marRight w:val="0"/>
          <w:marTop w:val="0"/>
          <w:marBottom w:val="120"/>
          <w:divBdr>
            <w:top w:val="none" w:sz="0" w:space="0" w:color="auto"/>
            <w:left w:val="none" w:sz="0" w:space="0" w:color="auto"/>
            <w:bottom w:val="none" w:sz="0" w:space="0" w:color="auto"/>
            <w:right w:val="none" w:sz="0" w:space="0" w:color="auto"/>
          </w:divBdr>
        </w:div>
        <w:div w:id="1527870752">
          <w:marLeft w:val="708"/>
          <w:marRight w:val="0"/>
          <w:marTop w:val="0"/>
          <w:marBottom w:val="120"/>
          <w:divBdr>
            <w:top w:val="none" w:sz="0" w:space="0" w:color="auto"/>
            <w:left w:val="none" w:sz="0" w:space="0" w:color="auto"/>
            <w:bottom w:val="none" w:sz="0" w:space="0" w:color="auto"/>
            <w:right w:val="none" w:sz="0" w:space="0" w:color="auto"/>
          </w:divBdr>
        </w:div>
        <w:div w:id="1749812314">
          <w:marLeft w:val="708"/>
          <w:marRight w:val="0"/>
          <w:marTop w:val="0"/>
          <w:marBottom w:val="120"/>
          <w:divBdr>
            <w:top w:val="none" w:sz="0" w:space="0" w:color="auto"/>
            <w:left w:val="none" w:sz="0" w:space="0" w:color="auto"/>
            <w:bottom w:val="none" w:sz="0" w:space="0" w:color="auto"/>
            <w:right w:val="none" w:sz="0" w:space="0" w:color="auto"/>
          </w:divBdr>
        </w:div>
        <w:div w:id="216163628">
          <w:marLeft w:val="708"/>
          <w:marRight w:val="0"/>
          <w:marTop w:val="0"/>
          <w:marBottom w:val="240"/>
          <w:divBdr>
            <w:top w:val="none" w:sz="0" w:space="0" w:color="auto"/>
            <w:left w:val="none" w:sz="0" w:space="0" w:color="auto"/>
            <w:bottom w:val="none" w:sz="0" w:space="0" w:color="auto"/>
            <w:right w:val="none" w:sz="0" w:space="0" w:color="auto"/>
          </w:divBdr>
        </w:div>
      </w:divsChild>
    </w:div>
    <w:div w:id="20515221">
      <w:bodyDiv w:val="1"/>
      <w:marLeft w:val="0"/>
      <w:marRight w:val="0"/>
      <w:marTop w:val="0"/>
      <w:marBottom w:val="0"/>
      <w:divBdr>
        <w:top w:val="none" w:sz="0" w:space="0" w:color="auto"/>
        <w:left w:val="none" w:sz="0" w:space="0" w:color="auto"/>
        <w:bottom w:val="none" w:sz="0" w:space="0" w:color="auto"/>
        <w:right w:val="none" w:sz="0" w:space="0" w:color="auto"/>
      </w:divBdr>
      <w:divsChild>
        <w:div w:id="95760924">
          <w:marLeft w:val="547"/>
          <w:marRight w:val="0"/>
          <w:marTop w:val="96"/>
          <w:marBottom w:val="0"/>
          <w:divBdr>
            <w:top w:val="none" w:sz="0" w:space="0" w:color="auto"/>
            <w:left w:val="none" w:sz="0" w:space="0" w:color="auto"/>
            <w:bottom w:val="none" w:sz="0" w:space="0" w:color="auto"/>
            <w:right w:val="none" w:sz="0" w:space="0" w:color="auto"/>
          </w:divBdr>
        </w:div>
      </w:divsChild>
    </w:div>
    <w:div w:id="30962281">
      <w:bodyDiv w:val="1"/>
      <w:marLeft w:val="0"/>
      <w:marRight w:val="0"/>
      <w:marTop w:val="0"/>
      <w:marBottom w:val="0"/>
      <w:divBdr>
        <w:top w:val="none" w:sz="0" w:space="0" w:color="auto"/>
        <w:left w:val="none" w:sz="0" w:space="0" w:color="auto"/>
        <w:bottom w:val="none" w:sz="0" w:space="0" w:color="auto"/>
        <w:right w:val="none" w:sz="0" w:space="0" w:color="auto"/>
      </w:divBdr>
    </w:div>
    <w:div w:id="51925532">
      <w:bodyDiv w:val="1"/>
      <w:marLeft w:val="0"/>
      <w:marRight w:val="0"/>
      <w:marTop w:val="0"/>
      <w:marBottom w:val="0"/>
      <w:divBdr>
        <w:top w:val="none" w:sz="0" w:space="0" w:color="auto"/>
        <w:left w:val="none" w:sz="0" w:space="0" w:color="auto"/>
        <w:bottom w:val="none" w:sz="0" w:space="0" w:color="auto"/>
        <w:right w:val="none" w:sz="0" w:space="0" w:color="auto"/>
      </w:divBdr>
    </w:div>
    <w:div w:id="65033102">
      <w:bodyDiv w:val="1"/>
      <w:marLeft w:val="0"/>
      <w:marRight w:val="0"/>
      <w:marTop w:val="0"/>
      <w:marBottom w:val="0"/>
      <w:divBdr>
        <w:top w:val="none" w:sz="0" w:space="0" w:color="auto"/>
        <w:left w:val="none" w:sz="0" w:space="0" w:color="auto"/>
        <w:bottom w:val="none" w:sz="0" w:space="0" w:color="auto"/>
        <w:right w:val="none" w:sz="0" w:space="0" w:color="auto"/>
      </w:divBdr>
    </w:div>
    <w:div w:id="75903329">
      <w:bodyDiv w:val="1"/>
      <w:marLeft w:val="0"/>
      <w:marRight w:val="0"/>
      <w:marTop w:val="0"/>
      <w:marBottom w:val="0"/>
      <w:divBdr>
        <w:top w:val="none" w:sz="0" w:space="0" w:color="auto"/>
        <w:left w:val="none" w:sz="0" w:space="0" w:color="auto"/>
        <w:bottom w:val="none" w:sz="0" w:space="0" w:color="auto"/>
        <w:right w:val="none" w:sz="0" w:space="0" w:color="auto"/>
      </w:divBdr>
    </w:div>
    <w:div w:id="95445364">
      <w:bodyDiv w:val="1"/>
      <w:marLeft w:val="0"/>
      <w:marRight w:val="0"/>
      <w:marTop w:val="0"/>
      <w:marBottom w:val="0"/>
      <w:divBdr>
        <w:top w:val="none" w:sz="0" w:space="0" w:color="auto"/>
        <w:left w:val="none" w:sz="0" w:space="0" w:color="auto"/>
        <w:bottom w:val="none" w:sz="0" w:space="0" w:color="auto"/>
        <w:right w:val="none" w:sz="0" w:space="0" w:color="auto"/>
      </w:divBdr>
    </w:div>
    <w:div w:id="111287696">
      <w:bodyDiv w:val="1"/>
      <w:marLeft w:val="0"/>
      <w:marRight w:val="0"/>
      <w:marTop w:val="0"/>
      <w:marBottom w:val="0"/>
      <w:divBdr>
        <w:top w:val="none" w:sz="0" w:space="0" w:color="auto"/>
        <w:left w:val="none" w:sz="0" w:space="0" w:color="auto"/>
        <w:bottom w:val="none" w:sz="0" w:space="0" w:color="auto"/>
        <w:right w:val="none" w:sz="0" w:space="0" w:color="auto"/>
      </w:divBdr>
    </w:div>
    <w:div w:id="112361071">
      <w:bodyDiv w:val="1"/>
      <w:marLeft w:val="0"/>
      <w:marRight w:val="0"/>
      <w:marTop w:val="0"/>
      <w:marBottom w:val="0"/>
      <w:divBdr>
        <w:top w:val="none" w:sz="0" w:space="0" w:color="auto"/>
        <w:left w:val="none" w:sz="0" w:space="0" w:color="auto"/>
        <w:bottom w:val="none" w:sz="0" w:space="0" w:color="auto"/>
        <w:right w:val="none" w:sz="0" w:space="0" w:color="auto"/>
      </w:divBdr>
    </w:div>
    <w:div w:id="123734857">
      <w:bodyDiv w:val="1"/>
      <w:marLeft w:val="0"/>
      <w:marRight w:val="0"/>
      <w:marTop w:val="0"/>
      <w:marBottom w:val="0"/>
      <w:divBdr>
        <w:top w:val="none" w:sz="0" w:space="0" w:color="auto"/>
        <w:left w:val="none" w:sz="0" w:space="0" w:color="auto"/>
        <w:bottom w:val="none" w:sz="0" w:space="0" w:color="auto"/>
        <w:right w:val="none" w:sz="0" w:space="0" w:color="auto"/>
      </w:divBdr>
    </w:div>
    <w:div w:id="141821794">
      <w:bodyDiv w:val="1"/>
      <w:marLeft w:val="0"/>
      <w:marRight w:val="0"/>
      <w:marTop w:val="0"/>
      <w:marBottom w:val="0"/>
      <w:divBdr>
        <w:top w:val="none" w:sz="0" w:space="0" w:color="auto"/>
        <w:left w:val="none" w:sz="0" w:space="0" w:color="auto"/>
        <w:bottom w:val="none" w:sz="0" w:space="0" w:color="auto"/>
        <w:right w:val="none" w:sz="0" w:space="0" w:color="auto"/>
      </w:divBdr>
    </w:div>
    <w:div w:id="150027669">
      <w:bodyDiv w:val="1"/>
      <w:marLeft w:val="0"/>
      <w:marRight w:val="0"/>
      <w:marTop w:val="0"/>
      <w:marBottom w:val="0"/>
      <w:divBdr>
        <w:top w:val="none" w:sz="0" w:space="0" w:color="auto"/>
        <w:left w:val="none" w:sz="0" w:space="0" w:color="auto"/>
        <w:bottom w:val="none" w:sz="0" w:space="0" w:color="auto"/>
        <w:right w:val="none" w:sz="0" w:space="0" w:color="auto"/>
      </w:divBdr>
      <w:divsChild>
        <w:div w:id="944730387">
          <w:marLeft w:val="1166"/>
          <w:marRight w:val="0"/>
          <w:marTop w:val="96"/>
          <w:marBottom w:val="0"/>
          <w:divBdr>
            <w:top w:val="none" w:sz="0" w:space="0" w:color="auto"/>
            <w:left w:val="none" w:sz="0" w:space="0" w:color="auto"/>
            <w:bottom w:val="none" w:sz="0" w:space="0" w:color="auto"/>
            <w:right w:val="none" w:sz="0" w:space="0" w:color="auto"/>
          </w:divBdr>
        </w:div>
        <w:div w:id="346179209">
          <w:marLeft w:val="1166"/>
          <w:marRight w:val="0"/>
          <w:marTop w:val="96"/>
          <w:marBottom w:val="0"/>
          <w:divBdr>
            <w:top w:val="none" w:sz="0" w:space="0" w:color="auto"/>
            <w:left w:val="none" w:sz="0" w:space="0" w:color="auto"/>
            <w:bottom w:val="none" w:sz="0" w:space="0" w:color="auto"/>
            <w:right w:val="none" w:sz="0" w:space="0" w:color="auto"/>
          </w:divBdr>
        </w:div>
        <w:div w:id="861281040">
          <w:marLeft w:val="1166"/>
          <w:marRight w:val="0"/>
          <w:marTop w:val="96"/>
          <w:marBottom w:val="0"/>
          <w:divBdr>
            <w:top w:val="none" w:sz="0" w:space="0" w:color="auto"/>
            <w:left w:val="none" w:sz="0" w:space="0" w:color="auto"/>
            <w:bottom w:val="none" w:sz="0" w:space="0" w:color="auto"/>
            <w:right w:val="none" w:sz="0" w:space="0" w:color="auto"/>
          </w:divBdr>
        </w:div>
        <w:div w:id="1697073804">
          <w:marLeft w:val="1166"/>
          <w:marRight w:val="0"/>
          <w:marTop w:val="96"/>
          <w:marBottom w:val="0"/>
          <w:divBdr>
            <w:top w:val="none" w:sz="0" w:space="0" w:color="auto"/>
            <w:left w:val="none" w:sz="0" w:space="0" w:color="auto"/>
            <w:bottom w:val="none" w:sz="0" w:space="0" w:color="auto"/>
            <w:right w:val="none" w:sz="0" w:space="0" w:color="auto"/>
          </w:divBdr>
        </w:div>
      </w:divsChild>
    </w:div>
    <w:div w:id="180625679">
      <w:bodyDiv w:val="1"/>
      <w:marLeft w:val="0"/>
      <w:marRight w:val="0"/>
      <w:marTop w:val="0"/>
      <w:marBottom w:val="0"/>
      <w:divBdr>
        <w:top w:val="none" w:sz="0" w:space="0" w:color="auto"/>
        <w:left w:val="none" w:sz="0" w:space="0" w:color="auto"/>
        <w:bottom w:val="none" w:sz="0" w:space="0" w:color="auto"/>
        <w:right w:val="none" w:sz="0" w:space="0" w:color="auto"/>
      </w:divBdr>
    </w:div>
    <w:div w:id="187376593">
      <w:bodyDiv w:val="1"/>
      <w:marLeft w:val="0"/>
      <w:marRight w:val="0"/>
      <w:marTop w:val="0"/>
      <w:marBottom w:val="0"/>
      <w:divBdr>
        <w:top w:val="none" w:sz="0" w:space="0" w:color="auto"/>
        <w:left w:val="none" w:sz="0" w:space="0" w:color="auto"/>
        <w:bottom w:val="none" w:sz="0" w:space="0" w:color="auto"/>
        <w:right w:val="none" w:sz="0" w:space="0" w:color="auto"/>
      </w:divBdr>
      <w:divsChild>
        <w:div w:id="2129616879">
          <w:marLeft w:val="446"/>
          <w:marRight w:val="0"/>
          <w:marTop w:val="0"/>
          <w:marBottom w:val="120"/>
          <w:divBdr>
            <w:top w:val="none" w:sz="0" w:space="0" w:color="auto"/>
            <w:left w:val="none" w:sz="0" w:space="0" w:color="auto"/>
            <w:bottom w:val="none" w:sz="0" w:space="0" w:color="auto"/>
            <w:right w:val="none" w:sz="0" w:space="0" w:color="auto"/>
          </w:divBdr>
        </w:div>
      </w:divsChild>
    </w:div>
    <w:div w:id="192690848">
      <w:bodyDiv w:val="1"/>
      <w:marLeft w:val="0"/>
      <w:marRight w:val="0"/>
      <w:marTop w:val="0"/>
      <w:marBottom w:val="0"/>
      <w:divBdr>
        <w:top w:val="none" w:sz="0" w:space="0" w:color="auto"/>
        <w:left w:val="none" w:sz="0" w:space="0" w:color="auto"/>
        <w:bottom w:val="none" w:sz="0" w:space="0" w:color="auto"/>
        <w:right w:val="none" w:sz="0" w:space="0" w:color="auto"/>
      </w:divBdr>
    </w:div>
    <w:div w:id="218059727">
      <w:bodyDiv w:val="1"/>
      <w:marLeft w:val="0"/>
      <w:marRight w:val="0"/>
      <w:marTop w:val="0"/>
      <w:marBottom w:val="0"/>
      <w:divBdr>
        <w:top w:val="none" w:sz="0" w:space="0" w:color="auto"/>
        <w:left w:val="none" w:sz="0" w:space="0" w:color="auto"/>
        <w:bottom w:val="none" w:sz="0" w:space="0" w:color="auto"/>
        <w:right w:val="none" w:sz="0" w:space="0" w:color="auto"/>
      </w:divBdr>
    </w:div>
    <w:div w:id="257907103">
      <w:bodyDiv w:val="1"/>
      <w:marLeft w:val="0"/>
      <w:marRight w:val="0"/>
      <w:marTop w:val="0"/>
      <w:marBottom w:val="0"/>
      <w:divBdr>
        <w:top w:val="none" w:sz="0" w:space="0" w:color="auto"/>
        <w:left w:val="none" w:sz="0" w:space="0" w:color="auto"/>
        <w:bottom w:val="none" w:sz="0" w:space="0" w:color="auto"/>
        <w:right w:val="none" w:sz="0" w:space="0" w:color="auto"/>
      </w:divBdr>
    </w:div>
    <w:div w:id="296254773">
      <w:bodyDiv w:val="1"/>
      <w:marLeft w:val="0"/>
      <w:marRight w:val="0"/>
      <w:marTop w:val="0"/>
      <w:marBottom w:val="0"/>
      <w:divBdr>
        <w:top w:val="none" w:sz="0" w:space="0" w:color="auto"/>
        <w:left w:val="none" w:sz="0" w:space="0" w:color="auto"/>
        <w:bottom w:val="none" w:sz="0" w:space="0" w:color="auto"/>
        <w:right w:val="none" w:sz="0" w:space="0" w:color="auto"/>
      </w:divBdr>
    </w:div>
    <w:div w:id="317810452">
      <w:bodyDiv w:val="1"/>
      <w:marLeft w:val="0"/>
      <w:marRight w:val="0"/>
      <w:marTop w:val="0"/>
      <w:marBottom w:val="0"/>
      <w:divBdr>
        <w:top w:val="none" w:sz="0" w:space="0" w:color="auto"/>
        <w:left w:val="none" w:sz="0" w:space="0" w:color="auto"/>
        <w:bottom w:val="none" w:sz="0" w:space="0" w:color="auto"/>
        <w:right w:val="none" w:sz="0" w:space="0" w:color="auto"/>
      </w:divBdr>
    </w:div>
    <w:div w:id="328872841">
      <w:bodyDiv w:val="1"/>
      <w:marLeft w:val="0"/>
      <w:marRight w:val="0"/>
      <w:marTop w:val="0"/>
      <w:marBottom w:val="0"/>
      <w:divBdr>
        <w:top w:val="none" w:sz="0" w:space="0" w:color="auto"/>
        <w:left w:val="none" w:sz="0" w:space="0" w:color="auto"/>
        <w:bottom w:val="none" w:sz="0" w:space="0" w:color="auto"/>
        <w:right w:val="none" w:sz="0" w:space="0" w:color="auto"/>
      </w:divBdr>
      <w:divsChild>
        <w:div w:id="2116292449">
          <w:marLeft w:val="547"/>
          <w:marRight w:val="0"/>
          <w:marTop w:val="96"/>
          <w:marBottom w:val="0"/>
          <w:divBdr>
            <w:top w:val="none" w:sz="0" w:space="0" w:color="auto"/>
            <w:left w:val="none" w:sz="0" w:space="0" w:color="auto"/>
            <w:bottom w:val="none" w:sz="0" w:space="0" w:color="auto"/>
            <w:right w:val="none" w:sz="0" w:space="0" w:color="auto"/>
          </w:divBdr>
        </w:div>
        <w:div w:id="623737731">
          <w:marLeft w:val="547"/>
          <w:marRight w:val="0"/>
          <w:marTop w:val="96"/>
          <w:marBottom w:val="0"/>
          <w:divBdr>
            <w:top w:val="none" w:sz="0" w:space="0" w:color="auto"/>
            <w:left w:val="none" w:sz="0" w:space="0" w:color="auto"/>
            <w:bottom w:val="none" w:sz="0" w:space="0" w:color="auto"/>
            <w:right w:val="none" w:sz="0" w:space="0" w:color="auto"/>
          </w:divBdr>
        </w:div>
        <w:div w:id="1073818604">
          <w:marLeft w:val="547"/>
          <w:marRight w:val="0"/>
          <w:marTop w:val="96"/>
          <w:marBottom w:val="0"/>
          <w:divBdr>
            <w:top w:val="none" w:sz="0" w:space="0" w:color="auto"/>
            <w:left w:val="none" w:sz="0" w:space="0" w:color="auto"/>
            <w:bottom w:val="none" w:sz="0" w:space="0" w:color="auto"/>
            <w:right w:val="none" w:sz="0" w:space="0" w:color="auto"/>
          </w:divBdr>
        </w:div>
      </w:divsChild>
    </w:div>
    <w:div w:id="342512705">
      <w:bodyDiv w:val="1"/>
      <w:marLeft w:val="0"/>
      <w:marRight w:val="0"/>
      <w:marTop w:val="0"/>
      <w:marBottom w:val="0"/>
      <w:divBdr>
        <w:top w:val="none" w:sz="0" w:space="0" w:color="auto"/>
        <w:left w:val="none" w:sz="0" w:space="0" w:color="auto"/>
        <w:bottom w:val="none" w:sz="0" w:space="0" w:color="auto"/>
        <w:right w:val="none" w:sz="0" w:space="0" w:color="auto"/>
      </w:divBdr>
    </w:div>
    <w:div w:id="352732379">
      <w:bodyDiv w:val="1"/>
      <w:marLeft w:val="0"/>
      <w:marRight w:val="0"/>
      <w:marTop w:val="0"/>
      <w:marBottom w:val="0"/>
      <w:divBdr>
        <w:top w:val="none" w:sz="0" w:space="0" w:color="auto"/>
        <w:left w:val="none" w:sz="0" w:space="0" w:color="auto"/>
        <w:bottom w:val="none" w:sz="0" w:space="0" w:color="auto"/>
        <w:right w:val="none" w:sz="0" w:space="0" w:color="auto"/>
      </w:divBdr>
    </w:div>
    <w:div w:id="368383863">
      <w:bodyDiv w:val="1"/>
      <w:marLeft w:val="0"/>
      <w:marRight w:val="0"/>
      <w:marTop w:val="0"/>
      <w:marBottom w:val="0"/>
      <w:divBdr>
        <w:top w:val="none" w:sz="0" w:space="0" w:color="auto"/>
        <w:left w:val="none" w:sz="0" w:space="0" w:color="auto"/>
        <w:bottom w:val="none" w:sz="0" w:space="0" w:color="auto"/>
        <w:right w:val="none" w:sz="0" w:space="0" w:color="auto"/>
      </w:divBdr>
    </w:div>
    <w:div w:id="378629068">
      <w:bodyDiv w:val="1"/>
      <w:marLeft w:val="0"/>
      <w:marRight w:val="0"/>
      <w:marTop w:val="0"/>
      <w:marBottom w:val="0"/>
      <w:divBdr>
        <w:top w:val="none" w:sz="0" w:space="0" w:color="auto"/>
        <w:left w:val="none" w:sz="0" w:space="0" w:color="auto"/>
        <w:bottom w:val="none" w:sz="0" w:space="0" w:color="auto"/>
        <w:right w:val="none" w:sz="0" w:space="0" w:color="auto"/>
      </w:divBdr>
    </w:div>
    <w:div w:id="379207867">
      <w:bodyDiv w:val="1"/>
      <w:marLeft w:val="0"/>
      <w:marRight w:val="0"/>
      <w:marTop w:val="0"/>
      <w:marBottom w:val="0"/>
      <w:divBdr>
        <w:top w:val="none" w:sz="0" w:space="0" w:color="auto"/>
        <w:left w:val="none" w:sz="0" w:space="0" w:color="auto"/>
        <w:bottom w:val="none" w:sz="0" w:space="0" w:color="auto"/>
        <w:right w:val="none" w:sz="0" w:space="0" w:color="auto"/>
      </w:divBdr>
    </w:div>
    <w:div w:id="389114436">
      <w:bodyDiv w:val="1"/>
      <w:marLeft w:val="0"/>
      <w:marRight w:val="0"/>
      <w:marTop w:val="0"/>
      <w:marBottom w:val="0"/>
      <w:divBdr>
        <w:top w:val="none" w:sz="0" w:space="0" w:color="auto"/>
        <w:left w:val="none" w:sz="0" w:space="0" w:color="auto"/>
        <w:bottom w:val="none" w:sz="0" w:space="0" w:color="auto"/>
        <w:right w:val="none" w:sz="0" w:space="0" w:color="auto"/>
      </w:divBdr>
    </w:div>
    <w:div w:id="400100991">
      <w:bodyDiv w:val="1"/>
      <w:marLeft w:val="0"/>
      <w:marRight w:val="0"/>
      <w:marTop w:val="0"/>
      <w:marBottom w:val="0"/>
      <w:divBdr>
        <w:top w:val="none" w:sz="0" w:space="0" w:color="auto"/>
        <w:left w:val="none" w:sz="0" w:space="0" w:color="auto"/>
        <w:bottom w:val="none" w:sz="0" w:space="0" w:color="auto"/>
        <w:right w:val="none" w:sz="0" w:space="0" w:color="auto"/>
      </w:divBdr>
    </w:div>
    <w:div w:id="404301799">
      <w:bodyDiv w:val="1"/>
      <w:marLeft w:val="0"/>
      <w:marRight w:val="0"/>
      <w:marTop w:val="0"/>
      <w:marBottom w:val="0"/>
      <w:divBdr>
        <w:top w:val="none" w:sz="0" w:space="0" w:color="auto"/>
        <w:left w:val="none" w:sz="0" w:space="0" w:color="auto"/>
        <w:bottom w:val="none" w:sz="0" w:space="0" w:color="auto"/>
        <w:right w:val="none" w:sz="0" w:space="0" w:color="auto"/>
      </w:divBdr>
    </w:div>
    <w:div w:id="414279391">
      <w:bodyDiv w:val="1"/>
      <w:marLeft w:val="0"/>
      <w:marRight w:val="0"/>
      <w:marTop w:val="0"/>
      <w:marBottom w:val="0"/>
      <w:divBdr>
        <w:top w:val="none" w:sz="0" w:space="0" w:color="auto"/>
        <w:left w:val="none" w:sz="0" w:space="0" w:color="auto"/>
        <w:bottom w:val="none" w:sz="0" w:space="0" w:color="auto"/>
        <w:right w:val="none" w:sz="0" w:space="0" w:color="auto"/>
      </w:divBdr>
    </w:div>
    <w:div w:id="448547138">
      <w:bodyDiv w:val="1"/>
      <w:marLeft w:val="0"/>
      <w:marRight w:val="0"/>
      <w:marTop w:val="0"/>
      <w:marBottom w:val="0"/>
      <w:divBdr>
        <w:top w:val="none" w:sz="0" w:space="0" w:color="auto"/>
        <w:left w:val="none" w:sz="0" w:space="0" w:color="auto"/>
        <w:bottom w:val="none" w:sz="0" w:space="0" w:color="auto"/>
        <w:right w:val="none" w:sz="0" w:space="0" w:color="auto"/>
      </w:divBdr>
    </w:div>
    <w:div w:id="479231175">
      <w:bodyDiv w:val="1"/>
      <w:marLeft w:val="0"/>
      <w:marRight w:val="0"/>
      <w:marTop w:val="0"/>
      <w:marBottom w:val="0"/>
      <w:divBdr>
        <w:top w:val="none" w:sz="0" w:space="0" w:color="auto"/>
        <w:left w:val="none" w:sz="0" w:space="0" w:color="auto"/>
        <w:bottom w:val="none" w:sz="0" w:space="0" w:color="auto"/>
        <w:right w:val="none" w:sz="0" w:space="0" w:color="auto"/>
      </w:divBdr>
    </w:div>
    <w:div w:id="487135702">
      <w:bodyDiv w:val="1"/>
      <w:marLeft w:val="0"/>
      <w:marRight w:val="0"/>
      <w:marTop w:val="0"/>
      <w:marBottom w:val="0"/>
      <w:divBdr>
        <w:top w:val="none" w:sz="0" w:space="0" w:color="auto"/>
        <w:left w:val="none" w:sz="0" w:space="0" w:color="auto"/>
        <w:bottom w:val="none" w:sz="0" w:space="0" w:color="auto"/>
        <w:right w:val="none" w:sz="0" w:space="0" w:color="auto"/>
      </w:divBdr>
    </w:div>
    <w:div w:id="501629493">
      <w:bodyDiv w:val="1"/>
      <w:marLeft w:val="0"/>
      <w:marRight w:val="0"/>
      <w:marTop w:val="0"/>
      <w:marBottom w:val="0"/>
      <w:divBdr>
        <w:top w:val="none" w:sz="0" w:space="0" w:color="auto"/>
        <w:left w:val="none" w:sz="0" w:space="0" w:color="auto"/>
        <w:bottom w:val="none" w:sz="0" w:space="0" w:color="auto"/>
        <w:right w:val="none" w:sz="0" w:space="0" w:color="auto"/>
      </w:divBdr>
    </w:div>
    <w:div w:id="518662007">
      <w:bodyDiv w:val="1"/>
      <w:marLeft w:val="0"/>
      <w:marRight w:val="0"/>
      <w:marTop w:val="0"/>
      <w:marBottom w:val="0"/>
      <w:divBdr>
        <w:top w:val="none" w:sz="0" w:space="0" w:color="auto"/>
        <w:left w:val="none" w:sz="0" w:space="0" w:color="auto"/>
        <w:bottom w:val="none" w:sz="0" w:space="0" w:color="auto"/>
        <w:right w:val="none" w:sz="0" w:space="0" w:color="auto"/>
      </w:divBdr>
    </w:div>
    <w:div w:id="528300775">
      <w:bodyDiv w:val="1"/>
      <w:marLeft w:val="0"/>
      <w:marRight w:val="0"/>
      <w:marTop w:val="0"/>
      <w:marBottom w:val="0"/>
      <w:divBdr>
        <w:top w:val="none" w:sz="0" w:space="0" w:color="auto"/>
        <w:left w:val="none" w:sz="0" w:space="0" w:color="auto"/>
        <w:bottom w:val="none" w:sz="0" w:space="0" w:color="auto"/>
        <w:right w:val="none" w:sz="0" w:space="0" w:color="auto"/>
      </w:divBdr>
    </w:div>
    <w:div w:id="577634729">
      <w:bodyDiv w:val="1"/>
      <w:marLeft w:val="0"/>
      <w:marRight w:val="0"/>
      <w:marTop w:val="0"/>
      <w:marBottom w:val="0"/>
      <w:divBdr>
        <w:top w:val="none" w:sz="0" w:space="0" w:color="auto"/>
        <w:left w:val="none" w:sz="0" w:space="0" w:color="auto"/>
        <w:bottom w:val="none" w:sz="0" w:space="0" w:color="auto"/>
        <w:right w:val="none" w:sz="0" w:space="0" w:color="auto"/>
      </w:divBdr>
    </w:div>
    <w:div w:id="579604185">
      <w:bodyDiv w:val="1"/>
      <w:marLeft w:val="0"/>
      <w:marRight w:val="0"/>
      <w:marTop w:val="0"/>
      <w:marBottom w:val="0"/>
      <w:divBdr>
        <w:top w:val="none" w:sz="0" w:space="0" w:color="auto"/>
        <w:left w:val="none" w:sz="0" w:space="0" w:color="auto"/>
        <w:bottom w:val="none" w:sz="0" w:space="0" w:color="auto"/>
        <w:right w:val="none" w:sz="0" w:space="0" w:color="auto"/>
      </w:divBdr>
    </w:div>
    <w:div w:id="613514056">
      <w:bodyDiv w:val="1"/>
      <w:marLeft w:val="0"/>
      <w:marRight w:val="0"/>
      <w:marTop w:val="0"/>
      <w:marBottom w:val="0"/>
      <w:divBdr>
        <w:top w:val="none" w:sz="0" w:space="0" w:color="auto"/>
        <w:left w:val="none" w:sz="0" w:space="0" w:color="auto"/>
        <w:bottom w:val="none" w:sz="0" w:space="0" w:color="auto"/>
        <w:right w:val="none" w:sz="0" w:space="0" w:color="auto"/>
      </w:divBdr>
      <w:divsChild>
        <w:div w:id="180509162">
          <w:marLeft w:val="547"/>
          <w:marRight w:val="0"/>
          <w:marTop w:val="96"/>
          <w:marBottom w:val="0"/>
          <w:divBdr>
            <w:top w:val="none" w:sz="0" w:space="0" w:color="auto"/>
            <w:left w:val="none" w:sz="0" w:space="0" w:color="auto"/>
            <w:bottom w:val="none" w:sz="0" w:space="0" w:color="auto"/>
            <w:right w:val="none" w:sz="0" w:space="0" w:color="auto"/>
          </w:divBdr>
        </w:div>
        <w:div w:id="902103678">
          <w:marLeft w:val="547"/>
          <w:marRight w:val="0"/>
          <w:marTop w:val="96"/>
          <w:marBottom w:val="0"/>
          <w:divBdr>
            <w:top w:val="none" w:sz="0" w:space="0" w:color="auto"/>
            <w:left w:val="none" w:sz="0" w:space="0" w:color="auto"/>
            <w:bottom w:val="none" w:sz="0" w:space="0" w:color="auto"/>
            <w:right w:val="none" w:sz="0" w:space="0" w:color="auto"/>
          </w:divBdr>
        </w:div>
      </w:divsChild>
    </w:div>
    <w:div w:id="641886670">
      <w:bodyDiv w:val="1"/>
      <w:marLeft w:val="0"/>
      <w:marRight w:val="0"/>
      <w:marTop w:val="0"/>
      <w:marBottom w:val="0"/>
      <w:divBdr>
        <w:top w:val="none" w:sz="0" w:space="0" w:color="auto"/>
        <w:left w:val="none" w:sz="0" w:space="0" w:color="auto"/>
        <w:bottom w:val="none" w:sz="0" w:space="0" w:color="auto"/>
        <w:right w:val="none" w:sz="0" w:space="0" w:color="auto"/>
      </w:divBdr>
    </w:div>
    <w:div w:id="666983776">
      <w:bodyDiv w:val="1"/>
      <w:marLeft w:val="0"/>
      <w:marRight w:val="0"/>
      <w:marTop w:val="0"/>
      <w:marBottom w:val="0"/>
      <w:divBdr>
        <w:top w:val="none" w:sz="0" w:space="0" w:color="auto"/>
        <w:left w:val="none" w:sz="0" w:space="0" w:color="auto"/>
        <w:bottom w:val="none" w:sz="0" w:space="0" w:color="auto"/>
        <w:right w:val="none" w:sz="0" w:space="0" w:color="auto"/>
      </w:divBdr>
    </w:div>
    <w:div w:id="722406283">
      <w:bodyDiv w:val="1"/>
      <w:marLeft w:val="0"/>
      <w:marRight w:val="0"/>
      <w:marTop w:val="0"/>
      <w:marBottom w:val="0"/>
      <w:divBdr>
        <w:top w:val="none" w:sz="0" w:space="0" w:color="auto"/>
        <w:left w:val="none" w:sz="0" w:space="0" w:color="auto"/>
        <w:bottom w:val="none" w:sz="0" w:space="0" w:color="auto"/>
        <w:right w:val="none" w:sz="0" w:space="0" w:color="auto"/>
      </w:divBdr>
    </w:div>
    <w:div w:id="728577993">
      <w:bodyDiv w:val="1"/>
      <w:marLeft w:val="0"/>
      <w:marRight w:val="0"/>
      <w:marTop w:val="0"/>
      <w:marBottom w:val="0"/>
      <w:divBdr>
        <w:top w:val="none" w:sz="0" w:space="0" w:color="auto"/>
        <w:left w:val="none" w:sz="0" w:space="0" w:color="auto"/>
        <w:bottom w:val="none" w:sz="0" w:space="0" w:color="auto"/>
        <w:right w:val="none" w:sz="0" w:space="0" w:color="auto"/>
      </w:divBdr>
    </w:div>
    <w:div w:id="762577031">
      <w:bodyDiv w:val="1"/>
      <w:marLeft w:val="0"/>
      <w:marRight w:val="0"/>
      <w:marTop w:val="0"/>
      <w:marBottom w:val="0"/>
      <w:divBdr>
        <w:top w:val="none" w:sz="0" w:space="0" w:color="auto"/>
        <w:left w:val="none" w:sz="0" w:space="0" w:color="auto"/>
        <w:bottom w:val="none" w:sz="0" w:space="0" w:color="auto"/>
        <w:right w:val="none" w:sz="0" w:space="0" w:color="auto"/>
      </w:divBdr>
    </w:div>
    <w:div w:id="782921427">
      <w:bodyDiv w:val="1"/>
      <w:marLeft w:val="0"/>
      <w:marRight w:val="0"/>
      <w:marTop w:val="0"/>
      <w:marBottom w:val="0"/>
      <w:divBdr>
        <w:top w:val="none" w:sz="0" w:space="0" w:color="auto"/>
        <w:left w:val="none" w:sz="0" w:space="0" w:color="auto"/>
        <w:bottom w:val="none" w:sz="0" w:space="0" w:color="auto"/>
        <w:right w:val="none" w:sz="0" w:space="0" w:color="auto"/>
      </w:divBdr>
    </w:div>
    <w:div w:id="816729917">
      <w:bodyDiv w:val="1"/>
      <w:marLeft w:val="0"/>
      <w:marRight w:val="0"/>
      <w:marTop w:val="0"/>
      <w:marBottom w:val="0"/>
      <w:divBdr>
        <w:top w:val="none" w:sz="0" w:space="0" w:color="auto"/>
        <w:left w:val="none" w:sz="0" w:space="0" w:color="auto"/>
        <w:bottom w:val="none" w:sz="0" w:space="0" w:color="auto"/>
        <w:right w:val="none" w:sz="0" w:space="0" w:color="auto"/>
      </w:divBdr>
      <w:divsChild>
        <w:div w:id="2039697862">
          <w:marLeft w:val="0"/>
          <w:marRight w:val="0"/>
          <w:marTop w:val="120"/>
          <w:marBottom w:val="120"/>
          <w:divBdr>
            <w:top w:val="none" w:sz="0" w:space="0" w:color="auto"/>
            <w:left w:val="none" w:sz="0" w:space="0" w:color="auto"/>
            <w:bottom w:val="none" w:sz="0" w:space="0" w:color="auto"/>
            <w:right w:val="none" w:sz="0" w:space="0" w:color="auto"/>
          </w:divBdr>
        </w:div>
      </w:divsChild>
    </w:div>
    <w:div w:id="843397277">
      <w:bodyDiv w:val="1"/>
      <w:marLeft w:val="0"/>
      <w:marRight w:val="0"/>
      <w:marTop w:val="0"/>
      <w:marBottom w:val="0"/>
      <w:divBdr>
        <w:top w:val="none" w:sz="0" w:space="0" w:color="auto"/>
        <w:left w:val="none" w:sz="0" w:space="0" w:color="auto"/>
        <w:bottom w:val="none" w:sz="0" w:space="0" w:color="auto"/>
        <w:right w:val="none" w:sz="0" w:space="0" w:color="auto"/>
      </w:divBdr>
    </w:div>
    <w:div w:id="862327803">
      <w:bodyDiv w:val="1"/>
      <w:marLeft w:val="0"/>
      <w:marRight w:val="0"/>
      <w:marTop w:val="0"/>
      <w:marBottom w:val="0"/>
      <w:divBdr>
        <w:top w:val="none" w:sz="0" w:space="0" w:color="auto"/>
        <w:left w:val="none" w:sz="0" w:space="0" w:color="auto"/>
        <w:bottom w:val="none" w:sz="0" w:space="0" w:color="auto"/>
        <w:right w:val="none" w:sz="0" w:space="0" w:color="auto"/>
      </w:divBdr>
    </w:div>
    <w:div w:id="914752571">
      <w:bodyDiv w:val="1"/>
      <w:marLeft w:val="0"/>
      <w:marRight w:val="0"/>
      <w:marTop w:val="0"/>
      <w:marBottom w:val="0"/>
      <w:divBdr>
        <w:top w:val="none" w:sz="0" w:space="0" w:color="auto"/>
        <w:left w:val="none" w:sz="0" w:space="0" w:color="auto"/>
        <w:bottom w:val="none" w:sz="0" w:space="0" w:color="auto"/>
        <w:right w:val="none" w:sz="0" w:space="0" w:color="auto"/>
      </w:divBdr>
      <w:divsChild>
        <w:div w:id="413555600">
          <w:marLeft w:val="547"/>
          <w:marRight w:val="0"/>
          <w:marTop w:val="115"/>
          <w:marBottom w:val="0"/>
          <w:divBdr>
            <w:top w:val="none" w:sz="0" w:space="0" w:color="auto"/>
            <w:left w:val="none" w:sz="0" w:space="0" w:color="auto"/>
            <w:bottom w:val="none" w:sz="0" w:space="0" w:color="auto"/>
            <w:right w:val="none" w:sz="0" w:space="0" w:color="auto"/>
          </w:divBdr>
        </w:div>
      </w:divsChild>
    </w:div>
    <w:div w:id="920791018">
      <w:bodyDiv w:val="1"/>
      <w:marLeft w:val="0"/>
      <w:marRight w:val="0"/>
      <w:marTop w:val="0"/>
      <w:marBottom w:val="0"/>
      <w:divBdr>
        <w:top w:val="none" w:sz="0" w:space="0" w:color="auto"/>
        <w:left w:val="none" w:sz="0" w:space="0" w:color="auto"/>
        <w:bottom w:val="none" w:sz="0" w:space="0" w:color="auto"/>
        <w:right w:val="none" w:sz="0" w:space="0" w:color="auto"/>
      </w:divBdr>
    </w:div>
    <w:div w:id="924000213">
      <w:bodyDiv w:val="1"/>
      <w:marLeft w:val="0"/>
      <w:marRight w:val="0"/>
      <w:marTop w:val="0"/>
      <w:marBottom w:val="0"/>
      <w:divBdr>
        <w:top w:val="none" w:sz="0" w:space="0" w:color="auto"/>
        <w:left w:val="none" w:sz="0" w:space="0" w:color="auto"/>
        <w:bottom w:val="none" w:sz="0" w:space="0" w:color="auto"/>
        <w:right w:val="none" w:sz="0" w:space="0" w:color="auto"/>
      </w:divBdr>
      <w:divsChild>
        <w:div w:id="1225676042">
          <w:marLeft w:val="708"/>
          <w:marRight w:val="0"/>
          <w:marTop w:val="0"/>
          <w:marBottom w:val="120"/>
          <w:divBdr>
            <w:top w:val="none" w:sz="0" w:space="0" w:color="auto"/>
            <w:left w:val="none" w:sz="0" w:space="0" w:color="auto"/>
            <w:bottom w:val="none" w:sz="0" w:space="0" w:color="auto"/>
            <w:right w:val="none" w:sz="0" w:space="0" w:color="auto"/>
          </w:divBdr>
        </w:div>
        <w:div w:id="226385208">
          <w:marLeft w:val="708"/>
          <w:marRight w:val="0"/>
          <w:marTop w:val="0"/>
          <w:marBottom w:val="120"/>
          <w:divBdr>
            <w:top w:val="none" w:sz="0" w:space="0" w:color="auto"/>
            <w:left w:val="none" w:sz="0" w:space="0" w:color="auto"/>
            <w:bottom w:val="none" w:sz="0" w:space="0" w:color="auto"/>
            <w:right w:val="none" w:sz="0" w:space="0" w:color="auto"/>
          </w:divBdr>
        </w:div>
        <w:div w:id="1634603105">
          <w:marLeft w:val="708"/>
          <w:marRight w:val="0"/>
          <w:marTop w:val="0"/>
          <w:marBottom w:val="120"/>
          <w:divBdr>
            <w:top w:val="none" w:sz="0" w:space="0" w:color="auto"/>
            <w:left w:val="none" w:sz="0" w:space="0" w:color="auto"/>
            <w:bottom w:val="none" w:sz="0" w:space="0" w:color="auto"/>
            <w:right w:val="none" w:sz="0" w:space="0" w:color="auto"/>
          </w:divBdr>
        </w:div>
        <w:div w:id="1544177364">
          <w:marLeft w:val="708"/>
          <w:marRight w:val="0"/>
          <w:marTop w:val="0"/>
          <w:marBottom w:val="120"/>
          <w:divBdr>
            <w:top w:val="none" w:sz="0" w:space="0" w:color="auto"/>
            <w:left w:val="none" w:sz="0" w:space="0" w:color="auto"/>
            <w:bottom w:val="none" w:sz="0" w:space="0" w:color="auto"/>
            <w:right w:val="none" w:sz="0" w:space="0" w:color="auto"/>
          </w:divBdr>
        </w:div>
        <w:div w:id="1200892489">
          <w:marLeft w:val="708"/>
          <w:marRight w:val="0"/>
          <w:marTop w:val="0"/>
          <w:marBottom w:val="120"/>
          <w:divBdr>
            <w:top w:val="none" w:sz="0" w:space="0" w:color="auto"/>
            <w:left w:val="none" w:sz="0" w:space="0" w:color="auto"/>
            <w:bottom w:val="none" w:sz="0" w:space="0" w:color="auto"/>
            <w:right w:val="none" w:sz="0" w:space="0" w:color="auto"/>
          </w:divBdr>
        </w:div>
        <w:div w:id="886452097">
          <w:marLeft w:val="708"/>
          <w:marRight w:val="0"/>
          <w:marTop w:val="0"/>
          <w:marBottom w:val="120"/>
          <w:divBdr>
            <w:top w:val="none" w:sz="0" w:space="0" w:color="auto"/>
            <w:left w:val="none" w:sz="0" w:space="0" w:color="auto"/>
            <w:bottom w:val="none" w:sz="0" w:space="0" w:color="auto"/>
            <w:right w:val="none" w:sz="0" w:space="0" w:color="auto"/>
          </w:divBdr>
        </w:div>
        <w:div w:id="2105227523">
          <w:marLeft w:val="708"/>
          <w:marRight w:val="0"/>
          <w:marTop w:val="0"/>
          <w:marBottom w:val="240"/>
          <w:divBdr>
            <w:top w:val="none" w:sz="0" w:space="0" w:color="auto"/>
            <w:left w:val="none" w:sz="0" w:space="0" w:color="auto"/>
            <w:bottom w:val="none" w:sz="0" w:space="0" w:color="auto"/>
            <w:right w:val="none" w:sz="0" w:space="0" w:color="auto"/>
          </w:divBdr>
        </w:div>
      </w:divsChild>
    </w:div>
    <w:div w:id="933437286">
      <w:bodyDiv w:val="1"/>
      <w:marLeft w:val="0"/>
      <w:marRight w:val="0"/>
      <w:marTop w:val="0"/>
      <w:marBottom w:val="0"/>
      <w:divBdr>
        <w:top w:val="none" w:sz="0" w:space="0" w:color="auto"/>
        <w:left w:val="none" w:sz="0" w:space="0" w:color="auto"/>
        <w:bottom w:val="none" w:sz="0" w:space="0" w:color="auto"/>
        <w:right w:val="none" w:sz="0" w:space="0" w:color="auto"/>
      </w:divBdr>
      <w:divsChild>
        <w:div w:id="201989220">
          <w:marLeft w:val="1166"/>
          <w:marRight w:val="0"/>
          <w:marTop w:val="96"/>
          <w:marBottom w:val="0"/>
          <w:divBdr>
            <w:top w:val="none" w:sz="0" w:space="0" w:color="auto"/>
            <w:left w:val="none" w:sz="0" w:space="0" w:color="auto"/>
            <w:bottom w:val="none" w:sz="0" w:space="0" w:color="auto"/>
            <w:right w:val="none" w:sz="0" w:space="0" w:color="auto"/>
          </w:divBdr>
        </w:div>
      </w:divsChild>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196968575">
          <w:marLeft w:val="1656"/>
          <w:marRight w:val="0"/>
          <w:marTop w:val="0"/>
          <w:marBottom w:val="0"/>
          <w:divBdr>
            <w:top w:val="none" w:sz="0" w:space="0" w:color="auto"/>
            <w:left w:val="none" w:sz="0" w:space="0" w:color="auto"/>
            <w:bottom w:val="none" w:sz="0" w:space="0" w:color="auto"/>
            <w:right w:val="none" w:sz="0" w:space="0" w:color="auto"/>
          </w:divBdr>
        </w:div>
        <w:div w:id="256600513">
          <w:marLeft w:val="1656"/>
          <w:marRight w:val="0"/>
          <w:marTop w:val="0"/>
          <w:marBottom w:val="0"/>
          <w:divBdr>
            <w:top w:val="none" w:sz="0" w:space="0" w:color="auto"/>
            <w:left w:val="none" w:sz="0" w:space="0" w:color="auto"/>
            <w:bottom w:val="none" w:sz="0" w:space="0" w:color="auto"/>
            <w:right w:val="none" w:sz="0" w:space="0" w:color="auto"/>
          </w:divBdr>
        </w:div>
        <w:div w:id="1363289042">
          <w:marLeft w:val="1656"/>
          <w:marRight w:val="0"/>
          <w:marTop w:val="0"/>
          <w:marBottom w:val="0"/>
          <w:divBdr>
            <w:top w:val="none" w:sz="0" w:space="0" w:color="auto"/>
            <w:left w:val="none" w:sz="0" w:space="0" w:color="auto"/>
            <w:bottom w:val="none" w:sz="0" w:space="0" w:color="auto"/>
            <w:right w:val="none" w:sz="0" w:space="0" w:color="auto"/>
          </w:divBdr>
        </w:div>
      </w:divsChild>
    </w:div>
    <w:div w:id="948706211">
      <w:bodyDiv w:val="1"/>
      <w:marLeft w:val="0"/>
      <w:marRight w:val="0"/>
      <w:marTop w:val="0"/>
      <w:marBottom w:val="0"/>
      <w:divBdr>
        <w:top w:val="none" w:sz="0" w:space="0" w:color="auto"/>
        <w:left w:val="none" w:sz="0" w:space="0" w:color="auto"/>
        <w:bottom w:val="none" w:sz="0" w:space="0" w:color="auto"/>
        <w:right w:val="none" w:sz="0" w:space="0" w:color="auto"/>
      </w:divBdr>
    </w:div>
    <w:div w:id="956183670">
      <w:bodyDiv w:val="1"/>
      <w:marLeft w:val="0"/>
      <w:marRight w:val="0"/>
      <w:marTop w:val="0"/>
      <w:marBottom w:val="0"/>
      <w:divBdr>
        <w:top w:val="none" w:sz="0" w:space="0" w:color="auto"/>
        <w:left w:val="none" w:sz="0" w:space="0" w:color="auto"/>
        <w:bottom w:val="none" w:sz="0" w:space="0" w:color="auto"/>
        <w:right w:val="none" w:sz="0" w:space="0" w:color="auto"/>
      </w:divBdr>
    </w:div>
    <w:div w:id="958218298">
      <w:bodyDiv w:val="1"/>
      <w:marLeft w:val="0"/>
      <w:marRight w:val="0"/>
      <w:marTop w:val="0"/>
      <w:marBottom w:val="0"/>
      <w:divBdr>
        <w:top w:val="none" w:sz="0" w:space="0" w:color="auto"/>
        <w:left w:val="none" w:sz="0" w:space="0" w:color="auto"/>
        <w:bottom w:val="none" w:sz="0" w:space="0" w:color="auto"/>
        <w:right w:val="none" w:sz="0" w:space="0" w:color="auto"/>
      </w:divBdr>
    </w:div>
    <w:div w:id="971716597">
      <w:bodyDiv w:val="1"/>
      <w:marLeft w:val="0"/>
      <w:marRight w:val="0"/>
      <w:marTop w:val="0"/>
      <w:marBottom w:val="0"/>
      <w:divBdr>
        <w:top w:val="none" w:sz="0" w:space="0" w:color="auto"/>
        <w:left w:val="none" w:sz="0" w:space="0" w:color="auto"/>
        <w:bottom w:val="none" w:sz="0" w:space="0" w:color="auto"/>
        <w:right w:val="none" w:sz="0" w:space="0" w:color="auto"/>
      </w:divBdr>
    </w:div>
    <w:div w:id="972173675">
      <w:bodyDiv w:val="1"/>
      <w:marLeft w:val="0"/>
      <w:marRight w:val="0"/>
      <w:marTop w:val="0"/>
      <w:marBottom w:val="0"/>
      <w:divBdr>
        <w:top w:val="none" w:sz="0" w:space="0" w:color="auto"/>
        <w:left w:val="none" w:sz="0" w:space="0" w:color="auto"/>
        <w:bottom w:val="none" w:sz="0" w:space="0" w:color="auto"/>
        <w:right w:val="none" w:sz="0" w:space="0" w:color="auto"/>
      </w:divBdr>
      <w:divsChild>
        <w:div w:id="1863086136">
          <w:marLeft w:val="1267"/>
          <w:marRight w:val="0"/>
          <w:marTop w:val="120"/>
          <w:marBottom w:val="120"/>
          <w:divBdr>
            <w:top w:val="none" w:sz="0" w:space="0" w:color="auto"/>
            <w:left w:val="none" w:sz="0" w:space="0" w:color="auto"/>
            <w:bottom w:val="none" w:sz="0" w:space="0" w:color="auto"/>
            <w:right w:val="none" w:sz="0" w:space="0" w:color="auto"/>
          </w:divBdr>
        </w:div>
      </w:divsChild>
    </w:div>
    <w:div w:id="995301809">
      <w:bodyDiv w:val="1"/>
      <w:marLeft w:val="0"/>
      <w:marRight w:val="0"/>
      <w:marTop w:val="0"/>
      <w:marBottom w:val="0"/>
      <w:divBdr>
        <w:top w:val="none" w:sz="0" w:space="0" w:color="auto"/>
        <w:left w:val="none" w:sz="0" w:space="0" w:color="auto"/>
        <w:bottom w:val="none" w:sz="0" w:space="0" w:color="auto"/>
        <w:right w:val="none" w:sz="0" w:space="0" w:color="auto"/>
      </w:divBdr>
    </w:div>
    <w:div w:id="1002703712">
      <w:bodyDiv w:val="1"/>
      <w:marLeft w:val="0"/>
      <w:marRight w:val="0"/>
      <w:marTop w:val="0"/>
      <w:marBottom w:val="0"/>
      <w:divBdr>
        <w:top w:val="none" w:sz="0" w:space="0" w:color="auto"/>
        <w:left w:val="none" w:sz="0" w:space="0" w:color="auto"/>
        <w:bottom w:val="none" w:sz="0" w:space="0" w:color="auto"/>
        <w:right w:val="none" w:sz="0" w:space="0" w:color="auto"/>
      </w:divBdr>
    </w:div>
    <w:div w:id="1003582789">
      <w:bodyDiv w:val="1"/>
      <w:marLeft w:val="0"/>
      <w:marRight w:val="0"/>
      <w:marTop w:val="0"/>
      <w:marBottom w:val="0"/>
      <w:divBdr>
        <w:top w:val="none" w:sz="0" w:space="0" w:color="auto"/>
        <w:left w:val="none" w:sz="0" w:space="0" w:color="auto"/>
        <w:bottom w:val="none" w:sz="0" w:space="0" w:color="auto"/>
        <w:right w:val="none" w:sz="0" w:space="0" w:color="auto"/>
      </w:divBdr>
      <w:divsChild>
        <w:div w:id="608204007">
          <w:marLeft w:val="1166"/>
          <w:marRight w:val="0"/>
          <w:marTop w:val="96"/>
          <w:marBottom w:val="0"/>
          <w:divBdr>
            <w:top w:val="none" w:sz="0" w:space="0" w:color="auto"/>
            <w:left w:val="none" w:sz="0" w:space="0" w:color="auto"/>
            <w:bottom w:val="none" w:sz="0" w:space="0" w:color="auto"/>
            <w:right w:val="none" w:sz="0" w:space="0" w:color="auto"/>
          </w:divBdr>
        </w:div>
        <w:div w:id="1366128279">
          <w:marLeft w:val="1166"/>
          <w:marRight w:val="0"/>
          <w:marTop w:val="96"/>
          <w:marBottom w:val="0"/>
          <w:divBdr>
            <w:top w:val="none" w:sz="0" w:space="0" w:color="auto"/>
            <w:left w:val="none" w:sz="0" w:space="0" w:color="auto"/>
            <w:bottom w:val="none" w:sz="0" w:space="0" w:color="auto"/>
            <w:right w:val="none" w:sz="0" w:space="0" w:color="auto"/>
          </w:divBdr>
        </w:div>
        <w:div w:id="1579830012">
          <w:marLeft w:val="1166"/>
          <w:marRight w:val="0"/>
          <w:marTop w:val="96"/>
          <w:marBottom w:val="0"/>
          <w:divBdr>
            <w:top w:val="none" w:sz="0" w:space="0" w:color="auto"/>
            <w:left w:val="none" w:sz="0" w:space="0" w:color="auto"/>
            <w:bottom w:val="none" w:sz="0" w:space="0" w:color="auto"/>
            <w:right w:val="none" w:sz="0" w:space="0" w:color="auto"/>
          </w:divBdr>
        </w:div>
        <w:div w:id="1615332284">
          <w:marLeft w:val="1166"/>
          <w:marRight w:val="0"/>
          <w:marTop w:val="96"/>
          <w:marBottom w:val="0"/>
          <w:divBdr>
            <w:top w:val="none" w:sz="0" w:space="0" w:color="auto"/>
            <w:left w:val="none" w:sz="0" w:space="0" w:color="auto"/>
            <w:bottom w:val="none" w:sz="0" w:space="0" w:color="auto"/>
            <w:right w:val="none" w:sz="0" w:space="0" w:color="auto"/>
          </w:divBdr>
        </w:div>
      </w:divsChild>
    </w:div>
    <w:div w:id="1024593974">
      <w:bodyDiv w:val="1"/>
      <w:marLeft w:val="0"/>
      <w:marRight w:val="0"/>
      <w:marTop w:val="0"/>
      <w:marBottom w:val="0"/>
      <w:divBdr>
        <w:top w:val="none" w:sz="0" w:space="0" w:color="auto"/>
        <w:left w:val="none" w:sz="0" w:space="0" w:color="auto"/>
        <w:bottom w:val="none" w:sz="0" w:space="0" w:color="auto"/>
        <w:right w:val="none" w:sz="0" w:space="0" w:color="auto"/>
      </w:divBdr>
      <w:divsChild>
        <w:div w:id="846864605">
          <w:marLeft w:val="547"/>
          <w:marRight w:val="0"/>
          <w:marTop w:val="115"/>
          <w:marBottom w:val="0"/>
          <w:divBdr>
            <w:top w:val="none" w:sz="0" w:space="0" w:color="auto"/>
            <w:left w:val="none" w:sz="0" w:space="0" w:color="auto"/>
            <w:bottom w:val="none" w:sz="0" w:space="0" w:color="auto"/>
            <w:right w:val="none" w:sz="0" w:space="0" w:color="auto"/>
          </w:divBdr>
        </w:div>
      </w:divsChild>
    </w:div>
    <w:div w:id="1035930271">
      <w:bodyDiv w:val="1"/>
      <w:marLeft w:val="0"/>
      <w:marRight w:val="0"/>
      <w:marTop w:val="0"/>
      <w:marBottom w:val="0"/>
      <w:divBdr>
        <w:top w:val="none" w:sz="0" w:space="0" w:color="auto"/>
        <w:left w:val="none" w:sz="0" w:space="0" w:color="auto"/>
        <w:bottom w:val="none" w:sz="0" w:space="0" w:color="auto"/>
        <w:right w:val="none" w:sz="0" w:space="0" w:color="auto"/>
      </w:divBdr>
    </w:div>
    <w:div w:id="1059783580">
      <w:bodyDiv w:val="1"/>
      <w:marLeft w:val="0"/>
      <w:marRight w:val="0"/>
      <w:marTop w:val="0"/>
      <w:marBottom w:val="0"/>
      <w:divBdr>
        <w:top w:val="none" w:sz="0" w:space="0" w:color="auto"/>
        <w:left w:val="none" w:sz="0" w:space="0" w:color="auto"/>
        <w:bottom w:val="none" w:sz="0" w:space="0" w:color="auto"/>
        <w:right w:val="none" w:sz="0" w:space="0" w:color="auto"/>
      </w:divBdr>
    </w:div>
    <w:div w:id="1095518001">
      <w:bodyDiv w:val="1"/>
      <w:marLeft w:val="0"/>
      <w:marRight w:val="0"/>
      <w:marTop w:val="0"/>
      <w:marBottom w:val="0"/>
      <w:divBdr>
        <w:top w:val="none" w:sz="0" w:space="0" w:color="auto"/>
        <w:left w:val="none" w:sz="0" w:space="0" w:color="auto"/>
        <w:bottom w:val="none" w:sz="0" w:space="0" w:color="auto"/>
        <w:right w:val="none" w:sz="0" w:space="0" w:color="auto"/>
      </w:divBdr>
      <w:divsChild>
        <w:div w:id="276183155">
          <w:marLeft w:val="547"/>
          <w:marRight w:val="0"/>
          <w:marTop w:val="96"/>
          <w:marBottom w:val="0"/>
          <w:divBdr>
            <w:top w:val="none" w:sz="0" w:space="0" w:color="auto"/>
            <w:left w:val="none" w:sz="0" w:space="0" w:color="auto"/>
            <w:bottom w:val="none" w:sz="0" w:space="0" w:color="auto"/>
            <w:right w:val="none" w:sz="0" w:space="0" w:color="auto"/>
          </w:divBdr>
        </w:div>
        <w:div w:id="693698796">
          <w:marLeft w:val="547"/>
          <w:marRight w:val="0"/>
          <w:marTop w:val="96"/>
          <w:marBottom w:val="0"/>
          <w:divBdr>
            <w:top w:val="none" w:sz="0" w:space="0" w:color="auto"/>
            <w:left w:val="none" w:sz="0" w:space="0" w:color="auto"/>
            <w:bottom w:val="none" w:sz="0" w:space="0" w:color="auto"/>
            <w:right w:val="none" w:sz="0" w:space="0" w:color="auto"/>
          </w:divBdr>
        </w:div>
        <w:div w:id="1455372278">
          <w:marLeft w:val="547"/>
          <w:marRight w:val="0"/>
          <w:marTop w:val="96"/>
          <w:marBottom w:val="0"/>
          <w:divBdr>
            <w:top w:val="none" w:sz="0" w:space="0" w:color="auto"/>
            <w:left w:val="none" w:sz="0" w:space="0" w:color="auto"/>
            <w:bottom w:val="none" w:sz="0" w:space="0" w:color="auto"/>
            <w:right w:val="none" w:sz="0" w:space="0" w:color="auto"/>
          </w:divBdr>
        </w:div>
        <w:div w:id="1576740852">
          <w:marLeft w:val="547"/>
          <w:marRight w:val="0"/>
          <w:marTop w:val="96"/>
          <w:marBottom w:val="0"/>
          <w:divBdr>
            <w:top w:val="none" w:sz="0" w:space="0" w:color="auto"/>
            <w:left w:val="none" w:sz="0" w:space="0" w:color="auto"/>
            <w:bottom w:val="none" w:sz="0" w:space="0" w:color="auto"/>
            <w:right w:val="none" w:sz="0" w:space="0" w:color="auto"/>
          </w:divBdr>
        </w:div>
      </w:divsChild>
    </w:div>
    <w:div w:id="1095638373">
      <w:bodyDiv w:val="1"/>
      <w:marLeft w:val="0"/>
      <w:marRight w:val="0"/>
      <w:marTop w:val="0"/>
      <w:marBottom w:val="0"/>
      <w:divBdr>
        <w:top w:val="none" w:sz="0" w:space="0" w:color="auto"/>
        <w:left w:val="none" w:sz="0" w:space="0" w:color="auto"/>
        <w:bottom w:val="none" w:sz="0" w:space="0" w:color="auto"/>
        <w:right w:val="none" w:sz="0" w:space="0" w:color="auto"/>
      </w:divBdr>
    </w:div>
    <w:div w:id="1106851128">
      <w:bodyDiv w:val="1"/>
      <w:marLeft w:val="0"/>
      <w:marRight w:val="0"/>
      <w:marTop w:val="0"/>
      <w:marBottom w:val="0"/>
      <w:divBdr>
        <w:top w:val="none" w:sz="0" w:space="0" w:color="auto"/>
        <w:left w:val="none" w:sz="0" w:space="0" w:color="auto"/>
        <w:bottom w:val="none" w:sz="0" w:space="0" w:color="auto"/>
        <w:right w:val="none" w:sz="0" w:space="0" w:color="auto"/>
      </w:divBdr>
    </w:div>
    <w:div w:id="1115908659">
      <w:bodyDiv w:val="1"/>
      <w:marLeft w:val="0"/>
      <w:marRight w:val="0"/>
      <w:marTop w:val="0"/>
      <w:marBottom w:val="0"/>
      <w:divBdr>
        <w:top w:val="none" w:sz="0" w:space="0" w:color="auto"/>
        <w:left w:val="none" w:sz="0" w:space="0" w:color="auto"/>
        <w:bottom w:val="none" w:sz="0" w:space="0" w:color="auto"/>
        <w:right w:val="none" w:sz="0" w:space="0" w:color="auto"/>
      </w:divBdr>
    </w:div>
    <w:div w:id="1118379218">
      <w:bodyDiv w:val="1"/>
      <w:marLeft w:val="0"/>
      <w:marRight w:val="0"/>
      <w:marTop w:val="0"/>
      <w:marBottom w:val="0"/>
      <w:divBdr>
        <w:top w:val="none" w:sz="0" w:space="0" w:color="auto"/>
        <w:left w:val="none" w:sz="0" w:space="0" w:color="auto"/>
        <w:bottom w:val="none" w:sz="0" w:space="0" w:color="auto"/>
        <w:right w:val="none" w:sz="0" w:space="0" w:color="auto"/>
      </w:divBdr>
    </w:div>
    <w:div w:id="1133210706">
      <w:bodyDiv w:val="1"/>
      <w:marLeft w:val="0"/>
      <w:marRight w:val="0"/>
      <w:marTop w:val="0"/>
      <w:marBottom w:val="0"/>
      <w:divBdr>
        <w:top w:val="none" w:sz="0" w:space="0" w:color="auto"/>
        <w:left w:val="none" w:sz="0" w:space="0" w:color="auto"/>
        <w:bottom w:val="none" w:sz="0" w:space="0" w:color="auto"/>
        <w:right w:val="none" w:sz="0" w:space="0" w:color="auto"/>
      </w:divBdr>
    </w:div>
    <w:div w:id="1142306317">
      <w:bodyDiv w:val="1"/>
      <w:marLeft w:val="0"/>
      <w:marRight w:val="0"/>
      <w:marTop w:val="0"/>
      <w:marBottom w:val="0"/>
      <w:divBdr>
        <w:top w:val="none" w:sz="0" w:space="0" w:color="auto"/>
        <w:left w:val="none" w:sz="0" w:space="0" w:color="auto"/>
        <w:bottom w:val="none" w:sz="0" w:space="0" w:color="auto"/>
        <w:right w:val="none" w:sz="0" w:space="0" w:color="auto"/>
      </w:divBdr>
    </w:div>
    <w:div w:id="1144851746">
      <w:bodyDiv w:val="1"/>
      <w:marLeft w:val="0"/>
      <w:marRight w:val="0"/>
      <w:marTop w:val="0"/>
      <w:marBottom w:val="0"/>
      <w:divBdr>
        <w:top w:val="none" w:sz="0" w:space="0" w:color="auto"/>
        <w:left w:val="none" w:sz="0" w:space="0" w:color="auto"/>
        <w:bottom w:val="none" w:sz="0" w:space="0" w:color="auto"/>
        <w:right w:val="none" w:sz="0" w:space="0" w:color="auto"/>
      </w:divBdr>
    </w:div>
    <w:div w:id="1174491586">
      <w:bodyDiv w:val="1"/>
      <w:marLeft w:val="0"/>
      <w:marRight w:val="0"/>
      <w:marTop w:val="0"/>
      <w:marBottom w:val="0"/>
      <w:divBdr>
        <w:top w:val="none" w:sz="0" w:space="0" w:color="auto"/>
        <w:left w:val="none" w:sz="0" w:space="0" w:color="auto"/>
        <w:bottom w:val="none" w:sz="0" w:space="0" w:color="auto"/>
        <w:right w:val="none" w:sz="0" w:space="0" w:color="auto"/>
      </w:divBdr>
    </w:div>
    <w:div w:id="1180051088">
      <w:bodyDiv w:val="1"/>
      <w:marLeft w:val="0"/>
      <w:marRight w:val="0"/>
      <w:marTop w:val="0"/>
      <w:marBottom w:val="0"/>
      <w:divBdr>
        <w:top w:val="none" w:sz="0" w:space="0" w:color="auto"/>
        <w:left w:val="none" w:sz="0" w:space="0" w:color="auto"/>
        <w:bottom w:val="none" w:sz="0" w:space="0" w:color="auto"/>
        <w:right w:val="none" w:sz="0" w:space="0" w:color="auto"/>
      </w:divBdr>
      <w:divsChild>
        <w:div w:id="113251481">
          <w:marLeft w:val="1416"/>
          <w:marRight w:val="0"/>
          <w:marTop w:val="0"/>
          <w:marBottom w:val="0"/>
          <w:divBdr>
            <w:top w:val="none" w:sz="0" w:space="0" w:color="auto"/>
            <w:left w:val="none" w:sz="0" w:space="0" w:color="auto"/>
            <w:bottom w:val="none" w:sz="0" w:space="0" w:color="auto"/>
            <w:right w:val="none" w:sz="0" w:space="0" w:color="auto"/>
          </w:divBdr>
        </w:div>
      </w:divsChild>
    </w:div>
    <w:div w:id="1186360312">
      <w:bodyDiv w:val="1"/>
      <w:marLeft w:val="0"/>
      <w:marRight w:val="0"/>
      <w:marTop w:val="0"/>
      <w:marBottom w:val="0"/>
      <w:divBdr>
        <w:top w:val="none" w:sz="0" w:space="0" w:color="auto"/>
        <w:left w:val="none" w:sz="0" w:space="0" w:color="auto"/>
        <w:bottom w:val="none" w:sz="0" w:space="0" w:color="auto"/>
        <w:right w:val="none" w:sz="0" w:space="0" w:color="auto"/>
      </w:divBdr>
    </w:div>
    <w:div w:id="1210804885">
      <w:bodyDiv w:val="1"/>
      <w:marLeft w:val="0"/>
      <w:marRight w:val="0"/>
      <w:marTop w:val="0"/>
      <w:marBottom w:val="0"/>
      <w:divBdr>
        <w:top w:val="none" w:sz="0" w:space="0" w:color="auto"/>
        <w:left w:val="none" w:sz="0" w:space="0" w:color="auto"/>
        <w:bottom w:val="none" w:sz="0" w:space="0" w:color="auto"/>
        <w:right w:val="none" w:sz="0" w:space="0" w:color="auto"/>
      </w:divBdr>
    </w:div>
    <w:div w:id="1219823094">
      <w:bodyDiv w:val="1"/>
      <w:marLeft w:val="0"/>
      <w:marRight w:val="0"/>
      <w:marTop w:val="0"/>
      <w:marBottom w:val="0"/>
      <w:divBdr>
        <w:top w:val="none" w:sz="0" w:space="0" w:color="auto"/>
        <w:left w:val="none" w:sz="0" w:space="0" w:color="auto"/>
        <w:bottom w:val="none" w:sz="0" w:space="0" w:color="auto"/>
        <w:right w:val="none" w:sz="0" w:space="0" w:color="auto"/>
      </w:divBdr>
      <w:divsChild>
        <w:div w:id="1340111599">
          <w:marLeft w:val="0"/>
          <w:marRight w:val="0"/>
          <w:marTop w:val="0"/>
          <w:marBottom w:val="0"/>
          <w:divBdr>
            <w:top w:val="none" w:sz="0" w:space="0" w:color="auto"/>
            <w:left w:val="none" w:sz="0" w:space="0" w:color="auto"/>
            <w:bottom w:val="none" w:sz="0" w:space="0" w:color="auto"/>
            <w:right w:val="none" w:sz="0" w:space="0" w:color="auto"/>
          </w:divBdr>
        </w:div>
      </w:divsChild>
    </w:div>
    <w:div w:id="1226264114">
      <w:bodyDiv w:val="1"/>
      <w:marLeft w:val="0"/>
      <w:marRight w:val="0"/>
      <w:marTop w:val="0"/>
      <w:marBottom w:val="0"/>
      <w:divBdr>
        <w:top w:val="none" w:sz="0" w:space="0" w:color="auto"/>
        <w:left w:val="none" w:sz="0" w:space="0" w:color="auto"/>
        <w:bottom w:val="none" w:sz="0" w:space="0" w:color="auto"/>
        <w:right w:val="none" w:sz="0" w:space="0" w:color="auto"/>
      </w:divBdr>
    </w:div>
    <w:div w:id="1226338830">
      <w:bodyDiv w:val="1"/>
      <w:marLeft w:val="0"/>
      <w:marRight w:val="0"/>
      <w:marTop w:val="0"/>
      <w:marBottom w:val="0"/>
      <w:divBdr>
        <w:top w:val="none" w:sz="0" w:space="0" w:color="auto"/>
        <w:left w:val="none" w:sz="0" w:space="0" w:color="auto"/>
        <w:bottom w:val="none" w:sz="0" w:space="0" w:color="auto"/>
        <w:right w:val="none" w:sz="0" w:space="0" w:color="auto"/>
      </w:divBdr>
    </w:div>
    <w:div w:id="1227959918">
      <w:bodyDiv w:val="1"/>
      <w:marLeft w:val="0"/>
      <w:marRight w:val="0"/>
      <w:marTop w:val="0"/>
      <w:marBottom w:val="0"/>
      <w:divBdr>
        <w:top w:val="none" w:sz="0" w:space="0" w:color="auto"/>
        <w:left w:val="none" w:sz="0" w:space="0" w:color="auto"/>
        <w:bottom w:val="none" w:sz="0" w:space="0" w:color="auto"/>
        <w:right w:val="none" w:sz="0" w:space="0" w:color="auto"/>
      </w:divBdr>
    </w:div>
    <w:div w:id="1239289134">
      <w:bodyDiv w:val="1"/>
      <w:marLeft w:val="0"/>
      <w:marRight w:val="0"/>
      <w:marTop w:val="0"/>
      <w:marBottom w:val="0"/>
      <w:divBdr>
        <w:top w:val="none" w:sz="0" w:space="0" w:color="auto"/>
        <w:left w:val="none" w:sz="0" w:space="0" w:color="auto"/>
        <w:bottom w:val="none" w:sz="0" w:space="0" w:color="auto"/>
        <w:right w:val="none" w:sz="0" w:space="0" w:color="auto"/>
      </w:divBdr>
    </w:div>
    <w:div w:id="1247418574">
      <w:bodyDiv w:val="1"/>
      <w:marLeft w:val="0"/>
      <w:marRight w:val="0"/>
      <w:marTop w:val="0"/>
      <w:marBottom w:val="0"/>
      <w:divBdr>
        <w:top w:val="none" w:sz="0" w:space="0" w:color="auto"/>
        <w:left w:val="none" w:sz="0" w:space="0" w:color="auto"/>
        <w:bottom w:val="none" w:sz="0" w:space="0" w:color="auto"/>
        <w:right w:val="none" w:sz="0" w:space="0" w:color="auto"/>
      </w:divBdr>
      <w:divsChild>
        <w:div w:id="286620320">
          <w:marLeft w:val="547"/>
          <w:marRight w:val="0"/>
          <w:marTop w:val="96"/>
          <w:marBottom w:val="0"/>
          <w:divBdr>
            <w:top w:val="none" w:sz="0" w:space="0" w:color="auto"/>
            <w:left w:val="none" w:sz="0" w:space="0" w:color="auto"/>
            <w:bottom w:val="none" w:sz="0" w:space="0" w:color="auto"/>
            <w:right w:val="none" w:sz="0" w:space="0" w:color="auto"/>
          </w:divBdr>
        </w:div>
        <w:div w:id="1918132565">
          <w:marLeft w:val="547"/>
          <w:marRight w:val="0"/>
          <w:marTop w:val="96"/>
          <w:marBottom w:val="0"/>
          <w:divBdr>
            <w:top w:val="none" w:sz="0" w:space="0" w:color="auto"/>
            <w:left w:val="none" w:sz="0" w:space="0" w:color="auto"/>
            <w:bottom w:val="none" w:sz="0" w:space="0" w:color="auto"/>
            <w:right w:val="none" w:sz="0" w:space="0" w:color="auto"/>
          </w:divBdr>
        </w:div>
        <w:div w:id="133912061">
          <w:marLeft w:val="547"/>
          <w:marRight w:val="0"/>
          <w:marTop w:val="96"/>
          <w:marBottom w:val="0"/>
          <w:divBdr>
            <w:top w:val="none" w:sz="0" w:space="0" w:color="auto"/>
            <w:left w:val="none" w:sz="0" w:space="0" w:color="auto"/>
            <w:bottom w:val="none" w:sz="0" w:space="0" w:color="auto"/>
            <w:right w:val="none" w:sz="0" w:space="0" w:color="auto"/>
          </w:divBdr>
        </w:div>
        <w:div w:id="1777292469">
          <w:marLeft w:val="547"/>
          <w:marRight w:val="0"/>
          <w:marTop w:val="96"/>
          <w:marBottom w:val="0"/>
          <w:divBdr>
            <w:top w:val="none" w:sz="0" w:space="0" w:color="auto"/>
            <w:left w:val="none" w:sz="0" w:space="0" w:color="auto"/>
            <w:bottom w:val="none" w:sz="0" w:space="0" w:color="auto"/>
            <w:right w:val="none" w:sz="0" w:space="0" w:color="auto"/>
          </w:divBdr>
        </w:div>
      </w:divsChild>
    </w:div>
    <w:div w:id="1274089572">
      <w:bodyDiv w:val="1"/>
      <w:marLeft w:val="0"/>
      <w:marRight w:val="0"/>
      <w:marTop w:val="0"/>
      <w:marBottom w:val="0"/>
      <w:divBdr>
        <w:top w:val="none" w:sz="0" w:space="0" w:color="auto"/>
        <w:left w:val="none" w:sz="0" w:space="0" w:color="auto"/>
        <w:bottom w:val="none" w:sz="0" w:space="0" w:color="auto"/>
        <w:right w:val="none" w:sz="0" w:space="0" w:color="auto"/>
      </w:divBdr>
    </w:div>
    <w:div w:id="1303659784">
      <w:bodyDiv w:val="1"/>
      <w:marLeft w:val="0"/>
      <w:marRight w:val="0"/>
      <w:marTop w:val="0"/>
      <w:marBottom w:val="0"/>
      <w:divBdr>
        <w:top w:val="none" w:sz="0" w:space="0" w:color="auto"/>
        <w:left w:val="none" w:sz="0" w:space="0" w:color="auto"/>
        <w:bottom w:val="none" w:sz="0" w:space="0" w:color="auto"/>
        <w:right w:val="none" w:sz="0" w:space="0" w:color="auto"/>
      </w:divBdr>
    </w:div>
    <w:div w:id="1304238782">
      <w:bodyDiv w:val="1"/>
      <w:marLeft w:val="0"/>
      <w:marRight w:val="0"/>
      <w:marTop w:val="0"/>
      <w:marBottom w:val="0"/>
      <w:divBdr>
        <w:top w:val="none" w:sz="0" w:space="0" w:color="auto"/>
        <w:left w:val="none" w:sz="0" w:space="0" w:color="auto"/>
        <w:bottom w:val="none" w:sz="0" w:space="0" w:color="auto"/>
        <w:right w:val="none" w:sz="0" w:space="0" w:color="auto"/>
      </w:divBdr>
    </w:div>
    <w:div w:id="1310330308">
      <w:bodyDiv w:val="1"/>
      <w:marLeft w:val="0"/>
      <w:marRight w:val="0"/>
      <w:marTop w:val="0"/>
      <w:marBottom w:val="0"/>
      <w:divBdr>
        <w:top w:val="none" w:sz="0" w:space="0" w:color="auto"/>
        <w:left w:val="none" w:sz="0" w:space="0" w:color="auto"/>
        <w:bottom w:val="none" w:sz="0" w:space="0" w:color="auto"/>
        <w:right w:val="none" w:sz="0" w:space="0" w:color="auto"/>
      </w:divBdr>
    </w:div>
    <w:div w:id="1328821823">
      <w:bodyDiv w:val="1"/>
      <w:marLeft w:val="0"/>
      <w:marRight w:val="0"/>
      <w:marTop w:val="0"/>
      <w:marBottom w:val="0"/>
      <w:divBdr>
        <w:top w:val="none" w:sz="0" w:space="0" w:color="auto"/>
        <w:left w:val="none" w:sz="0" w:space="0" w:color="auto"/>
        <w:bottom w:val="none" w:sz="0" w:space="0" w:color="auto"/>
        <w:right w:val="none" w:sz="0" w:space="0" w:color="auto"/>
      </w:divBdr>
    </w:div>
    <w:div w:id="1332949095">
      <w:bodyDiv w:val="1"/>
      <w:marLeft w:val="0"/>
      <w:marRight w:val="0"/>
      <w:marTop w:val="0"/>
      <w:marBottom w:val="0"/>
      <w:divBdr>
        <w:top w:val="none" w:sz="0" w:space="0" w:color="auto"/>
        <w:left w:val="none" w:sz="0" w:space="0" w:color="auto"/>
        <w:bottom w:val="none" w:sz="0" w:space="0" w:color="auto"/>
        <w:right w:val="none" w:sz="0" w:space="0" w:color="auto"/>
      </w:divBdr>
    </w:div>
    <w:div w:id="1346707546">
      <w:bodyDiv w:val="1"/>
      <w:marLeft w:val="0"/>
      <w:marRight w:val="0"/>
      <w:marTop w:val="0"/>
      <w:marBottom w:val="0"/>
      <w:divBdr>
        <w:top w:val="none" w:sz="0" w:space="0" w:color="auto"/>
        <w:left w:val="none" w:sz="0" w:space="0" w:color="auto"/>
        <w:bottom w:val="none" w:sz="0" w:space="0" w:color="auto"/>
        <w:right w:val="none" w:sz="0" w:space="0" w:color="auto"/>
      </w:divBdr>
    </w:div>
    <w:div w:id="1357584015">
      <w:bodyDiv w:val="1"/>
      <w:marLeft w:val="0"/>
      <w:marRight w:val="0"/>
      <w:marTop w:val="0"/>
      <w:marBottom w:val="0"/>
      <w:divBdr>
        <w:top w:val="none" w:sz="0" w:space="0" w:color="auto"/>
        <w:left w:val="none" w:sz="0" w:space="0" w:color="auto"/>
        <w:bottom w:val="none" w:sz="0" w:space="0" w:color="auto"/>
        <w:right w:val="none" w:sz="0" w:space="0" w:color="auto"/>
      </w:divBdr>
    </w:div>
    <w:div w:id="1367099721">
      <w:bodyDiv w:val="1"/>
      <w:marLeft w:val="0"/>
      <w:marRight w:val="0"/>
      <w:marTop w:val="0"/>
      <w:marBottom w:val="0"/>
      <w:divBdr>
        <w:top w:val="none" w:sz="0" w:space="0" w:color="auto"/>
        <w:left w:val="none" w:sz="0" w:space="0" w:color="auto"/>
        <w:bottom w:val="none" w:sz="0" w:space="0" w:color="auto"/>
        <w:right w:val="none" w:sz="0" w:space="0" w:color="auto"/>
      </w:divBdr>
    </w:div>
    <w:div w:id="1388138955">
      <w:bodyDiv w:val="1"/>
      <w:marLeft w:val="0"/>
      <w:marRight w:val="0"/>
      <w:marTop w:val="0"/>
      <w:marBottom w:val="0"/>
      <w:divBdr>
        <w:top w:val="none" w:sz="0" w:space="0" w:color="auto"/>
        <w:left w:val="none" w:sz="0" w:space="0" w:color="auto"/>
        <w:bottom w:val="none" w:sz="0" w:space="0" w:color="auto"/>
        <w:right w:val="none" w:sz="0" w:space="0" w:color="auto"/>
      </w:divBdr>
    </w:div>
    <w:div w:id="1406024664">
      <w:bodyDiv w:val="1"/>
      <w:marLeft w:val="0"/>
      <w:marRight w:val="0"/>
      <w:marTop w:val="0"/>
      <w:marBottom w:val="0"/>
      <w:divBdr>
        <w:top w:val="none" w:sz="0" w:space="0" w:color="auto"/>
        <w:left w:val="none" w:sz="0" w:space="0" w:color="auto"/>
        <w:bottom w:val="none" w:sz="0" w:space="0" w:color="auto"/>
        <w:right w:val="none" w:sz="0" w:space="0" w:color="auto"/>
      </w:divBdr>
    </w:div>
    <w:div w:id="1470443213">
      <w:bodyDiv w:val="1"/>
      <w:marLeft w:val="0"/>
      <w:marRight w:val="0"/>
      <w:marTop w:val="0"/>
      <w:marBottom w:val="0"/>
      <w:divBdr>
        <w:top w:val="none" w:sz="0" w:space="0" w:color="auto"/>
        <w:left w:val="none" w:sz="0" w:space="0" w:color="auto"/>
        <w:bottom w:val="none" w:sz="0" w:space="0" w:color="auto"/>
        <w:right w:val="none" w:sz="0" w:space="0" w:color="auto"/>
      </w:divBdr>
      <w:divsChild>
        <w:div w:id="1044335263">
          <w:marLeft w:val="547"/>
          <w:marRight w:val="0"/>
          <w:marTop w:val="115"/>
          <w:marBottom w:val="0"/>
          <w:divBdr>
            <w:top w:val="none" w:sz="0" w:space="0" w:color="auto"/>
            <w:left w:val="none" w:sz="0" w:space="0" w:color="auto"/>
            <w:bottom w:val="none" w:sz="0" w:space="0" w:color="auto"/>
            <w:right w:val="none" w:sz="0" w:space="0" w:color="auto"/>
          </w:divBdr>
        </w:div>
      </w:divsChild>
    </w:div>
    <w:div w:id="1477065807">
      <w:bodyDiv w:val="1"/>
      <w:marLeft w:val="0"/>
      <w:marRight w:val="0"/>
      <w:marTop w:val="0"/>
      <w:marBottom w:val="0"/>
      <w:divBdr>
        <w:top w:val="none" w:sz="0" w:space="0" w:color="auto"/>
        <w:left w:val="none" w:sz="0" w:space="0" w:color="auto"/>
        <w:bottom w:val="none" w:sz="0" w:space="0" w:color="auto"/>
        <w:right w:val="none" w:sz="0" w:space="0" w:color="auto"/>
      </w:divBdr>
    </w:div>
    <w:div w:id="1481270233">
      <w:bodyDiv w:val="1"/>
      <w:marLeft w:val="0"/>
      <w:marRight w:val="0"/>
      <w:marTop w:val="0"/>
      <w:marBottom w:val="0"/>
      <w:divBdr>
        <w:top w:val="none" w:sz="0" w:space="0" w:color="auto"/>
        <w:left w:val="none" w:sz="0" w:space="0" w:color="auto"/>
        <w:bottom w:val="none" w:sz="0" w:space="0" w:color="auto"/>
        <w:right w:val="none" w:sz="0" w:space="0" w:color="auto"/>
      </w:divBdr>
    </w:div>
    <w:div w:id="1483690980">
      <w:bodyDiv w:val="1"/>
      <w:marLeft w:val="0"/>
      <w:marRight w:val="0"/>
      <w:marTop w:val="0"/>
      <w:marBottom w:val="0"/>
      <w:divBdr>
        <w:top w:val="none" w:sz="0" w:space="0" w:color="auto"/>
        <w:left w:val="none" w:sz="0" w:space="0" w:color="auto"/>
        <w:bottom w:val="none" w:sz="0" w:space="0" w:color="auto"/>
        <w:right w:val="none" w:sz="0" w:space="0" w:color="auto"/>
      </w:divBdr>
      <w:divsChild>
        <w:div w:id="1180701117">
          <w:marLeft w:val="1166"/>
          <w:marRight w:val="0"/>
          <w:marTop w:val="96"/>
          <w:marBottom w:val="0"/>
          <w:divBdr>
            <w:top w:val="none" w:sz="0" w:space="0" w:color="auto"/>
            <w:left w:val="none" w:sz="0" w:space="0" w:color="auto"/>
            <w:bottom w:val="none" w:sz="0" w:space="0" w:color="auto"/>
            <w:right w:val="none" w:sz="0" w:space="0" w:color="auto"/>
          </w:divBdr>
        </w:div>
        <w:div w:id="1349138272">
          <w:marLeft w:val="1166"/>
          <w:marRight w:val="0"/>
          <w:marTop w:val="96"/>
          <w:marBottom w:val="0"/>
          <w:divBdr>
            <w:top w:val="none" w:sz="0" w:space="0" w:color="auto"/>
            <w:left w:val="none" w:sz="0" w:space="0" w:color="auto"/>
            <w:bottom w:val="none" w:sz="0" w:space="0" w:color="auto"/>
            <w:right w:val="none" w:sz="0" w:space="0" w:color="auto"/>
          </w:divBdr>
        </w:div>
        <w:div w:id="1472939537">
          <w:marLeft w:val="1166"/>
          <w:marRight w:val="0"/>
          <w:marTop w:val="96"/>
          <w:marBottom w:val="0"/>
          <w:divBdr>
            <w:top w:val="none" w:sz="0" w:space="0" w:color="auto"/>
            <w:left w:val="none" w:sz="0" w:space="0" w:color="auto"/>
            <w:bottom w:val="none" w:sz="0" w:space="0" w:color="auto"/>
            <w:right w:val="none" w:sz="0" w:space="0" w:color="auto"/>
          </w:divBdr>
        </w:div>
        <w:div w:id="1702315906">
          <w:marLeft w:val="1166"/>
          <w:marRight w:val="0"/>
          <w:marTop w:val="96"/>
          <w:marBottom w:val="0"/>
          <w:divBdr>
            <w:top w:val="none" w:sz="0" w:space="0" w:color="auto"/>
            <w:left w:val="none" w:sz="0" w:space="0" w:color="auto"/>
            <w:bottom w:val="none" w:sz="0" w:space="0" w:color="auto"/>
            <w:right w:val="none" w:sz="0" w:space="0" w:color="auto"/>
          </w:divBdr>
        </w:div>
      </w:divsChild>
    </w:div>
    <w:div w:id="1513110800">
      <w:bodyDiv w:val="1"/>
      <w:marLeft w:val="0"/>
      <w:marRight w:val="0"/>
      <w:marTop w:val="0"/>
      <w:marBottom w:val="0"/>
      <w:divBdr>
        <w:top w:val="none" w:sz="0" w:space="0" w:color="auto"/>
        <w:left w:val="none" w:sz="0" w:space="0" w:color="auto"/>
        <w:bottom w:val="none" w:sz="0" w:space="0" w:color="auto"/>
        <w:right w:val="none" w:sz="0" w:space="0" w:color="auto"/>
      </w:divBdr>
    </w:div>
    <w:div w:id="1527450004">
      <w:bodyDiv w:val="1"/>
      <w:marLeft w:val="0"/>
      <w:marRight w:val="0"/>
      <w:marTop w:val="0"/>
      <w:marBottom w:val="0"/>
      <w:divBdr>
        <w:top w:val="none" w:sz="0" w:space="0" w:color="auto"/>
        <w:left w:val="none" w:sz="0" w:space="0" w:color="auto"/>
        <w:bottom w:val="none" w:sz="0" w:space="0" w:color="auto"/>
        <w:right w:val="none" w:sz="0" w:space="0" w:color="auto"/>
      </w:divBdr>
    </w:div>
    <w:div w:id="1548176044">
      <w:bodyDiv w:val="1"/>
      <w:marLeft w:val="0"/>
      <w:marRight w:val="0"/>
      <w:marTop w:val="0"/>
      <w:marBottom w:val="0"/>
      <w:divBdr>
        <w:top w:val="none" w:sz="0" w:space="0" w:color="auto"/>
        <w:left w:val="none" w:sz="0" w:space="0" w:color="auto"/>
        <w:bottom w:val="none" w:sz="0" w:space="0" w:color="auto"/>
        <w:right w:val="none" w:sz="0" w:space="0" w:color="auto"/>
      </w:divBdr>
    </w:div>
    <w:div w:id="1548687057">
      <w:bodyDiv w:val="1"/>
      <w:marLeft w:val="0"/>
      <w:marRight w:val="0"/>
      <w:marTop w:val="0"/>
      <w:marBottom w:val="0"/>
      <w:divBdr>
        <w:top w:val="none" w:sz="0" w:space="0" w:color="auto"/>
        <w:left w:val="none" w:sz="0" w:space="0" w:color="auto"/>
        <w:bottom w:val="none" w:sz="0" w:space="0" w:color="auto"/>
        <w:right w:val="none" w:sz="0" w:space="0" w:color="auto"/>
      </w:divBdr>
    </w:div>
    <w:div w:id="1551769824">
      <w:bodyDiv w:val="1"/>
      <w:marLeft w:val="0"/>
      <w:marRight w:val="0"/>
      <w:marTop w:val="0"/>
      <w:marBottom w:val="0"/>
      <w:divBdr>
        <w:top w:val="none" w:sz="0" w:space="0" w:color="auto"/>
        <w:left w:val="none" w:sz="0" w:space="0" w:color="auto"/>
        <w:bottom w:val="none" w:sz="0" w:space="0" w:color="auto"/>
        <w:right w:val="none" w:sz="0" w:space="0" w:color="auto"/>
      </w:divBdr>
      <w:divsChild>
        <w:div w:id="1399787649">
          <w:marLeft w:val="0"/>
          <w:marRight w:val="0"/>
          <w:marTop w:val="0"/>
          <w:marBottom w:val="0"/>
          <w:divBdr>
            <w:top w:val="none" w:sz="0" w:space="0" w:color="auto"/>
            <w:left w:val="none" w:sz="0" w:space="0" w:color="auto"/>
            <w:bottom w:val="none" w:sz="0" w:space="0" w:color="auto"/>
            <w:right w:val="none" w:sz="0" w:space="0" w:color="auto"/>
          </w:divBdr>
        </w:div>
        <w:div w:id="1033923113">
          <w:marLeft w:val="0"/>
          <w:marRight w:val="0"/>
          <w:marTop w:val="0"/>
          <w:marBottom w:val="0"/>
          <w:divBdr>
            <w:top w:val="none" w:sz="0" w:space="0" w:color="auto"/>
            <w:left w:val="none" w:sz="0" w:space="0" w:color="auto"/>
            <w:bottom w:val="none" w:sz="0" w:space="0" w:color="auto"/>
            <w:right w:val="none" w:sz="0" w:space="0" w:color="auto"/>
          </w:divBdr>
        </w:div>
      </w:divsChild>
    </w:div>
    <w:div w:id="1552571663">
      <w:bodyDiv w:val="1"/>
      <w:marLeft w:val="0"/>
      <w:marRight w:val="0"/>
      <w:marTop w:val="0"/>
      <w:marBottom w:val="0"/>
      <w:divBdr>
        <w:top w:val="none" w:sz="0" w:space="0" w:color="auto"/>
        <w:left w:val="none" w:sz="0" w:space="0" w:color="auto"/>
        <w:bottom w:val="none" w:sz="0" w:space="0" w:color="auto"/>
        <w:right w:val="none" w:sz="0" w:space="0" w:color="auto"/>
      </w:divBdr>
    </w:div>
    <w:div w:id="1555853325">
      <w:bodyDiv w:val="1"/>
      <w:marLeft w:val="0"/>
      <w:marRight w:val="0"/>
      <w:marTop w:val="0"/>
      <w:marBottom w:val="0"/>
      <w:divBdr>
        <w:top w:val="none" w:sz="0" w:space="0" w:color="auto"/>
        <w:left w:val="none" w:sz="0" w:space="0" w:color="auto"/>
        <w:bottom w:val="none" w:sz="0" w:space="0" w:color="auto"/>
        <w:right w:val="none" w:sz="0" w:space="0" w:color="auto"/>
      </w:divBdr>
    </w:div>
    <w:div w:id="1562205470">
      <w:bodyDiv w:val="1"/>
      <w:marLeft w:val="0"/>
      <w:marRight w:val="0"/>
      <w:marTop w:val="0"/>
      <w:marBottom w:val="0"/>
      <w:divBdr>
        <w:top w:val="none" w:sz="0" w:space="0" w:color="auto"/>
        <w:left w:val="none" w:sz="0" w:space="0" w:color="auto"/>
        <w:bottom w:val="none" w:sz="0" w:space="0" w:color="auto"/>
        <w:right w:val="none" w:sz="0" w:space="0" w:color="auto"/>
      </w:divBdr>
    </w:div>
    <w:div w:id="1630433766">
      <w:bodyDiv w:val="1"/>
      <w:marLeft w:val="0"/>
      <w:marRight w:val="0"/>
      <w:marTop w:val="0"/>
      <w:marBottom w:val="0"/>
      <w:divBdr>
        <w:top w:val="none" w:sz="0" w:space="0" w:color="auto"/>
        <w:left w:val="none" w:sz="0" w:space="0" w:color="auto"/>
        <w:bottom w:val="none" w:sz="0" w:space="0" w:color="auto"/>
        <w:right w:val="none" w:sz="0" w:space="0" w:color="auto"/>
      </w:divBdr>
      <w:divsChild>
        <w:div w:id="1749571135">
          <w:marLeft w:val="0"/>
          <w:marRight w:val="0"/>
          <w:marTop w:val="0"/>
          <w:marBottom w:val="0"/>
          <w:divBdr>
            <w:top w:val="none" w:sz="0" w:space="0" w:color="auto"/>
            <w:left w:val="none" w:sz="0" w:space="0" w:color="auto"/>
            <w:bottom w:val="none" w:sz="0" w:space="0" w:color="auto"/>
            <w:right w:val="none" w:sz="0" w:space="0" w:color="auto"/>
          </w:divBdr>
        </w:div>
      </w:divsChild>
    </w:div>
    <w:div w:id="1637032198">
      <w:bodyDiv w:val="1"/>
      <w:marLeft w:val="0"/>
      <w:marRight w:val="0"/>
      <w:marTop w:val="0"/>
      <w:marBottom w:val="0"/>
      <w:divBdr>
        <w:top w:val="none" w:sz="0" w:space="0" w:color="auto"/>
        <w:left w:val="none" w:sz="0" w:space="0" w:color="auto"/>
        <w:bottom w:val="none" w:sz="0" w:space="0" w:color="auto"/>
        <w:right w:val="none" w:sz="0" w:space="0" w:color="auto"/>
      </w:divBdr>
    </w:div>
    <w:div w:id="1657296655">
      <w:bodyDiv w:val="1"/>
      <w:marLeft w:val="0"/>
      <w:marRight w:val="0"/>
      <w:marTop w:val="0"/>
      <w:marBottom w:val="0"/>
      <w:divBdr>
        <w:top w:val="none" w:sz="0" w:space="0" w:color="auto"/>
        <w:left w:val="none" w:sz="0" w:space="0" w:color="auto"/>
        <w:bottom w:val="none" w:sz="0" w:space="0" w:color="auto"/>
        <w:right w:val="none" w:sz="0" w:space="0" w:color="auto"/>
      </w:divBdr>
    </w:div>
    <w:div w:id="1660960984">
      <w:bodyDiv w:val="1"/>
      <w:marLeft w:val="0"/>
      <w:marRight w:val="0"/>
      <w:marTop w:val="0"/>
      <w:marBottom w:val="0"/>
      <w:divBdr>
        <w:top w:val="none" w:sz="0" w:space="0" w:color="auto"/>
        <w:left w:val="none" w:sz="0" w:space="0" w:color="auto"/>
        <w:bottom w:val="none" w:sz="0" w:space="0" w:color="auto"/>
        <w:right w:val="none" w:sz="0" w:space="0" w:color="auto"/>
      </w:divBdr>
    </w:div>
    <w:div w:id="1670862285">
      <w:bodyDiv w:val="1"/>
      <w:marLeft w:val="0"/>
      <w:marRight w:val="0"/>
      <w:marTop w:val="0"/>
      <w:marBottom w:val="0"/>
      <w:divBdr>
        <w:top w:val="none" w:sz="0" w:space="0" w:color="auto"/>
        <w:left w:val="none" w:sz="0" w:space="0" w:color="auto"/>
        <w:bottom w:val="none" w:sz="0" w:space="0" w:color="auto"/>
        <w:right w:val="none" w:sz="0" w:space="0" w:color="auto"/>
      </w:divBdr>
    </w:div>
    <w:div w:id="1682006024">
      <w:bodyDiv w:val="1"/>
      <w:marLeft w:val="0"/>
      <w:marRight w:val="0"/>
      <w:marTop w:val="0"/>
      <w:marBottom w:val="0"/>
      <w:divBdr>
        <w:top w:val="none" w:sz="0" w:space="0" w:color="auto"/>
        <w:left w:val="none" w:sz="0" w:space="0" w:color="auto"/>
        <w:bottom w:val="none" w:sz="0" w:space="0" w:color="auto"/>
        <w:right w:val="none" w:sz="0" w:space="0" w:color="auto"/>
      </w:divBdr>
    </w:div>
    <w:div w:id="1719744886">
      <w:bodyDiv w:val="1"/>
      <w:marLeft w:val="0"/>
      <w:marRight w:val="0"/>
      <w:marTop w:val="0"/>
      <w:marBottom w:val="0"/>
      <w:divBdr>
        <w:top w:val="none" w:sz="0" w:space="0" w:color="auto"/>
        <w:left w:val="none" w:sz="0" w:space="0" w:color="auto"/>
        <w:bottom w:val="none" w:sz="0" w:space="0" w:color="auto"/>
        <w:right w:val="none" w:sz="0" w:space="0" w:color="auto"/>
      </w:divBdr>
      <w:divsChild>
        <w:div w:id="2107145261">
          <w:marLeft w:val="1440"/>
          <w:marRight w:val="0"/>
          <w:marTop w:val="0"/>
          <w:marBottom w:val="0"/>
          <w:divBdr>
            <w:top w:val="none" w:sz="0" w:space="0" w:color="auto"/>
            <w:left w:val="none" w:sz="0" w:space="0" w:color="auto"/>
            <w:bottom w:val="none" w:sz="0" w:space="0" w:color="auto"/>
            <w:right w:val="none" w:sz="0" w:space="0" w:color="auto"/>
          </w:divBdr>
        </w:div>
        <w:div w:id="66854129">
          <w:marLeft w:val="1440"/>
          <w:marRight w:val="0"/>
          <w:marTop w:val="0"/>
          <w:marBottom w:val="0"/>
          <w:divBdr>
            <w:top w:val="none" w:sz="0" w:space="0" w:color="auto"/>
            <w:left w:val="none" w:sz="0" w:space="0" w:color="auto"/>
            <w:bottom w:val="none" w:sz="0" w:space="0" w:color="auto"/>
            <w:right w:val="none" w:sz="0" w:space="0" w:color="auto"/>
          </w:divBdr>
        </w:div>
      </w:divsChild>
    </w:div>
    <w:div w:id="1722366939">
      <w:bodyDiv w:val="1"/>
      <w:marLeft w:val="0"/>
      <w:marRight w:val="0"/>
      <w:marTop w:val="0"/>
      <w:marBottom w:val="0"/>
      <w:divBdr>
        <w:top w:val="none" w:sz="0" w:space="0" w:color="auto"/>
        <w:left w:val="none" w:sz="0" w:space="0" w:color="auto"/>
        <w:bottom w:val="none" w:sz="0" w:space="0" w:color="auto"/>
        <w:right w:val="none" w:sz="0" w:space="0" w:color="auto"/>
      </w:divBdr>
    </w:div>
    <w:div w:id="1732658923">
      <w:bodyDiv w:val="1"/>
      <w:marLeft w:val="0"/>
      <w:marRight w:val="0"/>
      <w:marTop w:val="0"/>
      <w:marBottom w:val="0"/>
      <w:divBdr>
        <w:top w:val="none" w:sz="0" w:space="0" w:color="auto"/>
        <w:left w:val="none" w:sz="0" w:space="0" w:color="auto"/>
        <w:bottom w:val="none" w:sz="0" w:space="0" w:color="auto"/>
        <w:right w:val="none" w:sz="0" w:space="0" w:color="auto"/>
      </w:divBdr>
      <w:divsChild>
        <w:div w:id="154536064">
          <w:marLeft w:val="547"/>
          <w:marRight w:val="0"/>
          <w:marTop w:val="96"/>
          <w:marBottom w:val="0"/>
          <w:divBdr>
            <w:top w:val="none" w:sz="0" w:space="0" w:color="auto"/>
            <w:left w:val="none" w:sz="0" w:space="0" w:color="auto"/>
            <w:bottom w:val="none" w:sz="0" w:space="0" w:color="auto"/>
            <w:right w:val="none" w:sz="0" w:space="0" w:color="auto"/>
          </w:divBdr>
        </w:div>
        <w:div w:id="1736970824">
          <w:marLeft w:val="547"/>
          <w:marRight w:val="0"/>
          <w:marTop w:val="96"/>
          <w:marBottom w:val="0"/>
          <w:divBdr>
            <w:top w:val="none" w:sz="0" w:space="0" w:color="auto"/>
            <w:left w:val="none" w:sz="0" w:space="0" w:color="auto"/>
            <w:bottom w:val="none" w:sz="0" w:space="0" w:color="auto"/>
            <w:right w:val="none" w:sz="0" w:space="0" w:color="auto"/>
          </w:divBdr>
        </w:div>
      </w:divsChild>
    </w:div>
    <w:div w:id="1753621915">
      <w:bodyDiv w:val="1"/>
      <w:marLeft w:val="0"/>
      <w:marRight w:val="0"/>
      <w:marTop w:val="0"/>
      <w:marBottom w:val="0"/>
      <w:divBdr>
        <w:top w:val="none" w:sz="0" w:space="0" w:color="auto"/>
        <w:left w:val="none" w:sz="0" w:space="0" w:color="auto"/>
        <w:bottom w:val="none" w:sz="0" w:space="0" w:color="auto"/>
        <w:right w:val="none" w:sz="0" w:space="0" w:color="auto"/>
      </w:divBdr>
    </w:div>
    <w:div w:id="1761292809">
      <w:bodyDiv w:val="1"/>
      <w:marLeft w:val="0"/>
      <w:marRight w:val="0"/>
      <w:marTop w:val="0"/>
      <w:marBottom w:val="0"/>
      <w:divBdr>
        <w:top w:val="none" w:sz="0" w:space="0" w:color="auto"/>
        <w:left w:val="none" w:sz="0" w:space="0" w:color="auto"/>
        <w:bottom w:val="none" w:sz="0" w:space="0" w:color="auto"/>
        <w:right w:val="none" w:sz="0" w:space="0" w:color="auto"/>
      </w:divBdr>
      <w:divsChild>
        <w:div w:id="1541360744">
          <w:marLeft w:val="1656"/>
          <w:marRight w:val="0"/>
          <w:marTop w:val="0"/>
          <w:marBottom w:val="0"/>
          <w:divBdr>
            <w:top w:val="none" w:sz="0" w:space="0" w:color="auto"/>
            <w:left w:val="none" w:sz="0" w:space="0" w:color="auto"/>
            <w:bottom w:val="none" w:sz="0" w:space="0" w:color="auto"/>
            <w:right w:val="none" w:sz="0" w:space="0" w:color="auto"/>
          </w:divBdr>
        </w:div>
        <w:div w:id="1818302278">
          <w:marLeft w:val="1656"/>
          <w:marRight w:val="0"/>
          <w:marTop w:val="0"/>
          <w:marBottom w:val="0"/>
          <w:divBdr>
            <w:top w:val="none" w:sz="0" w:space="0" w:color="auto"/>
            <w:left w:val="none" w:sz="0" w:space="0" w:color="auto"/>
            <w:bottom w:val="none" w:sz="0" w:space="0" w:color="auto"/>
            <w:right w:val="none" w:sz="0" w:space="0" w:color="auto"/>
          </w:divBdr>
        </w:div>
        <w:div w:id="388039529">
          <w:marLeft w:val="1656"/>
          <w:marRight w:val="0"/>
          <w:marTop w:val="0"/>
          <w:marBottom w:val="0"/>
          <w:divBdr>
            <w:top w:val="none" w:sz="0" w:space="0" w:color="auto"/>
            <w:left w:val="none" w:sz="0" w:space="0" w:color="auto"/>
            <w:bottom w:val="none" w:sz="0" w:space="0" w:color="auto"/>
            <w:right w:val="none" w:sz="0" w:space="0" w:color="auto"/>
          </w:divBdr>
        </w:div>
      </w:divsChild>
    </w:div>
    <w:div w:id="1761565936">
      <w:bodyDiv w:val="1"/>
      <w:marLeft w:val="0"/>
      <w:marRight w:val="0"/>
      <w:marTop w:val="0"/>
      <w:marBottom w:val="0"/>
      <w:divBdr>
        <w:top w:val="none" w:sz="0" w:space="0" w:color="auto"/>
        <w:left w:val="none" w:sz="0" w:space="0" w:color="auto"/>
        <w:bottom w:val="none" w:sz="0" w:space="0" w:color="auto"/>
        <w:right w:val="none" w:sz="0" w:space="0" w:color="auto"/>
      </w:divBdr>
    </w:div>
    <w:div w:id="1789859984">
      <w:bodyDiv w:val="1"/>
      <w:marLeft w:val="0"/>
      <w:marRight w:val="0"/>
      <w:marTop w:val="0"/>
      <w:marBottom w:val="0"/>
      <w:divBdr>
        <w:top w:val="none" w:sz="0" w:space="0" w:color="auto"/>
        <w:left w:val="none" w:sz="0" w:space="0" w:color="auto"/>
        <w:bottom w:val="none" w:sz="0" w:space="0" w:color="auto"/>
        <w:right w:val="none" w:sz="0" w:space="0" w:color="auto"/>
      </w:divBdr>
      <w:divsChild>
        <w:div w:id="473645367">
          <w:marLeft w:val="446"/>
          <w:marRight w:val="0"/>
          <w:marTop w:val="240"/>
          <w:marBottom w:val="120"/>
          <w:divBdr>
            <w:top w:val="none" w:sz="0" w:space="0" w:color="auto"/>
            <w:left w:val="none" w:sz="0" w:space="0" w:color="auto"/>
            <w:bottom w:val="none" w:sz="0" w:space="0" w:color="auto"/>
            <w:right w:val="none" w:sz="0" w:space="0" w:color="auto"/>
          </w:divBdr>
        </w:div>
      </w:divsChild>
    </w:div>
    <w:div w:id="1794134812">
      <w:bodyDiv w:val="1"/>
      <w:marLeft w:val="0"/>
      <w:marRight w:val="0"/>
      <w:marTop w:val="0"/>
      <w:marBottom w:val="0"/>
      <w:divBdr>
        <w:top w:val="none" w:sz="0" w:space="0" w:color="auto"/>
        <w:left w:val="none" w:sz="0" w:space="0" w:color="auto"/>
        <w:bottom w:val="none" w:sz="0" w:space="0" w:color="auto"/>
        <w:right w:val="none" w:sz="0" w:space="0" w:color="auto"/>
      </w:divBdr>
    </w:div>
    <w:div w:id="1794789859">
      <w:bodyDiv w:val="1"/>
      <w:marLeft w:val="0"/>
      <w:marRight w:val="0"/>
      <w:marTop w:val="0"/>
      <w:marBottom w:val="0"/>
      <w:divBdr>
        <w:top w:val="none" w:sz="0" w:space="0" w:color="auto"/>
        <w:left w:val="none" w:sz="0" w:space="0" w:color="auto"/>
        <w:bottom w:val="none" w:sz="0" w:space="0" w:color="auto"/>
        <w:right w:val="none" w:sz="0" w:space="0" w:color="auto"/>
      </w:divBdr>
    </w:div>
    <w:div w:id="1816530019">
      <w:bodyDiv w:val="1"/>
      <w:marLeft w:val="0"/>
      <w:marRight w:val="0"/>
      <w:marTop w:val="0"/>
      <w:marBottom w:val="0"/>
      <w:divBdr>
        <w:top w:val="none" w:sz="0" w:space="0" w:color="auto"/>
        <w:left w:val="none" w:sz="0" w:space="0" w:color="auto"/>
        <w:bottom w:val="none" w:sz="0" w:space="0" w:color="auto"/>
        <w:right w:val="none" w:sz="0" w:space="0" w:color="auto"/>
      </w:divBdr>
    </w:div>
    <w:div w:id="1822309074">
      <w:bodyDiv w:val="1"/>
      <w:marLeft w:val="0"/>
      <w:marRight w:val="0"/>
      <w:marTop w:val="0"/>
      <w:marBottom w:val="0"/>
      <w:divBdr>
        <w:top w:val="none" w:sz="0" w:space="0" w:color="auto"/>
        <w:left w:val="none" w:sz="0" w:space="0" w:color="auto"/>
        <w:bottom w:val="none" w:sz="0" w:space="0" w:color="auto"/>
        <w:right w:val="none" w:sz="0" w:space="0" w:color="auto"/>
      </w:divBdr>
      <w:divsChild>
        <w:div w:id="16664978">
          <w:marLeft w:val="547"/>
          <w:marRight w:val="0"/>
          <w:marTop w:val="96"/>
          <w:marBottom w:val="0"/>
          <w:divBdr>
            <w:top w:val="none" w:sz="0" w:space="0" w:color="auto"/>
            <w:left w:val="none" w:sz="0" w:space="0" w:color="auto"/>
            <w:bottom w:val="none" w:sz="0" w:space="0" w:color="auto"/>
            <w:right w:val="none" w:sz="0" w:space="0" w:color="auto"/>
          </w:divBdr>
        </w:div>
        <w:div w:id="1632441140">
          <w:marLeft w:val="547"/>
          <w:marRight w:val="0"/>
          <w:marTop w:val="96"/>
          <w:marBottom w:val="0"/>
          <w:divBdr>
            <w:top w:val="none" w:sz="0" w:space="0" w:color="auto"/>
            <w:left w:val="none" w:sz="0" w:space="0" w:color="auto"/>
            <w:bottom w:val="none" w:sz="0" w:space="0" w:color="auto"/>
            <w:right w:val="none" w:sz="0" w:space="0" w:color="auto"/>
          </w:divBdr>
        </w:div>
        <w:div w:id="509760939">
          <w:marLeft w:val="547"/>
          <w:marRight w:val="0"/>
          <w:marTop w:val="96"/>
          <w:marBottom w:val="0"/>
          <w:divBdr>
            <w:top w:val="none" w:sz="0" w:space="0" w:color="auto"/>
            <w:left w:val="none" w:sz="0" w:space="0" w:color="auto"/>
            <w:bottom w:val="none" w:sz="0" w:space="0" w:color="auto"/>
            <w:right w:val="none" w:sz="0" w:space="0" w:color="auto"/>
          </w:divBdr>
        </w:div>
        <w:div w:id="748767840">
          <w:marLeft w:val="547"/>
          <w:marRight w:val="0"/>
          <w:marTop w:val="96"/>
          <w:marBottom w:val="0"/>
          <w:divBdr>
            <w:top w:val="none" w:sz="0" w:space="0" w:color="auto"/>
            <w:left w:val="none" w:sz="0" w:space="0" w:color="auto"/>
            <w:bottom w:val="none" w:sz="0" w:space="0" w:color="auto"/>
            <w:right w:val="none" w:sz="0" w:space="0" w:color="auto"/>
          </w:divBdr>
        </w:div>
      </w:divsChild>
    </w:div>
    <w:div w:id="1830290079">
      <w:bodyDiv w:val="1"/>
      <w:marLeft w:val="0"/>
      <w:marRight w:val="0"/>
      <w:marTop w:val="0"/>
      <w:marBottom w:val="0"/>
      <w:divBdr>
        <w:top w:val="none" w:sz="0" w:space="0" w:color="auto"/>
        <w:left w:val="none" w:sz="0" w:space="0" w:color="auto"/>
        <w:bottom w:val="none" w:sz="0" w:space="0" w:color="auto"/>
        <w:right w:val="none" w:sz="0" w:space="0" w:color="auto"/>
      </w:divBdr>
    </w:div>
    <w:div w:id="1845777377">
      <w:bodyDiv w:val="1"/>
      <w:marLeft w:val="0"/>
      <w:marRight w:val="0"/>
      <w:marTop w:val="0"/>
      <w:marBottom w:val="0"/>
      <w:divBdr>
        <w:top w:val="none" w:sz="0" w:space="0" w:color="auto"/>
        <w:left w:val="none" w:sz="0" w:space="0" w:color="auto"/>
        <w:bottom w:val="none" w:sz="0" w:space="0" w:color="auto"/>
        <w:right w:val="none" w:sz="0" w:space="0" w:color="auto"/>
      </w:divBdr>
    </w:div>
    <w:div w:id="1862695063">
      <w:bodyDiv w:val="1"/>
      <w:marLeft w:val="0"/>
      <w:marRight w:val="0"/>
      <w:marTop w:val="0"/>
      <w:marBottom w:val="0"/>
      <w:divBdr>
        <w:top w:val="none" w:sz="0" w:space="0" w:color="auto"/>
        <w:left w:val="none" w:sz="0" w:space="0" w:color="auto"/>
        <w:bottom w:val="none" w:sz="0" w:space="0" w:color="auto"/>
        <w:right w:val="none" w:sz="0" w:space="0" w:color="auto"/>
      </w:divBdr>
    </w:div>
    <w:div w:id="1872376265">
      <w:bodyDiv w:val="1"/>
      <w:marLeft w:val="0"/>
      <w:marRight w:val="0"/>
      <w:marTop w:val="0"/>
      <w:marBottom w:val="0"/>
      <w:divBdr>
        <w:top w:val="none" w:sz="0" w:space="0" w:color="auto"/>
        <w:left w:val="none" w:sz="0" w:space="0" w:color="auto"/>
        <w:bottom w:val="none" w:sz="0" w:space="0" w:color="auto"/>
        <w:right w:val="none" w:sz="0" w:space="0" w:color="auto"/>
      </w:divBdr>
    </w:div>
    <w:div w:id="1877157098">
      <w:bodyDiv w:val="1"/>
      <w:marLeft w:val="0"/>
      <w:marRight w:val="0"/>
      <w:marTop w:val="0"/>
      <w:marBottom w:val="0"/>
      <w:divBdr>
        <w:top w:val="none" w:sz="0" w:space="0" w:color="auto"/>
        <w:left w:val="none" w:sz="0" w:space="0" w:color="auto"/>
        <w:bottom w:val="none" w:sz="0" w:space="0" w:color="auto"/>
        <w:right w:val="none" w:sz="0" w:space="0" w:color="auto"/>
      </w:divBdr>
    </w:div>
    <w:div w:id="1885436973">
      <w:bodyDiv w:val="1"/>
      <w:marLeft w:val="0"/>
      <w:marRight w:val="0"/>
      <w:marTop w:val="0"/>
      <w:marBottom w:val="0"/>
      <w:divBdr>
        <w:top w:val="none" w:sz="0" w:space="0" w:color="auto"/>
        <w:left w:val="none" w:sz="0" w:space="0" w:color="auto"/>
        <w:bottom w:val="none" w:sz="0" w:space="0" w:color="auto"/>
        <w:right w:val="none" w:sz="0" w:space="0" w:color="auto"/>
      </w:divBdr>
    </w:div>
    <w:div w:id="1896578328">
      <w:bodyDiv w:val="1"/>
      <w:marLeft w:val="0"/>
      <w:marRight w:val="0"/>
      <w:marTop w:val="0"/>
      <w:marBottom w:val="0"/>
      <w:divBdr>
        <w:top w:val="none" w:sz="0" w:space="0" w:color="auto"/>
        <w:left w:val="none" w:sz="0" w:space="0" w:color="auto"/>
        <w:bottom w:val="none" w:sz="0" w:space="0" w:color="auto"/>
        <w:right w:val="none" w:sz="0" w:space="0" w:color="auto"/>
      </w:divBdr>
    </w:div>
    <w:div w:id="1903129351">
      <w:bodyDiv w:val="1"/>
      <w:marLeft w:val="0"/>
      <w:marRight w:val="0"/>
      <w:marTop w:val="0"/>
      <w:marBottom w:val="0"/>
      <w:divBdr>
        <w:top w:val="none" w:sz="0" w:space="0" w:color="auto"/>
        <w:left w:val="none" w:sz="0" w:space="0" w:color="auto"/>
        <w:bottom w:val="none" w:sz="0" w:space="0" w:color="auto"/>
        <w:right w:val="none" w:sz="0" w:space="0" w:color="auto"/>
      </w:divBdr>
    </w:div>
    <w:div w:id="1906067823">
      <w:bodyDiv w:val="1"/>
      <w:marLeft w:val="0"/>
      <w:marRight w:val="0"/>
      <w:marTop w:val="0"/>
      <w:marBottom w:val="0"/>
      <w:divBdr>
        <w:top w:val="none" w:sz="0" w:space="0" w:color="auto"/>
        <w:left w:val="none" w:sz="0" w:space="0" w:color="auto"/>
        <w:bottom w:val="none" w:sz="0" w:space="0" w:color="auto"/>
        <w:right w:val="none" w:sz="0" w:space="0" w:color="auto"/>
      </w:divBdr>
    </w:div>
    <w:div w:id="1964379250">
      <w:bodyDiv w:val="1"/>
      <w:marLeft w:val="0"/>
      <w:marRight w:val="0"/>
      <w:marTop w:val="0"/>
      <w:marBottom w:val="0"/>
      <w:divBdr>
        <w:top w:val="none" w:sz="0" w:space="0" w:color="auto"/>
        <w:left w:val="none" w:sz="0" w:space="0" w:color="auto"/>
        <w:bottom w:val="none" w:sz="0" w:space="0" w:color="auto"/>
        <w:right w:val="none" w:sz="0" w:space="0" w:color="auto"/>
      </w:divBdr>
      <w:divsChild>
        <w:div w:id="254169268">
          <w:marLeft w:val="547"/>
          <w:marRight w:val="0"/>
          <w:marTop w:val="96"/>
          <w:marBottom w:val="0"/>
          <w:divBdr>
            <w:top w:val="none" w:sz="0" w:space="0" w:color="auto"/>
            <w:left w:val="none" w:sz="0" w:space="0" w:color="auto"/>
            <w:bottom w:val="none" w:sz="0" w:space="0" w:color="auto"/>
            <w:right w:val="none" w:sz="0" w:space="0" w:color="auto"/>
          </w:divBdr>
        </w:div>
        <w:div w:id="748304898">
          <w:marLeft w:val="547"/>
          <w:marRight w:val="0"/>
          <w:marTop w:val="96"/>
          <w:marBottom w:val="0"/>
          <w:divBdr>
            <w:top w:val="none" w:sz="0" w:space="0" w:color="auto"/>
            <w:left w:val="none" w:sz="0" w:space="0" w:color="auto"/>
            <w:bottom w:val="none" w:sz="0" w:space="0" w:color="auto"/>
            <w:right w:val="none" w:sz="0" w:space="0" w:color="auto"/>
          </w:divBdr>
        </w:div>
      </w:divsChild>
    </w:div>
    <w:div w:id="1991857641">
      <w:bodyDiv w:val="1"/>
      <w:marLeft w:val="0"/>
      <w:marRight w:val="0"/>
      <w:marTop w:val="0"/>
      <w:marBottom w:val="0"/>
      <w:divBdr>
        <w:top w:val="none" w:sz="0" w:space="0" w:color="auto"/>
        <w:left w:val="none" w:sz="0" w:space="0" w:color="auto"/>
        <w:bottom w:val="none" w:sz="0" w:space="0" w:color="auto"/>
        <w:right w:val="none" w:sz="0" w:space="0" w:color="auto"/>
      </w:divBdr>
    </w:div>
    <w:div w:id="2001154934">
      <w:bodyDiv w:val="1"/>
      <w:marLeft w:val="0"/>
      <w:marRight w:val="0"/>
      <w:marTop w:val="0"/>
      <w:marBottom w:val="0"/>
      <w:divBdr>
        <w:top w:val="none" w:sz="0" w:space="0" w:color="auto"/>
        <w:left w:val="none" w:sz="0" w:space="0" w:color="auto"/>
        <w:bottom w:val="none" w:sz="0" w:space="0" w:color="auto"/>
        <w:right w:val="none" w:sz="0" w:space="0" w:color="auto"/>
      </w:divBdr>
    </w:div>
    <w:div w:id="2002848716">
      <w:bodyDiv w:val="1"/>
      <w:marLeft w:val="0"/>
      <w:marRight w:val="0"/>
      <w:marTop w:val="0"/>
      <w:marBottom w:val="0"/>
      <w:divBdr>
        <w:top w:val="none" w:sz="0" w:space="0" w:color="auto"/>
        <w:left w:val="none" w:sz="0" w:space="0" w:color="auto"/>
        <w:bottom w:val="none" w:sz="0" w:space="0" w:color="auto"/>
        <w:right w:val="none" w:sz="0" w:space="0" w:color="auto"/>
      </w:divBdr>
    </w:div>
    <w:div w:id="2037387339">
      <w:bodyDiv w:val="1"/>
      <w:marLeft w:val="0"/>
      <w:marRight w:val="0"/>
      <w:marTop w:val="0"/>
      <w:marBottom w:val="0"/>
      <w:divBdr>
        <w:top w:val="none" w:sz="0" w:space="0" w:color="auto"/>
        <w:left w:val="none" w:sz="0" w:space="0" w:color="auto"/>
        <w:bottom w:val="none" w:sz="0" w:space="0" w:color="auto"/>
        <w:right w:val="none" w:sz="0" w:space="0" w:color="auto"/>
      </w:divBdr>
    </w:div>
    <w:div w:id="2060593751">
      <w:bodyDiv w:val="1"/>
      <w:marLeft w:val="0"/>
      <w:marRight w:val="0"/>
      <w:marTop w:val="0"/>
      <w:marBottom w:val="0"/>
      <w:divBdr>
        <w:top w:val="none" w:sz="0" w:space="0" w:color="auto"/>
        <w:left w:val="none" w:sz="0" w:space="0" w:color="auto"/>
        <w:bottom w:val="none" w:sz="0" w:space="0" w:color="auto"/>
        <w:right w:val="none" w:sz="0" w:space="0" w:color="auto"/>
      </w:divBdr>
    </w:div>
    <w:div w:id="2067029580">
      <w:bodyDiv w:val="1"/>
      <w:marLeft w:val="0"/>
      <w:marRight w:val="0"/>
      <w:marTop w:val="0"/>
      <w:marBottom w:val="0"/>
      <w:divBdr>
        <w:top w:val="none" w:sz="0" w:space="0" w:color="auto"/>
        <w:left w:val="none" w:sz="0" w:space="0" w:color="auto"/>
        <w:bottom w:val="none" w:sz="0" w:space="0" w:color="auto"/>
        <w:right w:val="none" w:sz="0" w:space="0" w:color="auto"/>
      </w:divBdr>
      <w:divsChild>
        <w:div w:id="1734767234">
          <w:marLeft w:val="0"/>
          <w:marRight w:val="0"/>
          <w:marTop w:val="0"/>
          <w:marBottom w:val="0"/>
          <w:divBdr>
            <w:top w:val="none" w:sz="0" w:space="0" w:color="auto"/>
            <w:left w:val="none" w:sz="0" w:space="0" w:color="auto"/>
            <w:bottom w:val="none" w:sz="0" w:space="0" w:color="auto"/>
            <w:right w:val="none" w:sz="0" w:space="0" w:color="auto"/>
          </w:divBdr>
        </w:div>
        <w:div w:id="285626697">
          <w:marLeft w:val="0"/>
          <w:marRight w:val="0"/>
          <w:marTop w:val="0"/>
          <w:marBottom w:val="0"/>
          <w:divBdr>
            <w:top w:val="none" w:sz="0" w:space="0" w:color="auto"/>
            <w:left w:val="none" w:sz="0" w:space="0" w:color="auto"/>
            <w:bottom w:val="none" w:sz="0" w:space="0" w:color="auto"/>
            <w:right w:val="none" w:sz="0" w:space="0" w:color="auto"/>
          </w:divBdr>
        </w:div>
      </w:divsChild>
    </w:div>
    <w:div w:id="2079016994">
      <w:bodyDiv w:val="1"/>
      <w:marLeft w:val="0"/>
      <w:marRight w:val="0"/>
      <w:marTop w:val="0"/>
      <w:marBottom w:val="0"/>
      <w:divBdr>
        <w:top w:val="none" w:sz="0" w:space="0" w:color="auto"/>
        <w:left w:val="none" w:sz="0" w:space="0" w:color="auto"/>
        <w:bottom w:val="none" w:sz="0" w:space="0" w:color="auto"/>
        <w:right w:val="none" w:sz="0" w:space="0" w:color="auto"/>
      </w:divBdr>
    </w:div>
    <w:div w:id="2081713389">
      <w:bodyDiv w:val="1"/>
      <w:marLeft w:val="0"/>
      <w:marRight w:val="0"/>
      <w:marTop w:val="0"/>
      <w:marBottom w:val="0"/>
      <w:divBdr>
        <w:top w:val="none" w:sz="0" w:space="0" w:color="auto"/>
        <w:left w:val="none" w:sz="0" w:space="0" w:color="auto"/>
        <w:bottom w:val="none" w:sz="0" w:space="0" w:color="auto"/>
        <w:right w:val="none" w:sz="0" w:space="0" w:color="auto"/>
      </w:divBdr>
    </w:div>
    <w:div w:id="2085684154">
      <w:bodyDiv w:val="1"/>
      <w:marLeft w:val="0"/>
      <w:marRight w:val="0"/>
      <w:marTop w:val="0"/>
      <w:marBottom w:val="0"/>
      <w:divBdr>
        <w:top w:val="none" w:sz="0" w:space="0" w:color="auto"/>
        <w:left w:val="none" w:sz="0" w:space="0" w:color="auto"/>
        <w:bottom w:val="none" w:sz="0" w:space="0" w:color="auto"/>
        <w:right w:val="none" w:sz="0" w:space="0" w:color="auto"/>
      </w:divBdr>
    </w:div>
    <w:div w:id="2120829114">
      <w:bodyDiv w:val="1"/>
      <w:marLeft w:val="0"/>
      <w:marRight w:val="0"/>
      <w:marTop w:val="0"/>
      <w:marBottom w:val="0"/>
      <w:divBdr>
        <w:top w:val="none" w:sz="0" w:space="0" w:color="auto"/>
        <w:left w:val="none" w:sz="0" w:space="0" w:color="auto"/>
        <w:bottom w:val="none" w:sz="0" w:space="0" w:color="auto"/>
        <w:right w:val="none" w:sz="0" w:space="0" w:color="auto"/>
      </w:divBdr>
      <w:divsChild>
        <w:div w:id="1510872786">
          <w:marLeft w:val="21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EN/TXT/?uri=CELEX:32002R0006&amp;qid=1605102777807" TargetMode="External"/><Relationship Id="rId21" Type="http://schemas.openxmlformats.org/officeDocument/2006/relationships/hyperlink" Target="https://eur-lex.europa.eu/legal-content/BG/TXT/?qid=1593086905382&amp;uri=CELEX:52020DC0102" TargetMode="External"/><Relationship Id="rId42" Type="http://schemas.openxmlformats.org/officeDocument/2006/relationships/hyperlink" Target="https://eur-lex.europa.eu/legal-content/EN/TXT/?uri=CELEX:32017R1128&amp;qid=1605105470273" TargetMode="External"/><Relationship Id="rId47" Type="http://schemas.openxmlformats.org/officeDocument/2006/relationships/hyperlink" Target="https://www.clustercollaboration.eu/cluster-networks" TargetMode="External"/><Relationship Id="rId63" Type="http://schemas.openxmlformats.org/officeDocument/2006/relationships/hyperlink" Target="https://eur-lex.europa.eu/legal-content/BG/TXT/HTML/?uri=CELEX:32006R0816&amp;from=EN" TargetMode="External"/><Relationship Id="rId68" Type="http://schemas.openxmlformats.org/officeDocument/2006/relationships/hyperlink" Target="https://publications.jrc.ec.europa.eu/repository/handle/JRC119894" TargetMode="External"/><Relationship Id="rId84" Type="http://schemas.openxmlformats.org/officeDocument/2006/relationships/hyperlink" Target="https://ec.europa.eu/info/law/better-regulation/have-your-say/initiatives/12417-Digital-Services-Act-deepening-the-Internal-Market-and-clarifying-responsibilities-for-digital-services" TargetMode="External"/><Relationship Id="rId89" Type="http://schemas.openxmlformats.org/officeDocument/2006/relationships/hyperlink" Target="https://ec.europa.eu/growth/industry/policy/intellectual-property/enforcement/memorandum-of-understanding-online-advertising-ipr_bg" TargetMode="External"/><Relationship Id="rId7" Type="http://schemas.openxmlformats.org/officeDocument/2006/relationships/hyperlink" Target="https://euipo.europa.eu/tunnel-web/secure/webdav/guest/document_library/observatory/documents/reports/2019_High-growth_firms_and_intellectual_property_rights/2019_High-growth_firms_and_intellectual_property_rights_executive_summary_BG.pdf" TargetMode="External"/><Relationship Id="rId71" Type="http://schemas.openxmlformats.org/officeDocument/2006/relationships/hyperlink" Target="https://eur-lex.europa.eu/legal-content/BG/TXT/HTML/?uri=CELEX:32016L0943&amp;from=EN" TargetMode="External"/><Relationship Id="rId92" Type="http://schemas.openxmlformats.org/officeDocument/2006/relationships/hyperlink" Target="https://ec.europa.eu/anti-fraud/media-corner/news/20-03-2020/olaf-launches-enquiry-fake-covid-19-related-products_bg." TargetMode="External"/><Relationship Id="rId2" Type="http://schemas.openxmlformats.org/officeDocument/2006/relationships/hyperlink" Target="https://www.epo.org/service-support/publications.html?pubid=201" TargetMode="External"/><Relationship Id="rId16" Type="http://schemas.openxmlformats.org/officeDocument/2006/relationships/hyperlink" Target="https://ec.europa.eu/docsroom/documents/34841" TargetMode="External"/><Relationship Id="rId29" Type="http://schemas.openxmlformats.org/officeDocument/2006/relationships/hyperlink" Target="https://ec.europa.eu/info/law/better-regulation/have-your-say/initiatives/2029-Evaluation-of-Geographical-Indications-and-Traditional-Specialities-Guaranteed-protected-in-the-EU" TargetMode="External"/><Relationship Id="rId107" Type="http://schemas.openxmlformats.org/officeDocument/2006/relationships/hyperlink" Target="https://ec.europa.eu/info/strategy/priorities-2019-2024/new-push-european-democracy/strategic-foresight/2020-strategic-foresight-report_bg" TargetMode="External"/><Relationship Id="rId11" Type="http://schemas.openxmlformats.org/officeDocument/2006/relationships/hyperlink" Target="https://euipo.europa.eu/ohimportal/en/web/observatory/sme-scoreboard" TargetMode="External"/><Relationship Id="rId24" Type="http://schemas.openxmlformats.org/officeDocument/2006/relationships/hyperlink" Target="https://ec.europa.eu/growth/industry/policy/intellectual-property/industrial-design/protection_en" TargetMode="External"/><Relationship Id="rId32" Type="http://schemas.openxmlformats.org/officeDocument/2006/relationships/hyperlink" Target="https://www.europarl.europa.eu/RegData/etudes/STUD/2019/631764/EPRS_STU(2019)631764_EN.pdf" TargetMode="External"/><Relationship Id="rId37" Type="http://schemas.openxmlformats.org/officeDocument/2006/relationships/hyperlink" Target="https://eur-lex.europa.eu/legal-content/BG/TXT/?qid=1558431447846&amp;uri=CELEX:32019L0790" TargetMode="External"/><Relationship Id="rId40" Type="http://schemas.openxmlformats.org/officeDocument/2006/relationships/hyperlink" Target="https://eur-lex.europa.eu/legal-content/EN/TXT/?uri=CELEX:32014L0026&amp;qid=1605105311274" TargetMode="External"/><Relationship Id="rId45" Type="http://schemas.openxmlformats.org/officeDocument/2006/relationships/hyperlink" Target="http://ipa4sme.eu/" TargetMode="External"/><Relationship Id="rId53" Type="http://schemas.openxmlformats.org/officeDocument/2006/relationships/hyperlink" Target="https://op.europa.eu/en/publication-detail/-/publication/6a29075f-1f15-11eb-b57e-01aa75ed71a1" TargetMode="External"/><Relationship Id="rId58" Type="http://schemas.openxmlformats.org/officeDocument/2006/relationships/hyperlink" Target="https://ec.europa.eu/info/research-and-innovation/research-area/health-research-and-innovation/coronavirus-research-and-innovation_en" TargetMode="External"/><Relationship Id="rId66" Type="http://schemas.openxmlformats.org/officeDocument/2006/relationships/hyperlink" Target="https://publications.jrc.ec.europa.eu/repository/handle/JRC121411" TargetMode="External"/><Relationship Id="rId74" Type="http://schemas.openxmlformats.org/officeDocument/2006/relationships/hyperlink" Target="https://eur-lex.europa.eu/legal-content/BG/TXT/HTML/?uri=CELEX:31996L0009&amp;from=EN" TargetMode="External"/><Relationship Id="rId79" Type="http://schemas.openxmlformats.org/officeDocument/2006/relationships/hyperlink" Target="https://euipo.europa.eu/tunnel-web/secure/webdav/guest/document_library/observatory/documents/reports/trends_in_trade_in_counterfeit_and_pirated_goods/trends_in_trade_in_counterfeit_and_pirated_goods_en.pdf" TargetMode="External"/><Relationship Id="rId87" Type="http://schemas.openxmlformats.org/officeDocument/2006/relationships/hyperlink" Target="https://ec.europa.eu/taxation_customs/sites/taxation/files/customs-action-plan-2020_bg.pdf" TargetMode="External"/><Relationship Id="rId102" Type="http://schemas.openxmlformats.org/officeDocument/2006/relationships/hyperlink" Target="https://eur-lex.europa.eu/legal-content/BG/TXT/HTML/?uri=CELEX:52020XC0326(03)&amp;from=EN" TargetMode="External"/><Relationship Id="rId5" Type="http://schemas.openxmlformats.org/officeDocument/2006/relationships/hyperlink" Target="https://ec.europa.eu/info/research-and-innovation/strategy/support-policy-making/support-national-research-and-innovation-policy-making/srip-report_en" TargetMode="External"/><Relationship Id="rId61" Type="http://schemas.openxmlformats.org/officeDocument/2006/relationships/hyperlink" Target="https://ec.europa.eu/info/sites/info/files/framework_communication_antitrust_issues_related_to_cooperation_between_competitors_in_covid-19.pdf" TargetMode="External"/><Relationship Id="rId82" Type="http://schemas.openxmlformats.org/officeDocument/2006/relationships/hyperlink" Target="https://www.europol.europa.eu/newsroom/news/operation-silver-axe-strikes-for-fourth-time-seizing-over-550-tonnes-of-illegal-pesticides" TargetMode="External"/><Relationship Id="rId90" Type="http://schemas.openxmlformats.org/officeDocument/2006/relationships/hyperlink" Target="https://euipo.europa.eu/ohimportal/en/web/observatory/ip-enforcement-portal-home-page" TargetMode="External"/><Relationship Id="rId95" Type="http://schemas.openxmlformats.org/officeDocument/2006/relationships/hyperlink" Target="https://www.evz.de/en/shopping-internet/online-shopping/online-scams-and-counterfeit-goods.html;%20https:/fb.watch/1zwI0k2tjP/" TargetMode="External"/><Relationship Id="rId19" Type="http://schemas.openxmlformats.org/officeDocument/2006/relationships/hyperlink" Target="https://eur-lex.europa.eu/legal-content/BG/TXT/?uri=CELEX:32012R1257&amp;qid=1605100210098" TargetMode="External"/><Relationship Id="rId14" Type="http://schemas.openxmlformats.org/officeDocument/2006/relationships/hyperlink" Target="https://euipo.europa.eu/ohimportal/en/web/observatory/trends-in-trade-in-counterfeit-and-pirated-goods" TargetMode="External"/><Relationship Id="rId22" Type="http://schemas.openxmlformats.org/officeDocument/2006/relationships/hyperlink" Target="https://ec.europa.eu/info/law/better-regulation/have-your-say/initiatives/12421-Pharmaceutical-Strategy-Timely-patient-access-to-affordable-medicines" TargetMode="External"/><Relationship Id="rId27" Type="http://schemas.openxmlformats.org/officeDocument/2006/relationships/hyperlink" Target="https://eur-lex.europa.eu/legal-content/BG/TXT/?uri=CELEX:52020DC0381" TargetMode="External"/><Relationship Id="rId30" Type="http://schemas.openxmlformats.org/officeDocument/2006/relationships/hyperlink" Target="https://ec.europa.eu/info/law/better-regulation/have-your-say/initiatives/12664-Revision-of-the-EU-geographical-indications-GI-systems-in-agricultural-products-and-foodstuffs-wines-and-spirit-drinks" TargetMode="External"/><Relationship Id="rId35" Type="http://schemas.openxmlformats.org/officeDocument/2006/relationships/hyperlink" Target="https://www.epo.org/service-support/publications.html?pubid=201" TargetMode="External"/><Relationship Id="rId43" Type="http://schemas.openxmlformats.org/officeDocument/2006/relationships/hyperlink" Target="https://eur-lex.europa.eu/legal-content/EN/TXT/?uri=CELEX:31998L0044&amp;qid=1605105545389" TargetMode="External"/><Relationship Id="rId48" Type="http://schemas.openxmlformats.org/officeDocument/2006/relationships/hyperlink" Target="https://eiah.eib.org/index.htm" TargetMode="External"/><Relationship Id="rId56" Type="http://schemas.openxmlformats.org/officeDocument/2006/relationships/hyperlink" Target="https://eur-lex.europa.eu/legal-content/EN/TXT/?uri=COM:2020:628:FIN" TargetMode="External"/><Relationship Id="rId64" Type="http://schemas.openxmlformats.org/officeDocument/2006/relationships/hyperlink" Target="https://data.consilium.europa.eu/doc/document/ST-15016-2019-INIT/en/pdf" TargetMode="External"/><Relationship Id="rId69" Type="http://schemas.openxmlformats.org/officeDocument/2006/relationships/hyperlink" Target="https://eur-lex.europa.eu/legal-content/BG/TXT/HTML/?uri=CELEX:52020DC0066&amp;from=EN" TargetMode="External"/><Relationship Id="rId77" Type="http://schemas.openxmlformats.org/officeDocument/2006/relationships/hyperlink" Target="https://eur-lex.europa.eu/legal-content/BG/TXT/HTML/?uri=CELEX:32004L0048&amp;from=FR" TargetMode="External"/><Relationship Id="rId100" Type="http://schemas.openxmlformats.org/officeDocument/2006/relationships/hyperlink" Target="https://trade.ec.europa.eu/doclib/docs/2018/december/tradoc_157564.pdf" TargetMode="External"/><Relationship Id="rId105" Type="http://schemas.openxmlformats.org/officeDocument/2006/relationships/hyperlink" Target="https://au.int/en/documents/20190214/continental-strategy-geographical-indications-africa-2018-2023" TargetMode="External"/><Relationship Id="rId8" Type="http://schemas.openxmlformats.org/officeDocument/2006/relationships/hyperlink" Target="https://ec.europa.eu/health/human-use/strategy_en" TargetMode="External"/><Relationship Id="rId51" Type="http://schemas.openxmlformats.org/officeDocument/2006/relationships/hyperlink" Target="https://op.europa.eu/en/publication-detail/-/publication/6a29075f-1f15-11eb-b57e-01aa75ed71a1" TargetMode="External"/><Relationship Id="rId72" Type="http://schemas.openxmlformats.org/officeDocument/2006/relationships/hyperlink" Target="https://op.europa.eu/en/publication-detail/-/publication/17b7b664-15f0-11e8-9253-01aa75ed71a1" TargetMode="External"/><Relationship Id="rId80" Type="http://schemas.openxmlformats.org/officeDocument/2006/relationships/hyperlink" Target="https://euipo.europa.eu/ohimportal/en/web/observatory/status-reports-on-ip-infringement" TargetMode="External"/><Relationship Id="rId85" Type="http://schemas.openxmlformats.org/officeDocument/2006/relationships/hyperlink" Target="https://www.europol.europa.eu/empact" TargetMode="External"/><Relationship Id="rId93" Type="http://schemas.openxmlformats.org/officeDocument/2006/relationships/hyperlink" Target="https://www.europol.europa.eu/newsroom/news/how-criminals-profit-covid-19-pandemic." TargetMode="External"/><Relationship Id="rId98" Type="http://schemas.openxmlformats.org/officeDocument/2006/relationships/hyperlink" Target="https://www.consilium.europa.eu/en/press/press-releases/2019/08/26/g7-leaders-declaration-biarritz-26-august-2019/" TargetMode="External"/><Relationship Id="rId3" Type="http://schemas.openxmlformats.org/officeDocument/2006/relationships/hyperlink" Target="http://documents.epo.org/projects/babylon/eponet.nsf/0/79B3608B5B4D3F71C125842D0040675A/$File/quality_report_2018_en.pdf" TargetMode="External"/><Relationship Id="rId12" Type="http://schemas.openxmlformats.org/officeDocument/2006/relationships/hyperlink" Target="https://ec.europa.eu/info/research-and-innovation/strategy/support-policy-making/support-national-research-and-innovation-policy-making/srip-report_en" TargetMode="External"/><Relationship Id="rId17" Type="http://schemas.openxmlformats.org/officeDocument/2006/relationships/hyperlink" Target="https://ec.europa.eu/info/law/better-regulation/have-your-say/initiatives/12510-Intellectual-Property-Action-Plan" TargetMode="External"/><Relationship Id="rId25" Type="http://schemas.openxmlformats.org/officeDocument/2006/relationships/hyperlink" Target="https://eur-lex.europa.eu/legal-content/BG/TXT/?uri=CELEX:31998L0071&amp;qid=1605102715242" TargetMode="External"/><Relationship Id="rId33" Type="http://schemas.openxmlformats.org/officeDocument/2006/relationships/hyperlink" Target="https://www.europarl.europa.eu/RegData/etudes/STUD/2019/631764/EPRS_STU(2019)631764_EN.pdf" TargetMode="External"/><Relationship Id="rId38" Type="http://schemas.openxmlformats.org/officeDocument/2006/relationships/hyperlink" Target="https://eur-lex.europa.eu/legal-content/EN/TXT/?uri=CELEX:32019L0789&amp;qid=1605105244358" TargetMode="External"/><Relationship Id="rId46" Type="http://schemas.openxmlformats.org/officeDocument/2006/relationships/hyperlink" Target="https://ec.europa.eu/info/funding-tenders/opportunities/portal/screen/opportunities/topic-details/innosup-10-2020" TargetMode="External"/><Relationship Id="rId59" Type="http://schemas.openxmlformats.org/officeDocument/2006/relationships/hyperlink" Target="https://eur-lex.europa.eu/legal-content/BG/TXT/HTML/?uri=CELEX:52020DC0245&amp;from=ES" TargetMode="External"/><Relationship Id="rId67" Type="http://schemas.openxmlformats.org/officeDocument/2006/relationships/hyperlink" Target="https://eur-lex.europa.eu/legal-content/BG/TXT/HTML/?uri=CELEX:52017DC0712&amp;from=EN" TargetMode="External"/><Relationship Id="rId103" Type="http://schemas.openxmlformats.org/officeDocument/2006/relationships/hyperlink" Target="https://eur-lex.europa.eu/legal-content/BG/TXT/PDF/?uri=CELEX:32020D1127" TargetMode="External"/><Relationship Id="rId20" Type="http://schemas.openxmlformats.org/officeDocument/2006/relationships/hyperlink" Target="https://eur-lex.europa.eu/legal-content/BG/TXT/?uri=CELEX:32019R0933&amp;qid=1605100367650" TargetMode="External"/><Relationship Id="rId41" Type="http://schemas.openxmlformats.org/officeDocument/2006/relationships/hyperlink" Target="https://eur-lex.europa.eu/legal-content/EN/TXT/?uri=CELEX:32017L1564&amp;qid=1605105393179" TargetMode="External"/><Relationship Id="rId54" Type="http://schemas.openxmlformats.org/officeDocument/2006/relationships/hyperlink" Target="https://eur-lex.europa.eu/legal-content/BG/TXT/HTML/?uri=CELEX:52020DC0103&amp;from=EN" TargetMode="External"/><Relationship Id="rId62" Type="http://schemas.openxmlformats.org/officeDocument/2006/relationships/hyperlink" Target="https://ec.europa.eu/info/research-and-innovation/research-area/health-research-and-innovation/coronavirus-research-and-innovation/covid-research-manifesto_en" TargetMode="External"/><Relationship Id="rId70" Type="http://schemas.openxmlformats.org/officeDocument/2006/relationships/hyperlink" Target="https://ec.europa.eu/commission/presscorner/detail/bg/fs_20_283" TargetMode="External"/><Relationship Id="rId75" Type="http://schemas.openxmlformats.org/officeDocument/2006/relationships/hyperlink" Target="https://data.consilium.europa.eu/doc/document/ST-8467-2018-INIT/en/pdf" TargetMode="External"/><Relationship Id="rId83" Type="http://schemas.openxmlformats.org/officeDocument/2006/relationships/hyperlink" Target="https://ec.europa.eu/docsroom/documents/34841" TargetMode="External"/><Relationship Id="rId88" Type="http://schemas.openxmlformats.org/officeDocument/2006/relationships/hyperlink" Target="https://ec.europa.eu/growth/industry/policy/intellectual-property/enforcement/memorandum-understanding-sale-counterfeit-goods-internet_bg" TargetMode="External"/><Relationship Id="rId91" Type="http://schemas.openxmlformats.org/officeDocument/2006/relationships/hyperlink" Target="https://euipo.europa.eu/ohimportal/en/news/-/action/view/4963920" TargetMode="External"/><Relationship Id="rId96" Type="http://schemas.openxmlformats.org/officeDocument/2006/relationships/hyperlink" Target="https://www.eccbelgium.be/press/press-releases/14032017-the-impact-of-counterfeiting-on-online-consumer-rights-in-europe" TargetMode="External"/><Relationship Id="rId1" Type="http://schemas.openxmlformats.org/officeDocument/2006/relationships/hyperlink" Target="https://ec.europa.eu/info/sites/info/files/economy-finance/dp047_en.pdf" TargetMode="External"/><Relationship Id="rId6" Type="http://schemas.openxmlformats.org/officeDocument/2006/relationships/hyperlink" Target="http://documents.epo.org/projects/babylon/eponet.nsf/0/6A51029C350D3C8EC1257F110056B93F/$File/climate_change_mitigation_technologies_europe_en.pdf" TargetMode="External"/><Relationship Id="rId15" Type="http://schemas.openxmlformats.org/officeDocument/2006/relationships/hyperlink" Target="https://euipo.europa.eu/ohimportal/en/web/observatory/status-reports-on-ip-infringement" TargetMode="External"/><Relationship Id="rId23" Type="http://schemas.openxmlformats.org/officeDocument/2006/relationships/hyperlink" Target="https://ec.europa.eu/growth/industry/policy/intellectual-property/trade-mark-protection_bg" TargetMode="External"/><Relationship Id="rId28" Type="http://schemas.openxmlformats.org/officeDocument/2006/relationships/hyperlink" Target="https://ec.europa.eu/info/food-farming-fisheries/key-policies/common-agricultural-policy/cmef/products-and-markets/economic-value-eu-quality-schemes-geographical-indications-gis-and-traditional-specialities-guaranteed-tsgs_en" TargetMode="External"/><Relationship Id="rId36" Type="http://schemas.openxmlformats.org/officeDocument/2006/relationships/hyperlink" Target="http://data.europa.eu/doi/10.2759/458120" TargetMode="External"/><Relationship Id="rId49" Type="http://schemas.openxmlformats.org/officeDocument/2006/relationships/hyperlink" Target="https://euipo.europa.eu/ohimportal/en/web/observatory/sme-scoreboard" TargetMode="External"/><Relationship Id="rId57" Type="http://schemas.openxmlformats.org/officeDocument/2006/relationships/hyperlink" Target="https://ec.europa.eu/info/funding-tenders/opportunities/portal/screen/opportunities/horizon-results-platform" TargetMode="External"/><Relationship Id="rId106" Type="http://schemas.openxmlformats.org/officeDocument/2006/relationships/hyperlink" Target="https://africa-eu-partnership.org/en/afcfta" TargetMode="External"/><Relationship Id="rId10" Type="http://schemas.openxmlformats.org/officeDocument/2006/relationships/hyperlink" Target="https://ec.europa.eu/commission/presscorner/detail/en/QANDA_19_5889" TargetMode="External"/><Relationship Id="rId31" Type="http://schemas.openxmlformats.org/officeDocument/2006/relationships/hyperlink" Target="https://op.europa.eu/en/publication-detail/-/publication/c210fcc6-5463-11ea-aece-01aa75ed71a1/language-en/format-PDF/source-120480323" TargetMode="External"/><Relationship Id="rId44" Type="http://schemas.openxmlformats.org/officeDocument/2006/relationships/hyperlink" Target="https://eur-lex.europa.eu/legal-content/EN/TXT/?uri=CELEX:52016XC1108(01)" TargetMode="External"/><Relationship Id="rId52" Type="http://schemas.openxmlformats.org/officeDocument/2006/relationships/hyperlink" Target="https://op.europa.eu/en/publication-detail/-/publication/6a29075f-1f15-11eb-b57e-01aa75ed71a1" TargetMode="External"/><Relationship Id="rId60" Type="http://schemas.openxmlformats.org/officeDocument/2006/relationships/hyperlink" Target="https://apps.who.int/gb/ebwha/pdf_files/WHA73/A73_CONF1Rev1-en.pdf" TargetMode="External"/><Relationship Id="rId65" Type="http://schemas.openxmlformats.org/officeDocument/2006/relationships/hyperlink" Target="https://etendering.ted.europa.eu/cft/cft-display.html?cftId=5859" TargetMode="External"/><Relationship Id="rId73" Type="http://schemas.openxmlformats.org/officeDocument/2006/relationships/hyperlink" Target="https://op.europa.eu/en/publication-detail/-/publication/17b7b664-15f0-11e8-9253-01aa75ed71a1" TargetMode="External"/><Relationship Id="rId78" Type="http://schemas.openxmlformats.org/officeDocument/2006/relationships/hyperlink" Target="https://eur-lex.europa.eu/legal-content/BG/TXT/?uri=CELEX:52017DC0708" TargetMode="External"/><Relationship Id="rId81" Type="http://schemas.openxmlformats.org/officeDocument/2006/relationships/hyperlink" Target="https://euipo.europa.eu/tunnel-web/secure/webdav/guest/document_library/observatory/documents/reports/2019_Risks_Posed_by_Counterfeits_to_Consumers_Study/2019_Risks_Posed_by_Counterfeits_to_Consumers_Study.pdf" TargetMode="External"/><Relationship Id="rId86" Type="http://schemas.openxmlformats.org/officeDocument/2006/relationships/hyperlink" Target="https://eur-lex.europa.eu/legal-content/BG/TXT/PDF/?uri=CELEX:52020DC0094&amp;from=EN" TargetMode="External"/><Relationship Id="rId94" Type="http://schemas.openxmlformats.org/officeDocument/2006/relationships/hyperlink" Target="https://ec.europa.eu/info/live-work-travel-eu/consumers/enforcement-consumer-protection/scams-related-covid-19_bg" TargetMode="External"/><Relationship Id="rId99" Type="http://schemas.openxmlformats.org/officeDocument/2006/relationships/hyperlink" Target="https://trade.ec.europa.eu/doclib/docs/2020/january/tradoc_158561.pdf" TargetMode="External"/><Relationship Id="rId101" Type="http://schemas.openxmlformats.org/officeDocument/2006/relationships/hyperlink" Target="https://trade.ec.europa.eu/doclib/docs/2020/january/tradoc_158561.pdf" TargetMode="External"/><Relationship Id="rId4" Type="http://schemas.openxmlformats.org/officeDocument/2006/relationships/hyperlink" Target="https://iri.jrc.ec.europa.eu/scoreboard/2019-eu-industrial-rd-investment-scoreboard" TargetMode="External"/><Relationship Id="rId9" Type="http://schemas.openxmlformats.org/officeDocument/2006/relationships/hyperlink" Target="http://data.europa.eu/doi/10.2759/458120" TargetMode="External"/><Relationship Id="rId13" Type="http://schemas.openxmlformats.org/officeDocument/2006/relationships/hyperlink" Target="https://www.iplytics.com/wp-content/uploads/2020/02/5G-patent-study_TU-Berlin_IPlytics-2020.pdf" TargetMode="External"/><Relationship Id="rId18" Type="http://schemas.openxmlformats.org/officeDocument/2006/relationships/hyperlink" Target="https://www.bundesverfassungsgericht.de/e/rs20200213_2bvr073917.html" TargetMode="External"/><Relationship Id="rId39" Type="http://schemas.openxmlformats.org/officeDocument/2006/relationships/hyperlink" Target="https://eur-lex.europa.eu/legal-content/EN/TXT/?uri=CELEX:32011L0077&amp;qid=1605105177882" TargetMode="External"/><Relationship Id="rId34" Type="http://schemas.openxmlformats.org/officeDocument/2006/relationships/hyperlink" Target="https://www.wipo.int/lisbon/en/" TargetMode="External"/><Relationship Id="rId50" Type="http://schemas.openxmlformats.org/officeDocument/2006/relationships/hyperlink" Target="https://op.europa.eu/en/publication-detail/-/publication/6a29075f-1f15-11eb-b57e-01aa75ed71a1" TargetMode="External"/><Relationship Id="rId55" Type="http://schemas.openxmlformats.org/officeDocument/2006/relationships/hyperlink" Target="https://www.eif.org/what_we_do/guarantees/single_eu_debt_instrument/innovfin-guarantee-facility/" TargetMode="External"/><Relationship Id="rId76" Type="http://schemas.openxmlformats.org/officeDocument/2006/relationships/hyperlink" Target="https://ec.europa.eu/info/publications/2021-commission-work-programme-key-documents_en" TargetMode="External"/><Relationship Id="rId97" Type="http://schemas.openxmlformats.org/officeDocument/2006/relationships/hyperlink" Target="https://euipo.europa.eu/tunnel-web/secure/webdav/guest/document_library/observatory/documents/reports/2019_Status_Report_on_IPR_infringement/2019_Status_Report_on_IPR_infringement_en.pdf" TargetMode="External"/><Relationship Id="rId104" Type="http://schemas.openxmlformats.org/officeDocument/2006/relationships/hyperlink" Target="https://www.ipr-hub.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436C4B6581E04CBD7684399E72404F" ma:contentTypeVersion="0" ma:contentTypeDescription="Create a new document." ma:contentTypeScope="" ma:versionID="26c54e532eaabe8c8b3ce95ed5e9a4aa">
  <xsd:schema xmlns:xsd="http://www.w3.org/2001/XMLSchema" xmlns:xs="http://www.w3.org/2001/XMLSchema" xmlns:p="http://schemas.microsoft.com/office/2006/metadata/properties" targetNamespace="http://schemas.microsoft.com/office/2006/metadata/properties" ma:root="true" ma:fieldsID="8d0ac40ea0c89b9fb540ebf68a0cbd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2DE7170-3FEC-405F-81D8-4272AD78A4D0}">
  <ds:schemaRefs>
    <ds:schemaRef ds:uri="http://schemas.microsoft.com/sharepoint/v3/contenttype/forms"/>
  </ds:schemaRefs>
</ds:datastoreItem>
</file>

<file path=customXml/itemProps2.xml><?xml version="1.0" encoding="utf-8"?>
<ds:datastoreItem xmlns:ds="http://schemas.openxmlformats.org/officeDocument/2006/customXml" ds:itemID="{6A539E39-3894-4E3C-8A90-70231EF12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CC412C-7C4B-462A-8897-63E74A577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4C6FA9-648C-4EE6-8DFB-B9719F93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9464</Words>
  <Characters>54612</Characters>
  <Application>Microsoft Office Word</Application>
  <DocSecurity>0</DocSecurity>
  <Lines>910</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2020-11-23T08:20:00Z</dcterms:created>
  <dcterms:modified xsi:type="dcterms:W3CDTF">2020-11-27T08:55:00Z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IsMyDocuments">
    <vt:bool>true</vt:bool>
  </property>
  <property fmtid="{D5CDD505-2E9C-101B-9397-08002B2CF9AE}" pid="9" name="_LW_INVALIDATED__LW_INVALIDATED__LW_INVALIDATED_ContentTypeId">
    <vt:lpwstr>0x010100B2436C4B6581E04CBD7684399E72404F</vt:lpwstr>
  </property>
</Properties>
</file>