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4C51AA0-50C6-4021-BD9F-29BDDE9A575B" style="width:451.25pt;height:379.2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DQPStarAt1DQPStarAt72C3E718DF204D66A4A84"/>
      <w:r>
        <w:rPr>
          <w:noProof/>
        </w:rPr>
        <w:t>1.</w:t>
      </w:r>
      <w:r>
        <w:rPr>
          <w:noProof/>
        </w:rPr>
        <w:tab/>
        <w:t>Subject-matter of the proposal</w:t>
      </w:r>
    </w:p>
    <w:bookmarkEnd w:id="1"/>
    <w:p>
      <w:pPr>
        <w:rPr>
          <w:rFonts w:eastAsia="Arial Unicode MS"/>
          <w:noProof/>
        </w:rPr>
      </w:pPr>
      <w:r>
        <w:rPr>
          <w:rFonts w:eastAsia="Arial Unicode MS"/>
          <w:noProof/>
        </w:rPr>
        <w:t xml:space="preserve">This proposal concerns a decision establishing the position to be taken on the Union's behalf in the Joint Committee </w:t>
      </w:r>
      <w:r>
        <w:rPr>
          <w:noProof/>
        </w:rPr>
        <w:t>established by the Euro-Mediterranean Aviation Agreement between the European Union and its Member States, of the one part and the government of the State of Israel, of the other part</w:t>
      </w:r>
      <w:r>
        <w:rPr>
          <w:rFonts w:eastAsia="Times New Roman"/>
          <w:noProof/>
        </w:rPr>
        <w:t xml:space="preserve"> </w:t>
      </w:r>
      <w:r>
        <w:rPr>
          <w:rFonts w:eastAsia="Arial Unicode MS"/>
          <w:noProof/>
        </w:rPr>
        <w:t>(‘the Agreement’)</w:t>
      </w:r>
      <w:r>
        <w:rPr>
          <w:rStyle w:val="FootnoteReference"/>
          <w:rFonts w:eastAsia="Arial Unicode MS"/>
          <w:noProof/>
        </w:rPr>
        <w:footnoteReference w:id="1"/>
      </w:r>
      <w:r>
        <w:rPr>
          <w:noProof/>
        </w:rPr>
        <w:t>.</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Euro-Mediterranean Aviation Agreement between the European Union and its Member States, of the one part and the government of the State of Israel, of the other part</w:t>
      </w:r>
    </w:p>
    <w:p>
      <w:pPr>
        <w:rPr>
          <w:rFonts w:eastAsia="Arial Unicode MS"/>
          <w:noProof/>
        </w:rPr>
      </w:pPr>
      <w:r>
        <w:rPr>
          <w:rFonts w:eastAsia="Arial Unicode MS"/>
          <w:noProof/>
        </w:rPr>
        <w:t xml:space="preserve">The Agreement aims </w:t>
      </w:r>
      <w:r>
        <w:rPr>
          <w:noProof/>
          <w:color w:val="000000"/>
          <w:shd w:val="clear" w:color="auto" w:fill="FFFFFF"/>
        </w:rPr>
        <w:t xml:space="preserve">at creating a common aviation area (CAA) based on mutual access to the air transport markets of the Parties, with equal conditions of competition and respect of the same rules — including in the areas of safety, security, air traffic management, social aspects and the environment. The CAA rules should be based on the relevant legislation in force within the European Union, as laid down in Annex IV to this Agreement in particular as regards safety, </w:t>
      </w:r>
      <w:r>
        <w:rPr>
          <w:rFonts w:eastAsia="Arial Unicode MS"/>
          <w:noProof/>
        </w:rPr>
        <w:t>security and air traffic management.</w:t>
      </w:r>
      <w:r>
        <w:rPr>
          <w:rFonts w:ascii="inherit" w:hAnsi="inherit"/>
          <w:noProof/>
          <w:color w:val="000000"/>
          <w:shd w:val="clear" w:color="auto" w:fill="FFFFFF"/>
        </w:rPr>
        <w:t xml:space="preserve"> </w:t>
      </w:r>
    </w:p>
    <w:p>
      <w:pPr>
        <w:rPr>
          <w:rFonts w:eastAsia="Arial Unicode MS"/>
          <w:noProof/>
        </w:rPr>
      </w:pPr>
      <w:r>
        <w:rPr>
          <w:rFonts w:eastAsia="Arial Unicode MS"/>
          <w:noProof/>
        </w:rPr>
        <w:t xml:space="preserve">The Agreement was signed on 10 June 2013 and entered into force on 2 August 2020. </w:t>
      </w:r>
    </w:p>
    <w:p>
      <w:pPr>
        <w:pStyle w:val="ManualHeading2"/>
        <w:rPr>
          <w:noProof/>
        </w:rPr>
      </w:pPr>
      <w:r>
        <w:rPr>
          <w:noProof/>
        </w:rPr>
        <w:t>2.2.</w:t>
      </w:r>
      <w:r>
        <w:rPr>
          <w:noProof/>
        </w:rPr>
        <w:tab/>
        <w:t>The Joint Committee</w:t>
      </w:r>
    </w:p>
    <w:p>
      <w:pPr>
        <w:rPr>
          <w:rFonts w:eastAsia="Arial Unicode MS"/>
          <w:noProof/>
        </w:rPr>
      </w:pPr>
      <w:r>
        <w:rPr>
          <w:rFonts w:eastAsia="Arial Unicode MS"/>
          <w:noProof/>
        </w:rPr>
        <w:t xml:space="preserve">A Joint Committee is set up by Article 22 of the Agreement. The Joint Committee shall be responsible for the administration of the Agreement and shall ensure its proper implementation. </w:t>
      </w:r>
    </w:p>
    <w:p>
      <w:pPr>
        <w:rPr>
          <w:rFonts w:eastAsia="Arial Unicode MS"/>
          <w:noProof/>
        </w:rPr>
      </w:pPr>
      <w:r>
        <w:rPr>
          <w:rFonts w:eastAsia="Arial Unicode MS"/>
          <w:noProof/>
        </w:rPr>
        <w:t xml:space="preserve">For this purpose it shall develop cooperation in a range of areas and shall make recommendations and take decisions where expressly provided by the Agreement. Its main tasks are to develop cooperation by: (a) carrying out its specific tasks in relation to the process of regulatory cooperation, as set out in Title II of the Agreement; (b) fostering expert-level exchanges on new legislative or regulatory initiatives and developments, including in the fields of security, safety, the environment, aviation infrastructure (including slots), competitive environment and consumer protection; (c) regularly examining the social effects of the Agreement as it is implemented, notably in the area of employment, and developing appropriate responses to concerns found to be legitimate; (d) agreeing, on the basis of consensus, on proposals, approaches or documents of a procedural nature directly related to the functioning of the Agreement; (e) considering potential areas for the further development of the Agreement, including the recommendation of amendments to the Agreement; and (f) addressing the application of section A.1 of Annex IV (list of air carriers subject to an operating ban). </w:t>
      </w:r>
    </w:p>
    <w:p>
      <w:pPr>
        <w:rPr>
          <w:rFonts w:eastAsia="Arial Unicode MS"/>
          <w:noProof/>
        </w:rPr>
      </w:pPr>
      <w:r>
        <w:rPr>
          <w:rFonts w:eastAsia="Arial Unicode MS"/>
          <w:noProof/>
        </w:rPr>
        <w:t>Additionally, in accordance with: Article 5 (Investment) of the Agreement, the Joint Committee shall examine questions relating to bilateral investments of majority ownership, or changes in the effective control of air carriers of the Parties.</w:t>
      </w:r>
    </w:p>
    <w:p>
      <w:pPr>
        <w:rPr>
          <w:rFonts w:eastAsia="Arial Unicode MS"/>
          <w:noProof/>
        </w:rPr>
      </w:pPr>
      <w:r>
        <w:rPr>
          <w:rFonts w:eastAsia="Arial Unicode MS"/>
          <w:noProof/>
        </w:rPr>
        <w:t xml:space="preserve">Under Article 22(3) of the Agreement, the Joint Committee shall adopt, by decision, its rules of procedure. </w:t>
      </w:r>
    </w:p>
    <w:p>
      <w:pPr>
        <w:rPr>
          <w:rFonts w:eastAsia="Arial Unicode MS"/>
          <w:noProof/>
        </w:rPr>
      </w:pPr>
    </w:p>
    <w:p>
      <w:pPr>
        <w:pStyle w:val="ManualHeading2"/>
        <w:rPr>
          <w:noProof/>
        </w:rPr>
      </w:pPr>
      <w:r>
        <w:rPr>
          <w:noProof/>
        </w:rPr>
        <w:t>2.3.</w:t>
      </w:r>
      <w:r>
        <w:rPr>
          <w:noProof/>
        </w:rPr>
        <w:tab/>
        <w:t>The envisaged act of the Joint Committee</w:t>
      </w:r>
    </w:p>
    <w:p>
      <w:pPr>
        <w:rPr>
          <w:rFonts w:eastAsia="Arial Unicode MS"/>
          <w:noProof/>
        </w:rPr>
      </w:pPr>
      <w:r>
        <w:rPr>
          <w:rFonts w:eastAsia="Arial Unicode MS"/>
          <w:noProof/>
        </w:rPr>
        <w:t xml:space="preserve">During its first meeting, the Joint Committee is to adopt a decision regarding the adoption of the rules of procedure of the Joint Committee (‘the envisaged act’). </w:t>
      </w:r>
    </w:p>
    <w:p>
      <w:pPr>
        <w:rPr>
          <w:rFonts w:eastAsia="Arial Unicode MS"/>
          <w:noProof/>
        </w:rPr>
      </w:pPr>
      <w:r>
        <w:rPr>
          <w:rFonts w:eastAsia="Arial Unicode MS"/>
          <w:noProof/>
        </w:rPr>
        <w:t>The purpose of the envisaged act is to adopt, in accordance with Article 22(3) of the Agreement, the rules of procedure underpinning the organisation and functioning of the Joint Committee to allow for the proper implementation of the Agreement.</w:t>
      </w:r>
    </w:p>
    <w:p>
      <w:pPr>
        <w:pStyle w:val="ManualHeading1"/>
        <w:rPr>
          <w:noProof/>
        </w:rPr>
      </w:pPr>
      <w:r>
        <w:rPr>
          <w:noProof/>
        </w:rPr>
        <w:t>3.</w:t>
      </w:r>
      <w:r>
        <w:rPr>
          <w:noProof/>
        </w:rPr>
        <w:tab/>
        <w:t>Position to be taken on behalf of the Union</w:t>
      </w:r>
    </w:p>
    <w:p>
      <w:pPr>
        <w:rPr>
          <w:noProof/>
        </w:rPr>
      </w:pPr>
      <w:r>
        <w:rPr>
          <w:noProof/>
        </w:rPr>
        <w:t xml:space="preserve">The position to be adopted on behalf of the Union should aim at the adoption of the rules of procedure of the Joint Committee </w:t>
      </w:r>
      <w:r>
        <w:rPr>
          <w:rFonts w:eastAsia="Arial Unicode MS"/>
          <w:noProof/>
        </w:rPr>
        <w:t>established by the Agreement</w:t>
      </w:r>
      <w:r>
        <w:rPr>
          <w:noProof/>
        </w:rPr>
        <w:t>. The position should be based on the draft decision of the Joint Committee.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i/>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p>
    <w:p>
      <w:pPr>
        <w:pStyle w:val="ManualHeading3"/>
        <w:rPr>
          <w:noProof/>
        </w:rPr>
      </w:pPr>
      <w:r>
        <w:rPr>
          <w:noProof/>
        </w:rPr>
        <w:t>4.1.2.</w:t>
      </w:r>
      <w:r>
        <w:rPr>
          <w:noProof/>
        </w:rPr>
        <w:tab/>
        <w:t>Application to the present case</w:t>
      </w:r>
    </w:p>
    <w:p>
      <w:pPr>
        <w:rPr>
          <w:noProof/>
        </w:rPr>
      </w:pPr>
      <w:r>
        <w:rPr>
          <w:noProof/>
        </w:rPr>
        <w:t>The Joint Committee is a body set up by an agreement, namely, in this case, the Euro-Mediterranean Aviation Agreement between the European Union and its Member States, of the one part and the government of the State of Israel, of the other part.</w:t>
      </w:r>
    </w:p>
    <w:p>
      <w:pPr>
        <w:rPr>
          <w:noProof/>
        </w:rPr>
      </w:pPr>
      <w:r>
        <w:rPr>
          <w:noProof/>
        </w:rPr>
        <w:t>The act which the Joint Committee is called upon to adopt is</w:t>
      </w:r>
      <w:r>
        <w:rPr>
          <w:noProof/>
          <w:color w:val="FF0000"/>
        </w:rPr>
        <w:t xml:space="preserve"> </w:t>
      </w:r>
      <w:r>
        <w:rPr>
          <w:noProof/>
        </w:rPr>
        <w:t xml:space="preserve">an act having legal effects, </w:t>
      </w:r>
      <w:r>
        <w:rPr>
          <w:noProof/>
          <w:lang w:val="en-IE"/>
        </w:rPr>
        <w:t>since it will be binding under international law on the Parties</w:t>
      </w:r>
      <w:r>
        <w:rPr>
          <w:noProof/>
        </w:rPr>
        <w:t xml:space="preserve">. </w:t>
      </w:r>
    </w:p>
    <w:p>
      <w:pPr>
        <w:rPr>
          <w:noProof/>
        </w:rPr>
      </w:pPr>
      <w:r>
        <w:rPr>
          <w:noProof/>
        </w:rPr>
        <w:t>The envisaged act does not supplement or amend the institutional framework of the Agreement.</w:t>
      </w:r>
    </w:p>
    <w:p>
      <w:pPr>
        <w:rPr>
          <w:noProof/>
        </w:rPr>
      </w:pPr>
      <w:r>
        <w:rPr>
          <w:noProof/>
        </w:rPr>
        <w:t>In the light of that,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lastRenderedPageBreak/>
        <w:t>4.2.2.</w:t>
      </w:r>
      <w:r>
        <w:rPr>
          <w:noProof/>
        </w:rPr>
        <w:tab/>
        <w:t>Application to the present case</w:t>
      </w:r>
    </w:p>
    <w:p>
      <w:pPr>
        <w:rPr>
          <w:noProof/>
        </w:rPr>
      </w:pPr>
      <w:r>
        <w:rPr>
          <w:noProof/>
        </w:rPr>
        <w:t>The main objective and content of the envisaged act relate to air transport.</w:t>
      </w:r>
    </w:p>
    <w:p>
      <w:pPr>
        <w:rPr>
          <w:noProof/>
        </w:rPr>
      </w:pPr>
      <w:r>
        <w:rPr>
          <w:noProof/>
        </w:rPr>
        <w:t>Therefore, the substantive legal basis of the proposed decision is Article 100(2) TFEU.</w:t>
      </w:r>
    </w:p>
    <w:p>
      <w:pPr>
        <w:pStyle w:val="ManualHeading2"/>
        <w:rPr>
          <w:noProof/>
        </w:rPr>
      </w:pPr>
      <w:r>
        <w:rPr>
          <w:noProof/>
        </w:rPr>
        <w:t>4.3.</w:t>
      </w:r>
      <w:r>
        <w:rPr>
          <w:noProof/>
        </w:rPr>
        <w:tab/>
        <w:t>Conclusion</w:t>
      </w:r>
    </w:p>
    <w:p>
      <w:pPr>
        <w:rPr>
          <w:noProof/>
        </w:rPr>
      </w:pPr>
      <w:r>
        <w:rPr>
          <w:noProof/>
        </w:rPr>
        <w:t>The legal basis of the proposed decision should be Article 100(2) TFEU, in conjunction with Article 218(9) TFEU.</w:t>
      </w:r>
    </w:p>
    <w:p>
      <w:pPr>
        <w:pStyle w:val="ManualHeading1"/>
        <w:rPr>
          <w:noProof/>
        </w:rPr>
      </w:pPr>
      <w:r>
        <w:rPr>
          <w:noProof/>
        </w:rPr>
        <w:t>5.</w:t>
      </w:r>
      <w:r>
        <w:rPr>
          <w:noProof/>
        </w:rPr>
        <w:tab/>
        <w:t>publication of the envisaged act</w:t>
      </w:r>
    </w:p>
    <w:p>
      <w:pPr>
        <w:rPr>
          <w:noProof/>
        </w:rPr>
      </w:pPr>
      <w:r>
        <w:rPr>
          <w:noProof/>
        </w:rPr>
        <w:t>As the act of the Joint Committee will set out its rules of procedure, it is appropriate to publish it in the Official Journal of the European Union after its adoption.</w:t>
      </w:r>
    </w:p>
    <w:p>
      <w:pPr>
        <w:rPr>
          <w:noProof/>
        </w:rPr>
        <w:sectPr>
          <w:footerReference w:type="default" r:id="rId17"/>
          <w:footerReference w:type="first" r:id="rId18"/>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Euro-Mediterranean Aviation Agreement between the European Union and its Member States, of the one part and the government of the State of Israel,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bookmarkStart w:id="2" w:name="DQPStarAt1DQPStarAtD600FD7F2DB348B0ACCC3"/>
      <w:r>
        <w:rPr>
          <w:noProof/>
        </w:rPr>
        <w:t>(1)</w:t>
      </w:r>
      <w:r>
        <w:rPr>
          <w:noProof/>
        </w:rPr>
        <w:tab/>
      </w:r>
      <w:r>
        <w:rPr>
          <w:rFonts w:eastAsia="Times New Roman"/>
          <w:noProof/>
        </w:rPr>
        <w:t>The Euro-Mediterranean Aviation Agreement between the European Union and its Member States, of the one part and the government of the State of Israel, of the other part</w:t>
      </w:r>
      <w:r>
        <w:rPr>
          <w:noProof/>
        </w:rPr>
        <w:t xml:space="preserve">, </w:t>
      </w:r>
      <w:r>
        <w:rPr>
          <w:rFonts w:eastAsia="Times New Roman"/>
          <w:noProof/>
        </w:rPr>
        <w:t>(‘the Agreement’) was concluded by the Union by means of Council Decision (EU) 2020/952</w:t>
      </w:r>
      <w:r>
        <w:rPr>
          <w:rStyle w:val="FootnoteReference"/>
          <w:noProof/>
        </w:rPr>
        <w:footnoteReference w:id="2"/>
      </w:r>
      <w:r>
        <w:rPr>
          <w:noProof/>
        </w:rPr>
        <w:t xml:space="preserve"> </w:t>
      </w:r>
      <w:r>
        <w:rPr>
          <w:rFonts w:eastAsia="Times New Roman"/>
          <w:noProof/>
        </w:rPr>
        <w:t xml:space="preserve">and entered into force on 2 August 2020. </w:t>
      </w:r>
      <w:r>
        <w:rPr>
          <w:noProof/>
        </w:rPr>
        <w:t xml:space="preserve"> </w:t>
      </w:r>
    </w:p>
    <w:bookmarkEnd w:id="2"/>
    <w:p>
      <w:pPr>
        <w:pStyle w:val="ManualConsidrant"/>
        <w:rPr>
          <w:noProof/>
        </w:rPr>
      </w:pPr>
      <w:r>
        <w:rPr>
          <w:noProof/>
        </w:rPr>
        <w:t>(2)</w:t>
      </w:r>
      <w:r>
        <w:rPr>
          <w:noProof/>
        </w:rPr>
        <w:tab/>
        <w:t>Article 22 of the Agreement establishes a Joint Committee to ensure the administration and proper implementation of the Agreement.</w:t>
      </w:r>
    </w:p>
    <w:p>
      <w:pPr>
        <w:pStyle w:val="ManualConsidrant"/>
        <w:rPr>
          <w:noProof/>
        </w:rPr>
      </w:pPr>
      <w:r>
        <w:rPr>
          <w:noProof/>
        </w:rPr>
        <w:t>(3)</w:t>
      </w:r>
      <w:r>
        <w:rPr>
          <w:noProof/>
        </w:rPr>
        <w:tab/>
        <w:t>Article 22(3) of the Agreement provides that the Joint Committee shall adopt its rules of procedure.</w:t>
      </w:r>
    </w:p>
    <w:p>
      <w:pPr>
        <w:pStyle w:val="ManualConsidrant"/>
        <w:rPr>
          <w:noProof/>
        </w:rPr>
      </w:pPr>
      <w:r>
        <w:rPr>
          <w:noProof/>
        </w:rPr>
        <w:t>(4)</w:t>
      </w:r>
      <w:r>
        <w:rPr>
          <w:noProof/>
        </w:rPr>
        <w:tab/>
        <w:t>In order to ensure the proper implementation of the Agreement, the Joint Committee’s rules of procedure should be adopted.</w:t>
      </w:r>
    </w:p>
    <w:p>
      <w:pPr>
        <w:pStyle w:val="ManualConsidrant"/>
        <w:rPr>
          <w:noProof/>
        </w:rPr>
      </w:pPr>
      <w:r>
        <w:rPr>
          <w:noProof/>
        </w:rPr>
        <w:t>(5)</w:t>
      </w:r>
      <w:r>
        <w:rPr>
          <w:noProof/>
        </w:rPr>
        <w:tab/>
        <w:t>It is appropriate to establish the position be taken on the Union’s behalf in the Joint Committee, since the decision of the Joint Committee adopting its rules of procedure will be binding on the Union. The position of the Union within the Joint Committee should be based on the attached draft Joint Committee Decision,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behalf of the Union in the first meeting of the Joint Committee set up by Article 22 of the </w:t>
      </w:r>
      <w:r>
        <w:rPr>
          <w:rFonts w:eastAsia="Times New Roman"/>
          <w:noProof/>
        </w:rPr>
        <w:t>Euro-Mediterranean Aviation Agreement between the European Union and its Member States, of the one part, and the government of the State of Israel, of the other part</w:t>
      </w:r>
      <w:r>
        <w:rPr>
          <w:noProof/>
        </w:rPr>
        <w:t>, in relation to the adoption of the rules of procedure of the Joint Committee, shall be based on the draft Decision of the Joint Committee attached to this Decision.</w:t>
      </w:r>
    </w:p>
    <w:p>
      <w:pPr>
        <w:spacing w:before="100" w:beforeAutospacing="1" w:after="100" w:afterAutospacing="1"/>
        <w:rPr>
          <w:rFonts w:eastAsia="Times New Roman"/>
          <w:noProof/>
        </w:rPr>
      </w:pPr>
      <w:r>
        <w:rPr>
          <w:rFonts w:eastAsia="Times New Roman"/>
          <w:noProof/>
        </w:rPr>
        <w:lastRenderedPageBreak/>
        <w:t>Minor changes to the draft Decision of the Joint Committee may be agreed to by the representatives of the Union within the Joint Committee without a further Council Decision.</w:t>
      </w:r>
    </w:p>
    <w:p>
      <w:pPr>
        <w:pStyle w:val="Titrearticle"/>
        <w:rPr>
          <w:noProof/>
        </w:rPr>
      </w:pPr>
      <w:r>
        <w:rPr>
          <w:noProof/>
        </w:rPr>
        <w:t>Article 2</w:t>
      </w:r>
    </w:p>
    <w:p>
      <w:pPr>
        <w:spacing w:before="100" w:beforeAutospacing="1" w:after="100" w:afterAutospacing="1"/>
        <w:rPr>
          <w:rFonts w:eastAsia="Times New Roman"/>
          <w:noProof/>
        </w:rPr>
      </w:pPr>
      <w:r>
        <w:rPr>
          <w:rFonts w:eastAsia="Times New Roman"/>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rFonts w:eastAsia="Times New Roman"/>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Council Decision (EU) 2020/952 of 26 June 2020 on the conclusion, on behalf of the Union, of the Euro-Mediterranean Aviation Agreement between the European Union and its Member States, of the one part and the government of the State of Israel, of the other part  (</w:t>
      </w:r>
      <w:r>
        <w:rPr>
          <w:rStyle w:val="Emphasis"/>
          <w:i w:val="0"/>
        </w:rPr>
        <w:t>OJ L 212, 3.7.2020, p. 10).</w:t>
      </w:r>
    </w:p>
  </w:footnote>
  <w:footnote w:id="2">
    <w:p>
      <w:pPr>
        <w:pStyle w:val="FootnoteText"/>
      </w:pPr>
      <w:r>
        <w:rPr>
          <w:rStyle w:val="FootnoteReference"/>
        </w:rPr>
        <w:footnoteRef/>
      </w:r>
      <w:r>
        <w:tab/>
        <w:t>Council Decision (EU) 2020/952 of 26 June 2020 on the conclusion, on behalf of the Union, of the Euro-Mediterranean Aviation Agreement between the European Union and its Member States, of the one part and the government of the State of Israel, of the other part  (OJ L 212, 3.7.2020,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6963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0 11:40: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C51AA0-50C6-4021-BD9F-29BDDE9A575B"/>
    <w:docVar w:name="LW_COVERPAGE_TYPE" w:val="1"/>
    <w:docVar w:name="LW_CROSSREFERENCE" w:val="&lt;UNUSED&gt;"/>
    <w:docVar w:name="LW_DocType" w:val="COM"/>
    <w:docVar w:name="LW_EMISSION" w:val="27.11.2020"/>
    <w:docVar w:name="LW_EMISSION_ISODATE" w:val="2020-11-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9"/>
    <w:docVar w:name="LW_REF.II.NEW.CP_YEAR" w:val="2020"/>
    <w:docVar w:name="LW_REF.INST.NEW" w:val="COM"/>
    <w:docVar w:name="LW_REF.INST.NEW_ADOPTED" w:val="final"/>
    <w:docVar w:name="LW_REF.INST.NEW_TEXT" w:val="(2020)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Euro-Mediterranean Aviation Agreement between the European Union and its Member States, of the one part and the government of the State of Israel,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55159">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B7FDA139-336F-4E08-B1EE-A6A6129D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1391</Words>
  <Characters>7141</Characters>
  <Application>Microsoft Office Word</Application>
  <DocSecurity>0</DocSecurity>
  <Lines>134</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2020-11-18T16:36:00Z</dcterms:created>
  <dcterms:modified xsi:type="dcterms:W3CDTF">2020-11-20T10:40:00Z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