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5F7FDBE-E315-437D-9DA9-CC8EB9C191BE" style="width:450.25pt;height:334.2pt">
            <v:imagedata r:id="rId9" o:title=""/>
          </v:shape>
        </w:pict>
      </w:r>
    </w:p>
    <w:bookmarkEnd w:id="0"/>
    <w:p>
      <w:pPr>
        <w:rPr>
          <w:rFonts w:eastAsiaTheme="minorHAnsi"/>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numPr>
          <w:ilvl w:val="0"/>
          <w:numId w:val="3"/>
        </w:numPr>
        <w:spacing w:before="0"/>
        <w:ind w:left="567" w:hanging="567"/>
        <w:rPr>
          <w:rFonts w:ascii="Times New Roman" w:hAnsi="Times New Roman" w:cs="Times New Roman"/>
          <w:b/>
          <w:noProof/>
          <w:color w:val="auto"/>
          <w:sz w:val="24"/>
          <w:szCs w:val="24"/>
        </w:rPr>
      </w:pPr>
      <w:bookmarkStart w:id="1" w:name="_GoBack"/>
      <w:bookmarkEnd w:id="1"/>
      <w:r>
        <w:rPr>
          <w:rFonts w:ascii="Times New Roman" w:hAnsi="Times New Roman"/>
          <w:b/>
          <w:noProof/>
          <w:color w:val="auto"/>
          <w:sz w:val="24"/>
          <w:szCs w:val="24"/>
        </w:rPr>
        <w:lastRenderedPageBreak/>
        <w:t>Лекарствата — силна екосистема на важен кръстопът</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Доброто здраве е от основно значение за човешкото благополучие и зависи от множество фактори, включително здравословния начин на живот и справедливия и равнопоставен достъп до здравеопазване — основен стълб на европейския начин на живот. От друга страна няма добро здравеопазване без ефективни и безопасни лекарства, които всички могат да си позволят. </w:t>
      </w:r>
    </w:p>
    <w:p>
      <w:pPr>
        <w:spacing w:line="240" w:lineRule="auto"/>
        <w:jc w:val="both"/>
        <w:rPr>
          <w:noProof/>
        </w:rPr>
      </w:pPr>
      <w:r>
        <w:rPr>
          <w:rFonts w:ascii="Times New Roman" w:hAnsi="Times New Roman"/>
          <w:noProof/>
          <w:sz w:val="24"/>
          <w:szCs w:val="24"/>
        </w:rPr>
        <w:t>През последните години в Европейския съюз бе постигнат голям напредък в областта на здравеопазването, като средната продължителност на живота при раждане в ЕС се е увеличила с 3,3 години от 2002 г. насам</w:t>
      </w:r>
      <w:r>
        <w:rPr>
          <w:rStyle w:val="FootnoteReference"/>
          <w:rFonts w:ascii="Times New Roman" w:hAnsi="Times New Roman"/>
          <w:noProof/>
          <w:sz w:val="24"/>
          <w:szCs w:val="24"/>
        </w:rPr>
        <w:footnoteReference w:id="2"/>
      </w:r>
      <w:r>
        <w:rPr>
          <w:rFonts w:ascii="Times New Roman" w:hAnsi="Times New Roman"/>
          <w:noProof/>
          <w:sz w:val="24"/>
          <w:szCs w:val="24"/>
        </w:rPr>
        <w:t>. Новите лекарства, ваксини и лечения спомогнаха за отстраняване на някои от водещите фактори, причиняващи болести и животозастрашаващи заболявания.</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hAnsi="Times New Roman"/>
          <w:b/>
          <w:noProof/>
          <w:sz w:val="24"/>
          <w:szCs w:val="24"/>
        </w:rPr>
      </w:pPr>
      <w:r>
        <w:rPr>
          <w:rFonts w:ascii="Times New Roman" w:hAnsi="Times New Roman"/>
          <w:b/>
          <w:noProof/>
          <w:sz w:val="24"/>
          <w:szCs w:val="24"/>
        </w:rPr>
        <w:t xml:space="preserve">Основни постижения в лечението на различни заболявания в ЕС през последните 20 години: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noProof/>
        </w:rPr>
      </w:pPr>
      <w:r>
        <w:rPr>
          <w:rFonts w:ascii="Times New Roman" w:hAnsi="Times New Roman"/>
          <w:noProof/>
        </w:rPr>
        <w:t>Биотехнологичните продукти предлагат лечение за много хронични заболявания като диабет или анемия при пациенти с бъбречна недостатъчност. От 2014 г. хроничният хепатит C се лекува с ново поколение антивирусни лекарства.</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noProof/>
        </w:rPr>
      </w:pPr>
      <w:r>
        <w:rPr>
          <w:rFonts w:ascii="Times New Roman" w:hAnsi="Times New Roman"/>
          <w:noProof/>
        </w:rPr>
        <w:t>Няколко широко използвани ваксини предлагат защита срещу хепатит B, папиломен вирус или холера. През 2020 г. Комисията разреши първата ваксина срещу ебола.</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noProof/>
        </w:rPr>
      </w:pPr>
      <w:r>
        <w:rPr>
          <w:rFonts w:ascii="Times New Roman" w:hAnsi="Times New Roman"/>
          <w:noProof/>
        </w:rPr>
        <w:t>Персонализираните терапии коренно подобриха изгледите за някои пациенти с рак, пример за което е трастузумаб, който повишава дела на излекуваните с HER2-позитивен рак на гърдата</w:t>
      </w:r>
      <w:r>
        <w:rPr>
          <w:rStyle w:val="FootnoteReference"/>
          <w:rFonts w:ascii="Times New Roman" w:hAnsi="Times New Roman"/>
          <w:noProof/>
        </w:rPr>
        <w:footnoteReference w:id="3"/>
      </w:r>
      <w:r>
        <w:rPr>
          <w:rFonts w:ascii="Times New Roman" w:hAnsi="Times New Roman"/>
          <w:noProof/>
        </w:rPr>
        <w:t xml:space="preserve"> и общата преживяемост при напреднал стадий на заболяването.</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noProof/>
        </w:rPr>
      </w:pPr>
      <w:r>
        <w:rPr>
          <w:rFonts w:ascii="Times New Roman" w:hAnsi="Times New Roman"/>
          <w:noProof/>
        </w:rPr>
        <w:t>Лекарствените продукти за модерна терапия, като например продуктите за клетъчна и генна терапия, проправят пътя за нови обещаващи терапии. Неотдавна беше разрешено лечението на някои видове рак на кръвта с CAR-T терапии</w:t>
      </w:r>
      <w:r>
        <w:rPr>
          <w:rStyle w:val="FootnoteReference"/>
          <w:rFonts w:ascii="Times New Roman" w:hAnsi="Times New Roman"/>
          <w:noProof/>
        </w:rPr>
        <w:footnoteReference w:id="4"/>
      </w:r>
      <w:r>
        <w:rPr>
          <w:rFonts w:ascii="Times New Roman" w:hAnsi="Times New Roman"/>
          <w:noProof/>
        </w:rPr>
        <w:t>, както и лекарство за лечение на бета таласемия майор, болест на кръвта, при която е необходимо поддържащо кръвопреливане.</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Много пациенти обаче не могат да се възползват от бързите промени и нововъведения, тъй като или не могат да си позволят тези лекарства, или за тях те не са налични като терапевтичен вариант. Все по-очевидно е, че се нуждаем от екологично отговорна употреба на фармацевтичните продукти. </w:t>
      </w:r>
    </w:p>
    <w:p>
      <w:pPr>
        <w:spacing w:line="240" w:lineRule="auto"/>
        <w:jc w:val="both"/>
        <w:rPr>
          <w:rFonts w:ascii="Times New Roman" w:hAnsi="Times New Roman"/>
          <w:noProof/>
          <w:sz w:val="24"/>
          <w:szCs w:val="24"/>
        </w:rPr>
      </w:pPr>
      <w:r>
        <w:rPr>
          <w:rFonts w:ascii="Times New Roman" w:hAnsi="Times New Roman"/>
          <w:noProof/>
          <w:sz w:val="24"/>
          <w:szCs w:val="24"/>
        </w:rPr>
        <w:t>Пандемията от COVID-19 има и продължава да оказва много сериозно въздействие върху Европа. Отговорът на Европа имаше своите силни страни, но кризата разкри по категоричен начин някои съществуващи слабости, включително при набавянето на данни, доставките на лекарства или наличието на производствен капацитет за адаптиране и подпомагане на производството на лекарства. Сключването на предварителни споразумения за закупуване на ваксини обаче е пример за ефективно сътрудничество между публичните и регулаторните органи, фармацевтичната промишленост и организациите на гражданското общество. Очакваният повсеместен и равноправен достъп до безопасни и ефективни ваксини поражда надежда за излизане от кризата и за един преобразен, иновативен, ориентиран към пациентите и водещ в световен мащаб фармацевтичен сектор.</w:t>
      </w:r>
    </w:p>
    <w:p>
      <w:pPr>
        <w:spacing w:line="240" w:lineRule="auto"/>
        <w:jc w:val="both"/>
        <w:rPr>
          <w:rFonts w:ascii="Times New Roman" w:hAnsi="Times New Roman"/>
          <w:noProof/>
          <w:sz w:val="24"/>
          <w:szCs w:val="24"/>
        </w:rPr>
      </w:pPr>
      <w:r>
        <w:rPr>
          <w:rFonts w:ascii="Times New Roman" w:hAnsi="Times New Roman"/>
          <w:noProof/>
          <w:sz w:val="24"/>
          <w:szCs w:val="24"/>
        </w:rPr>
        <w:t>Необходим е нов подход на ЕС, за да се гарантира, че разполагаме със силна, справедлива, конкурентоспособна и екологосъобразна фармацевтична промишленост, която е в услуга на пациентите и използва потенциала на цифровата трансформация на здравеопазването и здравните грижи, тласкана напред от технологичния напредък в области като изкуствения интелект и изчислителното моделиране. Нуждаем се от добре функциониращи международни вериги на доставки и добре функциониращ единен пазар на фармацевтичните продукти посредством подход, който обхваща целия жизнен цикъл на фармацевтичните продукти — от производството до потреблението, дистрибуцията и унищожаването им.</w:t>
      </w:r>
    </w:p>
    <w:p>
      <w:pPr>
        <w:spacing w:line="240" w:lineRule="auto"/>
        <w:jc w:val="both"/>
        <w:rPr>
          <w:rFonts w:ascii="Times New Roman" w:hAnsi="Times New Roman"/>
          <w:noProof/>
          <w:sz w:val="24"/>
          <w:szCs w:val="24"/>
        </w:rPr>
      </w:pPr>
      <w:r>
        <w:rPr>
          <w:rFonts w:ascii="Times New Roman" w:hAnsi="Times New Roman"/>
          <w:noProof/>
          <w:sz w:val="24"/>
          <w:szCs w:val="24"/>
        </w:rPr>
        <w:t xml:space="preserve">Това е контекстът на предлаганата от Комисията </w:t>
      </w:r>
      <w:r>
        <w:rPr>
          <w:rFonts w:ascii="Times New Roman" w:hAnsi="Times New Roman"/>
          <w:b/>
          <w:noProof/>
          <w:sz w:val="24"/>
          <w:szCs w:val="24"/>
        </w:rPr>
        <w:t>нова фармацевтична стратегия за Европа</w:t>
      </w:r>
      <w:r>
        <w:rPr>
          <w:rFonts w:ascii="Times New Roman" w:hAnsi="Times New Roman"/>
          <w:noProof/>
          <w:sz w:val="24"/>
          <w:szCs w:val="24"/>
        </w:rPr>
        <w:t>. Това е стратегия с мисъл за пациентите, която цели гарантирано качество и безопасност на лекарствата заедно с по-голяма конкурентоспособност на фармацевтичната промишленост в световен мащаб. Комисията залага на тази стратегия за изграждането на един по-силен Европейски здравен съюз</w:t>
      </w:r>
      <w:r>
        <w:rPr>
          <w:rFonts w:ascii="Times New Roman" w:hAnsi="Times New Roman"/>
          <w:noProof/>
          <w:sz w:val="24"/>
          <w:szCs w:val="24"/>
          <w:vertAlign w:val="superscript"/>
        </w:rPr>
        <w:footnoteReference w:id="5"/>
      </w:r>
      <w:r>
        <w:rPr>
          <w:rFonts w:ascii="Times New Roman" w:hAnsi="Times New Roman"/>
          <w:noProof/>
          <w:sz w:val="24"/>
          <w:szCs w:val="24"/>
        </w:rPr>
        <w:t>, както изложи председателят Фон дер Лайен в речта си за състоянието на Съюза през 2020 г.</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Новата фармацевтична стратегия потвърждава силните основи, на които ще гради ЕС. Европа разполага с всеобхватна фармацевтична система — от разработването и разрешаването на лекарствата до тяхното проследяване след получаване на разрешение. Комисията, Европейската агенция по лекарствата (EMA), регулаторните органи по лекарствата в държавите членки и Европейското икономическо пространство работят заедно в рамките на европейската регулаторна мрежа за лекарствата, за да гарантират, че до пациентите достигат </w:t>
      </w:r>
      <w:r>
        <w:rPr>
          <w:rFonts w:ascii="Times New Roman" w:hAnsi="Times New Roman"/>
          <w:b/>
          <w:noProof/>
          <w:sz w:val="24"/>
          <w:szCs w:val="24"/>
        </w:rPr>
        <w:t>висококачествени, ефективни и безопасни лекарства</w:t>
      </w:r>
      <w:r>
        <w:rPr>
          <w:rFonts w:ascii="Times New Roman" w:hAnsi="Times New Roman"/>
          <w:noProof/>
          <w:sz w:val="24"/>
          <w:szCs w:val="24"/>
        </w:rPr>
        <w:t>.</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Здравните системи на държавите — членки на ЕС, които използват тези лекарства, са изключително важна част от високите равнища на социална закрила и сближаване в Европа и са основани върху споделените ценности за всеобщ достъп до висококачествени грижи, справедливост и солидарност. </w:t>
      </w:r>
    </w:p>
    <w:p>
      <w:pPr>
        <w:spacing w:line="240" w:lineRule="auto"/>
        <w:jc w:val="both"/>
        <w:rPr>
          <w:rFonts w:ascii="Times New Roman" w:hAnsi="Times New Roman"/>
          <w:noProof/>
          <w:sz w:val="24"/>
          <w:szCs w:val="24"/>
        </w:rPr>
      </w:pPr>
      <w:r>
        <w:rPr>
          <w:rFonts w:ascii="Times New Roman" w:hAnsi="Times New Roman"/>
          <w:noProof/>
          <w:sz w:val="24"/>
          <w:szCs w:val="24"/>
        </w:rPr>
        <w:t>ЕС притежава силна и конкурентоспособна фармацевтична промишленост. Заедно с други публични и частни субекти тя служи на общественото здраве и действа като двигател за създаването на работни места, търговията и науката. Производителите на лекарства са най-големият инвеститор в научни изследвания през 2019 г. (над 37 милиарда евро). Фармацевтичната промишленост осигурява 800 000 преки работни места и търговски излишък от 109,4 милиарда евро</w:t>
      </w:r>
      <w:r>
        <w:rPr>
          <w:rStyle w:val="FootnoteReference"/>
          <w:rFonts w:ascii="Times New Roman" w:hAnsi="Times New Roman"/>
          <w:noProof/>
          <w:sz w:val="24"/>
          <w:szCs w:val="24"/>
        </w:rPr>
        <w:footnoteReference w:id="6"/>
      </w:r>
      <w:r>
        <w:rPr>
          <w:rFonts w:ascii="Times New Roman" w:hAnsi="Times New Roman"/>
          <w:noProof/>
          <w:sz w:val="24"/>
          <w:szCs w:val="24"/>
        </w:rPr>
        <w:t>. ЕС е вторият по големина пазар на фармацевтични продукти в света, в който участват много заинтересовани страни — от стартиращи предприятия до големи компании, от производители на патентовани лекарства до такива на генерични и биоподобни лекарствени продукти, от търговци на едро и дистрибутори до паралелни търговци, от разработчици на медицински изделия до разработчици на софтуер. На новопоявяващите се биофармацевтични дружества се падат над 70 % от изследователския процес</w:t>
      </w:r>
      <w:r>
        <w:rPr>
          <w:rStyle w:val="FootnoteReference"/>
          <w:rFonts w:ascii="Times New Roman" w:hAnsi="Times New Roman"/>
          <w:noProof/>
          <w:sz w:val="24"/>
          <w:szCs w:val="24"/>
        </w:rPr>
        <w:footnoteReference w:id="7"/>
      </w:r>
      <w:r>
        <w:rPr>
          <w:rFonts w:ascii="Times New Roman" w:hAnsi="Times New Roman"/>
          <w:noProof/>
          <w:sz w:val="24"/>
          <w:szCs w:val="24"/>
        </w:rPr>
        <w:t>, което прави отрасъла много динамичен.</w:t>
      </w:r>
    </w:p>
    <w:p>
      <w:pPr>
        <w:spacing w:line="240" w:lineRule="auto"/>
        <w:jc w:val="both"/>
        <w:rPr>
          <w:rFonts w:ascii="Times New Roman" w:hAnsi="Times New Roman"/>
          <w:noProof/>
          <w:sz w:val="24"/>
          <w:szCs w:val="24"/>
        </w:rPr>
      </w:pPr>
      <w:r>
        <w:rPr>
          <w:rFonts w:ascii="Times New Roman" w:hAnsi="Times New Roman"/>
          <w:noProof/>
          <w:sz w:val="24"/>
          <w:szCs w:val="24"/>
        </w:rPr>
        <w:t>Фармацевтичната стратегия за Европа ще гради на тези основи. Тя ще способства за това иновативните лекарства да достигат до пациентите на достъпни цени и ще подкрепи конкурентоспособността и иновационния капацитет на фармацевтичната промишленост на ЕС. Тя ще развие отворената стратегическа автономност на ЕС и ще осигури стабилни вериги на доставки, така че Европа да може да посрещне нуждите си, включително в кризисни времена. Стратегията ще гарантира също така гласът на ЕС да се чува на световната сцена. Тя има четири работни направления, които произтичат от тези цели. Всяко направление съдържа водещи инициативи и съпътстващи мерки, които да гарантират, че целите ще доведат до осезаеми резултати. Взети заедно, всички те ще гарантират, че фармацевтичната политика на Европа следва политиката за преход към зелена и цифрова икономика, съобразява се с демографските промени, днешните реалности и стремежите за бъдещето, бидейки част от един по-силен Здравен съюз.</w:t>
      </w:r>
    </w:p>
    <w:p>
      <w:pPr>
        <w:spacing w:line="240" w:lineRule="auto"/>
        <w:jc w:val="both"/>
        <w:rPr>
          <w:rFonts w:ascii="Times New Roman" w:hAnsi="Times New Roman"/>
          <w:noProof/>
          <w:sz w:val="24"/>
          <w:szCs w:val="24"/>
        </w:rPr>
      </w:pPr>
      <w:r>
        <w:rPr>
          <w:rFonts w:ascii="Times New Roman" w:hAnsi="Times New Roman"/>
          <w:noProof/>
          <w:sz w:val="24"/>
          <w:szCs w:val="24"/>
        </w:rPr>
        <w:t>Стратегията ще спомогне и за постигането на други цели на Съюза. Подпомагайки иновациите за посрещане на потребностите, които досега не са получили удовлетворително решение, включително при ваксинирането срещу лечими инфекции, причиняващи рак, както и при лекарствата за педиатрични и редки ракови заболявания, стратегията допринася пряко за изпълнението на европейския план за борба с рака. Заедно фармацевтичната стратегия и планът за борба с рака ще гарантират, че пациентите в цяла Европа могат да получат достъп до висококачествено лечение и нови терапии, когато се нуждаят от тях, както и  че до раковите пациенти в целия ЕС достигат основни лекарства, които те могат да си позволят. Действията по стратегията за преодоляване на проблема с достъпа до лекарства ще спомогнат и за изпълнението на ангажиментите на равнище ЕС в рамките на целите на ООН за устойчиво развитие.</w:t>
      </w:r>
    </w:p>
    <w:p>
      <w:pPr>
        <w:spacing w:line="240" w:lineRule="auto"/>
        <w:jc w:val="both"/>
        <w:rPr>
          <w:rFonts w:ascii="Times New Roman" w:hAnsi="Times New Roman"/>
          <w:noProof/>
          <w:sz w:val="24"/>
          <w:szCs w:val="24"/>
        </w:rPr>
      </w:pPr>
      <w:r>
        <w:rPr>
          <w:rFonts w:ascii="Times New Roman" w:hAnsi="Times New Roman"/>
          <w:noProof/>
          <w:sz w:val="24"/>
          <w:szCs w:val="24"/>
        </w:rPr>
        <w:t>Стратегията</w:t>
      </w:r>
      <w:r>
        <w:rPr>
          <w:rStyle w:val="FootnoteReference"/>
          <w:rFonts w:ascii="Times New Roman" w:hAnsi="Times New Roman"/>
          <w:noProof/>
          <w:sz w:val="24"/>
          <w:szCs w:val="24"/>
        </w:rPr>
        <w:footnoteReference w:id="8"/>
      </w:r>
      <w:r>
        <w:rPr>
          <w:rFonts w:ascii="Times New Roman" w:hAnsi="Times New Roman"/>
          <w:noProof/>
          <w:sz w:val="24"/>
          <w:szCs w:val="24"/>
        </w:rPr>
        <w:t xml:space="preserve"> също така допълва Европейския зелен пакт</w:t>
      </w:r>
      <w:r>
        <w:rPr>
          <w:rStyle w:val="FootnoteReference"/>
          <w:rFonts w:ascii="Times New Roman" w:hAnsi="Times New Roman"/>
          <w:noProof/>
          <w:sz w:val="24"/>
          <w:szCs w:val="24"/>
        </w:rPr>
        <w:footnoteReference w:id="9"/>
      </w:r>
      <w:r>
        <w:rPr>
          <w:rFonts w:ascii="Times New Roman" w:hAnsi="Times New Roman"/>
          <w:noProof/>
          <w:sz w:val="24"/>
          <w:szCs w:val="24"/>
        </w:rPr>
        <w:t xml:space="preserve"> и по-специално амбицията за нулево замърсяване с цел осигуряване на нетоксична околна среда, особено що се отнася до въздействието на фармацевтичните вещества върху околната среда. Фармацевтичната стратегия дава възможност на промишлеността да допринесе за това ЕС да постигне неутралност по отношение на климата и поставя ударение върху намаляването на емисиите на парникови газове по веригата за създаване на стойност. Тя също така ще допринесе и за изпълнението на плана за действие за прилагане на европейския стълб на социалните права</w:t>
      </w:r>
      <w:r>
        <w:rPr>
          <w:rFonts w:ascii="Times New Roman" w:hAnsi="Times New Roman"/>
          <w:noProof/>
          <w:sz w:val="24"/>
          <w:szCs w:val="24"/>
          <w:vertAlign w:val="superscript"/>
        </w:rPr>
        <w:footnoteReference w:id="10"/>
      </w:r>
      <w:r>
        <w:rPr>
          <w:rFonts w:ascii="Times New Roman" w:hAnsi="Times New Roman"/>
          <w:noProof/>
          <w:sz w:val="24"/>
          <w:szCs w:val="24"/>
        </w:rPr>
        <w:t>, на стратегическите рамки за постигане на Съюз на равенството</w:t>
      </w:r>
      <w:r>
        <w:rPr>
          <w:rStyle w:val="FootnoteReference"/>
          <w:rFonts w:ascii="Times New Roman" w:hAnsi="Times New Roman"/>
          <w:noProof/>
          <w:sz w:val="24"/>
          <w:szCs w:val="24"/>
        </w:rPr>
        <w:footnoteReference w:id="11"/>
      </w:r>
      <w:r>
        <w:rPr>
          <w:rFonts w:ascii="Times New Roman" w:hAnsi="Times New Roman"/>
          <w:noProof/>
          <w:sz w:val="24"/>
          <w:szCs w:val="24"/>
        </w:rPr>
        <w:t>, на предстоящата Зелена книга относно застаряването, на стратегията за изграждане на цифровото бъдеще на Европа</w:t>
      </w:r>
      <w:r>
        <w:rPr>
          <w:rFonts w:ascii="Times New Roman" w:hAnsi="Times New Roman"/>
          <w:noProof/>
          <w:sz w:val="24"/>
          <w:szCs w:val="24"/>
          <w:vertAlign w:val="superscript"/>
        </w:rPr>
        <w:footnoteReference w:id="12"/>
      </w:r>
      <w:r>
        <w:rPr>
          <w:rFonts w:ascii="Times New Roman" w:hAnsi="Times New Roman"/>
          <w:noProof/>
          <w:sz w:val="24"/>
          <w:szCs w:val="24"/>
        </w:rPr>
        <w:t>, на европейската стратегия за данните</w:t>
      </w:r>
      <w:r>
        <w:rPr>
          <w:rStyle w:val="FootnoteReference"/>
          <w:rFonts w:ascii="Times New Roman" w:hAnsi="Times New Roman"/>
          <w:noProof/>
          <w:sz w:val="24"/>
          <w:szCs w:val="24"/>
        </w:rPr>
        <w:footnoteReference w:id="13"/>
      </w:r>
      <w:r>
        <w:rPr>
          <w:rFonts w:ascii="Times New Roman" w:hAnsi="Times New Roman"/>
          <w:noProof/>
          <w:sz w:val="24"/>
          <w:szCs w:val="24"/>
        </w:rPr>
        <w:t>, на работата по създаването на европейско пространство на здравни данни, на Европейския план за действие „Едно здраве“ срещу антимикробната резистентност</w:t>
      </w:r>
      <w:r>
        <w:rPr>
          <w:rStyle w:val="FootnoteReference"/>
          <w:rFonts w:ascii="Times New Roman" w:hAnsi="Times New Roman"/>
          <w:noProof/>
          <w:sz w:val="24"/>
          <w:szCs w:val="24"/>
        </w:rPr>
        <w:footnoteReference w:id="14"/>
      </w:r>
      <w:r>
        <w:rPr>
          <w:rFonts w:ascii="Times New Roman" w:hAnsi="Times New Roman"/>
          <w:noProof/>
          <w:sz w:val="24"/>
          <w:szCs w:val="24"/>
        </w:rPr>
        <w:t xml:space="preserve"> и на новата промишлена стратегия за Европа</w:t>
      </w:r>
      <w:r>
        <w:rPr>
          <w:rFonts w:ascii="Times New Roman" w:hAnsi="Times New Roman"/>
          <w:noProof/>
          <w:sz w:val="24"/>
          <w:szCs w:val="24"/>
          <w:vertAlign w:val="superscript"/>
        </w:rPr>
        <w:footnoteReference w:id="15"/>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szCs w:val="24"/>
        </w:rPr>
        <w:t>И накрая, стратегията е от ключово значение и за държавите извън ЕС, по-специално държавите от Западните Балкани и съседните на ЕС държави, тъй като страните кандидатки, потенциалните кандидатки и държавите със ЗВЗСТ</w:t>
      </w:r>
      <w:r>
        <w:rPr>
          <w:rStyle w:val="FootnoteReference"/>
          <w:rFonts w:ascii="Times New Roman" w:hAnsi="Times New Roman"/>
          <w:noProof/>
          <w:sz w:val="24"/>
          <w:szCs w:val="24"/>
        </w:rPr>
        <w:footnoteReference w:id="16"/>
      </w:r>
      <w:r>
        <w:rPr>
          <w:rFonts w:ascii="Times New Roman" w:hAnsi="Times New Roman"/>
          <w:noProof/>
          <w:sz w:val="24"/>
          <w:szCs w:val="24"/>
        </w:rPr>
        <w:t xml:space="preserve"> са длъжни да приведат законодателството си в съответствие с достиженията на правото на ЕС в областта на фармацевтичните продукти.</w:t>
      </w:r>
    </w:p>
    <w:p>
      <w:pPr>
        <w:pStyle w:val="Heading1"/>
        <w:numPr>
          <w:ilvl w:val="0"/>
          <w:numId w:val="3"/>
        </w:numPr>
        <w:spacing w:line="240" w:lineRule="auto"/>
        <w:ind w:left="567" w:hanging="567"/>
        <w:rPr>
          <w:rFonts w:ascii="Times New Roman" w:hAnsi="Times New Roman" w:cs="Times New Roman"/>
          <w:b/>
          <w:noProof/>
          <w:color w:val="auto"/>
          <w:sz w:val="24"/>
          <w:szCs w:val="24"/>
        </w:rPr>
      </w:pPr>
      <w:r>
        <w:rPr>
          <w:rFonts w:ascii="Times New Roman" w:hAnsi="Times New Roman"/>
          <w:b/>
          <w:noProof/>
          <w:color w:val="auto"/>
          <w:sz w:val="24"/>
          <w:szCs w:val="24"/>
        </w:rPr>
        <w:t>В услуга на пациентите: посрещане на неудовлетворените медицински потребности и гарантиране наличието и ценовата достъпност на лекарствата</w:t>
      </w:r>
    </w:p>
    <w:p>
      <w:pPr>
        <w:pStyle w:val="Heading2"/>
        <w:numPr>
          <w:ilvl w:val="1"/>
          <w:numId w:val="3"/>
        </w:numPr>
        <w:spacing w:before="200" w:line="240" w:lineRule="auto"/>
        <w:ind w:left="340" w:hanging="340"/>
        <w:rPr>
          <w:rFonts w:ascii="Times New Roman" w:hAnsi="Times New Roman" w:cs="Times New Roman"/>
          <w:i/>
          <w:noProof/>
          <w:color w:val="auto"/>
          <w:sz w:val="24"/>
          <w:szCs w:val="24"/>
        </w:rPr>
      </w:pPr>
      <w:r>
        <w:rPr>
          <w:rFonts w:ascii="Times New Roman" w:hAnsi="Times New Roman"/>
          <w:i/>
          <w:noProof/>
          <w:color w:val="auto"/>
          <w:sz w:val="24"/>
          <w:szCs w:val="24"/>
        </w:rPr>
        <w:t>Приоритизиране на неудовлетворените медицински потребности</w:t>
      </w:r>
    </w:p>
    <w:p>
      <w:pPr>
        <w:spacing w:line="240" w:lineRule="auto"/>
        <w:jc w:val="both"/>
        <w:rPr>
          <w:rFonts w:ascii="Times New Roman" w:hAnsi="Times New Roman"/>
          <w:noProof/>
          <w:sz w:val="24"/>
          <w:szCs w:val="24"/>
        </w:rPr>
      </w:pPr>
      <w:r>
        <w:rPr>
          <w:rFonts w:ascii="Times New Roman" w:hAnsi="Times New Roman"/>
          <w:noProof/>
          <w:sz w:val="24"/>
          <w:szCs w:val="24"/>
        </w:rPr>
        <w:t>Инвестициите в научноизследователска и развойна дейност (НИРД) за иновативни лекарства и лечения са от съществено значение за постигането на напредък в профилактиката и лечението на заболяванията. Достъпът до безопасни, висококачествени и ефективни лекарства е ключов елемент от социалното благополучие, включително за хората в неравностойно положение, уязвимите групи, като хората с увреждания, хората с малцинствен етнически или расов произход и възрастните хора. Налице е все по-голям консенсус, че политиките трябва да бъдат преосмислени, за да се стимулират иновациите, особено в области с неудовлетворени потребности, като самите фармацевтични иновации трябва да се ориентират в по-голяма степен към пациентите, да бъдат съобразени със здравните системи и да отчитат мултидисциплинарните изисквания, като например при дългосрочните грижи.</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Понастоящем инвестициите не са непременно насочени към най-важните </w:t>
      </w:r>
      <w:r>
        <w:rPr>
          <w:rFonts w:ascii="Times New Roman" w:hAnsi="Times New Roman"/>
          <w:b/>
          <w:noProof/>
          <w:sz w:val="24"/>
          <w:szCs w:val="24"/>
        </w:rPr>
        <w:t>неудовлетворени потребности</w:t>
      </w:r>
      <w:r>
        <w:rPr>
          <w:rFonts w:ascii="Times New Roman" w:hAnsi="Times New Roman"/>
          <w:noProof/>
          <w:sz w:val="24"/>
          <w:szCs w:val="24"/>
        </w:rPr>
        <w:t xml:space="preserve"> поради липсата на търговски интерес или пределите на науката. Все още липсват терапии за важни заболявания, например невродегенеративните заболявания и раковите заболявания при децата. Освен това има над 7000 известни редки заболявания, включително редки ракови заболявания, за 95 % от които все още няма лечение</w:t>
      </w:r>
      <w:r>
        <w:rPr>
          <w:rFonts w:ascii="Times New Roman" w:hAnsi="Times New Roman"/>
          <w:noProof/>
          <w:sz w:val="24"/>
          <w:szCs w:val="24"/>
          <w:vertAlign w:val="superscript"/>
        </w:rPr>
        <w:footnoteReference w:id="17"/>
      </w:r>
      <w:r>
        <w:rPr>
          <w:rFonts w:ascii="Times New Roman" w:hAnsi="Times New Roman"/>
          <w:noProof/>
          <w:sz w:val="24"/>
          <w:szCs w:val="24"/>
        </w:rPr>
        <w:t xml:space="preserve">. Други минуси са свързани с липсата на разработки за нови антимикробни средства, лечения или ваксини за възникващи заплахи за здравето (включително подобни на настоящата пандемия, като например тежкия остър респираторен синдром коронавирус 2 (SARS-CoV-2) </w:t>
      </w:r>
      <w:r>
        <w:rPr>
          <w:rFonts w:ascii="Times New Roman" w:hAnsi="Times New Roman"/>
          <w:noProof/>
          <w:color w:val="000000"/>
          <w:sz w:val="24"/>
          <w:szCs w:val="24"/>
          <w:shd w:val="clear" w:color="auto" w:fill="FFFFFF"/>
        </w:rPr>
        <w:t>или</w:t>
      </w:r>
      <w:r>
        <w:rPr>
          <w:rFonts w:ascii="Times New Roman" w:hAnsi="Times New Roman"/>
          <w:noProof/>
          <w:sz w:val="24"/>
          <w:szCs w:val="24"/>
        </w:rPr>
        <w:t xml:space="preserve"> </w:t>
      </w:r>
      <w:r>
        <w:rPr>
          <w:rStyle w:val="FootnoteReference"/>
          <w:rFonts w:ascii="Times New Roman" w:hAnsi="Times New Roman"/>
          <w:noProof/>
          <w:sz w:val="24"/>
          <w:szCs w:val="24"/>
          <w:vertAlign w:val="baseline"/>
        </w:rPr>
        <w:t>близкоизточния респираторен синдром</w:t>
      </w:r>
      <w:r>
        <w:rPr>
          <w:rFonts w:ascii="Times New Roman" w:hAnsi="Times New Roman"/>
          <w:noProof/>
          <w:sz w:val="24"/>
          <w:szCs w:val="24"/>
        </w:rPr>
        <w:t xml:space="preserve"> </w:t>
      </w:r>
      <w:r>
        <w:rPr>
          <w:rFonts w:ascii="Times New Roman" w:hAnsi="Times New Roman"/>
          <w:noProof/>
          <w:color w:val="000000"/>
          <w:sz w:val="24"/>
          <w:szCs w:val="24"/>
          <w:shd w:val="clear" w:color="auto" w:fill="FFFFFF"/>
        </w:rPr>
        <w:t>(MERS))</w:t>
      </w:r>
      <w:r>
        <w:rPr>
          <w:rFonts w:ascii="Times New Roman" w:hAnsi="Times New Roman"/>
          <w:noProof/>
          <w:sz w:val="24"/>
          <w:szCs w:val="24"/>
        </w:rPr>
        <w:t xml:space="preserve"> и липсата на лечение за конкретни групи от населението, като бременни и кърмещи жени и възрастни хора.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Разработването на нови антимикробни средства или на техни алтернативи е отличен пример за неудовлетворени медицински потребности, като се има предвид липсата на терапевтични възможности за справяне с </w:t>
      </w:r>
      <w:r>
        <w:rPr>
          <w:rFonts w:ascii="Times New Roman" w:hAnsi="Times New Roman"/>
          <w:b/>
          <w:noProof/>
          <w:sz w:val="24"/>
          <w:szCs w:val="24"/>
        </w:rPr>
        <w:t>антимикробната резистентност</w:t>
      </w:r>
      <w:r>
        <w:rPr>
          <w:rFonts w:ascii="Times New Roman" w:hAnsi="Times New Roman"/>
          <w:noProof/>
          <w:sz w:val="24"/>
          <w:szCs w:val="24"/>
        </w:rPr>
        <w:t xml:space="preserve"> (АМР). АМР намалява способностите ни да лекуваме инфекциозни заболявания и да извършваме рутинни хирургически операции. Както се посочва в Европейския план за действие „Едно здраве“ срещу антимикробната резистентност</w:t>
      </w:r>
      <w:r>
        <w:rPr>
          <w:rFonts w:ascii="Times New Roman" w:hAnsi="Times New Roman"/>
          <w:noProof/>
          <w:sz w:val="24"/>
          <w:szCs w:val="24"/>
          <w:vertAlign w:val="superscript"/>
        </w:rPr>
        <w:footnoteReference w:id="18"/>
      </w:r>
      <w:r>
        <w:rPr>
          <w:rFonts w:ascii="Times New Roman" w:hAnsi="Times New Roman"/>
          <w:noProof/>
          <w:sz w:val="24"/>
          <w:szCs w:val="24"/>
        </w:rPr>
        <w:t>, това е многофакторен проблем от световно значение със сериозни последици за здравето и икономиката. Сериозно предизвикателство е прекомерната и несъобразена употреба на антимикробни средства в здравеопазването на животните и хората, която води до развиване на резистентност и всяка година причинява приблизително 33 000 смъртни случая в ЕС/ЕИП</w:t>
      </w:r>
      <w:r>
        <w:rPr>
          <w:rStyle w:val="FootnoteReference"/>
          <w:rFonts w:ascii="Times New Roman" w:hAnsi="Times New Roman"/>
          <w:noProof/>
          <w:sz w:val="24"/>
          <w:szCs w:val="24"/>
        </w:rPr>
        <w:footnoteReference w:id="19"/>
      </w:r>
      <w:r>
        <w:rPr>
          <w:rFonts w:ascii="Times New Roman" w:hAnsi="Times New Roman"/>
          <w:noProof/>
          <w:sz w:val="24"/>
          <w:szCs w:val="24"/>
        </w:rPr>
        <w:t>. Описаните другаде мерки за намаляване на прекомерната и несъобразена употреба действително трябва да се предприемат, но те могат да имат и нежелан ефект — намаляване на инвестициите в нови антибиотици. Настоящите модели на стимулиране не осигуряват устойчиво решение; необходими са нови бизнес подходи, включително нови стимули за разработване на антимикробни средства, както и нови системи за ценообразуване.</w:t>
      </w:r>
    </w:p>
    <w:tbl>
      <w:tblPr>
        <w:tblStyle w:val="TableGrid"/>
        <w:tblW w:w="0" w:type="auto"/>
        <w:tblLayout w:type="fixed"/>
        <w:tblLook w:val="04A0" w:firstRow="1" w:lastRow="0" w:firstColumn="1" w:lastColumn="0" w:noHBand="0" w:noVBand="1"/>
      </w:tblPr>
      <w:tblGrid>
        <w:gridCol w:w="9184"/>
      </w:tblGrid>
      <w:tr>
        <w:trPr>
          <w:trHeight w:val="2713"/>
        </w:trPr>
        <w:tc>
          <w:tcPr>
            <w:tcW w:w="9184" w:type="dxa"/>
          </w:tcPr>
          <w:p>
            <w:pPr>
              <w:spacing w:after="120"/>
              <w:rPr>
                <w:rFonts w:ascii="Times New Roman" w:hAnsi="Times New Roman"/>
                <w:b/>
                <w:i/>
                <w:noProof/>
                <w:sz w:val="24"/>
                <w:szCs w:val="24"/>
                <w:u w:val="single"/>
              </w:rPr>
            </w:pPr>
            <w:r>
              <w:rPr>
                <w:rFonts w:ascii="Times New Roman" w:hAnsi="Times New Roman"/>
                <w:b/>
                <w:i/>
                <w:noProof/>
                <w:sz w:val="24"/>
                <w:szCs w:val="24"/>
                <w:u w:val="single"/>
              </w:rPr>
              <w:t>Водещи инициативи при антимикробната резистентност</w:t>
            </w:r>
          </w:p>
          <w:p>
            <w:pPr>
              <w:pStyle w:val="ListParagraph"/>
              <w:numPr>
                <w:ilvl w:val="0"/>
                <w:numId w:val="25"/>
              </w:numPr>
              <w:spacing w:after="120"/>
              <w:jc w:val="both"/>
              <w:rPr>
                <w:noProof/>
              </w:rPr>
            </w:pPr>
            <w:r>
              <w:rPr>
                <w:rFonts w:ascii="Times New Roman" w:hAnsi="Times New Roman"/>
                <w:noProof/>
                <w:sz w:val="24"/>
                <w:szCs w:val="24"/>
              </w:rPr>
              <w:t>Пилотни иновативни подходи към НИРД в ЕС и обществените поръчки за антимикробни средства и техните алтернативи, насочени към осигуряване на стимули за разработването на нови антимикробни средства — срок 2021 г.</w:t>
            </w:r>
          </w:p>
          <w:p>
            <w:pPr>
              <w:pStyle w:val="ListParagraph"/>
              <w:keepNext/>
              <w:keepLines/>
              <w:numPr>
                <w:ilvl w:val="0"/>
                <w:numId w:val="25"/>
              </w:numPr>
              <w:spacing w:after="120"/>
              <w:ind w:left="714" w:hanging="357"/>
              <w:jc w:val="both"/>
              <w:rPr>
                <w:noProof/>
              </w:rPr>
            </w:pPr>
            <w:r>
              <w:rPr>
                <w:rFonts w:ascii="Times New Roman" w:hAnsi="Times New Roman"/>
                <w:noProof/>
                <w:sz w:val="24"/>
                <w:szCs w:val="24"/>
              </w:rPr>
              <w:t>Насърчаване на инвестициите и координиране на научните изследвания, развойната дейност, производството, внедряването и използването на нови антибиотици като част от новия орган на ЕС за реакция при извънредни здравни ситуации, преди началото на подготвителните дейности на органа спрямо АМР — срок 2021 г.</w:t>
            </w:r>
          </w:p>
          <w:p>
            <w:pPr>
              <w:pStyle w:val="ListParagraph"/>
              <w:keepNext/>
              <w:numPr>
                <w:ilvl w:val="0"/>
                <w:numId w:val="25"/>
              </w:numPr>
              <w:spacing w:after="120"/>
              <w:ind w:left="714" w:hanging="357"/>
              <w:jc w:val="both"/>
              <w:rPr>
                <w:rFonts w:ascii="Times New Roman" w:hAnsi="Times New Roman"/>
                <w:noProof/>
                <w:sz w:val="24"/>
                <w:szCs w:val="24"/>
              </w:rPr>
            </w:pPr>
            <w:r>
              <w:rPr>
                <w:rFonts w:ascii="Times New Roman" w:hAnsi="Times New Roman"/>
                <w:noProof/>
                <w:sz w:val="24"/>
                <w:szCs w:val="24"/>
              </w:rPr>
              <w:t>При преразглеждането на основното законодателство в областта на фармацевтичните продукти</w:t>
            </w:r>
            <w:r>
              <w:rPr>
                <w:rStyle w:val="FootnoteReference"/>
                <w:rFonts w:ascii="Times New Roman" w:hAnsi="Times New Roman"/>
                <w:noProof/>
                <w:sz w:val="24"/>
                <w:szCs w:val="24"/>
              </w:rPr>
              <w:footnoteReference w:id="20"/>
            </w:r>
            <w:r>
              <w:rPr>
                <w:rFonts w:ascii="Times New Roman" w:hAnsi="Times New Roman"/>
                <w:noProof/>
                <w:sz w:val="24"/>
                <w:szCs w:val="24"/>
              </w:rPr>
              <w:t xml:space="preserve"> да се вземат предвид мерки за ограничаване и оптимизиране на употребата на антимикробни лекарства. Проучване на нови видове стимули за иновативни антимикробни средства — срок 2022 г.</w:t>
            </w:r>
          </w:p>
          <w:p>
            <w:pPr>
              <w:spacing w:after="120"/>
              <w:rPr>
                <w:rFonts w:ascii="Times New Roman" w:hAnsi="Times New Roman"/>
                <w:b/>
                <w:i/>
                <w:noProof/>
                <w:sz w:val="24"/>
                <w:szCs w:val="24"/>
                <w:u w:val="single"/>
              </w:rPr>
            </w:pPr>
            <w:r>
              <w:rPr>
                <w:rFonts w:ascii="Times New Roman" w:hAnsi="Times New Roman"/>
                <w:b/>
                <w:i/>
                <w:noProof/>
                <w:sz w:val="24"/>
                <w:szCs w:val="24"/>
                <w:u w:val="single"/>
              </w:rPr>
              <w:t>Други мерки</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Предложения за незаконодателни мерки и оптимизиране на използването на съществуващите регулаторни инструменти за борба с антимикробната резистентност, включително хармонизиране на информацията за продуктите, изготвяне на основани на доказателства насоки относно съществуващите и новите диагностични средства; насърчаване на разумната употреба на антибиотиците и комуникация с медицинските специалисти и пациентите — срок 2021 г.</w:t>
            </w:r>
          </w:p>
        </w:tc>
      </w:tr>
    </w:tbl>
    <w:p>
      <w:pPr>
        <w:spacing w:line="240" w:lineRule="auto"/>
        <w:jc w:val="both"/>
        <w:rPr>
          <w:rFonts w:ascii="Times New Roman" w:hAnsi="Times New Roman"/>
          <w:noProof/>
          <w:sz w:val="24"/>
          <w:szCs w:val="24"/>
        </w:rPr>
      </w:pPr>
    </w:p>
    <w:p>
      <w:pPr>
        <w:spacing w:line="240" w:lineRule="auto"/>
        <w:jc w:val="both"/>
        <w:rPr>
          <w:rFonts w:ascii="Times New Roman" w:hAnsi="Times New Roman"/>
          <w:noProof/>
          <w:sz w:val="24"/>
          <w:szCs w:val="24"/>
        </w:rPr>
      </w:pPr>
      <w:r>
        <w:rPr>
          <w:rFonts w:ascii="Times New Roman" w:hAnsi="Times New Roman"/>
          <w:noProof/>
          <w:sz w:val="24"/>
          <w:szCs w:val="24"/>
        </w:rPr>
        <w:t xml:space="preserve">Нужен ни е многостранен отговор на предизвикателствата, породени от трайно неудовлетворените медицински потребности. </w:t>
      </w:r>
      <w:r>
        <w:rPr>
          <w:rFonts w:ascii="Times New Roman" w:hAnsi="Times New Roman"/>
          <w:b/>
          <w:noProof/>
          <w:sz w:val="24"/>
          <w:szCs w:val="24"/>
        </w:rPr>
        <w:t>Научноизследователските приоритети следва да бъдат съобразени с нуждите на пациентите и здравните системи.</w:t>
      </w:r>
      <w:r>
        <w:rPr>
          <w:rFonts w:ascii="Times New Roman" w:hAnsi="Times New Roman"/>
          <w:noProof/>
          <w:sz w:val="24"/>
          <w:szCs w:val="24"/>
        </w:rPr>
        <w:t xml:space="preserve"> Тази амбиция може да бъде подкрепена със създаването на условия за сътрудничество между научните дисциплини чрез привличане на регулаторни органи, академичните среди, здравни специалисти, организации на пациенти и доставчици на здравни услуги и платци на ранен етап от НИРД, какъвто е водещият опит на иновативни партньорства за научни изследвания и иновации в областта на здравеопазването.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Трябва да премахнем </w:t>
      </w:r>
      <w:r>
        <w:rPr>
          <w:rFonts w:ascii="Times New Roman" w:hAnsi="Times New Roman"/>
          <w:b/>
          <w:noProof/>
          <w:sz w:val="24"/>
          <w:szCs w:val="24"/>
        </w:rPr>
        <w:t>тясното сегментиране</w:t>
      </w:r>
      <w:r>
        <w:rPr>
          <w:rFonts w:ascii="Times New Roman" w:hAnsi="Times New Roman"/>
          <w:noProof/>
          <w:sz w:val="24"/>
          <w:szCs w:val="24"/>
        </w:rPr>
        <w:t xml:space="preserve"> и различните публични органи, отговорни за издаването на разрешения, оценката на здравните технологии, доставянето на здравни услуги, здравното осигуряване и финансирането, да заработят заедно. Засиленото сътрудничество в областта на научните консултации и сближаването на разбиранията по ключови понятия, като например „неудовлетворени медицински потребности“, ще улесни разработването на клинични изпитвания и набавянето на фактология и оценки, като едновременно с това ще гарантира, че иновациите отговарят на нуждите на пациентите и на националните здравни системи. Резултатите от тези обсъждания биха могли да насочат финансирането към конкретни области, като например фундаменталните изследвания в нови терапевтични области.</w:t>
      </w:r>
    </w:p>
    <w:p>
      <w:pPr>
        <w:spacing w:line="240" w:lineRule="auto"/>
        <w:jc w:val="both"/>
        <w:rPr>
          <w:rFonts w:ascii="Times New Roman" w:hAnsi="Times New Roman"/>
          <w:noProof/>
          <w:sz w:val="24"/>
          <w:szCs w:val="24"/>
        </w:rPr>
      </w:pPr>
      <w:r>
        <w:rPr>
          <w:rFonts w:ascii="Times New Roman" w:hAnsi="Times New Roman"/>
          <w:noProof/>
          <w:sz w:val="24"/>
          <w:szCs w:val="24"/>
        </w:rPr>
        <w:t>За да се допълнят съществуващите междудържавни подходи за сътрудничество в областта на обществените поръчки, съвместното ценообразуване и преговорите за възстановяване на разходите, следва да се обмислят нови начини за обмен на информация, като например  следенето на научните разработки. След като бъде приет, предложеният регламент за оценка на здравните технологии</w:t>
      </w:r>
      <w:r>
        <w:rPr>
          <w:rStyle w:val="FootnoteReference"/>
          <w:rFonts w:ascii="Times New Roman" w:hAnsi="Times New Roman"/>
          <w:noProof/>
          <w:sz w:val="24"/>
          <w:szCs w:val="24"/>
        </w:rPr>
        <w:footnoteReference w:id="21"/>
      </w:r>
      <w:r>
        <w:rPr>
          <w:rFonts w:ascii="Times New Roman" w:hAnsi="Times New Roman"/>
          <w:noProof/>
          <w:sz w:val="24"/>
          <w:szCs w:val="24"/>
        </w:rPr>
        <w:t xml:space="preserve"> ще насърчава основаните на факти инвестиционни решения в иновативни здравни технологии с клинични преимущества за пациентите.</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Вече се анализират начините за </w:t>
      </w:r>
      <w:r>
        <w:rPr>
          <w:rFonts w:ascii="Times New Roman" w:hAnsi="Times New Roman"/>
          <w:b/>
          <w:noProof/>
          <w:sz w:val="24"/>
          <w:szCs w:val="24"/>
        </w:rPr>
        <w:t>по-добро адаптиране на системата от стимули</w:t>
      </w:r>
      <w:r>
        <w:rPr>
          <w:rFonts w:ascii="Times New Roman" w:hAnsi="Times New Roman"/>
          <w:noProof/>
          <w:sz w:val="24"/>
          <w:szCs w:val="24"/>
        </w:rPr>
        <w:t xml:space="preserve">, предоставяни от рамката на ЕС за фармацевтичните продукти, за </w:t>
      </w:r>
      <w:r>
        <w:rPr>
          <w:rFonts w:ascii="Times New Roman" w:hAnsi="Times New Roman"/>
          <w:b/>
          <w:noProof/>
          <w:sz w:val="24"/>
          <w:szCs w:val="24"/>
        </w:rPr>
        <w:t>да бъдат стимулирани иновациите</w:t>
      </w:r>
      <w:r>
        <w:rPr>
          <w:rFonts w:ascii="Times New Roman" w:hAnsi="Times New Roman"/>
          <w:noProof/>
          <w:sz w:val="24"/>
          <w:szCs w:val="24"/>
        </w:rPr>
        <w:t xml:space="preserve"> </w:t>
      </w:r>
      <w:r>
        <w:rPr>
          <w:rFonts w:ascii="Times New Roman" w:hAnsi="Times New Roman"/>
          <w:b/>
          <w:noProof/>
          <w:sz w:val="24"/>
          <w:szCs w:val="24"/>
        </w:rPr>
        <w:t>в области с неудовлетворени медицински потребности</w:t>
      </w:r>
      <w:r>
        <w:rPr>
          <w:rFonts w:ascii="Times New Roman" w:hAnsi="Times New Roman"/>
          <w:noProof/>
          <w:sz w:val="24"/>
          <w:szCs w:val="24"/>
        </w:rPr>
        <w:t xml:space="preserve"> (напр. невродегенеративни и редки заболявания и педиатрични ракови заболявания). Ще се търси широка ангажираност на заинтересованите страни и мултидисциплинарен принос. </w:t>
      </w:r>
      <w:r>
        <w:rPr>
          <w:rFonts w:ascii="Times New Roman" w:hAnsi="Times New Roman"/>
          <w:noProof/>
          <w:sz w:val="24"/>
          <w:szCs w:val="24"/>
          <w:u w:color="000000"/>
          <w:bdr w:val="nil"/>
        </w:rPr>
        <w:t>Констатациите от проучването относно фармацевтичните стимули</w:t>
      </w:r>
      <w:r>
        <w:rPr>
          <w:rStyle w:val="FootnoteReference"/>
          <w:rFonts w:ascii="Times New Roman" w:eastAsia="Calibri" w:hAnsi="Times New Roman"/>
          <w:noProof/>
          <w:sz w:val="24"/>
          <w:szCs w:val="24"/>
          <w:u w:color="000000"/>
          <w:bdr w:val="nil"/>
          <w:lang w:eastAsia="fr-BE"/>
        </w:rPr>
        <w:footnoteReference w:id="22"/>
      </w:r>
      <w:r>
        <w:rPr>
          <w:rFonts w:ascii="Times New Roman" w:hAnsi="Times New Roman"/>
          <w:noProof/>
          <w:sz w:val="24"/>
          <w:szCs w:val="24"/>
          <w:u w:color="000000"/>
          <w:bdr w:val="nil"/>
        </w:rPr>
        <w:t xml:space="preserve"> и оценката на законодателството в областта на лекарствата за деца и редките заболявания</w:t>
      </w:r>
      <w:r>
        <w:rPr>
          <w:rStyle w:val="FootnoteReference"/>
          <w:rFonts w:ascii="Times New Roman" w:eastAsia="Calibri" w:hAnsi="Times New Roman"/>
          <w:noProof/>
          <w:sz w:val="24"/>
          <w:szCs w:val="24"/>
          <w:u w:color="000000"/>
          <w:bdr w:val="nil"/>
          <w:lang w:eastAsia="fr-BE"/>
        </w:rPr>
        <w:footnoteReference w:id="23"/>
      </w:r>
      <w:r>
        <w:rPr>
          <w:rFonts w:ascii="Times New Roman" w:hAnsi="Times New Roman"/>
          <w:noProof/>
          <w:sz w:val="24"/>
          <w:szCs w:val="24"/>
          <w:u w:color="000000"/>
          <w:bdr w:val="nil"/>
        </w:rPr>
        <w:t xml:space="preserve"> ще послужат за основа на всеки бъдещ преглед в съответствие с принципите за по-добро регулиране. </w:t>
      </w:r>
    </w:p>
    <w:tbl>
      <w:tblPr>
        <w:tblStyle w:val="TableGrid"/>
        <w:tblW w:w="0" w:type="auto"/>
        <w:tblLook w:val="04A0" w:firstRow="1" w:lastRow="0" w:firstColumn="1" w:lastColumn="0" w:noHBand="0" w:noVBand="1"/>
      </w:tblPr>
      <w:tblGrid>
        <w:gridCol w:w="9166"/>
      </w:tblGrid>
      <w:tr>
        <w:tc>
          <w:tcPr>
            <w:tcW w:w="9166" w:type="dxa"/>
          </w:tcPr>
          <w:p>
            <w:pPr>
              <w:spacing w:after="120"/>
              <w:rPr>
                <w:rFonts w:ascii="Times New Roman" w:hAnsi="Times New Roman"/>
                <w:b/>
                <w:i/>
                <w:noProof/>
                <w:sz w:val="24"/>
                <w:szCs w:val="24"/>
                <w:u w:val="single"/>
              </w:rPr>
            </w:pPr>
            <w:r>
              <w:rPr>
                <w:rFonts w:ascii="Times New Roman" w:hAnsi="Times New Roman"/>
                <w:b/>
                <w:i/>
                <w:noProof/>
                <w:sz w:val="24"/>
                <w:szCs w:val="24"/>
                <w:u w:val="single"/>
              </w:rPr>
              <w:t>Водещи инициативи при неудовлетворените потребности</w:t>
            </w:r>
          </w:p>
          <w:p>
            <w:pPr>
              <w:pStyle w:val="ListParagraph"/>
              <w:numPr>
                <w:ilvl w:val="0"/>
                <w:numId w:val="15"/>
              </w:numPr>
              <w:spacing w:after="120"/>
              <w:ind w:left="714" w:hanging="357"/>
              <w:jc w:val="both"/>
              <w:rPr>
                <w:noProof/>
              </w:rPr>
            </w:pPr>
            <w:r>
              <w:rPr>
                <w:rFonts w:ascii="Times New Roman" w:hAnsi="Times New Roman"/>
                <w:noProof/>
                <w:sz w:val="24"/>
                <w:szCs w:val="24"/>
              </w:rPr>
              <w:t>Предложение за преразглеждане на законодателството относно лекарствата за деца и редки заболявания, за да се подобрят терапевтичните възможности и да се отговори на неудовлетворените потребности (например при педиатричните ракови заболявания) чрез по-адаптирани стимули — срок 2022 г.</w:t>
            </w:r>
          </w:p>
          <w:p>
            <w:pPr>
              <w:pStyle w:val="NormalWeb"/>
              <w:numPr>
                <w:ilvl w:val="0"/>
                <w:numId w:val="15"/>
              </w:numPr>
              <w:spacing w:before="0" w:beforeAutospacing="0" w:after="80" w:afterAutospacing="0"/>
              <w:ind w:left="714"/>
              <w:jc w:val="both"/>
              <w:rPr>
                <w:noProof/>
              </w:rPr>
            </w:pPr>
            <w:r>
              <w:rPr>
                <w:noProof/>
              </w:rPr>
              <w:t>Улесняване на сътрудничеството в областта на неудовлетворените потребности и натрупване на доказателствена фактология в рамките на съвместни заседания на съществуващите комитети/мрежи от регулаторни органи, органи за оценка на здравните технологии (ОЗТ) и платци, с участието на ключови участници в разработването, разрешаването и достъпа до лекарства с цел изграждане на подход, основан на жизнения цикъл, както и за подобрена наличност и ценова достъпност. Сътрудничество с Европейския парламент и Съвета за приемането на Регламента относно оценката на здравните технологии</w:t>
            </w:r>
            <w:r>
              <w:rPr>
                <w:b/>
                <w:noProof/>
              </w:rPr>
              <w:t xml:space="preserve"> </w:t>
            </w:r>
            <w:r>
              <w:rPr>
                <w:noProof/>
              </w:rPr>
              <w:t xml:space="preserve">— срок 2021 г. </w:t>
            </w:r>
          </w:p>
          <w:p>
            <w:pPr>
              <w:spacing w:after="120"/>
              <w:rPr>
                <w:rFonts w:ascii="Times New Roman" w:hAnsi="Times New Roman"/>
                <w:b/>
                <w:i/>
                <w:noProof/>
                <w:sz w:val="24"/>
                <w:szCs w:val="24"/>
                <w:u w:val="single"/>
              </w:rPr>
            </w:pPr>
            <w:r>
              <w:rPr>
                <w:rFonts w:ascii="Times New Roman" w:hAnsi="Times New Roman"/>
                <w:b/>
                <w:i/>
                <w:noProof/>
                <w:sz w:val="24"/>
                <w:szCs w:val="24"/>
                <w:u w:val="single"/>
              </w:rPr>
              <w:t>Други действия</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Включване на схемата за приоритетни лекарства (PRIME) на Европейската агенция по лекарствата (EMA) в регулаторната рамка, за да се осигури по-добра подкрепа и да се ускори разработването и разрешаването на продукти в области с неудовлетворени потребности — срок 2022 г.</w:t>
            </w:r>
          </w:p>
          <w:p>
            <w:pPr>
              <w:pStyle w:val="ListParagraph"/>
              <w:numPr>
                <w:ilvl w:val="0"/>
                <w:numId w:val="15"/>
              </w:numPr>
              <w:spacing w:after="120"/>
              <w:jc w:val="both"/>
              <w:rPr>
                <w:rFonts w:ascii="Times New Roman" w:hAnsi="Times New Roman"/>
                <w:b/>
                <w:i/>
                <w:noProof/>
                <w:sz w:val="24"/>
                <w:szCs w:val="24"/>
                <w:u w:val="single"/>
              </w:rPr>
            </w:pPr>
            <w:r>
              <w:rPr>
                <w:rFonts w:ascii="Times New Roman" w:hAnsi="Times New Roman"/>
                <w:noProof/>
                <w:sz w:val="24"/>
                <w:szCs w:val="24"/>
              </w:rPr>
              <w:t>Осигуряване на възможности за паралелни научни консултации от органите за ОЗТ и EMA относно разработването на клинични изследвания за лекарства, както е предвидено в предложения регламент за ОЗТ — срок 2021 г.</w:t>
            </w:r>
          </w:p>
        </w:tc>
      </w:tr>
    </w:tbl>
    <w:p>
      <w:pPr>
        <w:pStyle w:val="Heading2"/>
        <w:numPr>
          <w:ilvl w:val="1"/>
          <w:numId w:val="3"/>
        </w:numPr>
        <w:spacing w:before="200" w:line="240" w:lineRule="auto"/>
        <w:ind w:left="340" w:hanging="340"/>
        <w:rPr>
          <w:rFonts w:ascii="Times New Roman" w:hAnsi="Times New Roman" w:cs="Times New Roman"/>
          <w:i/>
          <w:noProof/>
          <w:color w:val="auto"/>
          <w:sz w:val="24"/>
          <w:szCs w:val="24"/>
        </w:rPr>
      </w:pPr>
      <w:r>
        <w:rPr>
          <w:rFonts w:ascii="Times New Roman" w:hAnsi="Times New Roman"/>
          <w:i/>
          <w:noProof/>
          <w:color w:val="auto"/>
          <w:sz w:val="24"/>
          <w:szCs w:val="24"/>
        </w:rPr>
        <w:t>Гарантиране на достъпа на пациентите до лекарства</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Иновативните и обещаващи терапии невинаги достигат до пациентите и съответно в ЕС все още се наблюдават </w:t>
      </w:r>
      <w:r>
        <w:rPr>
          <w:rFonts w:ascii="Times New Roman" w:hAnsi="Times New Roman"/>
          <w:b/>
          <w:noProof/>
          <w:sz w:val="24"/>
          <w:szCs w:val="24"/>
        </w:rPr>
        <w:t>различия в достъпа до лекарства</w:t>
      </w:r>
      <w:r>
        <w:rPr>
          <w:rFonts w:ascii="Times New Roman" w:hAnsi="Times New Roman"/>
          <w:noProof/>
          <w:sz w:val="24"/>
          <w:szCs w:val="24"/>
        </w:rPr>
        <w:t>. Дружествата не са задължени да предлагат дадено лекарство на пазара във всички държави от ЕС; те могат да решат да не предлагат своите лекарства или да ги изтеглят от пазара на една или повече държави. Това може да се дължи на различни фактори, като например националните политики за ценообразуване и възстановяване на разходите, числеността на населението, организацията на здравните системи и националните административни процедури, които водят до това, че особено по-малките и по-малко богатите пазари са изправени пред тези проблеми. Опитът в областта на лекарствата за деца и редките заболявания илюстрира проблема. След приемането на специалните регламенти са налице повече такива лекарства, но достъпът до тях се различава значително в отделните държави членки.</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Непрозрачните разходите за научни изследвания или непрозрачната възвръщаемост на инвестициите могат да повлияят на решенията, които оказват въздействие върху това дали пациентите могат да си позволят тези лекарства и в крайна сметка дали ще ги използват. Въз основа на този и други примери Комисията ще преразгледа системата от </w:t>
      </w:r>
      <w:r>
        <w:rPr>
          <w:rFonts w:ascii="Times New Roman" w:hAnsi="Times New Roman"/>
          <w:b/>
          <w:noProof/>
          <w:sz w:val="24"/>
          <w:szCs w:val="24"/>
        </w:rPr>
        <w:t>стимули</w:t>
      </w:r>
      <w:r>
        <w:rPr>
          <w:rFonts w:ascii="Times New Roman" w:hAnsi="Times New Roman"/>
          <w:noProof/>
          <w:sz w:val="24"/>
          <w:szCs w:val="24"/>
        </w:rPr>
        <w:t>. Това може да включва обвързването на стимулите с повече условия с цел повече пациенти да получат достъп до лекарства и като средство да се насърчи конкуренцията. Комисията също така ще стартира пилотен проект за по-добро осмисляне на първопричините за забавеното пускане на пазара, включително на лекарствата за ракови заболявания, за да си набави информация, която да ѝ послужи при оценката на законодателството в областта на фармацевтичните продукти.</w:t>
      </w:r>
    </w:p>
    <w:p>
      <w:pPr>
        <w:spacing w:line="240" w:lineRule="auto"/>
        <w:jc w:val="both"/>
        <w:rPr>
          <w:rFonts w:ascii="Times New Roman" w:hAnsi="Times New Roman"/>
          <w:noProof/>
          <w:color w:val="000000"/>
          <w:sz w:val="24"/>
          <w:szCs w:val="24"/>
        </w:rPr>
      </w:pPr>
      <w:r>
        <w:rPr>
          <w:rFonts w:ascii="Times New Roman" w:hAnsi="Times New Roman"/>
          <w:b/>
          <w:noProof/>
          <w:color w:val="000000"/>
          <w:sz w:val="24"/>
          <w:szCs w:val="24"/>
        </w:rPr>
        <w:t>Генеричните и биоподобните лекарства</w:t>
      </w:r>
      <w:r>
        <w:rPr>
          <w:rFonts w:ascii="Times New Roman" w:hAnsi="Times New Roman"/>
          <w:noProof/>
          <w:color w:val="000000"/>
          <w:sz w:val="24"/>
          <w:szCs w:val="24"/>
        </w:rPr>
        <w:t xml:space="preserve"> осигуряват на голям брой пациенти достъпно лечение на приемливи цени. Те също така позволяват на здравните системи да реализират потенциални икономии на разходи чрез положителното си въздействие върху ценовата конкуренция. Комисията ще обмисли целенасочени политики за подсилване на конкуренцията в областта на генеричните и биоподобните лекарствени продукти, основани на доброто функциониране на единния пазар, подходящи механизми за защита на пазара, премахване на пречките, които забавят навременното навлизане на тези лекарства на пазара, и по-мащабното им възприемане от здравните системи. Това може да включва допълнително изясняване на разпоредбите за провеждане на изпитвания на патентовани продукти в подкрепа на заявленията за издаване на разрешение за търговия с генерични и биоподобни лекарствени продукти (т.нар. разпоредба „Болар“). </w:t>
      </w:r>
    </w:p>
    <w:p>
      <w:pPr>
        <w:spacing w:line="240" w:lineRule="auto"/>
        <w:jc w:val="both"/>
        <w:rPr>
          <w:rFonts w:ascii="Times New Roman" w:hAnsi="Times New Roman"/>
          <w:noProof/>
          <w:sz w:val="24"/>
          <w:szCs w:val="24"/>
        </w:rPr>
      </w:pPr>
      <w:r>
        <w:rPr>
          <w:rFonts w:ascii="Times New Roman" w:hAnsi="Times New Roman"/>
          <w:noProof/>
          <w:color w:val="000000"/>
          <w:sz w:val="24"/>
          <w:szCs w:val="24"/>
        </w:rPr>
        <w:t xml:space="preserve">Горепосочените политики ще бъдат придружени от </w:t>
      </w:r>
      <w:r>
        <w:rPr>
          <w:rFonts w:ascii="Times New Roman" w:hAnsi="Times New Roman"/>
          <w:b/>
          <w:noProof/>
          <w:color w:val="000000"/>
          <w:sz w:val="24"/>
          <w:szCs w:val="24"/>
        </w:rPr>
        <w:t>прилагане на правилата на ЕС в областта на конкуренцията</w:t>
      </w:r>
      <w:r>
        <w:rPr>
          <w:rFonts w:ascii="Times New Roman" w:hAnsi="Times New Roman"/>
          <w:noProof/>
          <w:color w:val="000000"/>
          <w:sz w:val="24"/>
          <w:szCs w:val="24"/>
        </w:rPr>
        <w:t>. Докладът на Комисията относно правоприлагането в областта на конкуренцията във фармацевтичния сектор</w:t>
      </w:r>
      <w:r>
        <w:rPr>
          <w:rStyle w:val="FootnoteReference"/>
          <w:rFonts w:ascii="Times New Roman" w:hAnsi="Times New Roman"/>
          <w:noProof/>
          <w:color w:val="000000"/>
          <w:sz w:val="24"/>
          <w:szCs w:val="24"/>
        </w:rPr>
        <w:footnoteReference w:id="24"/>
      </w:r>
      <w:r>
        <w:rPr>
          <w:rFonts w:ascii="Times New Roman" w:hAnsi="Times New Roman"/>
          <w:noProof/>
          <w:color w:val="000000"/>
          <w:sz w:val="24"/>
          <w:szCs w:val="24"/>
        </w:rPr>
        <w:t xml:space="preserve"> показа, че понякога предприятията — производители на оригинални лекарства, прилагат стратегии за възпрепятстване на навлизането или разширеното предлагане на по-достъпни лекарства на своите конкуренти от областта на генеричните и биоподобните лекарствени продукти и че тези стратегии може да наложат преглед на законодателството в областта на конкуренцията. Комисията също така ще продължи да следи внимателно сливанията между фармацевтични дружества, за да се избегне нарушаване на конкуренцията.</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Новите здравни технологии следва да демонстрират своите клинични предимства и икономическа ефективност в сравнение с вече наличното. </w:t>
      </w:r>
      <w:r>
        <w:rPr>
          <w:rFonts w:ascii="Times New Roman" w:hAnsi="Times New Roman"/>
          <w:b/>
          <w:noProof/>
          <w:sz w:val="24"/>
          <w:szCs w:val="24"/>
        </w:rPr>
        <w:t>Оценката на здравните технологии</w:t>
      </w:r>
      <w:r>
        <w:rPr>
          <w:rFonts w:ascii="Times New Roman" w:hAnsi="Times New Roman"/>
          <w:noProof/>
          <w:sz w:val="24"/>
          <w:szCs w:val="24"/>
        </w:rPr>
        <w:t xml:space="preserve"> е инструмент за подпомагане на този анализ и ще осигури яснота при вземането на националните решения относно ценообразуването и възстановяването на разходите. Понастоящем тази оценка е силно фрагментирана в целия ЕС. Предложеният регламент за оценка на здравните технологии ще даде възможност за сътрудничество по отношение на изискванията за клинични доказателства и разработването на клинични изпитвания. Тоест той може да подпомогне навременното и фактологично обосновано вземане на решения от страна на държавите членки по отношение на това пациентите да имат достъп до нови лекарства. </w:t>
      </w:r>
    </w:p>
    <w:p>
      <w:pPr>
        <w:spacing w:after="120" w:line="252" w:lineRule="auto"/>
        <w:jc w:val="both"/>
        <w:rPr>
          <w:rFonts w:ascii="Times New Roman" w:eastAsia="Calibri" w:hAnsi="Times New Roman"/>
          <w:noProof/>
          <w:sz w:val="24"/>
          <w:szCs w:val="24"/>
        </w:rPr>
      </w:pPr>
      <w:r>
        <w:rPr>
          <w:rFonts w:ascii="Times New Roman" w:hAnsi="Times New Roman"/>
          <w:noProof/>
          <w:sz w:val="24"/>
          <w:szCs w:val="24"/>
        </w:rPr>
        <w:t xml:space="preserve">Приемането на мерки в областта на </w:t>
      </w:r>
      <w:r>
        <w:rPr>
          <w:rFonts w:ascii="Times New Roman" w:hAnsi="Times New Roman"/>
          <w:b/>
          <w:noProof/>
          <w:sz w:val="24"/>
          <w:szCs w:val="24"/>
        </w:rPr>
        <w:t>обществените поръчки</w:t>
      </w:r>
      <w:r>
        <w:rPr>
          <w:rFonts w:ascii="Times New Roman" w:hAnsi="Times New Roman"/>
          <w:noProof/>
          <w:sz w:val="24"/>
          <w:szCs w:val="24"/>
        </w:rPr>
        <w:t xml:space="preserve"> може да засили конкуренцията и да подобри достъпа до лекарства. Публичните купувачи следва да разработят интелигентни и иновативни процедури за възлагане на обществени поръчки, например като оценят ролята на процедурите от типа „победителят получава всичко“ и подобрят съответните аспекти (като ценова обусловеност, навременна доставка, екологосъобразно производство и сигурност и непрекъснатост на доставките) включително чрез инициативата „Големи купувачи“, инициирана в рамките на стратегията за МСП. </w:t>
      </w:r>
    </w:p>
    <w:p>
      <w:pPr>
        <w:spacing w:after="120" w:line="252" w:lineRule="auto"/>
        <w:jc w:val="both"/>
        <w:rPr>
          <w:rFonts w:ascii="Times New Roman" w:eastAsia="Calibri" w:hAnsi="Times New Roman"/>
          <w:noProof/>
          <w:sz w:val="24"/>
          <w:szCs w:val="24"/>
        </w:rPr>
      </w:pPr>
      <w:r>
        <w:rPr>
          <w:rFonts w:ascii="Times New Roman" w:hAnsi="Times New Roman"/>
          <w:noProof/>
          <w:sz w:val="24"/>
          <w:szCs w:val="24"/>
        </w:rPr>
        <w:t xml:space="preserve">Това би позволило напредък към постигането на някои важни ключови цели на политиката посредством инструментите за обществени поръчки. Националните органи ще могат да споделят своя опит и да разработват общи подходи, основани на най-добрите практики. </w:t>
      </w:r>
    </w:p>
    <w:p>
      <w:pPr>
        <w:spacing w:after="120" w:line="252" w:lineRule="auto"/>
        <w:jc w:val="both"/>
        <w:rPr>
          <w:rFonts w:ascii="Times New Roman" w:eastAsia="Calibri" w:hAnsi="Times New Roman"/>
          <w:noProof/>
          <w:sz w:val="24"/>
          <w:szCs w:val="24"/>
        </w:rPr>
      </w:pPr>
      <w:r>
        <w:rPr>
          <w:rFonts w:ascii="Times New Roman" w:hAnsi="Times New Roman"/>
          <w:noProof/>
          <w:sz w:val="24"/>
          <w:szCs w:val="24"/>
        </w:rPr>
        <w:t xml:space="preserve">Освен това здравните системи и частните дружества могат да си сътрудничат, като използват новата тръжна процедура за „партньорство за иновации“, която позволява на публичните купувачи да установят партньорство за разработването, производството и последващото закупуване на лекарства с ограничено търсене. </w:t>
      </w:r>
    </w:p>
    <w:p>
      <w:pPr>
        <w:spacing w:after="120" w:line="252" w:lineRule="auto"/>
        <w:jc w:val="both"/>
        <w:rPr>
          <w:rFonts w:ascii="Times New Roman" w:eastAsia="Calibri" w:hAnsi="Times New Roman"/>
          <w:noProof/>
          <w:sz w:val="24"/>
          <w:szCs w:val="24"/>
        </w:rPr>
      </w:pPr>
      <w:r>
        <w:rPr>
          <w:rFonts w:ascii="Times New Roman" w:hAnsi="Times New Roman"/>
          <w:noProof/>
          <w:sz w:val="24"/>
          <w:szCs w:val="24"/>
        </w:rPr>
        <w:t>И накрая, Комисията ще подкрепя регионални инициативи за съвместни договаряне или съвместни тръжни процедури, тъй като те могат също така да допринесат за това лекарствата да бъдат по-достъпни</w:t>
      </w:r>
      <w:r>
        <w:rPr>
          <w:rStyle w:val="FootnoteReference"/>
          <w:rFonts w:ascii="Times New Roman" w:eastAsia="Calibri" w:hAnsi="Times New Roman"/>
          <w:noProof/>
          <w:sz w:val="24"/>
          <w:szCs w:val="24"/>
        </w:rPr>
        <w:footnoteReference w:id="25"/>
      </w:r>
      <w:r>
        <w:rPr>
          <w:rFonts w:ascii="Times New Roman" w:hAnsi="Times New Roman"/>
          <w:noProof/>
          <w:sz w:val="24"/>
          <w:szCs w:val="24"/>
        </w:rPr>
        <w:t>.</w:t>
      </w:r>
    </w:p>
    <w:tbl>
      <w:tblPr>
        <w:tblStyle w:val="TableGrid"/>
        <w:tblW w:w="9108" w:type="dxa"/>
        <w:tblLook w:val="04A0" w:firstRow="1" w:lastRow="0" w:firstColumn="1" w:lastColumn="0" w:noHBand="0" w:noVBand="1"/>
      </w:tblPr>
      <w:tblGrid>
        <w:gridCol w:w="9108"/>
      </w:tblGrid>
      <w:tr>
        <w:tc>
          <w:tcPr>
            <w:tcW w:w="9108" w:type="dxa"/>
          </w:tcPr>
          <w:p>
            <w:pPr>
              <w:spacing w:after="120"/>
              <w:rPr>
                <w:rFonts w:ascii="Times New Roman" w:hAnsi="Times New Roman"/>
                <w:b/>
                <w:i/>
                <w:noProof/>
                <w:sz w:val="24"/>
                <w:szCs w:val="24"/>
                <w:u w:val="single"/>
              </w:rPr>
            </w:pPr>
            <w:r>
              <w:rPr>
                <w:rFonts w:ascii="Times New Roman" w:hAnsi="Times New Roman"/>
                <w:b/>
                <w:i/>
                <w:noProof/>
                <w:sz w:val="24"/>
                <w:szCs w:val="24"/>
                <w:u w:val="single"/>
              </w:rPr>
              <w:t>Водещи инициативи при достъпа до лекарства</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Предложение за преразглеждане на системата от стимули и задължения в основното  законодателство в областта на фармацевтичните продукти, като се вземе предвид връзката с правата върху интелектуалната собственост, в подкрепа на иновациите, достъпа до лекарства и възможността на пациентите да си ги позволят в целия ЕС — срок 2022 г.</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Преразглеждане на основното законодателство в областта на фармацевтичните продукти в отговор на съображенията, свързани с конкуренцията на пазара, и съответно разширяване на достъпа до генерични и биоподобни лекарства, включително на взаимозаменяемостта и освобождаването „Болар“ — срок 2022 г.</w:t>
            </w:r>
          </w:p>
          <w:p>
            <w:pPr>
              <w:spacing w:after="120"/>
              <w:rPr>
                <w:rFonts w:ascii="Times New Roman" w:hAnsi="Times New Roman"/>
                <w:b/>
                <w:i/>
                <w:noProof/>
                <w:sz w:val="24"/>
                <w:szCs w:val="24"/>
                <w:u w:val="single"/>
              </w:rPr>
            </w:pPr>
            <w:r>
              <w:rPr>
                <w:rFonts w:ascii="Times New Roman" w:hAnsi="Times New Roman"/>
                <w:b/>
                <w:i/>
                <w:noProof/>
                <w:sz w:val="24"/>
                <w:szCs w:val="24"/>
                <w:u w:val="single"/>
              </w:rPr>
              <w:t>Други действия</w:t>
            </w:r>
          </w:p>
          <w:p>
            <w:pPr>
              <w:pStyle w:val="ListParagraph"/>
              <w:numPr>
                <w:ilvl w:val="0"/>
                <w:numId w:val="15"/>
              </w:numPr>
              <w:spacing w:after="120"/>
              <w:ind w:left="714" w:hanging="357"/>
              <w:jc w:val="both"/>
              <w:rPr>
                <w:rFonts w:ascii="Times New Roman" w:hAnsi="Times New Roman"/>
                <w:b/>
                <w:i/>
                <w:noProof/>
                <w:sz w:val="24"/>
                <w:szCs w:val="24"/>
                <w:u w:val="single"/>
              </w:rPr>
            </w:pPr>
            <w:r>
              <w:rPr>
                <w:rFonts w:ascii="Times New Roman" w:hAnsi="Times New Roman"/>
                <w:noProof/>
                <w:sz w:val="24"/>
                <w:szCs w:val="24"/>
              </w:rPr>
              <w:t>Започване на пилотен проект заедно с ЕМА и държавите членки, с участието на бъдещите титуляри на разрешения за търговия, за изследване на първопричините за забавеното пускане на пазара — срок 2021 г.</w:t>
            </w:r>
          </w:p>
          <w:p>
            <w:pPr>
              <w:pStyle w:val="ListParagraph"/>
              <w:numPr>
                <w:ilvl w:val="0"/>
                <w:numId w:val="15"/>
              </w:numPr>
              <w:spacing w:after="120"/>
              <w:ind w:left="714" w:hanging="357"/>
              <w:jc w:val="both"/>
              <w:rPr>
                <w:rFonts w:ascii="Times New Roman" w:hAnsi="Times New Roman"/>
                <w:b/>
                <w:i/>
                <w:noProof/>
                <w:sz w:val="24"/>
                <w:szCs w:val="24"/>
                <w:u w:val="single"/>
              </w:rPr>
            </w:pPr>
            <w:r>
              <w:rPr>
                <w:rFonts w:ascii="Times New Roman" w:hAnsi="Times New Roman"/>
                <w:noProof/>
                <w:sz w:val="24"/>
                <w:szCs w:val="24"/>
              </w:rPr>
              <w:t>Насърчаване на купувачите от здравния сектор да си сътрудничат за прилагане на новаторски подходи при възлагането на обществени поръчки за закупуване на лекарства или медицински изделия в рамките на инициативата „Големи купувачи“ — срок 2021 г.</w:t>
            </w:r>
          </w:p>
        </w:tc>
      </w:tr>
    </w:tbl>
    <w:p>
      <w:pPr>
        <w:pStyle w:val="Heading2"/>
        <w:numPr>
          <w:ilvl w:val="1"/>
          <w:numId w:val="3"/>
        </w:numPr>
        <w:spacing w:before="200" w:line="240" w:lineRule="auto"/>
        <w:ind w:left="567" w:hanging="567"/>
        <w:jc w:val="both"/>
        <w:rPr>
          <w:rFonts w:ascii="Times New Roman" w:hAnsi="Times New Roman" w:cs="Times New Roman"/>
          <w:i/>
          <w:noProof/>
          <w:color w:val="auto"/>
          <w:sz w:val="24"/>
          <w:szCs w:val="24"/>
        </w:rPr>
      </w:pPr>
      <w:r>
        <w:rPr>
          <w:rFonts w:ascii="Times New Roman" w:hAnsi="Times New Roman"/>
          <w:i/>
          <w:noProof/>
          <w:color w:val="auto"/>
          <w:sz w:val="24"/>
          <w:szCs w:val="24"/>
        </w:rPr>
        <w:t>Гарантиране  на ценовата достъпност на лекарства за пациентите и на финансовата и фискална устойчивост на здравните системи</w:t>
      </w:r>
    </w:p>
    <w:p>
      <w:pPr>
        <w:spacing w:line="240" w:lineRule="auto"/>
        <w:jc w:val="both"/>
        <w:rPr>
          <w:rFonts w:ascii="Times New Roman" w:hAnsi="Times New Roman"/>
          <w:noProof/>
          <w:sz w:val="24"/>
          <w:szCs w:val="24"/>
        </w:rPr>
      </w:pPr>
      <w:r>
        <w:rPr>
          <w:rFonts w:ascii="Times New Roman" w:hAnsi="Times New Roman"/>
          <w:b/>
          <w:noProof/>
          <w:sz w:val="24"/>
          <w:szCs w:val="24"/>
        </w:rPr>
        <w:t>Ценовата достъпност</w:t>
      </w:r>
      <w:r>
        <w:rPr>
          <w:rFonts w:ascii="Times New Roman" w:hAnsi="Times New Roman"/>
          <w:noProof/>
          <w:sz w:val="24"/>
          <w:szCs w:val="24"/>
        </w:rPr>
        <w:t xml:space="preserve"> на лекарствата се отразява както на публичните финанси, така и на финансите на домакинствата. Тя представлява все по-голямо предизвикателство за повечето държави членки. Бизнес моделът се промени — стремежът е да се пускат лекарства, които са „хитови“ в определени ниши, а не на общия пазар, както беше в миналото. Често пъти цените на новите продукти са все по-високи и е все по-несигурно каква ще бъде тяхната реална ефективност и свързаните с тях общи разходи. Това излага на риск бюджетната устойчивост на здравните системи и ограничава възможностите на пациентите за достъп до тези продукти.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Липсва </w:t>
      </w:r>
      <w:r>
        <w:rPr>
          <w:rFonts w:ascii="Times New Roman" w:hAnsi="Times New Roman"/>
          <w:b/>
          <w:noProof/>
          <w:sz w:val="24"/>
          <w:szCs w:val="24"/>
        </w:rPr>
        <w:t>прозрачност</w:t>
      </w:r>
      <w:r>
        <w:rPr>
          <w:rFonts w:ascii="Times New Roman" w:hAnsi="Times New Roman"/>
          <w:noProof/>
          <w:sz w:val="24"/>
          <w:szCs w:val="24"/>
        </w:rPr>
        <w:t xml:space="preserve"> (по-специално при разходите за НИРД), както и </w:t>
      </w:r>
      <w:r>
        <w:rPr>
          <w:rFonts w:ascii="Times New Roman" w:hAnsi="Times New Roman"/>
          <w:b/>
          <w:noProof/>
          <w:sz w:val="24"/>
          <w:szCs w:val="24"/>
        </w:rPr>
        <w:t>консенсус относно принципите за изчисляване на разходите</w:t>
      </w:r>
      <w:r>
        <w:rPr>
          <w:rFonts w:ascii="Times New Roman" w:hAnsi="Times New Roman"/>
          <w:noProof/>
          <w:sz w:val="24"/>
          <w:szCs w:val="24"/>
        </w:rPr>
        <w:t xml:space="preserve">. По-доброто осмисляне и по-голямата яснота са от огромно значение и служат като основа при обсъждането на стратегиите за ценообразуването на лекарствените продукти за определена пазарна ниша и „справедливата възвръщаемост“ на инвестициите в научни изследвания. Изменящите се бизнес модели (например придобиването при висока стойност на обещаващи продукти в процес на разработка) и новите подходи за плащане, като например поделянето на риска и схемите за разсрочено плащане, могат да имат дългосрочни последици и по този начин да повлияят върху ценовата достъпност на въпросните продукти. Комисията ще насърчава прозрачността на информацията за цените, за да помогне на държавите членки да вземат по-добри решения относно ценообразуването и възстановяването на разходите, като се вземат предвид и възможните верижни ефекти от иновациите. </w:t>
      </w:r>
    </w:p>
    <w:p>
      <w:pPr>
        <w:spacing w:line="240" w:lineRule="auto"/>
        <w:jc w:val="both"/>
        <w:rPr>
          <w:rFonts w:ascii="Times New Roman" w:hAnsi="Times New Roman"/>
          <w:noProof/>
          <w:sz w:val="24"/>
          <w:szCs w:val="24"/>
        </w:rPr>
      </w:pPr>
      <w:r>
        <w:rPr>
          <w:rFonts w:ascii="Times New Roman" w:hAnsi="Times New Roman"/>
          <w:b/>
          <w:noProof/>
          <w:sz w:val="24"/>
          <w:szCs w:val="24"/>
        </w:rPr>
        <w:t>Разходите за лекарства в болниците</w:t>
      </w:r>
      <w:r>
        <w:rPr>
          <w:rFonts w:ascii="Times New Roman" w:hAnsi="Times New Roman"/>
          <w:noProof/>
          <w:sz w:val="24"/>
          <w:szCs w:val="24"/>
        </w:rPr>
        <w:t xml:space="preserve"> не се докладват цялостно на равнище ЕС и бързо нарастват. Бюджетите за лекарства възлизат на 20—30 % от разходите на болниците и нарастват по-бързо от разходите при търговията на дребно</w:t>
      </w:r>
      <w:r>
        <w:rPr>
          <w:rStyle w:val="FootnoteReference"/>
          <w:rFonts w:ascii="Times New Roman" w:hAnsi="Times New Roman"/>
          <w:noProof/>
          <w:sz w:val="24"/>
          <w:szCs w:val="24"/>
        </w:rPr>
        <w:footnoteReference w:id="26"/>
      </w:r>
      <w:r>
        <w:rPr>
          <w:rFonts w:ascii="Times New Roman" w:hAnsi="Times New Roman"/>
          <w:noProof/>
          <w:sz w:val="24"/>
          <w:szCs w:val="24"/>
        </w:rPr>
        <w:t xml:space="preserve">. Това не бива да изненадва предвид нарастването на разходите за специализирани лекарства при болнично лечение. Комисията ще направи оценка на ефективността на настоящите механизми за финансова защита, като се постарае да ги оптимизира, за да гарантира, че отделните пациенти и здравните системи ще могат да си позволят въпросните лекарства. По-доброто познаване на ефикасността и достъпността на медицинските грижи в държавите членки ще осигури информация за специфичните за всяка държава здравни системи (напр. в рамките на европейския семестър и цикъла от доклади „Състояние на здравеопазването в ЕС“) и за възможните реформи в държавите членки. От решаващо значение за постигането на ефективни и устойчиви здравни системи е и </w:t>
      </w:r>
      <w:r>
        <w:rPr>
          <w:rFonts w:ascii="Times New Roman" w:hAnsi="Times New Roman"/>
          <w:b/>
          <w:noProof/>
          <w:sz w:val="24"/>
          <w:szCs w:val="24"/>
        </w:rPr>
        <w:t>свеждането до минимум на изхвърляните като отпадъци лекарства и оптимизирането на стойността на разходите</w:t>
      </w:r>
      <w:r>
        <w:rPr>
          <w:rFonts w:ascii="Times New Roman" w:hAnsi="Times New Roman"/>
          <w:noProof/>
          <w:sz w:val="24"/>
          <w:szCs w:val="24"/>
        </w:rPr>
        <w:t xml:space="preserve"> за лекарства. За тази цел могат да се използват разнообразни лостове на политиката, включително: осигуряване на икономическа ефективност чрез оценка на здравните технологии; извличане на полза от потенциалните спестявания от генерични и биоподобни лекарствени продукти; насърчаване на отговорното предписване и подобряване на спазването на лечението от страна на пациентите.</w:t>
      </w:r>
    </w:p>
    <w:p>
      <w:pPr>
        <w:spacing w:line="240" w:lineRule="auto"/>
        <w:jc w:val="both"/>
        <w:rPr>
          <w:rFonts w:ascii="Times New Roman" w:hAnsi="Times New Roman"/>
          <w:noProof/>
          <w:sz w:val="24"/>
          <w:szCs w:val="24"/>
        </w:rPr>
      </w:pPr>
      <w:r>
        <w:rPr>
          <w:rFonts w:ascii="Times New Roman" w:hAnsi="Times New Roman"/>
          <w:noProof/>
          <w:sz w:val="24"/>
          <w:szCs w:val="24"/>
        </w:rPr>
        <w:t xml:space="preserve">Решенията относно </w:t>
      </w:r>
      <w:r>
        <w:rPr>
          <w:rFonts w:ascii="Times New Roman" w:hAnsi="Times New Roman"/>
          <w:b/>
          <w:noProof/>
          <w:sz w:val="24"/>
          <w:szCs w:val="24"/>
        </w:rPr>
        <w:t>ценообразуването и възстановяването на разходите за лекарства</w:t>
      </w:r>
      <w:r>
        <w:rPr>
          <w:rFonts w:ascii="Times New Roman" w:hAnsi="Times New Roman"/>
          <w:noProof/>
          <w:sz w:val="24"/>
          <w:szCs w:val="24"/>
        </w:rPr>
        <w:t xml:space="preserve"> са от компетентността на държавите членки. Комисията ще засили сътрудничеството със и между държавите членки относно ценовата достъпност и рентабилност на лекарствата и ще създаде група, която да направлява сътрудничеството между националните органи за ценообразуване и възстановяване на разходите и платците на здравни услуги. Тя ще подкрепя взаимното обогатяване със знания чрез обмен на информация и най-добри практики, включително по отношение на обществените поръчки, покриването на разходите за фармацевтични продукти от системите за социална закрила, критериите за повишаване на цените и разумното предписване на лекарства.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Някои условия, като например новосъздадените нишови продукти за ограничен брой пациенти или липсата на правила за автоматично заместване на биологичните препарати, могат да създадат пазарни пречки. Това означава, че за конкурентните генерични, биоподобни и „по-стари“ продукти може да се окаже трудно да навлязат или да останат на пазара. Тази липса на </w:t>
      </w:r>
      <w:r>
        <w:rPr>
          <w:rFonts w:ascii="Times New Roman" w:hAnsi="Times New Roman"/>
          <w:b/>
          <w:bCs/>
          <w:noProof/>
          <w:sz w:val="24"/>
          <w:szCs w:val="24"/>
        </w:rPr>
        <w:t>конкуренция</w:t>
      </w:r>
      <w:r>
        <w:rPr>
          <w:rFonts w:ascii="Times New Roman" w:hAnsi="Times New Roman"/>
          <w:noProof/>
          <w:sz w:val="24"/>
          <w:szCs w:val="24"/>
        </w:rPr>
        <w:t xml:space="preserve"> не позволява икономии от цената, щом иновативните продукти загубят своите изключителни търговски права. Въпреки това правилата, които не регулират пряко цените или равнищата на възстановяване на разходите, могат да повлияят на ценовата достъпност и рентабилност на лекарствата чрез косвеното си въздействие върху конкуренцията на пазарите или икономическата жизнеспособност на продуктите на по-разработените пазари. Комисията ще вземе това предвид при прегледа на законодателството в областта на фармацевтичните продукти, за да прецени как най-добре може да се насърчи пълноценната конкуренция, което ще доведе до намаляване на цените на лекарствата. Тя също така ще продължи да работи, включително чрез обмен на най-добри практики, за навлизането на биоподобните лекарствени продукти, което да стимулира конкуренцията. </w:t>
      </w:r>
    </w:p>
    <w:tbl>
      <w:tblPr>
        <w:tblStyle w:val="TableGrid"/>
        <w:tblW w:w="0" w:type="auto"/>
        <w:tblLook w:val="04A0" w:firstRow="1" w:lastRow="0" w:firstColumn="1" w:lastColumn="0" w:noHBand="0" w:noVBand="1"/>
      </w:tblPr>
      <w:tblGrid>
        <w:gridCol w:w="9166"/>
      </w:tblGrid>
      <w:tr>
        <w:tc>
          <w:tcPr>
            <w:tcW w:w="9166" w:type="dxa"/>
          </w:tcPr>
          <w:p>
            <w:pPr>
              <w:spacing w:after="120"/>
              <w:rPr>
                <w:rFonts w:ascii="Times New Roman" w:hAnsi="Times New Roman"/>
                <w:b/>
                <w:i/>
                <w:noProof/>
                <w:sz w:val="24"/>
                <w:szCs w:val="24"/>
                <w:u w:val="single"/>
              </w:rPr>
            </w:pPr>
            <w:r>
              <w:rPr>
                <w:rFonts w:ascii="Times New Roman" w:hAnsi="Times New Roman"/>
                <w:b/>
                <w:i/>
                <w:noProof/>
                <w:sz w:val="24"/>
                <w:szCs w:val="24"/>
                <w:u w:val="single"/>
              </w:rPr>
              <w:t>Водещи инициативи при ценовата достъпност</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Предложение за преразглеждане на законодателството в областта на фармацевтичните продукти предвид аспектите, които възпрепятстват конкурентното функциониране на пазарите, и отчитане на въздействието на пазара върху ценовата достъпност — срок 2022 г.</w:t>
            </w:r>
          </w:p>
          <w:p>
            <w:pPr>
              <w:pStyle w:val="ListParagraph"/>
              <w:numPr>
                <w:ilvl w:val="0"/>
                <w:numId w:val="15"/>
              </w:numPr>
              <w:ind w:left="714" w:hanging="357"/>
              <w:jc w:val="both"/>
              <w:rPr>
                <w:rFonts w:ascii="Times New Roman" w:hAnsi="Times New Roman"/>
                <w:noProof/>
                <w:sz w:val="24"/>
                <w:szCs w:val="24"/>
              </w:rPr>
            </w:pPr>
            <w:r>
              <w:rPr>
                <w:rFonts w:ascii="Times New Roman" w:hAnsi="Times New Roman"/>
                <w:noProof/>
                <w:sz w:val="24"/>
                <w:szCs w:val="24"/>
              </w:rPr>
              <w:t>Развиване на груповото сътрудничество между компетентни органи посредством взаимното обогатяване със знания чрез обмен на най-добри практики в областта на политиките за ценообразуване, плащане и възлагане на обществени поръчки, с цел подобряване на ценовата достъпност и рентабилност на лекарствата и устойчивостта на здравната система, включително по отношение на лечението на ракови заболявания — срок 2021—2024 г.</w:t>
            </w:r>
          </w:p>
          <w:p>
            <w:pPr>
              <w:keepNext/>
              <w:rPr>
                <w:rFonts w:ascii="Times New Roman" w:hAnsi="Times New Roman"/>
                <w:b/>
                <w:i/>
                <w:noProof/>
                <w:sz w:val="24"/>
                <w:szCs w:val="24"/>
                <w:u w:val="single"/>
              </w:rPr>
            </w:pPr>
            <w:r>
              <w:rPr>
                <w:rFonts w:ascii="Times New Roman" w:hAnsi="Times New Roman"/>
                <w:b/>
                <w:i/>
                <w:noProof/>
                <w:sz w:val="24"/>
                <w:szCs w:val="24"/>
                <w:u w:val="single"/>
              </w:rPr>
              <w:t>Други действия</w:t>
            </w:r>
          </w:p>
          <w:p>
            <w:pPr>
              <w:pStyle w:val="ListParagraph"/>
              <w:keepNext/>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 xml:space="preserve">Обсъждане с държавите членки прилагането на незаконодателни мерки за подобряване на прозрачността, като например насоки относно принципите и методите за остойностяване с цел установяване на разходите за НИРД при лекарствата — срок 2021—2024 г. </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Посредством европейския семестър, продължаване на оценката на адекватността и устойчивостта на националните здравни системи и издаване на специфични и съобразени с всяка държава препоръки, за да се гарантира, че тези системи са достъпни и ефикасни.</w:t>
            </w:r>
          </w:p>
        </w:tc>
      </w:tr>
    </w:tbl>
    <w:p>
      <w:pPr>
        <w:pStyle w:val="Heading1"/>
        <w:numPr>
          <w:ilvl w:val="0"/>
          <w:numId w:val="3"/>
        </w:numPr>
        <w:spacing w:line="240" w:lineRule="auto"/>
        <w:ind w:left="567" w:hanging="567"/>
        <w:rPr>
          <w:rFonts w:ascii="Times New Roman" w:hAnsi="Times New Roman" w:cs="Times New Roman"/>
          <w:b/>
          <w:noProof/>
          <w:color w:val="auto"/>
          <w:sz w:val="24"/>
          <w:szCs w:val="24"/>
        </w:rPr>
      </w:pPr>
      <w:r>
        <w:rPr>
          <w:rFonts w:ascii="Times New Roman" w:hAnsi="Times New Roman"/>
          <w:b/>
          <w:noProof/>
          <w:color w:val="auto"/>
          <w:sz w:val="24"/>
          <w:szCs w:val="24"/>
        </w:rPr>
        <w:t xml:space="preserve">Подкрепа за конкурентоспособна и иновативна европейска фармацевтична промишленост </w:t>
      </w:r>
    </w:p>
    <w:p>
      <w:pPr>
        <w:pStyle w:val="Heading2"/>
        <w:numPr>
          <w:ilvl w:val="1"/>
          <w:numId w:val="3"/>
        </w:numPr>
        <w:spacing w:before="200" w:line="240" w:lineRule="auto"/>
        <w:ind w:left="567" w:hanging="567"/>
        <w:rPr>
          <w:rFonts w:ascii="Times New Roman" w:hAnsi="Times New Roman" w:cs="Times New Roman"/>
          <w:i/>
          <w:noProof/>
          <w:color w:val="auto"/>
          <w:sz w:val="24"/>
          <w:szCs w:val="24"/>
        </w:rPr>
      </w:pPr>
      <w:r>
        <w:rPr>
          <w:rFonts w:ascii="Times New Roman" w:hAnsi="Times New Roman"/>
          <w:i/>
          <w:noProof/>
          <w:color w:val="auto"/>
          <w:sz w:val="24"/>
          <w:szCs w:val="24"/>
        </w:rPr>
        <w:t>Осигуряване на благоприятна среда за европейската фармацевтична промишленост.</w:t>
      </w:r>
    </w:p>
    <w:p>
      <w:pPr>
        <w:spacing w:line="240" w:lineRule="auto"/>
        <w:jc w:val="both"/>
        <w:rPr>
          <w:rFonts w:ascii="Times New Roman" w:hAnsi="Times New Roman"/>
          <w:noProof/>
          <w:sz w:val="24"/>
          <w:szCs w:val="24"/>
          <w:shd w:val="clear" w:color="auto" w:fill="FFFFFF"/>
        </w:rPr>
      </w:pPr>
      <w:r>
        <w:rPr>
          <w:rFonts w:ascii="Times New Roman" w:hAnsi="Times New Roman"/>
          <w:noProof/>
          <w:sz w:val="24"/>
          <w:szCs w:val="24"/>
        </w:rPr>
        <w:t xml:space="preserve">Една </w:t>
      </w:r>
      <w:r>
        <w:rPr>
          <w:rFonts w:ascii="Times New Roman" w:hAnsi="Times New Roman"/>
          <w:b/>
          <w:bCs/>
          <w:noProof/>
          <w:sz w:val="24"/>
          <w:szCs w:val="24"/>
        </w:rPr>
        <w:t>конкурентоспособна и отличаваща се с ефективно използване на ресурсите европейска фармацевтична промишленост</w:t>
      </w:r>
      <w:r>
        <w:rPr>
          <w:rFonts w:ascii="Times New Roman" w:hAnsi="Times New Roman"/>
          <w:noProof/>
          <w:sz w:val="24"/>
          <w:szCs w:val="24"/>
        </w:rPr>
        <w:t xml:space="preserve"> е от стратегически интерес за общественото здравеопазване, икономическия растеж, работните места, търговията и науката. ЕС се стреми да подкрепя промишлеността по отношение на нейната конкурентоспособност и устойчивост, така че на свой ред тя </w:t>
      </w:r>
      <w:r>
        <w:rPr>
          <w:rFonts w:ascii="Times New Roman" w:hAnsi="Times New Roman"/>
          <w:b/>
          <w:noProof/>
          <w:sz w:val="24"/>
          <w:szCs w:val="24"/>
        </w:rPr>
        <w:t>да отговори по-добре на нуждите на пациентите</w:t>
      </w:r>
      <w:r>
        <w:rPr>
          <w:rFonts w:ascii="Times New Roman" w:hAnsi="Times New Roman"/>
          <w:noProof/>
          <w:sz w:val="24"/>
          <w:szCs w:val="24"/>
        </w:rPr>
        <w:t xml:space="preserve">. </w:t>
      </w:r>
      <w:r>
        <w:rPr>
          <w:rFonts w:ascii="Times New Roman" w:hAnsi="Times New Roman"/>
          <w:noProof/>
          <w:sz w:val="24"/>
          <w:szCs w:val="24"/>
          <w:shd w:val="clear" w:color="auto" w:fill="FFFFFF"/>
        </w:rPr>
        <w:t xml:space="preserve">Отрасълът търпи бързи промени. Утвърдените предприятия все по-често възлагат задачи на външни изпълнители и насочват инвестициите си към ограничен брой терапевтични области, като същевременно намаляват инвестициите в други. На пазара навлязоха нови участници, особено технологични компании. Обединяването на тези отделни промишлени сегменти ще преобрази настоящите бизнес модели и пазари. </w:t>
      </w:r>
    </w:p>
    <w:p>
      <w:pPr>
        <w:spacing w:line="240" w:lineRule="auto"/>
        <w:jc w:val="both"/>
        <w:rPr>
          <w:rFonts w:ascii="Times New Roman" w:hAnsi="Times New Roman"/>
          <w:noProof/>
          <w:sz w:val="24"/>
          <w:szCs w:val="24"/>
          <w:shd w:val="clear" w:color="auto" w:fill="FFFFFF"/>
        </w:rPr>
      </w:pPr>
      <w:r>
        <w:rPr>
          <w:rFonts w:ascii="Times New Roman" w:hAnsi="Times New Roman"/>
          <w:noProof/>
          <w:sz w:val="24"/>
          <w:szCs w:val="24"/>
          <w:shd w:val="clear" w:color="auto" w:fill="FFFFFF"/>
        </w:rPr>
        <w:t>Новата промишлена стратегия за Европа</w:t>
      </w:r>
      <w:r>
        <w:rPr>
          <w:rStyle w:val="FootnoteReference"/>
          <w:rFonts w:ascii="Times New Roman" w:hAnsi="Times New Roman"/>
          <w:noProof/>
          <w:sz w:val="24"/>
          <w:szCs w:val="24"/>
          <w:shd w:val="clear" w:color="auto" w:fill="FFFFFF"/>
        </w:rPr>
        <w:footnoteReference w:id="27"/>
      </w:r>
      <w:r>
        <w:rPr>
          <w:rFonts w:ascii="Times New Roman" w:hAnsi="Times New Roman"/>
          <w:noProof/>
          <w:sz w:val="24"/>
          <w:szCs w:val="24"/>
          <w:shd w:val="clear" w:color="auto" w:fill="FFFFFF"/>
        </w:rPr>
        <w:t xml:space="preserve"> съдържа ключови мерки в подкрепа на промишлеността в ЕС. Въз основа на тази рамка фармацевтичната стратегия ще създаде </w:t>
      </w:r>
      <w:r>
        <w:rPr>
          <w:rFonts w:ascii="Times New Roman" w:hAnsi="Times New Roman"/>
          <w:b/>
          <w:noProof/>
          <w:sz w:val="24"/>
          <w:szCs w:val="24"/>
        </w:rPr>
        <w:t>стабилна и гъвкава регулаторна среда</w:t>
      </w:r>
      <w:r>
        <w:rPr>
          <w:rFonts w:ascii="Times New Roman" w:hAnsi="Times New Roman"/>
          <w:noProof/>
          <w:sz w:val="24"/>
          <w:szCs w:val="24"/>
          <w:u w:color="000000"/>
          <w:bdr w:val="nil"/>
        </w:rPr>
        <w:t>, която предлага правна сигурност за инвестициите и отчита технологичните тенденции</w:t>
      </w:r>
      <w:r>
        <w:rPr>
          <w:rFonts w:ascii="Times New Roman" w:hAnsi="Times New Roman"/>
          <w:noProof/>
          <w:sz w:val="24"/>
          <w:szCs w:val="24"/>
          <w:shd w:val="clear" w:color="auto" w:fill="FFFFFF"/>
        </w:rPr>
        <w:t>. Това включва предоставяне на балансирани и справедливи стимули за възнаграждаване и защита на иновациите и създаване на подходящи условия за конкурентоспособност на предприятията от всякакъв мащаб в ЕС.</w:t>
      </w:r>
    </w:p>
    <w:p>
      <w:pPr>
        <w:spacing w:line="240" w:lineRule="auto"/>
        <w:jc w:val="both"/>
        <w:rPr>
          <w:rFonts w:ascii="Times New Roman" w:hAnsi="Times New Roman"/>
          <w:noProof/>
          <w:sz w:val="24"/>
          <w:szCs w:val="24"/>
        </w:rPr>
      </w:pPr>
      <w:r>
        <w:rPr>
          <w:rFonts w:ascii="Times New Roman" w:hAnsi="Times New Roman"/>
          <w:b/>
          <w:noProof/>
          <w:sz w:val="24"/>
          <w:szCs w:val="24"/>
        </w:rPr>
        <w:t>Правата върху интелектуалната собственост</w:t>
      </w:r>
      <w:r>
        <w:rPr>
          <w:rFonts w:ascii="Times New Roman" w:hAnsi="Times New Roman"/>
          <w:noProof/>
          <w:sz w:val="24"/>
          <w:szCs w:val="24"/>
        </w:rPr>
        <w:t xml:space="preserve"> осигуряват закрила за иновативните продукти и процеси, но особено при патентите и сертификатите за допълнителна закрила съществуват различия в прилагането на тези права в отделните държави членки. </w:t>
      </w:r>
    </w:p>
    <w:p>
      <w:pPr>
        <w:spacing w:line="240" w:lineRule="auto"/>
        <w:jc w:val="both"/>
        <w:rPr>
          <w:rFonts w:ascii="Times New Roman" w:eastAsia="Calibri" w:hAnsi="Times New Roman"/>
          <w:noProof/>
          <w:sz w:val="24"/>
          <w:szCs w:val="24"/>
          <w:u w:color="000000"/>
          <w:bdr w:val="nil"/>
        </w:rPr>
      </w:pPr>
      <w:r>
        <w:rPr>
          <w:rFonts w:ascii="Times New Roman" w:hAnsi="Times New Roman"/>
          <w:noProof/>
          <w:sz w:val="24"/>
          <w:szCs w:val="24"/>
        </w:rPr>
        <w:t xml:space="preserve">Това води до дублиране и неефективност в ущърб на конкурентоспособността на промишлеността. </w:t>
      </w:r>
      <w:r>
        <w:rPr>
          <w:rFonts w:ascii="Times New Roman" w:hAnsi="Times New Roman"/>
          <w:noProof/>
          <w:sz w:val="24"/>
          <w:szCs w:val="24"/>
          <w:u w:color="000000"/>
          <w:bdr w:val="nil"/>
        </w:rPr>
        <w:t>Планът за действие на Комисията в областта на интелектуалната собственост</w:t>
      </w:r>
      <w:r>
        <w:rPr>
          <w:rStyle w:val="FootnoteReference"/>
          <w:rFonts w:ascii="Times New Roman" w:eastAsia="Calibri" w:hAnsi="Times New Roman"/>
          <w:noProof/>
          <w:sz w:val="24"/>
          <w:szCs w:val="24"/>
          <w:u w:color="000000"/>
          <w:bdr w:val="nil"/>
          <w:lang w:eastAsia="fr-BE"/>
        </w:rPr>
        <w:footnoteReference w:id="28"/>
      </w:r>
      <w:r>
        <w:rPr>
          <w:rFonts w:ascii="Times New Roman" w:hAnsi="Times New Roman"/>
          <w:noProof/>
          <w:sz w:val="24"/>
          <w:szCs w:val="24"/>
          <w:u w:color="000000"/>
          <w:bdr w:val="nil"/>
        </w:rPr>
        <w:t xml:space="preserve"> включва мерки за опростяване и рационализиране на системата за интелектуалната собственост във фармацевтичната промишленост на ЕС, по-специално по отношение на сертификатите за допълнителна закрила. </w:t>
      </w:r>
    </w:p>
    <w:p>
      <w:pPr>
        <w:spacing w:line="240" w:lineRule="auto"/>
        <w:jc w:val="both"/>
        <w:rPr>
          <w:rFonts w:ascii="Times New Roman" w:eastAsia="Calibri" w:hAnsi="Times New Roman"/>
          <w:noProof/>
          <w:sz w:val="24"/>
          <w:szCs w:val="24"/>
          <w:u w:color="000000"/>
          <w:bdr w:val="nil"/>
        </w:rPr>
      </w:pPr>
      <w:r>
        <w:rPr>
          <w:rFonts w:ascii="Times New Roman" w:hAnsi="Times New Roman"/>
          <w:noProof/>
          <w:sz w:val="24"/>
          <w:szCs w:val="24"/>
        </w:rPr>
        <w:t xml:space="preserve">Сигурният и ефикасен достъп до здравни данни е от ключово значение за пълноценното използване на огромния потенциал на новите технологии и цифровизацията. В услуга на иновациите промишлеността и регулаторните органи следва да получат достъп до данни в рамките на стабилна общоевропейска </w:t>
      </w:r>
      <w:r>
        <w:rPr>
          <w:rFonts w:ascii="Times New Roman" w:hAnsi="Times New Roman"/>
          <w:b/>
          <w:noProof/>
          <w:sz w:val="24"/>
          <w:szCs w:val="24"/>
        </w:rPr>
        <w:t>инфраструктура за данни</w:t>
      </w:r>
      <w:r>
        <w:rPr>
          <w:rFonts w:ascii="Times New Roman" w:hAnsi="Times New Roman"/>
          <w:noProof/>
          <w:sz w:val="24"/>
          <w:szCs w:val="24"/>
        </w:rPr>
        <w:t xml:space="preserve">. Една взаимосвързана система, която дава достъп до съпоставими и оперативно съвместими здравни данни от целия ЕС, би изиграла неимоверно положителна роля за научните изследвания, регулирането и генерирането на данни. Комисията ще предложи изграждането </w:t>
      </w:r>
      <w:r>
        <w:rPr>
          <w:rFonts w:ascii="Times New Roman" w:hAnsi="Times New Roman"/>
          <w:noProof/>
          <w:sz w:val="24"/>
          <w:szCs w:val="24"/>
          <w:u w:color="000000"/>
          <w:bdr w:val="nil"/>
        </w:rPr>
        <w:t>на</w:t>
      </w:r>
      <w:r>
        <w:rPr>
          <w:rFonts w:ascii="Times New Roman" w:hAnsi="Times New Roman"/>
          <w:noProof/>
          <w:sz w:val="24"/>
          <w:szCs w:val="24"/>
        </w:rPr>
        <w:t xml:space="preserve"> </w:t>
      </w:r>
      <w:r>
        <w:rPr>
          <w:rFonts w:ascii="Times New Roman" w:hAnsi="Times New Roman"/>
          <w:b/>
          <w:noProof/>
          <w:sz w:val="24"/>
          <w:szCs w:val="24"/>
        </w:rPr>
        <w:t>европейско пространство за здравни данни</w:t>
      </w:r>
      <w:r>
        <w:rPr>
          <w:rFonts w:ascii="Times New Roman" w:hAnsi="Times New Roman"/>
          <w:noProof/>
          <w:sz w:val="24"/>
          <w:szCs w:val="24"/>
        </w:rPr>
        <w:t xml:space="preserve"> и ще създаде </w:t>
      </w:r>
      <w:r>
        <w:rPr>
          <w:rFonts w:ascii="Times New Roman" w:hAnsi="Times New Roman"/>
          <w:b/>
          <w:noProof/>
          <w:sz w:val="24"/>
          <w:szCs w:val="24"/>
        </w:rPr>
        <w:t>оперативно съвместима инфраструктура</w:t>
      </w:r>
      <w:r>
        <w:rPr>
          <w:rFonts w:ascii="Times New Roman" w:hAnsi="Times New Roman"/>
          <w:noProof/>
          <w:sz w:val="24"/>
          <w:szCs w:val="24"/>
        </w:rPr>
        <w:t xml:space="preserve"> </w:t>
      </w:r>
      <w:r>
        <w:rPr>
          <w:rFonts w:ascii="Times New Roman" w:hAnsi="Times New Roman"/>
          <w:b/>
          <w:noProof/>
          <w:sz w:val="24"/>
          <w:szCs w:val="24"/>
        </w:rPr>
        <w:t>за достъп до данни</w:t>
      </w:r>
      <w:r>
        <w:rPr>
          <w:rFonts w:ascii="Times New Roman" w:hAnsi="Times New Roman"/>
          <w:noProof/>
          <w:sz w:val="24"/>
          <w:szCs w:val="24"/>
        </w:rPr>
        <w:t>, която ще подобри обмена, федерирания достъп и трансграничния анализ на здравните данни в ЕС. Това ще спомогне за по-добро здравно обслужване и научни изследвания в областта на здравеопазването, изготвяне на политики и регулиране, като същевременно ще защити основните права на физическите лица, по-специално техните права на неприкосновеност на личния живот и защита на данните</w:t>
      </w:r>
      <w:r>
        <w:rPr>
          <w:rStyle w:val="FootnoteReference"/>
          <w:rFonts w:ascii="Times New Roman" w:hAnsi="Times New Roman"/>
          <w:noProof/>
          <w:sz w:val="24"/>
          <w:szCs w:val="24"/>
        </w:rPr>
        <w:footnoteReference w:id="29"/>
      </w:r>
      <w:r>
        <w:rPr>
          <w:rFonts w:ascii="Times New Roman" w:hAnsi="Times New Roman"/>
          <w:noProof/>
          <w:sz w:val="24"/>
          <w:szCs w:val="24"/>
        </w:rPr>
        <w:t>.</w:t>
      </w:r>
      <w:r>
        <w:rPr>
          <w:rFonts w:ascii="Times New Roman" w:hAnsi="Times New Roman"/>
          <w:noProof/>
          <w:sz w:val="24"/>
          <w:szCs w:val="24"/>
          <w:u w:color="000000"/>
          <w:bdr w:val="nil"/>
        </w:rPr>
        <w:t xml:space="preserve"> </w:t>
      </w:r>
    </w:p>
    <w:p>
      <w:pPr>
        <w:spacing w:line="240" w:lineRule="auto"/>
        <w:jc w:val="both"/>
        <w:rPr>
          <w:rFonts w:ascii="Times New Roman" w:eastAsia="Calibri" w:hAnsi="Times New Roman"/>
          <w:noProof/>
          <w:sz w:val="24"/>
          <w:szCs w:val="24"/>
          <w:u w:color="000000"/>
          <w:bdr w:val="nil"/>
          <w:shd w:val="clear" w:color="auto" w:fill="FFFFFF"/>
        </w:rPr>
      </w:pPr>
      <w:r>
        <w:rPr>
          <w:rFonts w:ascii="Times New Roman" w:hAnsi="Times New Roman"/>
          <w:noProof/>
          <w:sz w:val="24"/>
          <w:szCs w:val="24"/>
        </w:rPr>
        <w:t xml:space="preserve">От съществено значение е да продължи създаването на възможности за качествена заетост в ЕС по цялата верига за създаване на стойност във фармацевтиката. За тази цел </w:t>
      </w:r>
      <w:r>
        <w:rPr>
          <w:rFonts w:ascii="Times New Roman" w:hAnsi="Times New Roman"/>
          <w:noProof/>
          <w:sz w:val="24"/>
          <w:szCs w:val="24"/>
          <w:u w:color="000000"/>
          <w:bdr w:val="nil"/>
          <w:shd w:val="clear" w:color="auto" w:fill="FFFFFF"/>
        </w:rPr>
        <w:t xml:space="preserve">всяка конкурентоспособна фармацевтична промишленост се нуждае от </w:t>
      </w:r>
      <w:r>
        <w:rPr>
          <w:rFonts w:ascii="Times New Roman" w:hAnsi="Times New Roman"/>
          <w:b/>
          <w:noProof/>
          <w:sz w:val="24"/>
          <w:szCs w:val="24"/>
          <w:u w:color="000000"/>
          <w:bdr w:val="nil"/>
          <w:shd w:val="clear" w:color="auto" w:fill="FFFFFF"/>
        </w:rPr>
        <w:t>квалифицирана и специализирана работна сила</w:t>
      </w:r>
      <w:r>
        <w:rPr>
          <w:rFonts w:ascii="Times New Roman" w:hAnsi="Times New Roman"/>
          <w:noProof/>
          <w:sz w:val="24"/>
          <w:szCs w:val="24"/>
        </w:rPr>
        <w:t>.</w:t>
      </w:r>
      <w:r>
        <w:rPr>
          <w:rFonts w:ascii="Times New Roman" w:hAnsi="Times New Roman"/>
          <w:noProof/>
          <w:sz w:val="24"/>
          <w:szCs w:val="24"/>
          <w:u w:color="000000"/>
          <w:bdr w:val="nil"/>
          <w:shd w:val="clear" w:color="auto" w:fill="FFFFFF"/>
        </w:rPr>
        <w:t xml:space="preserve"> </w:t>
      </w:r>
      <w:r>
        <w:rPr>
          <w:rFonts w:ascii="Times New Roman" w:hAnsi="Times New Roman"/>
          <w:noProof/>
          <w:sz w:val="24"/>
          <w:szCs w:val="24"/>
          <w:u w:val="single"/>
        </w:rPr>
        <w:t>NextGenerationEU</w:t>
      </w:r>
      <w:r>
        <w:rPr>
          <w:rFonts w:ascii="Times New Roman" w:hAnsi="Times New Roman"/>
          <w:noProof/>
          <w:sz w:val="24"/>
          <w:szCs w:val="24"/>
          <w:u w:color="000000"/>
          <w:bdr w:val="nil"/>
          <w:shd w:val="clear" w:color="auto" w:fill="FFFFFF"/>
        </w:rPr>
        <w:t xml:space="preserve"> осигурява безпрецедентни финансови възможности в подкрепа на изграждането на висококвалифицирана работна сила и за нейната адаптивност, а европейската програма за уменията</w:t>
      </w:r>
      <w:r>
        <w:rPr>
          <w:rStyle w:val="FootnoteReference"/>
          <w:rFonts w:ascii="Times New Roman" w:eastAsia="Calibri" w:hAnsi="Times New Roman"/>
          <w:noProof/>
          <w:sz w:val="24"/>
          <w:szCs w:val="24"/>
          <w:u w:color="000000"/>
          <w:bdr w:val="nil"/>
          <w:shd w:val="clear" w:color="auto" w:fill="FFFFFF"/>
          <w:lang w:val="en-IE" w:eastAsia="fr-BE"/>
        </w:rPr>
        <w:footnoteReference w:id="30"/>
      </w:r>
      <w:r>
        <w:rPr>
          <w:rFonts w:ascii="Times New Roman" w:hAnsi="Times New Roman"/>
          <w:noProof/>
          <w:sz w:val="24"/>
          <w:szCs w:val="24"/>
          <w:u w:color="000000"/>
          <w:bdr w:val="nil"/>
          <w:shd w:val="clear" w:color="auto" w:fill="FFFFFF"/>
        </w:rPr>
        <w:t xml:space="preserve"> урежда начините това да се случи. По-конкретно, тя следва да спомогне да се гарантира, че всички ключови участници във фармацевтичния отрасъл обединяват ресурсите си и инвестират в повишаване на квалификацията и преквалификацията на всички служители по цялата верига за създаване на стойност, включително чрез ангажименти, които трябва да се материализират в рамките на Пакта за уменията</w:t>
      </w:r>
      <w:r>
        <w:rPr>
          <w:rStyle w:val="FootnoteReference"/>
          <w:rFonts w:ascii="Times New Roman" w:eastAsia="Calibri" w:hAnsi="Times New Roman"/>
          <w:noProof/>
          <w:sz w:val="24"/>
          <w:szCs w:val="24"/>
          <w:u w:color="000000"/>
          <w:bdr w:val="nil"/>
          <w:shd w:val="clear" w:color="auto" w:fill="FFFFFF"/>
          <w:lang w:val="en-IE" w:eastAsia="fr-BE"/>
        </w:rPr>
        <w:footnoteReference w:id="31"/>
      </w:r>
      <w:r>
        <w:rPr>
          <w:rFonts w:ascii="Times New Roman" w:hAnsi="Times New Roman"/>
          <w:noProof/>
          <w:sz w:val="24"/>
          <w:szCs w:val="24"/>
          <w:u w:color="000000"/>
          <w:bdr w:val="nil"/>
          <w:shd w:val="clear" w:color="auto" w:fill="FFFFFF"/>
        </w:rPr>
        <w:t>, чието начало беше поставено на 10 ноември 2020 г. Със своя принос в увеличаването на броя на специалистите в областта на НТИМ</w:t>
      </w:r>
      <w:r>
        <w:rPr>
          <w:rStyle w:val="FootnoteReference"/>
          <w:rFonts w:ascii="Times New Roman" w:eastAsia="Calibri" w:hAnsi="Times New Roman"/>
          <w:noProof/>
          <w:sz w:val="24"/>
          <w:szCs w:val="24"/>
          <w:u w:color="000000"/>
          <w:bdr w:val="nil"/>
          <w:shd w:val="clear" w:color="auto" w:fill="FFFFFF"/>
          <w:lang w:val="en-IE" w:eastAsia="fr-BE"/>
        </w:rPr>
        <w:footnoteReference w:id="32"/>
      </w:r>
      <w:r>
        <w:rPr>
          <w:rFonts w:ascii="Times New Roman" w:hAnsi="Times New Roman"/>
          <w:noProof/>
          <w:sz w:val="24"/>
          <w:szCs w:val="24"/>
          <w:u w:color="000000"/>
          <w:bdr w:val="nil"/>
          <w:shd w:val="clear" w:color="auto" w:fill="FFFFFF"/>
        </w:rPr>
        <w:t>, програмата за умения ще има за цел да увеличи броя на дипломираните (мъже и жени) в областта на НТИМ и на учителите, като направи тези специалности и кариери по-привлекателни. Изследователи са в челните редици на науката и иновациите и имат нужда също така от специфичен набор от умения. Ще се положат повече усилия за повишаване на уменията на учените, в съответствие с програмата за умения, и за подпомагане на тяхната мобилност в цяла Европа.</w:t>
      </w:r>
    </w:p>
    <w:p>
      <w:pPr>
        <w:spacing w:line="240" w:lineRule="auto"/>
        <w:jc w:val="both"/>
        <w:rPr>
          <w:rFonts w:ascii="Times New Roman" w:eastAsia="Calibri" w:hAnsi="Times New Roman"/>
          <w:noProof/>
          <w:sz w:val="24"/>
          <w:szCs w:val="24"/>
          <w:u w:color="000000"/>
          <w:bdr w:val="nil"/>
          <w:shd w:val="clear" w:color="auto" w:fill="FFFFFF"/>
        </w:rPr>
      </w:pPr>
      <w:r>
        <w:rPr>
          <w:rFonts w:ascii="Times New Roman" w:hAnsi="Times New Roman"/>
          <w:noProof/>
          <w:sz w:val="24"/>
          <w:szCs w:val="24"/>
          <w:u w:color="000000"/>
          <w:bdr w:val="nil"/>
          <w:shd w:val="clear" w:color="auto" w:fill="FFFFFF"/>
        </w:rPr>
        <w:t xml:space="preserve">Разнообразните източници на </w:t>
      </w:r>
      <w:r>
        <w:rPr>
          <w:rFonts w:ascii="Times New Roman" w:hAnsi="Times New Roman"/>
          <w:b/>
          <w:noProof/>
          <w:sz w:val="24"/>
          <w:szCs w:val="24"/>
          <w:u w:color="000000"/>
          <w:bdr w:val="nil"/>
          <w:shd w:val="clear" w:color="auto" w:fill="FFFFFF"/>
        </w:rPr>
        <w:t>финансиране</w:t>
      </w:r>
      <w:r>
        <w:rPr>
          <w:rFonts w:ascii="Times New Roman" w:hAnsi="Times New Roman"/>
          <w:noProof/>
          <w:sz w:val="24"/>
          <w:szCs w:val="24"/>
          <w:u w:color="000000"/>
          <w:bdr w:val="nil"/>
          <w:shd w:val="clear" w:color="auto" w:fill="FFFFFF"/>
        </w:rPr>
        <w:t xml:space="preserve"> са основен инструмент за подкрепа на иновациите. </w:t>
      </w:r>
      <w:r>
        <w:rPr>
          <w:rFonts w:ascii="Times New Roman" w:hAnsi="Times New Roman"/>
          <w:noProof/>
          <w:sz w:val="24"/>
          <w:szCs w:val="24"/>
        </w:rPr>
        <w:t xml:space="preserve">Ключов елемент от подкрепата за стратегията ще бъде новата и амбициозна самостоятелна програма „ЕС в подкрепа на здравето“  Освен това, </w:t>
      </w:r>
      <w:r>
        <w:rPr>
          <w:rFonts w:ascii="Times New Roman" w:hAnsi="Times New Roman"/>
          <w:noProof/>
          <w:sz w:val="24"/>
          <w:szCs w:val="24"/>
          <w:u w:color="000000"/>
          <w:bdr w:val="nil"/>
          <w:shd w:val="clear" w:color="auto" w:fill="FFFFFF"/>
        </w:rPr>
        <w:t>„Хоризонт Европа“, политиката на сближаване</w:t>
      </w:r>
      <w:r>
        <w:rPr>
          <w:rFonts w:ascii="Times New Roman" w:hAnsi="Times New Roman"/>
          <w:noProof/>
          <w:sz w:val="24"/>
          <w:szCs w:val="24"/>
        </w:rPr>
        <w:t xml:space="preserve">, Европейският фонд за отбрана, публично-частните и чисто публичните </w:t>
      </w:r>
      <w:r>
        <w:rPr>
          <w:rFonts w:ascii="Times New Roman" w:hAnsi="Times New Roman"/>
          <w:noProof/>
          <w:sz w:val="24"/>
          <w:szCs w:val="24"/>
          <w:u w:color="000000"/>
          <w:bdr w:val="nil"/>
          <w:shd w:val="clear" w:color="auto" w:fill="FFFFFF"/>
        </w:rPr>
        <w:t>партньорства за инвестиции</w:t>
      </w:r>
      <w:r>
        <w:rPr>
          <w:rFonts w:ascii="Times New Roman" w:hAnsi="Times New Roman"/>
          <w:noProof/>
          <w:sz w:val="24"/>
          <w:szCs w:val="24"/>
        </w:rPr>
        <w:t>, като</w:t>
      </w:r>
      <w:r>
        <w:rPr>
          <w:rFonts w:ascii="Times New Roman" w:hAnsi="Times New Roman"/>
          <w:b/>
          <w:noProof/>
          <w:sz w:val="24"/>
          <w:szCs w:val="24"/>
        </w:rPr>
        <w:t xml:space="preserve"> </w:t>
      </w:r>
      <w:r>
        <w:rPr>
          <w:rFonts w:ascii="Times New Roman" w:hAnsi="Times New Roman"/>
          <w:noProof/>
          <w:sz w:val="24"/>
          <w:szCs w:val="24"/>
        </w:rPr>
        <w:t>инициативата за иновативно здравеопазване</w:t>
      </w:r>
      <w:r>
        <w:rPr>
          <w:rStyle w:val="FootnoteReference"/>
          <w:rFonts w:ascii="Times New Roman" w:hAnsi="Times New Roman"/>
          <w:noProof/>
          <w:sz w:val="24"/>
          <w:szCs w:val="24"/>
        </w:rPr>
        <w:footnoteReference w:id="33"/>
      </w:r>
      <w:r>
        <w:rPr>
          <w:rFonts w:ascii="Times New Roman" w:hAnsi="Times New Roman"/>
          <w:noProof/>
          <w:sz w:val="24"/>
          <w:szCs w:val="24"/>
          <w:u w:color="000000"/>
          <w:bdr w:val="nil"/>
          <w:shd w:val="clear" w:color="auto" w:fill="FFFFFF"/>
        </w:rPr>
        <w:t>, и националните схеми спомагат значително за НИРД включително при малките и средните предприятия (МСП) и академичните среди. Някои от тези партньорства могат да помогнат</w:t>
      </w:r>
      <w:r>
        <w:rPr>
          <w:rFonts w:ascii="Times New Roman" w:hAnsi="Times New Roman"/>
          <w:noProof/>
          <w:sz w:val="24"/>
          <w:szCs w:val="24"/>
        </w:rPr>
        <w:t xml:space="preserve"> за ранното внедряване на иновациите в здравните системи.</w:t>
      </w:r>
      <w:r>
        <w:rPr>
          <w:rFonts w:ascii="Times New Roman" w:hAnsi="Times New Roman"/>
          <w:noProof/>
          <w:sz w:val="24"/>
          <w:szCs w:val="24"/>
          <w:u w:color="000000"/>
          <w:bdr w:val="nil"/>
          <w:shd w:val="clear" w:color="auto" w:fill="FFFFFF"/>
        </w:rPr>
        <w:t xml:space="preserve"> Някои инициативи на Комисията като стратегията за МСП за устойчива и цифрова Европа</w:t>
      </w:r>
      <w:r>
        <w:rPr>
          <w:rStyle w:val="FootnoteReference"/>
          <w:rFonts w:ascii="Times New Roman" w:eastAsia="Calibri" w:hAnsi="Times New Roman"/>
          <w:noProof/>
          <w:sz w:val="24"/>
          <w:szCs w:val="24"/>
          <w:u w:color="000000"/>
          <w:bdr w:val="nil"/>
          <w:shd w:val="clear" w:color="auto" w:fill="FFFFFF"/>
          <w:lang w:val="en-IE" w:eastAsia="fr-BE"/>
        </w:rPr>
        <w:footnoteReference w:id="34"/>
      </w:r>
      <w:r>
        <w:rPr>
          <w:rFonts w:ascii="Times New Roman" w:hAnsi="Times New Roman"/>
          <w:noProof/>
          <w:sz w:val="24"/>
          <w:szCs w:val="24"/>
          <w:u w:color="000000"/>
          <w:bdr w:val="nil"/>
          <w:shd w:val="clear" w:color="auto" w:fill="FFFFFF"/>
        </w:rPr>
        <w:t>, Startup Europe</w:t>
      </w:r>
      <w:r>
        <w:rPr>
          <w:rStyle w:val="FootnoteReference"/>
          <w:rFonts w:ascii="Times New Roman" w:eastAsia="Calibri" w:hAnsi="Times New Roman"/>
          <w:noProof/>
          <w:sz w:val="24"/>
          <w:szCs w:val="24"/>
          <w:u w:color="000000"/>
          <w:bdr w:val="nil"/>
          <w:shd w:val="clear" w:color="auto" w:fill="FFFFFF"/>
          <w:lang w:val="en-IE" w:eastAsia="fr-BE"/>
        </w:rPr>
        <w:footnoteReference w:id="35"/>
      </w:r>
      <w:r>
        <w:rPr>
          <w:rFonts w:ascii="Times New Roman" w:hAnsi="Times New Roman"/>
          <w:noProof/>
          <w:sz w:val="24"/>
          <w:szCs w:val="24"/>
          <w:u w:color="000000"/>
          <w:bdr w:val="nil"/>
          <w:shd w:val="clear" w:color="auto" w:fill="FFFFFF"/>
        </w:rPr>
        <w:t xml:space="preserve">, Европейският съвет по иновациите и Европейският институт за иновации и технологии ще спомогнат за осигуряването на подходяща среда за МСП и стартиращите предприятия, работещи в здравния сектор, за растеж и привличане на рисков капитал. Също така съществуват възможности за инвестиране в международни партньорства в областта на здравеопазването чрез инструменти за международно сътрудничество, като например плана на ЕС за външни инвестиции. Същевременно </w:t>
      </w:r>
      <w:r>
        <w:rPr>
          <w:rFonts w:ascii="Times New Roman" w:hAnsi="Times New Roman"/>
          <w:noProof/>
          <w:sz w:val="24"/>
          <w:szCs w:val="24"/>
        </w:rPr>
        <w:t>е необходима по-голяма прозрачност по отношение на разходите за научноизследователска и развойна дейност в областта на фармацевтичните продукти.</w:t>
      </w:r>
    </w:p>
    <w:tbl>
      <w:tblPr>
        <w:tblStyle w:val="TableGrid"/>
        <w:tblW w:w="0" w:type="auto"/>
        <w:tblLook w:val="04A0" w:firstRow="1" w:lastRow="0" w:firstColumn="1" w:lastColumn="0" w:noHBand="0" w:noVBand="1"/>
      </w:tblPr>
      <w:tblGrid>
        <w:gridCol w:w="9166"/>
      </w:tblGrid>
      <w:tr>
        <w:tc>
          <w:tcPr>
            <w:tcW w:w="9166" w:type="dxa"/>
          </w:tcPr>
          <w:p>
            <w:pPr>
              <w:spacing w:after="120"/>
              <w:rPr>
                <w:rFonts w:ascii="Times New Roman" w:hAnsi="Times New Roman"/>
                <w:b/>
                <w:i/>
                <w:noProof/>
                <w:sz w:val="24"/>
                <w:szCs w:val="24"/>
                <w:u w:val="single"/>
              </w:rPr>
            </w:pPr>
            <w:r>
              <w:rPr>
                <w:rFonts w:ascii="Times New Roman" w:hAnsi="Times New Roman"/>
                <w:b/>
                <w:i/>
                <w:noProof/>
                <w:sz w:val="24"/>
                <w:szCs w:val="24"/>
                <w:u w:val="single"/>
              </w:rPr>
              <w:t>Водещи инициативи при конкурентоспособността</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 xml:space="preserve">Оптимизиране на системата за сертификати за допълнителна закрила, за да стане тя по-прозрачна и ефикасна, както е предвидено в </w:t>
            </w:r>
            <w:r>
              <w:rPr>
                <w:rFonts w:ascii="Times New Roman" w:hAnsi="Times New Roman"/>
                <w:noProof/>
                <w:sz w:val="24"/>
                <w:szCs w:val="24"/>
                <w:u w:color="000000"/>
                <w:bdr w:val="nil"/>
              </w:rPr>
              <w:t>Плана за действие в областта на интелектуалната собственост</w:t>
            </w:r>
            <w:r>
              <w:rPr>
                <w:rFonts w:ascii="Times New Roman" w:hAnsi="Times New Roman"/>
                <w:noProof/>
                <w:sz w:val="24"/>
                <w:szCs w:val="24"/>
              </w:rPr>
              <w:t xml:space="preserve"> — срок 2022 г.</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u w:color="000000"/>
                <w:bdr w:val="nil"/>
                <w:shd w:val="clear" w:color="auto" w:fill="FFFFFF"/>
              </w:rPr>
              <w:t>Законодателно предложение за европейско пространство за здравни данни</w:t>
            </w:r>
            <w:r>
              <w:rPr>
                <w:rFonts w:ascii="Times New Roman" w:hAnsi="Times New Roman"/>
                <w:noProof/>
                <w:sz w:val="24"/>
                <w:szCs w:val="24"/>
              </w:rPr>
              <w:t>, в услуга на по-доброто здравеопазване, научните изследвания в областта на здравеопазването, иновациите и основаните на фактология решения — срок 2021 г.</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Създаване до 2025 г. на оперативно съвместима инфраструктура за достъп до данни за европейското пространство за здравни данни, за да се улесни сигурният трансграничен анализ на здравни данни. Тестове през 2021 г. в рамките на пилотен проект с участието на EMA и националните органи — срок 2021—2025 г.</w:t>
            </w:r>
          </w:p>
          <w:p>
            <w:pPr>
              <w:pStyle w:val="ListParagraph"/>
              <w:numPr>
                <w:ilvl w:val="0"/>
                <w:numId w:val="15"/>
              </w:numPr>
              <w:spacing w:after="120"/>
              <w:ind w:left="714" w:hanging="357"/>
              <w:jc w:val="both"/>
              <w:rPr>
                <w:rFonts w:ascii="Times New Roman" w:hAnsi="Times New Roman"/>
                <w:b/>
                <w:i/>
                <w:noProof/>
                <w:sz w:val="24"/>
                <w:szCs w:val="24"/>
                <w:u w:val="single"/>
              </w:rPr>
            </w:pPr>
            <w:r>
              <w:rPr>
                <w:rFonts w:ascii="Times New Roman" w:hAnsi="Times New Roman"/>
                <w:noProof/>
                <w:sz w:val="24"/>
                <w:szCs w:val="24"/>
              </w:rPr>
              <w:t>Подкрепа за публично-частните партньорства и партньорствата в рамките на публичния сектор във финансово и техническо отношение например посредством инициативата за иновативно здравеопазване, с ударение върху МСП, академичните среди, организациите с нестопанска цел, и посредством партньорствата за преобразуване на системите за здравеопазване — срок 2021 г.</w:t>
            </w:r>
          </w:p>
          <w:p>
            <w:pPr>
              <w:spacing w:after="120"/>
              <w:rPr>
                <w:rFonts w:ascii="Times New Roman" w:hAnsi="Times New Roman"/>
                <w:b/>
                <w:i/>
                <w:noProof/>
                <w:sz w:val="24"/>
                <w:szCs w:val="24"/>
                <w:u w:val="single"/>
              </w:rPr>
            </w:pPr>
            <w:r>
              <w:rPr>
                <w:rFonts w:ascii="Times New Roman" w:hAnsi="Times New Roman"/>
                <w:b/>
                <w:i/>
                <w:noProof/>
                <w:sz w:val="24"/>
                <w:szCs w:val="24"/>
                <w:u w:val="single"/>
              </w:rPr>
              <w:t>Други мерки</w:t>
            </w:r>
          </w:p>
          <w:p>
            <w:pPr>
              <w:pStyle w:val="ListParagraph"/>
              <w:numPr>
                <w:ilvl w:val="0"/>
                <w:numId w:val="15"/>
              </w:numPr>
              <w:spacing w:after="120"/>
              <w:jc w:val="both"/>
              <w:rPr>
                <w:rFonts w:ascii="Times New Roman" w:hAnsi="Times New Roman"/>
                <w:b/>
                <w:i/>
                <w:noProof/>
                <w:sz w:val="24"/>
                <w:szCs w:val="24"/>
              </w:rPr>
            </w:pPr>
            <w:r>
              <w:rPr>
                <w:rFonts w:ascii="Times New Roman" w:hAnsi="Times New Roman"/>
                <w:noProof/>
                <w:sz w:val="24"/>
                <w:szCs w:val="24"/>
              </w:rPr>
              <w:t xml:space="preserve">Отдаване на предимство на инвестициите в създаването на висококвалифицирана работна сила и нейната адаптивност посредством NextGenerationEU и в рамките на новия Механизъм за възстановяване и устойчивост, както и чрез </w:t>
            </w:r>
            <w:r>
              <w:rPr>
                <w:rFonts w:ascii="Times New Roman" w:hAnsi="Times New Roman"/>
                <w:noProof/>
                <w:sz w:val="24"/>
                <w:szCs w:val="24"/>
                <w:u w:color="000000"/>
                <w:bdr w:val="nil"/>
                <w:shd w:val="clear" w:color="auto" w:fill="FFFFFF"/>
              </w:rPr>
              <w:t>ангажиментите по пакта за уменията</w:t>
            </w:r>
            <w:r>
              <w:rPr>
                <w:rFonts w:ascii="Times New Roman" w:hAnsi="Times New Roman"/>
                <w:noProof/>
                <w:sz w:val="24"/>
                <w:szCs w:val="24"/>
              </w:rPr>
              <w:t xml:space="preserve"> — срок 2022 г.</w:t>
            </w:r>
          </w:p>
        </w:tc>
      </w:tr>
    </w:tbl>
    <w:p>
      <w:pPr>
        <w:pStyle w:val="Heading2"/>
        <w:numPr>
          <w:ilvl w:val="1"/>
          <w:numId w:val="3"/>
        </w:numPr>
        <w:spacing w:before="200" w:line="240" w:lineRule="auto"/>
        <w:ind w:left="567" w:hanging="567"/>
        <w:rPr>
          <w:rFonts w:ascii="Times New Roman" w:hAnsi="Times New Roman" w:cs="Times New Roman"/>
          <w:i/>
          <w:noProof/>
          <w:color w:val="auto"/>
          <w:sz w:val="24"/>
          <w:szCs w:val="24"/>
        </w:rPr>
      </w:pPr>
      <w:r>
        <w:rPr>
          <w:rFonts w:ascii="Times New Roman" w:hAnsi="Times New Roman"/>
          <w:i/>
          <w:noProof/>
          <w:color w:val="auto"/>
          <w:sz w:val="24"/>
          <w:szCs w:val="24"/>
        </w:rPr>
        <w:t>Създаване на възможности за иновации и цифрова трансформация</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Пациентите в ЕС очакват най-съвременно здравно обслужване. Научният и технологичният напредък са от решаващо значение за лечението на пациентите и подпомагат по-ефикасното и рентабилно разработване и използване на лекарства. Този напредък може да роди не само изцяло нови лекарства, но и да доведе до алтернативна употреба на съществуващите. </w:t>
      </w:r>
    </w:p>
    <w:p>
      <w:pPr>
        <w:spacing w:line="240" w:lineRule="auto"/>
        <w:jc w:val="both"/>
        <w:rPr>
          <w:rFonts w:ascii="Times New Roman" w:eastAsia="Calibri" w:hAnsi="Times New Roman"/>
          <w:noProof/>
          <w:sz w:val="24"/>
          <w:szCs w:val="24"/>
          <w:u w:color="000000"/>
          <w:bdr w:val="nil"/>
        </w:rPr>
      </w:pPr>
      <w:r>
        <w:rPr>
          <w:rFonts w:ascii="Times New Roman" w:hAnsi="Times New Roman"/>
          <w:noProof/>
          <w:sz w:val="24"/>
          <w:szCs w:val="24"/>
          <w:u w:color="000000"/>
          <w:bdr w:val="nil"/>
        </w:rPr>
        <w:t xml:space="preserve">Лекарствените продукти за модерна терапия и някои лекарства за редки заболявания представляват предизвикателство както от научна гледна точка, така и по отношение на производството. Все по-голям брой </w:t>
      </w:r>
      <w:r>
        <w:rPr>
          <w:rFonts w:ascii="Times New Roman" w:hAnsi="Times New Roman"/>
          <w:b/>
          <w:noProof/>
          <w:sz w:val="24"/>
          <w:szCs w:val="24"/>
          <w:u w:color="000000"/>
          <w:bdr w:val="nil"/>
        </w:rPr>
        <w:t>генни и клетъчни терапии</w:t>
      </w:r>
      <w:r>
        <w:rPr>
          <w:rFonts w:ascii="Times New Roman" w:hAnsi="Times New Roman"/>
          <w:noProof/>
          <w:sz w:val="24"/>
          <w:szCs w:val="24"/>
          <w:u w:color="000000"/>
          <w:bdr w:val="nil"/>
        </w:rPr>
        <w:t xml:space="preserve">, които са в процес на разработване, могат да предложат лечения и това ще наложи нов бизнес модел с оглед на промяната в разходите при преминаването от дълго лечение към еднократно лечение. Производството в „болничната стая“ </w:t>
      </w:r>
      <w:r>
        <w:rPr>
          <w:rStyle w:val="FootnoteReference"/>
          <w:rFonts w:ascii="Times New Roman" w:eastAsia="Calibri" w:hAnsi="Times New Roman"/>
          <w:noProof/>
          <w:sz w:val="24"/>
          <w:szCs w:val="24"/>
          <w:u w:color="000000"/>
          <w:bdr w:val="nil"/>
          <w:lang w:eastAsia="fr-BE"/>
        </w:rPr>
        <w:footnoteReference w:id="36"/>
      </w:r>
      <w:r>
        <w:rPr>
          <w:rFonts w:ascii="Times New Roman" w:hAnsi="Times New Roman"/>
          <w:noProof/>
          <w:sz w:val="24"/>
          <w:szCs w:val="24"/>
          <w:u w:color="000000"/>
          <w:bdr w:val="nil"/>
        </w:rPr>
        <w:t xml:space="preserve"> на лекарства, съобразени в по-висока степен с отделния пациент, може да се превърне в тенденция в бъдеще.</w:t>
      </w:r>
    </w:p>
    <w:p>
      <w:pPr>
        <w:spacing w:line="240" w:lineRule="auto"/>
        <w:jc w:val="both"/>
        <w:rPr>
          <w:rFonts w:ascii="Times New Roman" w:hAnsi="Times New Roman"/>
          <w:noProof/>
          <w:sz w:val="24"/>
          <w:szCs w:val="24"/>
        </w:rPr>
      </w:pPr>
      <w:r>
        <w:rPr>
          <w:rFonts w:ascii="Times New Roman" w:hAnsi="Times New Roman"/>
          <w:b/>
          <w:noProof/>
          <w:sz w:val="24"/>
          <w:szCs w:val="24"/>
          <w:u w:color="000000"/>
          <w:bdr w:val="nil"/>
        </w:rPr>
        <w:t>Ваксините</w:t>
      </w:r>
      <w:r>
        <w:rPr>
          <w:rFonts w:ascii="Times New Roman" w:hAnsi="Times New Roman"/>
          <w:noProof/>
          <w:sz w:val="24"/>
          <w:szCs w:val="24"/>
          <w:u w:color="000000"/>
          <w:bdr w:val="nil"/>
        </w:rPr>
        <w:t xml:space="preserve">, ранното откриване и подобреното благополучие могат да се отразят на начините, по които се управляват заболяванията, и на използваните лечения. Пандемията от COVID-19 показа, че са необходими новаторски подходи при разработването, одобряването и проследяването на ваксините след получаването на разрешение, както и при промяната на предназначението на лекарства. В допълнение към редовната фармакологична бдителност ще бъдат разработени платформи за наблюдение на безопасността и ефективността на ваксините след получаване на разрешение. </w:t>
      </w:r>
      <w:r>
        <w:rPr>
          <w:rFonts w:ascii="Times New Roman" w:hAnsi="Times New Roman"/>
          <w:noProof/>
          <w:sz w:val="24"/>
          <w:szCs w:val="24"/>
        </w:rPr>
        <w:t>Кризата с COVID-19 също така подчерта значението на сътрудничеството посредством споразумения за обмен на данни между различните заинтересовани страни и сигурния, открит достъп до различни видове здравни данни, като например съхраняваните от дружествата бази от данни за молекули. Това изисква отворени платформи и по-голямо сътрудничество за набелязване на наборите от данни, които могат да бъдат предоставени за повторна употреба</w:t>
      </w:r>
      <w:r>
        <w:rPr>
          <w:rStyle w:val="FootnoteReference"/>
          <w:rFonts w:ascii="Times New Roman" w:hAnsi="Times New Roman"/>
          <w:noProof/>
          <w:sz w:val="24"/>
          <w:szCs w:val="24"/>
        </w:rPr>
        <w:footnoteReference w:id="37"/>
      </w:r>
      <w:r>
        <w:rPr>
          <w:rFonts w:ascii="Times New Roman" w:hAnsi="Times New Roman"/>
          <w:noProof/>
          <w:sz w:val="24"/>
          <w:szCs w:val="24"/>
        </w:rPr>
        <w:t>.</w:t>
      </w:r>
    </w:p>
    <w:p>
      <w:pPr>
        <w:spacing w:line="240" w:lineRule="auto"/>
        <w:jc w:val="both"/>
        <w:rPr>
          <w:rFonts w:ascii="Times New Roman" w:hAnsi="Times New Roman"/>
          <w:noProof/>
          <w:sz w:val="24"/>
          <w:szCs w:val="24"/>
        </w:rPr>
      </w:pPr>
      <w:r>
        <w:rPr>
          <w:rFonts w:ascii="Times New Roman" w:hAnsi="Times New Roman"/>
          <w:b/>
          <w:noProof/>
          <w:color w:val="000000"/>
          <w:sz w:val="24"/>
          <w:szCs w:val="24"/>
        </w:rPr>
        <w:t>Цифровата трансформация</w:t>
      </w:r>
      <w:r>
        <w:rPr>
          <w:rFonts w:ascii="Times New Roman" w:hAnsi="Times New Roman"/>
          <w:noProof/>
          <w:color w:val="000000"/>
          <w:sz w:val="24"/>
          <w:szCs w:val="24"/>
        </w:rPr>
        <w:t xml:space="preserve"> влияе на откриването, разработването, производството, генерирането на фактология, оценката, доставката и употребата на лекарствата.</w:t>
      </w:r>
      <w:r>
        <w:rPr>
          <w:rFonts w:ascii="Times New Roman" w:hAnsi="Times New Roman"/>
          <w:noProof/>
          <w:sz w:val="24"/>
          <w:szCs w:val="24"/>
        </w:rPr>
        <w:t xml:space="preserve"> Лекарствата, медицинските технологии и цифровото здравеопазване се превръщат заедно във все по-неразривна част от общите терапевтични възможности. Тук се включват основани на изкуствен интелект системи за профилактика, диагностика, по-добро лечение, терапевтично наблюдение и събиране на данни за разработване на персонализирани лекарства и други здравни приложения. </w:t>
      </w:r>
    </w:p>
    <w:p>
      <w:pPr>
        <w:spacing w:line="240" w:lineRule="auto"/>
        <w:jc w:val="both"/>
        <w:rPr>
          <w:rFonts w:ascii="Times New Roman" w:hAnsi="Times New Roman"/>
          <w:noProof/>
          <w:sz w:val="24"/>
          <w:szCs w:val="24"/>
        </w:rPr>
      </w:pPr>
      <w:r>
        <w:rPr>
          <w:rFonts w:ascii="Times New Roman" w:hAnsi="Times New Roman"/>
          <w:b/>
          <w:noProof/>
          <w:sz w:val="24"/>
          <w:szCs w:val="24"/>
        </w:rPr>
        <w:t>Персонализираната медицина</w:t>
      </w:r>
      <w:r>
        <w:rPr>
          <w:rFonts w:ascii="Times New Roman" w:hAnsi="Times New Roman"/>
          <w:noProof/>
          <w:sz w:val="24"/>
          <w:szCs w:val="24"/>
        </w:rPr>
        <w:t xml:space="preserve"> е комплексен пакет от здравни решения, включващ като елементи лекарства и медицински изделия, които са структурирани така, че да отговарят на нуждите на отделния пациент. Предписването на хапчета няма да остане в миналото, но вече ще може да се комбинира с нова технология за определяне на точната употреба, режим на приемане и дозировка в зависимост от конкретния пациент. Това може да подпомогне и лечението в мултидисциплинарни условия, например при дългосрочното обгрижване. Цифровите терапевтични средства могат да използват базирани на приложения платформи в помощ на пациентите с хронични заболявания като диабет, депресия и сърдечни заболявания и за намаляване на приема на лекарства.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Инициативи като </w:t>
      </w:r>
      <w:r>
        <w:rPr>
          <w:rFonts w:ascii="Times New Roman" w:hAnsi="Times New Roman"/>
          <w:b/>
          <w:noProof/>
          <w:sz w:val="24"/>
          <w:szCs w:val="24"/>
        </w:rPr>
        <w:t>„Над милион генома“</w:t>
      </w:r>
      <w:r>
        <w:rPr>
          <w:rStyle w:val="FootnoteReference"/>
          <w:rFonts w:ascii="Times New Roman" w:hAnsi="Times New Roman"/>
          <w:noProof/>
          <w:sz w:val="24"/>
          <w:szCs w:val="24"/>
        </w:rPr>
        <w:footnoteReference w:id="38"/>
      </w:r>
      <w:r>
        <w:rPr>
          <w:rFonts w:ascii="Times New Roman" w:hAnsi="Times New Roman"/>
          <w:noProof/>
          <w:sz w:val="24"/>
          <w:szCs w:val="24"/>
        </w:rPr>
        <w:t xml:space="preserve"> проучват начините за осигуряване на достъп до генетични данни с потенциал за подобряване на профилактиката на заболяванията, включително чрез по-добро разбиране на въздействието на предопределящи екологични фактори като изменението на климата и замърсяването. Те позволяват по-персонализирано лечение и осигуряват достатъчен мащаб</w:t>
      </w:r>
      <w:r>
        <w:rPr>
          <w:rFonts w:ascii="Times New Roman" w:hAnsi="Times New Roman"/>
          <w:noProof/>
          <w:color w:val="404040"/>
          <w:sz w:val="24"/>
          <w:szCs w:val="24"/>
          <w:shd w:val="clear" w:color="auto" w:fill="FFFFFF"/>
        </w:rPr>
        <w:t xml:space="preserve"> </w:t>
      </w:r>
      <w:r>
        <w:rPr>
          <w:rFonts w:ascii="Times New Roman" w:hAnsi="Times New Roman"/>
          <w:noProof/>
          <w:sz w:val="24"/>
          <w:szCs w:val="24"/>
        </w:rPr>
        <w:t xml:space="preserve">за нови клинично значими изследвания, включително на различни видове рак. </w:t>
      </w:r>
    </w:p>
    <w:p>
      <w:pPr>
        <w:spacing w:line="240" w:lineRule="auto"/>
        <w:jc w:val="both"/>
        <w:rPr>
          <w:rFonts w:ascii="Times New Roman" w:eastAsia="Calibri" w:hAnsi="Times New Roman"/>
          <w:noProof/>
          <w:sz w:val="24"/>
          <w:szCs w:val="24"/>
          <w:u w:color="000000"/>
          <w:bdr w:val="nil"/>
        </w:rPr>
      </w:pPr>
      <w:r>
        <w:rPr>
          <w:rFonts w:ascii="Times New Roman" w:hAnsi="Times New Roman"/>
          <w:b/>
          <w:noProof/>
          <w:sz w:val="24"/>
          <w:szCs w:val="24"/>
          <w:u w:color="000000"/>
          <w:bdr w:val="nil"/>
        </w:rPr>
        <w:t>Високопроизводителните изчислителни технологии и изкуственият интелект</w:t>
      </w:r>
      <w:r>
        <w:rPr>
          <w:rFonts w:ascii="Times New Roman" w:hAnsi="Times New Roman"/>
          <w:noProof/>
          <w:sz w:val="24"/>
          <w:szCs w:val="24"/>
          <w:u w:color="000000"/>
          <w:bdr w:val="nil"/>
        </w:rPr>
        <w:t xml:space="preserve"> могат да спомогнат за по-бързото откриване на активните вещества, които потенциално подлежат на промяна на предназначението, и за намаляване на високата степен на неуспех. Суперкомпютрите се използват по време на пандемията от COVID-19, например в проекта на Комисията Excalate4COV. Необходимо е внимание да не се допусне пристрастност в данните, генерирани от изкуствения интелект на полова, расова или друга основа. Технологичният напредък може също така да подкрепи прилагането на принципите на „трите R“ (replace, reduce, refine — заместване, намаляване, усъвършенстване) за етичното използване на животни при  изпитвания на лекарства.</w:t>
      </w:r>
    </w:p>
    <w:p>
      <w:pPr>
        <w:spacing w:line="240" w:lineRule="auto"/>
        <w:jc w:val="both"/>
        <w:rPr>
          <w:rFonts w:ascii="Times New Roman" w:eastAsia="Calibri" w:hAnsi="Times New Roman"/>
          <w:noProof/>
          <w:sz w:val="24"/>
          <w:szCs w:val="24"/>
          <w:u w:color="000000"/>
          <w:bdr w:val="nil"/>
        </w:rPr>
      </w:pPr>
      <w:r>
        <w:rPr>
          <w:rFonts w:ascii="Times New Roman" w:hAnsi="Times New Roman"/>
          <w:noProof/>
          <w:sz w:val="24"/>
          <w:szCs w:val="24"/>
          <w:u w:color="000000"/>
          <w:bdr w:val="nil"/>
        </w:rPr>
        <w:t xml:space="preserve">Съобразените с европейските стандарти за грижи надеждни клинични изпитвания с подходящи обекти за сравнение следва да се запазят като основен източник на фактология при разрешаването на иновативни лекарства. </w:t>
      </w:r>
      <w:r>
        <w:rPr>
          <w:rFonts w:ascii="Times New Roman" w:hAnsi="Times New Roman"/>
          <w:noProof/>
          <w:sz w:val="24"/>
          <w:szCs w:val="24"/>
          <w:u w:color="000000"/>
          <w:bdr w:val="nil"/>
          <w:shd w:val="clear" w:color="auto" w:fill="FFFFFF"/>
        </w:rPr>
        <w:t xml:space="preserve">Пълното прилагане на </w:t>
      </w:r>
      <w:r>
        <w:rPr>
          <w:rFonts w:ascii="Times New Roman" w:hAnsi="Times New Roman"/>
          <w:b/>
          <w:noProof/>
          <w:sz w:val="24"/>
          <w:szCs w:val="24"/>
          <w:u w:color="000000"/>
          <w:bdr w:val="nil"/>
          <w:shd w:val="clear" w:color="auto" w:fill="FFFFFF"/>
        </w:rPr>
        <w:t>Регламента за клиничните изпитвания</w:t>
      </w:r>
      <w:r>
        <w:rPr>
          <w:rStyle w:val="FootnoteReference"/>
          <w:rFonts w:ascii="Times New Roman" w:eastAsia="Calibri" w:hAnsi="Times New Roman"/>
          <w:noProof/>
          <w:sz w:val="24"/>
          <w:szCs w:val="24"/>
          <w:u w:color="000000"/>
          <w:bdr w:val="nil"/>
          <w:shd w:val="clear" w:color="auto" w:fill="FFFFFF"/>
          <w:lang w:eastAsia="fr-BE"/>
        </w:rPr>
        <w:footnoteReference w:id="39"/>
      </w:r>
      <w:r>
        <w:rPr>
          <w:rFonts w:ascii="Times New Roman" w:hAnsi="Times New Roman"/>
          <w:noProof/>
          <w:sz w:val="24"/>
          <w:szCs w:val="24"/>
          <w:u w:color="000000"/>
          <w:bdr w:val="nil"/>
          <w:shd w:val="clear" w:color="auto" w:fill="FFFFFF"/>
        </w:rPr>
        <w:t xml:space="preserve"> ще въведе хармонизирана, силно координирана, стабилна и гъвкава система за оценка и надзор на клиничните изпитвания в ЕС. Тя ще внесе повече прозрачност в информацията, независимо от резултатите от изпитванията, за да се осигури възможност за обществен контрол</w:t>
      </w:r>
      <w:r>
        <w:rPr>
          <w:rFonts w:ascii="Times New Roman" w:hAnsi="Times New Roman"/>
          <w:noProof/>
          <w:sz w:val="24"/>
          <w:szCs w:val="24"/>
          <w:u w:color="000000"/>
          <w:bdr w:val="nil"/>
        </w:rPr>
        <w:t xml:space="preserve">, и ще обърне внимание на новостите, например адаптивните и сложни изпитвания и използването на техники in-silico и виртуални подходи. Опитът с финансираните от ЕС проекти за НИРД с адаптивни изпитвания показва, че научните изследвания могат да инициират промени, които могат да намалят разходите и времето за развойна дейност. </w:t>
      </w:r>
    </w:p>
    <w:p>
      <w:pPr>
        <w:spacing w:line="240" w:lineRule="auto"/>
        <w:jc w:val="both"/>
        <w:rPr>
          <w:rFonts w:ascii="Times New Roman" w:eastAsia="Calibri" w:hAnsi="Times New Roman"/>
          <w:noProof/>
          <w:sz w:val="24"/>
          <w:szCs w:val="24"/>
          <w:u w:color="000000"/>
          <w:bdr w:val="nil"/>
          <w:shd w:val="clear" w:color="auto" w:fill="FFFFFF"/>
        </w:rPr>
      </w:pPr>
      <w:r>
        <w:rPr>
          <w:rFonts w:ascii="Times New Roman" w:hAnsi="Times New Roman"/>
          <w:noProof/>
          <w:sz w:val="24"/>
          <w:szCs w:val="24"/>
          <w:u w:color="000000"/>
          <w:bdr w:val="nil"/>
          <w:shd w:val="clear" w:color="auto" w:fill="FFFFFF"/>
        </w:rPr>
        <w:t xml:space="preserve">Комисията ще работи за това да гарантира, че новата рамка подкрепя </w:t>
      </w:r>
      <w:r>
        <w:rPr>
          <w:rFonts w:ascii="Times New Roman" w:hAnsi="Times New Roman"/>
          <w:b/>
          <w:noProof/>
          <w:sz w:val="24"/>
          <w:szCs w:val="24"/>
          <w:u w:color="000000"/>
          <w:bdr w:val="nil"/>
          <w:shd w:val="clear" w:color="auto" w:fill="FFFFFF"/>
        </w:rPr>
        <w:t>иновативната разработка на изпитвания</w:t>
      </w:r>
      <w:r>
        <w:rPr>
          <w:rFonts w:ascii="Times New Roman" w:hAnsi="Times New Roman"/>
          <w:noProof/>
          <w:sz w:val="24"/>
          <w:szCs w:val="24"/>
          <w:u w:color="000000"/>
          <w:bdr w:val="nil"/>
          <w:shd w:val="clear" w:color="auto" w:fill="FFFFFF"/>
        </w:rPr>
        <w:t xml:space="preserve">. Освен това, в координация с европейските регулаторни органи, групи на пациенти и заинтересовани страни, Комисията ще подкрепя в по-голяма степен ориентираното към пациентите разработване, планиране и провеждане на клинични изпитвания чрез хармонизирани международни документи с насоки и като се взема предвид опитът, придобит от клиничните изпитвания за ваксини и лечения, свързани с COVID-19. Това включва представителност на отделните групи от населението (например по линия на пол и възраст), които е вероятно да използват лекарствения продукт, изследван в клиничните изпитвания, за да се гарантира подходяща безопасност и ефикасност. </w:t>
      </w:r>
      <w:r>
        <w:rPr>
          <w:rFonts w:ascii="Times New Roman" w:hAnsi="Times New Roman"/>
          <w:b/>
          <w:noProof/>
          <w:sz w:val="24"/>
          <w:szCs w:val="24"/>
          <w:u w:color="000000"/>
          <w:bdr w:val="nil"/>
          <w:shd w:val="clear" w:color="auto" w:fill="FFFFFF"/>
        </w:rPr>
        <w:t>Прагматичните изпитвания</w:t>
      </w:r>
      <w:r>
        <w:rPr>
          <w:rFonts w:ascii="Times New Roman" w:hAnsi="Times New Roman"/>
          <w:noProof/>
          <w:sz w:val="24"/>
          <w:szCs w:val="24"/>
          <w:u w:color="000000"/>
          <w:bdr w:val="nil"/>
          <w:shd w:val="clear" w:color="auto" w:fill="FFFFFF"/>
        </w:rPr>
        <w:t xml:space="preserve">, при които лечението се предписва и използва както в обичайната ежедневна практика, могат да подобрят спазването на лечението от страна на пациентите и неговата поносимост посредством определянето на оптимална дозировка и употреба наред с други лечения. Търговският интерес често е по-слаб за тези изпитвания, така че те се провеждат главно от академичните среди, където цената на изпитваните лекарства и недостатъчните познания за регулаторните условия могат да бъдат пречка. </w:t>
      </w:r>
    </w:p>
    <w:p>
      <w:pPr>
        <w:spacing w:line="240" w:lineRule="auto"/>
        <w:jc w:val="both"/>
        <w:rPr>
          <w:rFonts w:ascii="Times New Roman" w:hAnsi="Times New Roman"/>
          <w:noProof/>
          <w:sz w:val="24"/>
          <w:szCs w:val="24"/>
        </w:rPr>
      </w:pPr>
      <w:r>
        <w:rPr>
          <w:rFonts w:ascii="Times New Roman" w:hAnsi="Times New Roman"/>
          <w:noProof/>
          <w:sz w:val="24"/>
          <w:szCs w:val="24"/>
          <w:u w:color="000000"/>
          <w:bdr w:val="nil"/>
          <w:shd w:val="clear" w:color="auto" w:fill="FFFFFF"/>
        </w:rPr>
        <w:t>Комисията подкрепя инициативи</w:t>
      </w:r>
      <w:r>
        <w:rPr>
          <w:rFonts w:ascii="Times New Roman" w:hAnsi="Times New Roman"/>
          <w:b/>
          <w:noProof/>
          <w:sz w:val="24"/>
          <w:szCs w:val="24"/>
          <w:u w:color="000000"/>
          <w:bdr w:val="nil"/>
          <w:shd w:val="clear" w:color="auto" w:fill="FFFFFF"/>
        </w:rPr>
        <w:t xml:space="preserve"> </w:t>
      </w:r>
      <w:r>
        <w:rPr>
          <w:rFonts w:ascii="Times New Roman" w:hAnsi="Times New Roman"/>
          <w:noProof/>
          <w:sz w:val="24"/>
          <w:szCs w:val="24"/>
          <w:u w:color="000000"/>
          <w:bdr w:val="nil"/>
          <w:shd w:val="clear" w:color="auto" w:fill="FFFFFF"/>
        </w:rPr>
        <w:t>за по-добро запознаване на изследователите в академичните среди</w:t>
      </w:r>
      <w:r>
        <w:rPr>
          <w:rFonts w:ascii="Times New Roman" w:hAnsi="Times New Roman"/>
          <w:noProof/>
          <w:sz w:val="24"/>
          <w:szCs w:val="24"/>
        </w:rPr>
        <w:t xml:space="preserve"> и на заинтересованите организации с нестопанска цел с </w:t>
      </w:r>
      <w:r>
        <w:rPr>
          <w:rFonts w:ascii="Times New Roman" w:hAnsi="Times New Roman"/>
          <w:noProof/>
          <w:sz w:val="24"/>
          <w:szCs w:val="24"/>
          <w:u w:color="000000"/>
          <w:bdr w:val="nil"/>
          <w:shd w:val="clear" w:color="auto" w:fill="FFFFFF"/>
        </w:rPr>
        <w:t>регулаторните изисквания</w:t>
      </w:r>
      <w:r>
        <w:rPr>
          <w:rFonts w:ascii="Times New Roman" w:hAnsi="Times New Roman"/>
          <w:noProof/>
          <w:sz w:val="24"/>
          <w:szCs w:val="24"/>
          <w:bdr w:val="none" w:sz="0" w:space="0" w:color="auto" w:frame="1"/>
          <w:shd w:val="clear" w:color="auto" w:fill="FFFFFF"/>
        </w:rPr>
        <w:t xml:space="preserve"> чрез провеждане на научни и регулаторни консултации</w:t>
      </w:r>
      <w:r>
        <w:rPr>
          <w:rFonts w:ascii="Times New Roman" w:hAnsi="Times New Roman"/>
          <w:noProof/>
          <w:sz w:val="24"/>
          <w:szCs w:val="24"/>
          <w:shd w:val="clear" w:color="auto" w:fill="FFFFFF"/>
        </w:rPr>
        <w:t>, така че съответно получената фактология да се използва за безпроблемната промяна в предназначението на незащитени с патент лекарства за нови терапевтични цели.</w:t>
      </w:r>
      <w:r>
        <w:rPr>
          <w:rFonts w:ascii="Times New Roman" w:hAnsi="Times New Roman"/>
          <w:noProof/>
          <w:sz w:val="24"/>
          <w:szCs w:val="24"/>
          <w:u w:color="000000"/>
          <w:bdr w:val="nil"/>
          <w:shd w:val="clear" w:color="auto" w:fill="FFFFFF"/>
        </w:rPr>
        <w:t xml:space="preserve"> </w:t>
      </w:r>
      <w:r>
        <w:rPr>
          <w:rFonts w:ascii="Times New Roman" w:hAnsi="Times New Roman"/>
          <w:noProof/>
          <w:sz w:val="24"/>
          <w:szCs w:val="24"/>
        </w:rPr>
        <w:t>В този процес ще се насърчават ангажираността и партньорството на промишлеността.</w:t>
      </w:r>
    </w:p>
    <w:p>
      <w:pPr>
        <w:spacing w:line="240" w:lineRule="auto"/>
        <w:jc w:val="both"/>
        <w:rPr>
          <w:rFonts w:ascii="Times New Roman" w:eastAsia="Calibri" w:hAnsi="Times New Roman"/>
          <w:noProof/>
          <w:sz w:val="24"/>
          <w:szCs w:val="24"/>
          <w:u w:color="000000"/>
          <w:bdr w:val="nil"/>
        </w:rPr>
      </w:pPr>
      <w:r>
        <w:rPr>
          <w:rFonts w:ascii="Times New Roman" w:hAnsi="Times New Roman"/>
          <w:noProof/>
          <w:sz w:val="24"/>
          <w:szCs w:val="24"/>
          <w:u w:color="000000"/>
          <w:bdr w:val="nil"/>
        </w:rPr>
        <w:t xml:space="preserve">Новите модели на разработване на продукти и предоставяне на грижи означават, че регулаторните органи виждат ограниченията на законодателството и потенциалната необходимост от адаптирането му. </w:t>
      </w:r>
      <w:r>
        <w:rPr>
          <w:rFonts w:ascii="Times New Roman" w:hAnsi="Times New Roman"/>
          <w:noProof/>
          <w:sz w:val="24"/>
          <w:szCs w:val="24"/>
        </w:rPr>
        <w:t xml:space="preserve">Бързото развитие при продуктите, съчетаващи лекарства и </w:t>
      </w:r>
      <w:r>
        <w:rPr>
          <w:rFonts w:ascii="Times New Roman" w:hAnsi="Times New Roman"/>
          <w:b/>
          <w:bCs/>
          <w:noProof/>
          <w:sz w:val="24"/>
          <w:szCs w:val="24"/>
        </w:rPr>
        <w:t>медицински изделия</w:t>
      </w:r>
      <w:r>
        <w:rPr>
          <w:rFonts w:ascii="Times New Roman" w:hAnsi="Times New Roman"/>
          <w:noProof/>
          <w:sz w:val="24"/>
          <w:szCs w:val="24"/>
        </w:rPr>
        <w:t>, е отразено в новото законодателство</w:t>
      </w:r>
      <w:r>
        <w:rPr>
          <w:rStyle w:val="FootnoteReference"/>
          <w:rFonts w:ascii="Times New Roman" w:hAnsi="Times New Roman"/>
          <w:noProof/>
          <w:sz w:val="24"/>
          <w:szCs w:val="24"/>
        </w:rPr>
        <w:footnoteReference w:id="40"/>
      </w:r>
      <w:r>
        <w:rPr>
          <w:rFonts w:ascii="Times New Roman" w:hAnsi="Times New Roman"/>
          <w:noProof/>
          <w:sz w:val="24"/>
          <w:szCs w:val="24"/>
        </w:rPr>
        <w:t xml:space="preserve">, но все още има и някои предизвикателства. </w:t>
      </w:r>
      <w:r>
        <w:rPr>
          <w:rFonts w:ascii="Times New Roman" w:hAnsi="Times New Roman"/>
          <w:noProof/>
          <w:sz w:val="24"/>
          <w:szCs w:val="24"/>
          <w:u w:color="000000"/>
          <w:bdr w:val="nil"/>
        </w:rPr>
        <w:t>Сред тях е са изясняването на ролите и отговорностите, рационализирането на изискванията и процедурите,</w:t>
      </w:r>
      <w:r>
        <w:rPr>
          <w:rFonts w:ascii="Times New Roman" w:hAnsi="Times New Roman"/>
          <w:noProof/>
          <w:sz w:val="24"/>
          <w:szCs w:val="24"/>
        </w:rPr>
        <w:t xml:space="preserve"> изграждането на необходимия регулаторен експертен опит и </w:t>
      </w:r>
      <w:r>
        <w:rPr>
          <w:rFonts w:ascii="Times New Roman" w:hAnsi="Times New Roman"/>
          <w:noProof/>
          <w:sz w:val="24"/>
          <w:szCs w:val="24"/>
          <w:u w:color="000000"/>
          <w:bdr w:val="nil"/>
        </w:rPr>
        <w:t>сътрудничеството между отраслите</w:t>
      </w:r>
      <w:r>
        <w:rPr>
          <w:rFonts w:ascii="Times New Roman" w:hAnsi="Times New Roman"/>
          <w:noProof/>
          <w:sz w:val="24"/>
          <w:szCs w:val="24"/>
        </w:rPr>
        <w:t>.</w:t>
      </w:r>
      <w:r>
        <w:rPr>
          <w:rFonts w:ascii="Times New Roman" w:hAnsi="Times New Roman"/>
          <w:noProof/>
          <w:sz w:val="24"/>
          <w:szCs w:val="24"/>
          <w:u w:color="000000"/>
          <w:bdr w:val="nil"/>
        </w:rPr>
        <w:t xml:space="preserve"> </w:t>
      </w:r>
      <w:r>
        <w:rPr>
          <w:rFonts w:ascii="Times New Roman" w:hAnsi="Times New Roman"/>
          <w:noProof/>
          <w:sz w:val="24"/>
          <w:szCs w:val="24"/>
        </w:rPr>
        <w:t>Достъпът до изпитвателните центрове за изпитване на изделия с изкуствен интелект е от значение за гарантиране на качеството им.</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Комисията ще предложи </w:t>
      </w:r>
      <w:r>
        <w:rPr>
          <w:rFonts w:ascii="Times New Roman" w:hAnsi="Times New Roman"/>
          <w:b/>
          <w:noProof/>
          <w:sz w:val="24"/>
          <w:szCs w:val="24"/>
        </w:rPr>
        <w:t>да се преразгледа законодателството в областта на фармацевтичните продукти</w:t>
      </w:r>
      <w:r>
        <w:rPr>
          <w:rFonts w:ascii="Times New Roman" w:hAnsi="Times New Roman"/>
          <w:noProof/>
          <w:sz w:val="24"/>
          <w:szCs w:val="24"/>
        </w:rPr>
        <w:t xml:space="preserve">, </w:t>
      </w:r>
      <w:r>
        <w:rPr>
          <w:rFonts w:ascii="Times New Roman" w:hAnsi="Times New Roman"/>
          <w:noProof/>
          <w:sz w:val="24"/>
          <w:szCs w:val="24"/>
          <w:u w:color="000000"/>
          <w:bdr w:val="nil"/>
        </w:rPr>
        <w:t>за</w:t>
      </w:r>
      <w:r>
        <w:rPr>
          <w:rFonts w:ascii="Times New Roman" w:hAnsi="Times New Roman"/>
          <w:noProof/>
          <w:sz w:val="24"/>
          <w:szCs w:val="24"/>
        </w:rPr>
        <w:t xml:space="preserve"> да се обмисли как да се използва по най-добрия начин тази трансформация. Това включва използването на </w:t>
      </w:r>
      <w:r>
        <w:rPr>
          <w:rFonts w:ascii="Times New Roman" w:hAnsi="Times New Roman"/>
          <w:b/>
          <w:noProof/>
          <w:sz w:val="24"/>
          <w:szCs w:val="24"/>
          <w:u w:color="000000"/>
          <w:bdr w:val="nil"/>
          <w:shd w:val="clear" w:color="auto" w:fill="FFFFFF"/>
        </w:rPr>
        <w:t>н</w:t>
      </w:r>
      <w:r>
        <w:rPr>
          <w:rFonts w:ascii="Times New Roman" w:hAnsi="Times New Roman"/>
          <w:b/>
          <w:noProof/>
          <w:sz w:val="24"/>
          <w:szCs w:val="24"/>
          <w:u w:color="000000"/>
          <w:bdr w:val="nil"/>
        </w:rPr>
        <w:t>ови методи за генериране на фактология и за оценка</w:t>
      </w:r>
      <w:r>
        <w:rPr>
          <w:rFonts w:ascii="Times New Roman" w:hAnsi="Times New Roman"/>
          <w:noProof/>
          <w:sz w:val="24"/>
          <w:szCs w:val="24"/>
          <w:u w:color="000000"/>
          <w:bdr w:val="nil"/>
        </w:rPr>
        <w:t>,</w:t>
      </w:r>
      <w:r>
        <w:rPr>
          <w:rFonts w:ascii="Times New Roman" w:hAnsi="Times New Roman"/>
          <w:b/>
          <w:noProof/>
          <w:sz w:val="24"/>
          <w:szCs w:val="24"/>
          <w:u w:color="000000"/>
          <w:bdr w:val="nil"/>
        </w:rPr>
        <w:t xml:space="preserve"> </w:t>
      </w:r>
      <w:r>
        <w:rPr>
          <w:rFonts w:ascii="Times New Roman" w:hAnsi="Times New Roman"/>
          <w:noProof/>
          <w:sz w:val="24"/>
          <w:szCs w:val="24"/>
          <w:u w:color="000000"/>
          <w:bdr w:val="nil"/>
        </w:rPr>
        <w:t>като например анализа на големи масиви от реални данни в услуга на разработването, разрешаването и употребата на лекарства. Р</w:t>
      </w:r>
      <w:r>
        <w:rPr>
          <w:rFonts w:ascii="Times New Roman" w:hAnsi="Times New Roman"/>
          <w:noProof/>
          <w:sz w:val="24"/>
          <w:szCs w:val="24"/>
        </w:rPr>
        <w:t>егулаторите могат да изискат достъп до необработените данни към момента на издаване на разрешението, за да се запознаят пълноценно с въпросните новаторски елементи на лечението.</w:t>
      </w:r>
      <w:r>
        <w:rPr>
          <w:rFonts w:ascii="Times New Roman" w:hAnsi="Times New Roman"/>
          <w:noProof/>
          <w:sz w:val="24"/>
          <w:szCs w:val="24"/>
          <w:u w:color="000000"/>
          <w:bdr w:val="nil"/>
        </w:rPr>
        <w:t xml:space="preserve"> </w:t>
      </w:r>
      <w:r>
        <w:rPr>
          <w:rFonts w:ascii="Times New Roman" w:hAnsi="Times New Roman"/>
          <w:noProof/>
          <w:sz w:val="24"/>
          <w:szCs w:val="24"/>
        </w:rPr>
        <w:t>Освен това стимулирането на разработването и валидирането на съответните биомаркери би подпомогнало ефективността при приема на някои нови и скъпи лекарства, а също и на генерични лекарства, което ще допринесе за устойчивостта на системите за здравеопазване.</w:t>
      </w:r>
    </w:p>
    <w:tbl>
      <w:tblPr>
        <w:tblStyle w:val="TableGrid"/>
        <w:tblW w:w="0" w:type="auto"/>
        <w:tblLook w:val="04A0" w:firstRow="1" w:lastRow="0" w:firstColumn="1" w:lastColumn="0" w:noHBand="0" w:noVBand="1"/>
      </w:tblPr>
      <w:tblGrid>
        <w:gridCol w:w="9166"/>
      </w:tblGrid>
      <w:tr>
        <w:tc>
          <w:tcPr>
            <w:tcW w:w="9166" w:type="dxa"/>
          </w:tcPr>
          <w:p>
            <w:pPr>
              <w:spacing w:after="120"/>
              <w:rPr>
                <w:rFonts w:ascii="Times New Roman" w:hAnsi="Times New Roman"/>
                <w:b/>
                <w:i/>
                <w:noProof/>
                <w:sz w:val="24"/>
                <w:szCs w:val="24"/>
                <w:u w:val="single"/>
              </w:rPr>
            </w:pPr>
            <w:r>
              <w:rPr>
                <w:rFonts w:ascii="Times New Roman" w:hAnsi="Times New Roman"/>
                <w:b/>
                <w:i/>
                <w:noProof/>
                <w:sz w:val="24"/>
                <w:szCs w:val="24"/>
                <w:u w:val="single"/>
              </w:rPr>
              <w:t>Водещи инициативи при иновациите</w:t>
            </w:r>
          </w:p>
          <w:p>
            <w:pPr>
              <w:pStyle w:val="ListParagraph"/>
              <w:keepNext/>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 xml:space="preserve">Предложение за преразглеждане на законодателство в областта на фармацевтичните продукти с цел адаптирането му към авангардните продукти, научните новости (напр. геномика или персонализирана медицина) и технологичното преобразуване (напр. анализ на данни и цифрови инструменти) и предоставяне на съобразени с нуждите стимули за иновации — срок 2022 г. </w:t>
            </w:r>
          </w:p>
          <w:p>
            <w:pPr>
              <w:pStyle w:val="ListParagraph"/>
              <w:keepNext/>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Засилване на диалога между регулаторните и други важни органи в областта на лекарствата и медицинските изделия, за да се засили сътрудничеството при генерирането на фактология в съответните им области — срок 2021 г.</w:t>
            </w:r>
          </w:p>
          <w:p>
            <w:pPr>
              <w:pStyle w:val="ListParagraph"/>
              <w:keepNext/>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Подкрепа за съвместни проекти, обединяващи заинтересованите страни, за напредък в използването на високопроизводителни изчислителни технологии и изкуствен интелект в съчетание със здравни данни на ЕС с оглед на фармацевтични иновации — срок 2021—2022 г.</w:t>
            </w:r>
          </w:p>
          <w:p>
            <w:pPr>
              <w:pStyle w:val="ListParagraph"/>
              <w:numPr>
                <w:ilvl w:val="0"/>
                <w:numId w:val="15"/>
              </w:numPr>
              <w:spacing w:after="120"/>
              <w:jc w:val="both"/>
              <w:rPr>
                <w:rFonts w:ascii="Times New Roman" w:hAnsi="Times New Roman"/>
                <w:noProof/>
                <w:sz w:val="24"/>
                <w:szCs w:val="24"/>
              </w:rPr>
            </w:pPr>
            <w:r>
              <w:rPr>
                <w:rFonts w:ascii="Times New Roman" w:hAnsi="Times New Roman"/>
                <w:noProof/>
                <w:sz w:val="24"/>
                <w:szCs w:val="24"/>
              </w:rPr>
              <w:t>Създаване на сигурен федериран трансграничен достъп до 10 милиона генома за научни изследвания, иновации и клинични приложения, включително за персонализирана медицина — срок 2025 г.</w:t>
            </w:r>
          </w:p>
          <w:p>
            <w:pPr>
              <w:keepNext/>
              <w:spacing w:after="120"/>
              <w:rPr>
                <w:rFonts w:ascii="Times New Roman" w:hAnsi="Times New Roman"/>
                <w:b/>
                <w:i/>
                <w:noProof/>
                <w:sz w:val="24"/>
                <w:szCs w:val="24"/>
                <w:u w:val="single"/>
              </w:rPr>
            </w:pPr>
            <w:r>
              <w:rPr>
                <w:rFonts w:ascii="Times New Roman" w:hAnsi="Times New Roman"/>
                <w:b/>
                <w:i/>
                <w:noProof/>
                <w:sz w:val="24"/>
                <w:szCs w:val="24"/>
                <w:u w:val="single"/>
              </w:rPr>
              <w:t>Други действия</w:t>
            </w:r>
          </w:p>
          <w:p>
            <w:pPr>
              <w:pStyle w:val="ListParagraph"/>
              <w:numPr>
                <w:ilvl w:val="0"/>
                <w:numId w:val="15"/>
              </w:numPr>
              <w:spacing w:after="120"/>
              <w:jc w:val="both"/>
              <w:rPr>
                <w:rFonts w:ascii="Times New Roman" w:hAnsi="Times New Roman"/>
                <w:noProof/>
                <w:sz w:val="24"/>
                <w:szCs w:val="24"/>
              </w:rPr>
            </w:pPr>
            <w:r>
              <w:rPr>
                <w:rFonts w:ascii="Times New Roman" w:hAnsi="Times New Roman"/>
                <w:noProof/>
                <w:sz w:val="24"/>
                <w:szCs w:val="24"/>
              </w:rPr>
              <w:t>Пълно прилагане на регулаторната рамка за клиничните изпитвания, която подкрепя иновативните модели на изпитвания и разработването на по-съобразени с пациента лекарства — срок 2021 г.</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Стартиране на пилотен проект с участието на промишлеността и академичните среди за тестване на рамка за промяна в предназначението на незащитени с патент лекарства и за набавяне на информация за евентуални регулаторни действия — срок 2021 г.</w:t>
            </w:r>
          </w:p>
          <w:p>
            <w:pPr>
              <w:pStyle w:val="ListParagraph"/>
              <w:numPr>
                <w:ilvl w:val="0"/>
                <w:numId w:val="15"/>
              </w:numPr>
              <w:spacing w:after="240"/>
              <w:ind w:left="714" w:hanging="357"/>
              <w:jc w:val="both"/>
              <w:rPr>
                <w:rFonts w:ascii="Times New Roman" w:hAnsi="Times New Roman"/>
                <w:noProof/>
                <w:sz w:val="24"/>
                <w:szCs w:val="24"/>
              </w:rPr>
            </w:pPr>
            <w:r>
              <w:rPr>
                <w:rFonts w:ascii="Times New Roman" w:hAnsi="Times New Roman"/>
                <w:noProof/>
                <w:sz w:val="24"/>
                <w:szCs w:val="24"/>
              </w:rPr>
              <w:t xml:space="preserve">Стартиране на платформа за наблюдение на ефективността и безопасността на ваксините, подкрепена от общоевропейска мрежа за клинични изпитвания — срок 2021 г. </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 xml:space="preserve">По-силна подкрепа и по-добро запознаване на академичните среди и организациите с нестопанска цел с регулаторните изисквания в областта на науката за по-гладко преобразуване на научните изследвания в разработени продукти — срок 2022 г. </w:t>
            </w:r>
          </w:p>
          <w:p>
            <w:pPr>
              <w:pStyle w:val="ListParagraph"/>
              <w:numPr>
                <w:ilvl w:val="0"/>
                <w:numId w:val="15"/>
              </w:numPr>
              <w:spacing w:after="120"/>
              <w:ind w:left="714" w:hanging="357"/>
              <w:jc w:val="both"/>
              <w:rPr>
                <w:rFonts w:ascii="Times New Roman" w:hAnsi="Times New Roman"/>
                <w:noProof/>
                <w:sz w:val="24"/>
                <w:szCs w:val="24"/>
                <w:u w:val="single"/>
              </w:rPr>
            </w:pPr>
            <w:r>
              <w:rPr>
                <w:rFonts w:ascii="Times New Roman" w:hAnsi="Times New Roman"/>
                <w:noProof/>
                <w:sz w:val="24"/>
                <w:szCs w:val="24"/>
              </w:rPr>
              <w:t xml:space="preserve">Инициатива за регулаторни пилотни проекти в тестова среда, предоставена от EMA и Комисията с цел изпитване на адаптивността на рамката за фармацевтичните продукти с оглед на нови авангардни разработки на продукти — срок 2022 г. </w:t>
            </w:r>
          </w:p>
        </w:tc>
      </w:tr>
    </w:tbl>
    <w:p>
      <w:pPr>
        <w:pStyle w:val="Heading2"/>
        <w:numPr>
          <w:ilvl w:val="1"/>
          <w:numId w:val="3"/>
        </w:numPr>
        <w:spacing w:before="200" w:line="240" w:lineRule="auto"/>
        <w:ind w:left="567" w:hanging="567"/>
        <w:rPr>
          <w:rFonts w:ascii="Times New Roman" w:hAnsi="Times New Roman" w:cs="Times New Roman"/>
          <w:i/>
          <w:noProof/>
          <w:color w:val="auto"/>
          <w:sz w:val="24"/>
          <w:szCs w:val="24"/>
        </w:rPr>
      </w:pPr>
      <w:r>
        <w:rPr>
          <w:rFonts w:ascii="Times New Roman" w:hAnsi="Times New Roman"/>
          <w:i/>
          <w:noProof/>
          <w:color w:val="auto"/>
          <w:sz w:val="24"/>
          <w:szCs w:val="24"/>
        </w:rPr>
        <w:t>Стабилна и гъвкава регулаторна система</w:t>
      </w:r>
    </w:p>
    <w:p>
      <w:pPr>
        <w:spacing w:line="240" w:lineRule="auto"/>
        <w:jc w:val="both"/>
        <w:rPr>
          <w:rFonts w:ascii="Times New Roman" w:hAnsi="Times New Roman"/>
          <w:noProof/>
          <w:sz w:val="24"/>
          <w:szCs w:val="24"/>
        </w:rPr>
      </w:pPr>
      <w:r>
        <w:rPr>
          <w:rFonts w:ascii="Times New Roman" w:hAnsi="Times New Roman"/>
          <w:b/>
          <w:noProof/>
          <w:sz w:val="24"/>
          <w:szCs w:val="24"/>
        </w:rPr>
        <w:t>Регулаторната ефективност</w:t>
      </w:r>
      <w:r>
        <w:rPr>
          <w:rFonts w:ascii="Times New Roman" w:hAnsi="Times New Roman"/>
          <w:noProof/>
          <w:sz w:val="24"/>
          <w:szCs w:val="24"/>
        </w:rPr>
        <w:t xml:space="preserve"> е предпоставка за постигане на модерна фармацевтична система. ЕС непрекъснато актуализира своята законодателна рамка, за да гарантира една всеобхватна система, която покрива целия жизнен цикъл на лекарствата. Тя се основава на двойна система, при която Комисията разрешава иновативни лекарства за целия ЕС въз основа на положително становище от ЕМА, а националните регулаторни органи разрешават голям брой генерични и други основни лекарства.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Комисията ще проучи необходимостта от по-официално признаване на </w:t>
      </w:r>
      <w:r>
        <w:rPr>
          <w:rFonts w:ascii="Times New Roman" w:hAnsi="Times New Roman"/>
          <w:b/>
          <w:noProof/>
          <w:sz w:val="24"/>
          <w:szCs w:val="24"/>
        </w:rPr>
        <w:t>ролята на мрежата от национални агенции</w:t>
      </w:r>
      <w:r>
        <w:rPr>
          <w:rFonts w:ascii="Times New Roman" w:hAnsi="Times New Roman"/>
          <w:noProof/>
          <w:sz w:val="24"/>
          <w:szCs w:val="24"/>
        </w:rPr>
        <w:t xml:space="preserve"> по лекарствата (на ръководителите на агенции по лекарствата) и нейната оперативна структура в регулаторната система.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Комисията ще оцени процедурите за проучване на нови подходи за оценка на научните доказателства за безопасността и ефикасността на лекарствата като част от прегледа на законодателството и ще се стреми към приравняване на </w:t>
      </w:r>
      <w:r>
        <w:rPr>
          <w:rFonts w:ascii="Times New Roman" w:hAnsi="Times New Roman"/>
          <w:b/>
          <w:bCs/>
          <w:noProof/>
          <w:sz w:val="24"/>
          <w:szCs w:val="24"/>
        </w:rPr>
        <w:t>сроковете за регулаторно одобрение</w:t>
      </w:r>
      <w:r>
        <w:rPr>
          <w:rFonts w:ascii="Times New Roman" w:hAnsi="Times New Roman"/>
          <w:noProof/>
          <w:sz w:val="24"/>
          <w:szCs w:val="24"/>
        </w:rPr>
        <w:t xml:space="preserve"> в ЕС с тези в други части на света. Тя ще анализира как инфраструктурата и адаптираните регулаторни процеси биха могли да използват предимствата на цифровите технологии и изкуствения интелект в подкрепа на вземането на регулаторни решения и за повишаване на ефективността. Опитът на ЕМА по време на пандемията от COVID-19 (например с периодичния преглед на постъпващите научни доказателства с цел ускоряване на оценката) ще послужи като основа за бъдещи действия. Комисията си поставя за цел да преоцени съществуващите регулаторни инструменти, като например приоритетния преглед и научните консултации в подкрепа на предприятията, особено МСП, при разработването на иновативни продукти за неудовлетворените медицински потребности. </w:t>
      </w:r>
    </w:p>
    <w:p>
      <w:pPr>
        <w:spacing w:line="240" w:lineRule="auto"/>
        <w:jc w:val="both"/>
        <w:rPr>
          <w:rFonts w:ascii="Times New Roman" w:hAnsi="Times New Roman"/>
          <w:noProof/>
          <w:sz w:val="24"/>
          <w:szCs w:val="24"/>
        </w:rPr>
      </w:pPr>
      <w:r>
        <w:rPr>
          <w:rFonts w:ascii="Times New Roman" w:hAnsi="Times New Roman"/>
          <w:noProof/>
          <w:sz w:val="24"/>
          <w:szCs w:val="24"/>
        </w:rPr>
        <w:t>Проучването</w:t>
      </w:r>
      <w:r>
        <w:rPr>
          <w:rStyle w:val="FootnoteReference"/>
          <w:rFonts w:ascii="Times New Roman" w:hAnsi="Times New Roman"/>
          <w:noProof/>
          <w:sz w:val="24"/>
          <w:szCs w:val="24"/>
        </w:rPr>
        <w:footnoteReference w:id="41"/>
      </w:r>
      <w:r>
        <w:rPr>
          <w:rFonts w:ascii="Times New Roman" w:hAnsi="Times New Roman"/>
          <w:noProof/>
          <w:sz w:val="24"/>
          <w:szCs w:val="24"/>
        </w:rPr>
        <w:t xml:space="preserve"> относно разрешаването и наблюдението на лекарства за хуманна употреба ще послужи за основа на оценката на регулаторната рамка за </w:t>
      </w:r>
      <w:r>
        <w:rPr>
          <w:rFonts w:ascii="Times New Roman" w:hAnsi="Times New Roman"/>
          <w:b/>
          <w:bCs/>
          <w:noProof/>
          <w:sz w:val="24"/>
          <w:szCs w:val="24"/>
        </w:rPr>
        <w:t>опростяване и рационализиране на процедурите</w:t>
      </w:r>
      <w:r>
        <w:rPr>
          <w:rFonts w:ascii="Times New Roman" w:hAnsi="Times New Roman"/>
          <w:noProof/>
          <w:sz w:val="24"/>
          <w:szCs w:val="24"/>
        </w:rPr>
        <w:t xml:space="preserve"> и намаляване на разходите. Управлението на различията при разрешенията за търговия и оценката на досиетата за качество, свързани с активните вещества, са два примера за области, в които е необходимо опростяване. Ще започне процес на анализ на функционирането и на полезните взаимодействия на научните комитети и ролята на пациентите и здравните специалисти.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Освен това по-доброто използване на </w:t>
      </w:r>
      <w:r>
        <w:rPr>
          <w:rFonts w:ascii="Times New Roman" w:hAnsi="Times New Roman"/>
          <w:b/>
          <w:noProof/>
          <w:sz w:val="24"/>
          <w:szCs w:val="24"/>
        </w:rPr>
        <w:t>информацията за продукта в електронен формат</w:t>
      </w:r>
      <w:r>
        <w:rPr>
          <w:rFonts w:ascii="Times New Roman" w:hAnsi="Times New Roman"/>
          <w:noProof/>
          <w:sz w:val="24"/>
          <w:szCs w:val="24"/>
        </w:rPr>
        <w:t xml:space="preserve"> (ePI) може да улесни предоставянето на информация относно лекарството на здравните специалисти и пациентите в многоезичната среда на ЕС и да подпомогне по-широкото предлагане на лекарства във всички държави членки. Всички мерки следва да отчитат нуждите на всички пациенти и здравни специалисти. Следва също така да се обмислят мерки с цел да се гарантира, безопасното боравене с лекарствата, включително при тяхното прилагане.</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Комисията ще направи оценка на </w:t>
      </w:r>
      <w:r>
        <w:rPr>
          <w:rFonts w:ascii="Times New Roman" w:hAnsi="Times New Roman"/>
          <w:b/>
          <w:bCs/>
          <w:noProof/>
          <w:sz w:val="24"/>
          <w:szCs w:val="24"/>
        </w:rPr>
        <w:t>предизвикателствата пред класификацията и взаимодействията</w:t>
      </w:r>
      <w:r>
        <w:rPr>
          <w:rFonts w:ascii="Times New Roman" w:hAnsi="Times New Roman"/>
          <w:noProof/>
          <w:sz w:val="24"/>
          <w:szCs w:val="24"/>
        </w:rPr>
        <w:t xml:space="preserve">, свързани с други регулаторни процедури (като например медицински изделия и вещества от човешки произход), и ще обмисли действия за засилване на сътрудничеството между регулаторните сектори и, когато е необходимо, на по-ясното разбиране на заинтересованите страни относно иновативните продукти, като същевременно поддържа високи стандарти за качество, безопасност и ефикасност.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Регулаторните изисквания за разрешаване на лекарствени продукти за хуманна употреба, които съдържат или се състоят от </w:t>
      </w:r>
      <w:r>
        <w:rPr>
          <w:rFonts w:ascii="Times New Roman" w:hAnsi="Times New Roman"/>
          <w:b/>
          <w:noProof/>
          <w:sz w:val="24"/>
          <w:szCs w:val="24"/>
        </w:rPr>
        <w:t>генетично модифицирани организми</w:t>
      </w:r>
      <w:r>
        <w:rPr>
          <w:rFonts w:ascii="Times New Roman" w:hAnsi="Times New Roman"/>
          <w:noProof/>
          <w:sz w:val="24"/>
          <w:szCs w:val="24"/>
        </w:rPr>
        <w:t xml:space="preserve"> (ГМО), следва да бъдат подходящи за целта, когато става въпрос за разглеждане на специфичните особености на лекарствата и провеждането на клинични изпитвания с тези продукти в ЕС (което понастоящем е възпрепятствано от разпокъсаността на националните изисквания). Различните решения ще бъдат проучени по време на оценката на законодателство в областта на фармацевтичните продукти. Като цяло следва да се обмислят механизми за непрекъснато и своевременно адаптиране на техническите изисквания в светлината на нововъзникващите научни постижения и технологии с оглед на по-ефективното опазване на човешкото здраве, като същевременно се сведе до минимум вредното въздействие върху околната среда.</w:t>
      </w:r>
    </w:p>
    <w:p>
      <w:pPr>
        <w:spacing w:line="240" w:lineRule="auto"/>
        <w:jc w:val="both"/>
        <w:rPr>
          <w:rFonts w:ascii="Times New Roman" w:hAnsi="Times New Roman"/>
          <w:noProof/>
          <w:sz w:val="24"/>
          <w:szCs w:val="24"/>
        </w:rPr>
      </w:pPr>
      <w:r>
        <w:rPr>
          <w:rFonts w:ascii="Times New Roman" w:hAnsi="Times New Roman"/>
          <w:noProof/>
          <w:sz w:val="24"/>
          <w:szCs w:val="24"/>
        </w:rPr>
        <w:t xml:space="preserve">Регулаторните органи трябва също така да се приспособят към научните и технологичните новости, като повишат своята експертна компетентност и постигнат висок професионализъм, за да могат да следят новите и по-сложни терапии. Важен фактор в това отношение е наличието на достатъчно финансиране на всички равнища. Системата от такси на EMA е от ключово значение за финансирането на регулаторните дейности на равнище ЕС и за да се осигури покриване на съответните разходи. Комисията ще разгледа този въпрос при предстоящото преразглеждане на законодателството за таксите на ЕМА. </w:t>
      </w:r>
    </w:p>
    <w:tbl>
      <w:tblPr>
        <w:tblStyle w:val="TableGrid"/>
        <w:tblW w:w="0" w:type="auto"/>
        <w:tblLook w:val="04A0" w:firstRow="1" w:lastRow="0" w:firstColumn="1" w:lastColumn="0" w:noHBand="0" w:noVBand="1"/>
      </w:tblPr>
      <w:tblGrid>
        <w:gridCol w:w="9166"/>
      </w:tblGrid>
      <w:tr>
        <w:tc>
          <w:tcPr>
            <w:tcW w:w="9166" w:type="dxa"/>
          </w:tcPr>
          <w:p>
            <w:pPr>
              <w:spacing w:after="120"/>
              <w:rPr>
                <w:rFonts w:ascii="Times New Roman" w:hAnsi="Times New Roman"/>
                <w:b/>
                <w:i/>
                <w:noProof/>
                <w:sz w:val="24"/>
                <w:szCs w:val="24"/>
                <w:u w:val="single"/>
              </w:rPr>
            </w:pPr>
            <w:r>
              <w:rPr>
                <w:rFonts w:ascii="Times New Roman" w:hAnsi="Times New Roman"/>
                <w:b/>
                <w:i/>
                <w:noProof/>
                <w:sz w:val="24"/>
                <w:szCs w:val="24"/>
                <w:u w:val="single"/>
              </w:rPr>
              <w:t>Водещи инициативи относно регулаторната ефективност</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Предложение за преразглеждане на законодателството в областта на фармацевтичните продукти, за да се осигури опростяване, рационализиране на процедурите за одобрение и гъвкавост за своевременно адаптиране на техническите изисквания към научното и технологичното развитие, за да се отговори на предизвикателствата, свързани с взаимодействието на лекарствата и изделията, и за да се подсилят елементите, насърчаващи конкуренцията — срок 2022 г.</w:t>
            </w:r>
          </w:p>
          <w:p>
            <w:pPr>
              <w:pStyle w:val="ListParagraph"/>
              <w:keepNext/>
              <w:numPr>
                <w:ilvl w:val="0"/>
                <w:numId w:val="15"/>
              </w:numPr>
              <w:spacing w:after="360"/>
              <w:ind w:left="714" w:hanging="357"/>
              <w:jc w:val="both"/>
              <w:rPr>
                <w:rFonts w:ascii="Times New Roman" w:hAnsi="Times New Roman"/>
                <w:noProof/>
                <w:sz w:val="24"/>
                <w:szCs w:val="24"/>
              </w:rPr>
            </w:pPr>
            <w:r>
              <w:rPr>
                <w:rFonts w:ascii="Times New Roman" w:hAnsi="Times New Roman"/>
                <w:noProof/>
                <w:sz w:val="24"/>
                <w:szCs w:val="24"/>
              </w:rPr>
              <w:t>Предложение за преглед на рамката за промените при лекарствата чрез промени в законодателството и насоките, за да се направи управлението на жизнения цикъл на лекарствата по-ефективно и адаптирано към цифровизацията — срок 2021—2023 г.</w:t>
            </w:r>
          </w:p>
          <w:p>
            <w:pPr>
              <w:keepNext/>
              <w:spacing w:after="120"/>
              <w:rPr>
                <w:rFonts w:ascii="Times New Roman" w:hAnsi="Times New Roman"/>
                <w:b/>
                <w:i/>
                <w:noProof/>
                <w:sz w:val="24"/>
                <w:szCs w:val="24"/>
                <w:u w:val="single"/>
              </w:rPr>
            </w:pPr>
            <w:r>
              <w:rPr>
                <w:rFonts w:ascii="Times New Roman" w:hAnsi="Times New Roman"/>
                <w:b/>
                <w:i/>
                <w:noProof/>
                <w:sz w:val="24"/>
                <w:szCs w:val="24"/>
                <w:u w:val="single"/>
              </w:rPr>
              <w:t>Други действия</w:t>
            </w:r>
          </w:p>
          <w:p>
            <w:pPr>
              <w:pStyle w:val="ListParagraph"/>
              <w:keepNext/>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Предложение за преразглеждане на законодателството за таксите на ЕМА — срок 2021 г.</w:t>
            </w:r>
          </w:p>
          <w:p>
            <w:pPr>
              <w:pStyle w:val="ListParagraph"/>
              <w:keepNext/>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 xml:space="preserve">Осигуряване на единен процес за оценка във всички държави членки на активните вещества, използвани в различни генерични лекарства (основни досиета за активните вещества), за да се улесни тяхното разрешаване и управлението на техния жизнен цикъл — срок 2022 г. </w:t>
            </w:r>
          </w:p>
          <w:p>
            <w:pPr>
              <w:pStyle w:val="ListParagraph"/>
              <w:numPr>
                <w:ilvl w:val="0"/>
                <w:numId w:val="15"/>
              </w:numPr>
              <w:spacing w:after="120"/>
              <w:jc w:val="both"/>
              <w:rPr>
                <w:rFonts w:ascii="Times New Roman" w:hAnsi="Times New Roman"/>
                <w:noProof/>
                <w:sz w:val="24"/>
                <w:szCs w:val="24"/>
              </w:rPr>
            </w:pPr>
            <w:r>
              <w:rPr>
                <w:rFonts w:ascii="Times New Roman" w:hAnsi="Times New Roman"/>
                <w:noProof/>
                <w:sz w:val="24"/>
                <w:szCs w:val="24"/>
              </w:rPr>
              <w:t>Обмисляне на адаптирането на регулаторните изисквания в законодателството относно фармацевтичните продукти, приложими за лекарствата за хуманна употреба, които съдържат или се състоят от генетично модифицирани организми (ГМО) — срок 2022 г.</w:t>
            </w:r>
          </w:p>
          <w:p>
            <w:pPr>
              <w:pStyle w:val="ListParagraph"/>
              <w:numPr>
                <w:ilvl w:val="0"/>
                <w:numId w:val="15"/>
              </w:numPr>
              <w:spacing w:after="120"/>
              <w:jc w:val="both"/>
              <w:rPr>
                <w:rFonts w:ascii="Times New Roman" w:hAnsi="Times New Roman"/>
                <w:noProof/>
                <w:sz w:val="24"/>
                <w:szCs w:val="24"/>
              </w:rPr>
            </w:pPr>
            <w:r>
              <w:rPr>
                <w:rFonts w:ascii="Times New Roman" w:hAnsi="Times New Roman"/>
                <w:noProof/>
                <w:sz w:val="24"/>
                <w:szCs w:val="24"/>
              </w:rPr>
              <w:t xml:space="preserve">Актуализиране на водения от Комисията Регистър на Съюза за продуктите с централизирано разрешение, за да се включи статистическа таблица и да се осигури безпрепятствено вторично използване на данните като част от инициативата на ЕС за свободно достъпни данни — срок 2021 г. </w:t>
            </w:r>
          </w:p>
          <w:p>
            <w:pPr>
              <w:pStyle w:val="ListParagraph"/>
              <w:numPr>
                <w:ilvl w:val="0"/>
                <w:numId w:val="15"/>
              </w:numPr>
              <w:spacing w:after="360"/>
              <w:ind w:left="714" w:hanging="357"/>
              <w:jc w:val="both"/>
              <w:rPr>
                <w:rFonts w:ascii="Times New Roman" w:hAnsi="Times New Roman"/>
                <w:noProof/>
                <w:sz w:val="24"/>
                <w:szCs w:val="24"/>
              </w:rPr>
            </w:pPr>
            <w:r>
              <w:rPr>
                <w:rFonts w:ascii="Times New Roman" w:hAnsi="Times New Roman"/>
                <w:noProof/>
                <w:sz w:val="24"/>
                <w:szCs w:val="24"/>
              </w:rPr>
              <w:t>Разработване и прилагане на електронна информация за продуктите (ePI) за всички лекарства в ЕС с участието на държавите членки и промишлеността; оценка и преразглеждане на съответните разпоредби в законодателството — срок 2022 г.</w:t>
            </w:r>
          </w:p>
          <w:p>
            <w:pPr>
              <w:pStyle w:val="ListParagraph"/>
              <w:numPr>
                <w:ilvl w:val="0"/>
                <w:numId w:val="15"/>
              </w:numPr>
              <w:spacing w:after="120"/>
              <w:jc w:val="both"/>
              <w:rPr>
                <w:rFonts w:ascii="Times New Roman" w:hAnsi="Times New Roman"/>
                <w:noProof/>
                <w:sz w:val="24"/>
                <w:szCs w:val="24"/>
              </w:rPr>
            </w:pPr>
            <w:r>
              <w:rPr>
                <w:rFonts w:ascii="Times New Roman" w:hAnsi="Times New Roman"/>
                <w:noProof/>
                <w:sz w:val="24"/>
                <w:szCs w:val="24"/>
              </w:rPr>
              <w:t xml:space="preserve">Предложение за преразглеждане на законодателството, с цел предоставяне на регулаторните органи на повече правомощия да адаптират по собствена инициатива условията на разрешенията за търговия въз основа на научните доказателства — срок 2022 г. </w:t>
            </w:r>
          </w:p>
          <w:p>
            <w:pPr>
              <w:pStyle w:val="ListParagraph"/>
              <w:numPr>
                <w:ilvl w:val="0"/>
                <w:numId w:val="15"/>
              </w:numPr>
              <w:spacing w:after="120"/>
              <w:jc w:val="both"/>
              <w:rPr>
                <w:rFonts w:ascii="Times New Roman" w:hAnsi="Times New Roman"/>
                <w:b/>
                <w:i/>
                <w:noProof/>
                <w:sz w:val="24"/>
                <w:szCs w:val="24"/>
                <w:u w:val="single"/>
              </w:rPr>
            </w:pPr>
            <w:r>
              <w:rPr>
                <w:rFonts w:ascii="Times New Roman" w:hAnsi="Times New Roman"/>
                <w:noProof/>
                <w:sz w:val="24"/>
                <w:szCs w:val="24"/>
              </w:rPr>
              <w:t xml:space="preserve">Опростяване и рационализиране на системата от санкции за противодействие на нарушенията по съразмерен и ефикасен начин — срок 2024 г. </w:t>
            </w:r>
          </w:p>
        </w:tc>
      </w:tr>
    </w:tbl>
    <w:p>
      <w:pPr>
        <w:pStyle w:val="Heading1"/>
        <w:numPr>
          <w:ilvl w:val="0"/>
          <w:numId w:val="3"/>
        </w:numPr>
        <w:spacing w:line="240" w:lineRule="auto"/>
        <w:ind w:left="567" w:hanging="567"/>
        <w:rPr>
          <w:rFonts w:ascii="Times New Roman" w:hAnsi="Times New Roman" w:cs="Times New Roman"/>
          <w:b/>
          <w:noProof/>
          <w:color w:val="auto"/>
          <w:sz w:val="24"/>
          <w:szCs w:val="24"/>
        </w:rPr>
      </w:pPr>
      <w:r>
        <w:rPr>
          <w:rFonts w:ascii="Times New Roman" w:hAnsi="Times New Roman"/>
          <w:b/>
          <w:noProof/>
          <w:color w:val="auto"/>
          <w:sz w:val="24"/>
          <w:szCs w:val="24"/>
        </w:rPr>
        <w:t>Повишаване на устойчивостта:</w:t>
      </w:r>
      <w:r>
        <w:rPr>
          <w:rFonts w:ascii="Times New Roman" w:hAnsi="Times New Roman"/>
          <w:b/>
          <w:noProof/>
          <w:sz w:val="24"/>
          <w:szCs w:val="24"/>
        </w:rPr>
        <w:t xml:space="preserve"> </w:t>
      </w:r>
      <w:r>
        <w:rPr>
          <w:rFonts w:ascii="Times New Roman" w:hAnsi="Times New Roman"/>
          <w:b/>
          <w:noProof/>
          <w:color w:val="auto"/>
          <w:sz w:val="24"/>
          <w:szCs w:val="24"/>
        </w:rPr>
        <w:t>диверсифицирани и сигурни вериги на доставки; екологично устойчиви фармацевтични продукти; механизми за готовност и реакция при кризи</w:t>
      </w:r>
    </w:p>
    <w:p>
      <w:pPr>
        <w:pStyle w:val="Heading2"/>
        <w:numPr>
          <w:ilvl w:val="1"/>
          <w:numId w:val="3"/>
        </w:numPr>
        <w:spacing w:before="200" w:line="240" w:lineRule="auto"/>
        <w:ind w:left="567" w:hanging="567"/>
        <w:rPr>
          <w:rFonts w:ascii="Times New Roman" w:hAnsi="Times New Roman" w:cs="Times New Roman"/>
          <w:i/>
          <w:noProof/>
          <w:color w:val="auto"/>
          <w:sz w:val="24"/>
          <w:szCs w:val="24"/>
        </w:rPr>
      </w:pPr>
      <w:r>
        <w:rPr>
          <w:rFonts w:ascii="Times New Roman" w:hAnsi="Times New Roman"/>
          <w:i/>
          <w:noProof/>
          <w:color w:val="auto"/>
          <w:sz w:val="24"/>
          <w:szCs w:val="24"/>
        </w:rPr>
        <w:t>Гарантиране на доставките на лекарства в целия ЕС и избягване на недостиг</w:t>
      </w:r>
    </w:p>
    <w:p>
      <w:pPr>
        <w:spacing w:line="240" w:lineRule="auto"/>
        <w:jc w:val="both"/>
        <w:rPr>
          <w:rFonts w:ascii="Times New Roman" w:hAnsi="Times New Roman"/>
          <w:noProof/>
          <w:sz w:val="24"/>
          <w:szCs w:val="24"/>
        </w:rPr>
      </w:pPr>
      <w:r>
        <w:rPr>
          <w:rFonts w:ascii="Times New Roman" w:hAnsi="Times New Roman"/>
          <w:noProof/>
          <w:sz w:val="24"/>
          <w:szCs w:val="24"/>
        </w:rPr>
        <w:t>Европейският съвет</w:t>
      </w:r>
      <w:r>
        <w:rPr>
          <w:rStyle w:val="FootnoteReference"/>
          <w:rFonts w:ascii="Times New Roman" w:hAnsi="Times New Roman"/>
          <w:noProof/>
          <w:sz w:val="24"/>
          <w:szCs w:val="24"/>
        </w:rPr>
        <w:footnoteReference w:id="42"/>
      </w:r>
      <w:r>
        <w:rPr>
          <w:rFonts w:ascii="Times New Roman" w:hAnsi="Times New Roman"/>
          <w:noProof/>
          <w:sz w:val="24"/>
          <w:szCs w:val="24"/>
        </w:rPr>
        <w:t xml:space="preserve"> потвърди, че „основна цел на Съюза е постигането на стратегическа автономност и едновременно с това запазването на отворена икономика“. </w:t>
      </w:r>
      <w:r>
        <w:rPr>
          <w:rFonts w:ascii="Times New Roman" w:hAnsi="Times New Roman"/>
          <w:b/>
          <w:bCs/>
          <w:noProof/>
          <w:sz w:val="24"/>
          <w:szCs w:val="24"/>
        </w:rPr>
        <w:t>Недостигът</w:t>
      </w:r>
      <w:r>
        <w:rPr>
          <w:rFonts w:ascii="Times New Roman" w:hAnsi="Times New Roman"/>
          <w:noProof/>
          <w:sz w:val="24"/>
          <w:szCs w:val="24"/>
        </w:rPr>
        <w:t xml:space="preserve"> на лекарства е сериозен проблем в ЕС от няколко години, който се задълбочи по време на пандемията от COVID-19. Той застрашава здравето на пациентите и сериозно затруднява здравните системи и здравните специалисти. Недостигът на лекарства може да доведе до непълно лечение и до удължаване на болничния престой. Все по-често се наблюдава недостиг на продукти, които се предлагат на пазара от много години и се използват широко</w:t>
      </w:r>
      <w:r>
        <w:rPr>
          <w:rStyle w:val="FootnoteReference"/>
          <w:rFonts w:ascii="Times New Roman" w:hAnsi="Times New Roman"/>
          <w:noProof/>
          <w:sz w:val="24"/>
          <w:szCs w:val="24"/>
        </w:rPr>
        <w:footnoteReference w:id="43"/>
      </w:r>
      <w:r>
        <w:rPr>
          <w:rFonts w:ascii="Times New Roman" w:hAnsi="Times New Roman"/>
          <w:noProof/>
          <w:sz w:val="24"/>
          <w:szCs w:val="24"/>
        </w:rPr>
        <w:t xml:space="preserve">. Причините са комплексни и включват маркетинговите стратегии, паралелната търговия, трудностите в набавянето на активни фармацевтични съставки и суровини, недостатъчно строгите задължения за обществени услуги, квотите за доставки или проблеми, свързани с ценообразуването и възстановяването на разходите.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Изграждането на </w:t>
      </w:r>
      <w:r>
        <w:rPr>
          <w:rFonts w:ascii="Times New Roman" w:hAnsi="Times New Roman"/>
          <w:b/>
          <w:bCs/>
          <w:noProof/>
          <w:sz w:val="24"/>
          <w:szCs w:val="24"/>
        </w:rPr>
        <w:t>отворената стратегическа автономност на ЕС</w:t>
      </w:r>
      <w:r>
        <w:rPr>
          <w:rFonts w:ascii="Times New Roman" w:hAnsi="Times New Roman"/>
          <w:noProof/>
          <w:sz w:val="24"/>
          <w:szCs w:val="24"/>
        </w:rPr>
        <w:t xml:space="preserve"> в областта на лекарствата изисква действия за откриване на стратегическите зависимости в здравеопазването и за предлагане на мерки за тяхното ограничаване, евентуално чрез разнообразяване на веригите за производство и доставка, осигуряване на стратегически резерв, както и насърчаване на производството и инвестициите в Европа. За да се ограничи максимално въздействието на недостига на лекарства върху грижите за пациентите, ще са необходими както превантивни, така и смекчаващи мерки, които да направят задължението за непрекъснатост на доставките значително по-строго. Тази година Комисията започна проучване за извеждане на първопричините за недостига и за оценка на правната рамка. Проучването ще послужи за основа на оценката и преразглеждането на действащото законодателство. Законодателните мерки биха могли да включват по-строги задължения за промишлеността да гарантира снабдяването с лекарства, по-ранно уведомяване за недостиг и изтегляне от пазара, по-голяма прозрачност на запасите по цялата верига на доставки и по-силна координираща роля на EMA при наблюдението и управлението на недостига. Тези мерки ще бъдат допълнени от засилено сътрудничество между държавите членки, например подобрени подходи и стратегии за възлагане на обществени поръчки, съвместно възлагане на обществени поръчки за изключително важни лекарства и сътрудничество на равнище ЕС по отношение на средствата и инструментите за изготвяне на национални политики относно цените и възстановяването на разходите. За продукти с малък обем или ограничена употреба от решаващо значение ще бъдат новите модели на договаряне с бизнеса и/или на плащане. </w:t>
      </w:r>
    </w:p>
    <w:p>
      <w:pPr>
        <w:spacing w:line="240" w:lineRule="auto"/>
        <w:jc w:val="both"/>
        <w:rPr>
          <w:rFonts w:ascii="Times New Roman" w:hAnsi="Times New Roman"/>
          <w:noProof/>
          <w:sz w:val="24"/>
          <w:szCs w:val="24"/>
        </w:rPr>
      </w:pPr>
      <w:r>
        <w:rPr>
          <w:rFonts w:ascii="Times New Roman" w:hAnsi="Times New Roman"/>
          <w:b/>
          <w:bCs/>
          <w:noProof/>
          <w:sz w:val="24"/>
          <w:szCs w:val="24"/>
        </w:rPr>
        <w:t>Фармацевтиката и веригите на доставки</w:t>
      </w:r>
      <w:r>
        <w:rPr>
          <w:rFonts w:ascii="Times New Roman" w:hAnsi="Times New Roman"/>
          <w:noProof/>
          <w:sz w:val="24"/>
          <w:szCs w:val="24"/>
        </w:rPr>
        <w:t xml:space="preserve"> са сложни, все по-глобализирани и понякога недостатъчно диверсифицирани. Множество участници в различни части на света с различни екологични показатели на производствените процеси могат да участват в различните етапи на производство на една и съща съставка. Някои технологии, необходими за производството на суровини, вече не са налични в ЕС. Още преди пандемията от COVID-19 имаше опасения относно устойчивостта на веригите за производство на фармацевтични продукти и Европейският парламент и държавите членки призоваха Комисията да се занимае с този въпрос</w:t>
      </w:r>
      <w:r>
        <w:rPr>
          <w:rStyle w:val="FootnoteReference"/>
          <w:rFonts w:ascii="Times New Roman" w:hAnsi="Times New Roman"/>
          <w:noProof/>
          <w:sz w:val="24"/>
          <w:szCs w:val="24"/>
        </w:rPr>
        <w:footnoteReference w:id="44"/>
      </w:r>
      <w:r>
        <w:rPr>
          <w:rFonts w:ascii="Times New Roman" w:hAnsi="Times New Roman"/>
          <w:noProof/>
          <w:sz w:val="24"/>
          <w:szCs w:val="24"/>
        </w:rPr>
        <w:t xml:space="preserve">. И по-специално с доставките на суровини за фармацевтични продукти, междинни продукти и активни фармацевтични вещества, които влияят на риска от недостиг на изключително важни лекарства. Пандемията показа, че публичните органи често пъти не разполагат с изчерпателна информация за структурата на веригите на производство и доставки. За адекватното реагиране при кризи са необходими устойчиви и достатъчно диверсифицирани вериги на доставки, които функционират в предвидима и ресурсно ефективна търговска среда.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Поради това Комисията ще започне и ще ръководи </w:t>
      </w:r>
      <w:r>
        <w:rPr>
          <w:rFonts w:ascii="Times New Roman" w:hAnsi="Times New Roman"/>
          <w:b/>
          <w:bCs/>
          <w:noProof/>
          <w:sz w:val="24"/>
          <w:szCs w:val="24"/>
        </w:rPr>
        <w:t>структуриран диалог</w:t>
      </w:r>
      <w:r>
        <w:rPr>
          <w:rFonts w:ascii="Times New Roman" w:hAnsi="Times New Roman"/>
          <w:noProof/>
          <w:sz w:val="24"/>
          <w:szCs w:val="24"/>
        </w:rPr>
        <w:t xml:space="preserve"> с участниците във веригата за създаване на стойност във фармацевтиката, публичните органи, неправителствените организации на пациенти и в здравеопазването и научноизследователската общност. На първия етап от структурирания диалог посредством събиране и анализ на данни ще се търси изясняване на функционирането на </w:t>
      </w:r>
      <w:r>
        <w:rPr>
          <w:rFonts w:ascii="Times New Roman" w:hAnsi="Times New Roman"/>
          <w:b/>
          <w:bCs/>
          <w:noProof/>
          <w:sz w:val="24"/>
          <w:szCs w:val="24"/>
        </w:rPr>
        <w:t>световните вериги на доставки</w:t>
      </w:r>
      <w:r>
        <w:rPr>
          <w:rFonts w:ascii="Times New Roman" w:hAnsi="Times New Roman"/>
          <w:noProof/>
          <w:sz w:val="24"/>
          <w:szCs w:val="24"/>
        </w:rPr>
        <w:t xml:space="preserve"> и установяване на точните причини и фактори за </w:t>
      </w:r>
      <w:r>
        <w:rPr>
          <w:rFonts w:ascii="Times New Roman" w:hAnsi="Times New Roman"/>
          <w:b/>
          <w:bCs/>
          <w:noProof/>
          <w:sz w:val="24"/>
          <w:szCs w:val="24"/>
        </w:rPr>
        <w:t>различните потенциални слабости</w:t>
      </w:r>
      <w:r>
        <w:rPr>
          <w:rFonts w:ascii="Times New Roman" w:hAnsi="Times New Roman"/>
          <w:noProof/>
          <w:sz w:val="24"/>
          <w:szCs w:val="24"/>
        </w:rPr>
        <w:t xml:space="preserve">, включително потенциалните зависимости, застрашаващи доставките на изключително важни лекарства, активни фармацевтични съставки и суровини.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На втория етап структурираният диалог ще послужи за предлагане на набор от </w:t>
      </w:r>
      <w:r>
        <w:rPr>
          <w:rFonts w:ascii="Times New Roman" w:hAnsi="Times New Roman"/>
          <w:b/>
          <w:bCs/>
          <w:noProof/>
          <w:sz w:val="24"/>
          <w:szCs w:val="24"/>
        </w:rPr>
        <w:t>възможни мерки</w:t>
      </w:r>
      <w:r>
        <w:rPr>
          <w:rFonts w:ascii="Times New Roman" w:hAnsi="Times New Roman"/>
          <w:noProof/>
          <w:sz w:val="24"/>
          <w:szCs w:val="24"/>
        </w:rPr>
        <w:t xml:space="preserve"> за преодоляване на установените слабости и за </w:t>
      </w:r>
      <w:r>
        <w:rPr>
          <w:rFonts w:ascii="Times New Roman" w:hAnsi="Times New Roman"/>
          <w:b/>
          <w:bCs/>
          <w:noProof/>
          <w:sz w:val="24"/>
          <w:szCs w:val="24"/>
        </w:rPr>
        <w:t>формулиране на стратегически варианти</w:t>
      </w:r>
      <w:r>
        <w:rPr>
          <w:rFonts w:ascii="Times New Roman" w:hAnsi="Times New Roman"/>
          <w:noProof/>
          <w:sz w:val="24"/>
          <w:szCs w:val="24"/>
        </w:rPr>
        <w:t xml:space="preserve">, които да бъдат разгледани от Комисията и другите органи в ЕС, за да се гарантира сигурността на доставките и наличието на изключително важни лекарства, активни фармацевтични съставки и суровини. Важно е да се прецени дали може да има нужда от производствен капацитет в ЕС за някои изключително важни лекарства от гледна точка на общественото здравеопазване и готовността за действие при кризи, но всички евентуални мерки ще трябва да бъдат напълно съобразени с правилата на ЕС в областта на конкуренцията и с правилата на Световната търговска организация (СТО).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За да се подобри предсказуемостта на търговската среда при здравните продукти, включително лекарствата, ЕС ще работи заедно с </w:t>
      </w:r>
      <w:r>
        <w:rPr>
          <w:rFonts w:ascii="Times New Roman" w:hAnsi="Times New Roman"/>
          <w:b/>
          <w:bCs/>
          <w:noProof/>
          <w:sz w:val="24"/>
          <w:szCs w:val="24"/>
        </w:rPr>
        <w:t>членовете на СТО</w:t>
      </w:r>
      <w:r>
        <w:rPr>
          <w:rFonts w:ascii="Times New Roman" w:hAnsi="Times New Roman"/>
          <w:noProof/>
          <w:sz w:val="24"/>
          <w:szCs w:val="24"/>
        </w:rPr>
        <w:t xml:space="preserve"> по инициатива, която ще има за цел да улесни търговията със здравни продукти и да допринесе за ефективен отговор в случай на извънредна здравна ситуация. Подобна инициатива би спомогнала за укрепване на устойчивостта и стабилността на веригите на доставки в ЕС и във всички останали партньори в рамките на СТО. Тя ще разчита на засилено сътрудничество между търговските партньори, за да се избегнат ненужни смущения в производството и разпространението на основни стоки, което е от решаващо значение във време на нужда.</w:t>
      </w:r>
    </w:p>
    <w:tbl>
      <w:tblPr>
        <w:tblStyle w:val="TableGrid"/>
        <w:tblW w:w="0" w:type="auto"/>
        <w:tblLook w:val="04A0" w:firstRow="1" w:lastRow="0" w:firstColumn="1" w:lastColumn="0" w:noHBand="0" w:noVBand="1"/>
      </w:tblPr>
      <w:tblGrid>
        <w:gridCol w:w="9166"/>
      </w:tblGrid>
      <w:tr>
        <w:tc>
          <w:tcPr>
            <w:tcW w:w="9166" w:type="dxa"/>
          </w:tcPr>
          <w:p>
            <w:pPr>
              <w:spacing w:after="120"/>
              <w:rPr>
                <w:rFonts w:ascii="Times New Roman" w:hAnsi="Times New Roman"/>
                <w:b/>
                <w:i/>
                <w:noProof/>
                <w:sz w:val="24"/>
                <w:szCs w:val="24"/>
                <w:u w:val="single"/>
              </w:rPr>
            </w:pPr>
            <w:r>
              <w:rPr>
                <w:rFonts w:ascii="Times New Roman" w:hAnsi="Times New Roman"/>
                <w:b/>
                <w:i/>
                <w:noProof/>
                <w:sz w:val="24"/>
                <w:szCs w:val="24"/>
                <w:u w:val="single"/>
              </w:rPr>
              <w:t>Водещи инициативи относно отворената стратегическа автономност</w:t>
            </w:r>
          </w:p>
          <w:p>
            <w:pPr>
              <w:pStyle w:val="ListParagraph"/>
              <w:numPr>
                <w:ilvl w:val="0"/>
                <w:numId w:val="15"/>
              </w:numPr>
              <w:spacing w:after="120"/>
              <w:jc w:val="both"/>
              <w:rPr>
                <w:rFonts w:ascii="Times New Roman" w:hAnsi="Times New Roman"/>
                <w:noProof/>
                <w:sz w:val="24"/>
                <w:szCs w:val="24"/>
              </w:rPr>
            </w:pPr>
            <w:r>
              <w:rPr>
                <w:rFonts w:ascii="Times New Roman" w:hAnsi="Times New Roman"/>
                <w:noProof/>
                <w:sz w:val="24"/>
                <w:szCs w:val="24"/>
              </w:rPr>
              <w:t>Предложение за преразглеждане на законодателството в областта на фармацевтичните продукти с цел повишаване сигурността на доставките и преодоляване на недостига чрез конкретни мерки, включително по-строги задължения за доставки и прозрачност, по-ранно уведомяване за недостиг и изтегляне от пазара, по-голяма прозрачност на запасите и по-силна координация и механизми на ЕС за наблюдение, управление и избягване на недостиг — срок 2022 г.</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Последващи действия във връзка с искането на Европейския съвет за отворена стратегическа автономност и започване на структуриран диалог със и между участниците във веригата за създаване на стойност във фармацевтиката и публичните органи, за да се установят слабостите в световната верига на доставки на изключително важни лекарства, суровини, фармацевтични продукти, междинни продукти и активни фармацевтични вещества, за да се формулират стратегически варианти и да се предложат действия за укрепване на непрекъснатостта и сигурността на доставките в ЕС — срок 2021 г.</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Обмисляне на мерки, с които да се гарантира, че промишлеността в рамките на доброволен процес ще направи веригите на доставки по-прозрачни — срок 2021 г.</w:t>
            </w:r>
          </w:p>
          <w:p>
            <w:pPr>
              <w:keepNext/>
              <w:spacing w:after="120"/>
              <w:rPr>
                <w:rFonts w:ascii="Times New Roman" w:hAnsi="Times New Roman"/>
                <w:b/>
                <w:i/>
                <w:noProof/>
                <w:sz w:val="24"/>
                <w:szCs w:val="24"/>
                <w:u w:val="single"/>
              </w:rPr>
            </w:pPr>
            <w:r>
              <w:rPr>
                <w:rFonts w:ascii="Times New Roman" w:hAnsi="Times New Roman"/>
                <w:b/>
                <w:i/>
                <w:noProof/>
                <w:sz w:val="24"/>
                <w:szCs w:val="24"/>
                <w:u w:val="single"/>
              </w:rPr>
              <w:t>Други действия</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 xml:space="preserve">Насърчаване на държавите членки и осигуряване на подкрепа за провеждане на тясно сътрудничество чрез финансиране, предоставено по линия на „ЕС в подкрепа на здравето“, за разработване на насоки, мерки и инструменти, които биха могли да се използват както на равнище ЕС, така и при изготвянето на национални политики за преодоляване на структурния недостиг — срок 2021—2022 г. </w:t>
            </w:r>
          </w:p>
          <w:p>
            <w:pPr>
              <w:pStyle w:val="ListParagraph"/>
              <w:numPr>
                <w:ilvl w:val="0"/>
                <w:numId w:val="15"/>
              </w:numPr>
              <w:spacing w:after="120"/>
              <w:ind w:left="714" w:hanging="357"/>
              <w:jc w:val="both"/>
              <w:rPr>
                <w:rFonts w:ascii="Times New Roman" w:hAnsi="Times New Roman"/>
                <w:b/>
                <w:i/>
                <w:noProof/>
                <w:sz w:val="24"/>
                <w:szCs w:val="24"/>
                <w:u w:val="single"/>
              </w:rPr>
            </w:pPr>
            <w:r>
              <w:rPr>
                <w:rFonts w:ascii="Times New Roman" w:hAnsi="Times New Roman"/>
                <w:noProof/>
                <w:sz w:val="24"/>
                <w:szCs w:val="24"/>
              </w:rPr>
              <w:t>Насърчаване на основани на правилата на СТО действия за повишаване на устойчивостта в световните вериги на доставки на основни стоки — срок 2021 г.</w:t>
            </w:r>
          </w:p>
        </w:tc>
      </w:tr>
    </w:tbl>
    <w:p>
      <w:pPr>
        <w:pStyle w:val="Heading2"/>
        <w:numPr>
          <w:ilvl w:val="1"/>
          <w:numId w:val="3"/>
        </w:numPr>
        <w:spacing w:before="200" w:line="240" w:lineRule="auto"/>
        <w:ind w:left="567" w:hanging="567"/>
        <w:rPr>
          <w:rFonts w:ascii="Times New Roman" w:hAnsi="Times New Roman" w:cs="Times New Roman"/>
          <w:i/>
          <w:noProof/>
          <w:color w:val="auto"/>
          <w:sz w:val="24"/>
          <w:szCs w:val="24"/>
        </w:rPr>
      </w:pPr>
      <w:r>
        <w:rPr>
          <w:rFonts w:ascii="Times New Roman" w:hAnsi="Times New Roman"/>
          <w:i/>
          <w:noProof/>
          <w:color w:val="auto"/>
          <w:sz w:val="24"/>
          <w:szCs w:val="24"/>
        </w:rPr>
        <w:t xml:space="preserve">Висококачествени, безопасни и екологично устойчиви лекарства </w:t>
      </w:r>
    </w:p>
    <w:p>
      <w:pPr>
        <w:spacing w:line="240" w:lineRule="auto"/>
        <w:jc w:val="both"/>
        <w:rPr>
          <w:rFonts w:ascii="Times New Roman" w:hAnsi="Times New Roman"/>
          <w:noProof/>
          <w:sz w:val="24"/>
          <w:szCs w:val="24"/>
        </w:rPr>
      </w:pPr>
      <w:r>
        <w:rPr>
          <w:rFonts w:ascii="Times New Roman" w:hAnsi="Times New Roman"/>
          <w:noProof/>
          <w:sz w:val="24"/>
          <w:szCs w:val="24"/>
        </w:rPr>
        <w:t>Неотдавнашният опит с неочакваното наличие на онечиствания от нитрозамини в някои лекарства</w:t>
      </w:r>
      <w:r>
        <w:rPr>
          <w:rFonts w:ascii="Times New Roman" w:hAnsi="Times New Roman"/>
          <w:noProof/>
          <w:sz w:val="24"/>
          <w:szCs w:val="24"/>
          <w:vertAlign w:val="superscript"/>
        </w:rPr>
        <w:footnoteReference w:id="45"/>
      </w:r>
      <w:r>
        <w:rPr>
          <w:rFonts w:ascii="Times New Roman" w:hAnsi="Times New Roman"/>
          <w:noProof/>
          <w:sz w:val="24"/>
          <w:szCs w:val="24"/>
        </w:rPr>
        <w:t xml:space="preserve"> показа колко е важно да разполагаме с една надеждна система за откриване на проблеми с качеството и за управление на съответствието. От жизненоважно значение е да се засили надзорът върху световната производствена верига и да се гарантира по-голяма прозрачност по цялата верига на доставки. От съществено значение е всички участници да носят отговорност за качеството на лекарствата, но особено притежателите на разрешения за търговия. Спазването на добрите производствени и дистрибуторски практики следва да се подобри.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В международен план ЕС активно насърчава </w:t>
      </w:r>
      <w:r>
        <w:rPr>
          <w:rFonts w:ascii="Times New Roman" w:hAnsi="Times New Roman"/>
          <w:b/>
          <w:bCs/>
          <w:noProof/>
          <w:sz w:val="24"/>
          <w:szCs w:val="24"/>
        </w:rPr>
        <w:t>добрите производствени практики</w:t>
      </w:r>
      <w:r>
        <w:rPr>
          <w:rFonts w:ascii="Times New Roman" w:hAnsi="Times New Roman"/>
          <w:noProof/>
          <w:sz w:val="24"/>
          <w:szCs w:val="24"/>
        </w:rPr>
        <w:t xml:space="preserve">, които гарантират най-високо качество на фармацевтичните продукти. Това е възможно благодарение на форуми като Международния съвет за хармонизация на техническите изисквания към фармацевтичните продукти за хуманна употреба (ICH) и посредством двустранно и многостранно сътрудничество в областта на инспекциите. Механизмите за двустранно сътрудничество са полезни, по-специално взаимното разчитане на инспекциите, което спестява дублирането на усилия и позволява по-ефективното използване на инспекторите. В рамките на ЕС Комисията ще подкрепя сътрудничеството между държавите членки в областта на инспекциите и ще спомага за подобряване на капацитета.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Комисията също така ще анализира регулаторното въздействие на нововъзникващите </w:t>
      </w:r>
      <w:r>
        <w:rPr>
          <w:rFonts w:ascii="Times New Roman" w:hAnsi="Times New Roman"/>
          <w:b/>
          <w:bCs/>
          <w:noProof/>
          <w:sz w:val="24"/>
          <w:szCs w:val="24"/>
        </w:rPr>
        <w:t>нови производствени методи</w:t>
      </w:r>
      <w:r>
        <w:rPr>
          <w:rFonts w:ascii="Times New Roman" w:hAnsi="Times New Roman"/>
          <w:noProof/>
          <w:sz w:val="24"/>
          <w:szCs w:val="24"/>
        </w:rPr>
        <w:t xml:space="preserve">, например децентрализиране или непрекъснатост на производствения процес. С тези методи се създават нови модели на производство, като се преминава от промишлено производство към производство „в болничната стая“. Макар да ускоряват производството, те пораждат нови предизвикателства по отношение на подходящото качество, инспекции и надзор.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Производството, употребата и унищожаването на лекарства имат последици за околната среда, тъй като остатъчните вещества и отпадъчните продукти могат да попаднат в </w:t>
      </w:r>
      <w:r>
        <w:rPr>
          <w:rFonts w:ascii="Times New Roman" w:hAnsi="Times New Roman"/>
          <w:b/>
          <w:bCs/>
          <w:noProof/>
          <w:sz w:val="24"/>
          <w:szCs w:val="24"/>
        </w:rPr>
        <w:t>околната среда</w:t>
      </w:r>
      <w:r>
        <w:rPr>
          <w:rFonts w:ascii="Times New Roman" w:hAnsi="Times New Roman"/>
          <w:noProof/>
          <w:sz w:val="24"/>
          <w:szCs w:val="24"/>
        </w:rPr>
        <w:t xml:space="preserve">. Това не само оказва отрицателно въздействие върху самата околна среда, но някои отпадъци и остатъци могат потенциално да засегнат функциите на ендокринната система, докато други могат да увеличат риска от антимикробна резистентност. Попадналите във водата и почвата антимикробни фармацевтични продукти могат да ускорят развитието на резистентни бактерии. Заложената в </w:t>
      </w:r>
      <w:r>
        <w:rPr>
          <w:rFonts w:ascii="Times New Roman" w:hAnsi="Times New Roman"/>
          <w:b/>
          <w:bCs/>
          <w:noProof/>
          <w:sz w:val="24"/>
          <w:szCs w:val="24"/>
        </w:rPr>
        <w:t>Европейския зелен пакт</w:t>
      </w:r>
      <w:r>
        <w:rPr>
          <w:rFonts w:ascii="Times New Roman" w:hAnsi="Times New Roman"/>
          <w:noProof/>
          <w:sz w:val="24"/>
          <w:szCs w:val="24"/>
        </w:rPr>
        <w:t xml:space="preserve"> амбиция за постигане на нулево замърсяване цели опазване както на общественото здраве, така и на екосистемите. Необходими са действия през целия жизнен цикъл на лекарствата, за да се намалят използваните ресурси, емисиите и нивата на фармацевтичните остатъци в околната среда. Цялостното излагане на подобни остатъчни вещества следва да се намали във възможно най-голяма степен. Все още много неизползвани лекарства се изхвърлят като </w:t>
      </w:r>
      <w:r>
        <w:rPr>
          <w:rFonts w:ascii="Times New Roman" w:hAnsi="Times New Roman"/>
          <w:b/>
          <w:bCs/>
          <w:noProof/>
          <w:sz w:val="24"/>
          <w:szCs w:val="24"/>
        </w:rPr>
        <w:t>отпадъци</w:t>
      </w:r>
      <w:r>
        <w:rPr>
          <w:rFonts w:ascii="Times New Roman" w:hAnsi="Times New Roman"/>
          <w:noProof/>
          <w:sz w:val="24"/>
          <w:szCs w:val="24"/>
        </w:rPr>
        <w:t xml:space="preserve"> . Неотдавна Комисията прие насоки за разделното събиране на опасните битови отпадъци, които включват фармацевтичните продукти</w:t>
      </w:r>
      <w:r>
        <w:rPr>
          <w:rStyle w:val="FootnoteReference"/>
          <w:noProof/>
        </w:rPr>
        <w:footnoteReference w:id="46"/>
      </w:r>
      <w:r>
        <w:rPr>
          <w:rFonts w:ascii="Times New Roman" w:hAnsi="Times New Roman"/>
          <w:noProof/>
          <w:sz w:val="24"/>
          <w:szCs w:val="24"/>
        </w:rPr>
        <w:t>.</w:t>
      </w:r>
      <w:r>
        <w:rPr>
          <w:noProof/>
        </w:rPr>
        <w:t xml:space="preserve"> </w:t>
      </w:r>
      <w:r>
        <w:rPr>
          <w:rFonts w:ascii="Times New Roman" w:hAnsi="Times New Roman"/>
          <w:noProof/>
          <w:sz w:val="24"/>
          <w:szCs w:val="24"/>
        </w:rPr>
        <w:t>Следва да се обмислят допълнителни мерки за ограничаване на подобен род отпадъци, включително за намаляване на размерите на опаковките и свеждането им до реално необходимото. Планът за действие за кръгова икономика</w:t>
      </w:r>
      <w:r>
        <w:rPr>
          <w:rFonts w:ascii="Times New Roman" w:hAnsi="Times New Roman"/>
          <w:noProof/>
          <w:sz w:val="24"/>
          <w:szCs w:val="24"/>
          <w:vertAlign w:val="superscript"/>
        </w:rPr>
        <w:footnoteReference w:id="47"/>
      </w:r>
      <w:r>
        <w:rPr>
          <w:rFonts w:ascii="Times New Roman" w:hAnsi="Times New Roman"/>
          <w:noProof/>
          <w:sz w:val="24"/>
          <w:szCs w:val="24"/>
        </w:rPr>
        <w:t xml:space="preserve"> и стратегията за устойчивост в областта на химикалите</w:t>
      </w:r>
      <w:r>
        <w:rPr>
          <w:rFonts w:ascii="Times New Roman" w:hAnsi="Times New Roman"/>
          <w:noProof/>
          <w:sz w:val="24"/>
          <w:szCs w:val="24"/>
          <w:vertAlign w:val="superscript"/>
        </w:rPr>
        <w:footnoteReference w:id="48"/>
      </w:r>
      <w:r>
        <w:rPr>
          <w:rFonts w:ascii="Times New Roman" w:hAnsi="Times New Roman"/>
          <w:noProof/>
          <w:sz w:val="24"/>
          <w:szCs w:val="24"/>
        </w:rPr>
        <w:t xml:space="preserve"> установяват рамка за цялостен преход към производство и потребление на ресурси и фармацевтични суровини, които са безопасни и оказват възможно най-малко въздействие върху околната среда и климата. Освен това стратегическият подход на ЕС към фармацевтичните продукти в околната среда</w:t>
      </w:r>
      <w:r>
        <w:rPr>
          <w:rFonts w:ascii="Times New Roman" w:hAnsi="Times New Roman"/>
          <w:noProof/>
          <w:sz w:val="24"/>
          <w:szCs w:val="24"/>
          <w:vertAlign w:val="superscript"/>
        </w:rPr>
        <w:footnoteReference w:id="49"/>
      </w:r>
      <w:r>
        <w:rPr>
          <w:rFonts w:ascii="Times New Roman" w:hAnsi="Times New Roman"/>
          <w:noProof/>
          <w:sz w:val="24"/>
          <w:szCs w:val="24"/>
        </w:rPr>
        <w:t xml:space="preserve"> и планът на ЕС за действие „Едно здраве“ относно антимикробната резистентност</w:t>
      </w:r>
      <w:r>
        <w:rPr>
          <w:rFonts w:ascii="Times New Roman" w:hAnsi="Times New Roman"/>
          <w:noProof/>
          <w:sz w:val="24"/>
          <w:szCs w:val="24"/>
          <w:vertAlign w:val="superscript"/>
        </w:rPr>
        <w:footnoteReference w:id="50"/>
      </w:r>
      <w:r>
        <w:rPr>
          <w:rFonts w:ascii="Times New Roman" w:hAnsi="Times New Roman"/>
          <w:noProof/>
          <w:sz w:val="24"/>
          <w:szCs w:val="24"/>
        </w:rPr>
        <w:t xml:space="preserve"> съдържат целенасочени мерки, които се изпълняват понастоящем (например мерки за подобряване на оценката на риска за околната среда и управлението на отпадъците).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Фармацевтичната стратегия за Европа разчита на тези мерки и ги допълва, особено по отношение на прегледа на законодателството в областта на фармацевтичните продукти, включително чрез преразглеждане на разпоредбите относно оценката на риска за околната среда. Иновациите с цел постигане на екологично устойчиви и неутрални по отношение на климата фармацевтични продукти и производство следва да се превърнат в двигател на фармацевтичната промишленост на ЕС, която следва да прилага най-добрите налични техники на равнище производство за намаляване на емисиите и да допринесе по своите вериги на доставки за постигане на заявените от ЕС амбициозни цели в областта на климата. </w:t>
      </w:r>
    </w:p>
    <w:p>
      <w:pPr>
        <w:spacing w:line="240" w:lineRule="auto"/>
        <w:jc w:val="both"/>
        <w:rPr>
          <w:rFonts w:ascii="Times New Roman" w:hAnsi="Times New Roman"/>
          <w:iCs/>
          <w:noProof/>
          <w:sz w:val="24"/>
          <w:szCs w:val="24"/>
        </w:rPr>
      </w:pPr>
      <w:r>
        <w:rPr>
          <w:rFonts w:ascii="Times New Roman" w:hAnsi="Times New Roman"/>
          <w:noProof/>
          <w:sz w:val="24"/>
          <w:szCs w:val="24"/>
        </w:rPr>
        <w:t xml:space="preserve">Посредством международно сътрудничество Комисията ще продължи да насърчава действията за ограничаване на </w:t>
      </w:r>
      <w:r>
        <w:rPr>
          <w:rFonts w:ascii="Times New Roman" w:hAnsi="Times New Roman"/>
          <w:b/>
          <w:bCs/>
          <w:noProof/>
          <w:sz w:val="24"/>
          <w:szCs w:val="24"/>
        </w:rPr>
        <w:t>рисковете за околната среда</w:t>
      </w:r>
      <w:r>
        <w:rPr>
          <w:rFonts w:ascii="Times New Roman" w:hAnsi="Times New Roman"/>
          <w:noProof/>
          <w:sz w:val="24"/>
          <w:szCs w:val="24"/>
        </w:rPr>
        <w:t xml:space="preserve"> в други държави, в които свързаните с фармацевтичните продукти отпадъци от производството и други източници могат да допринесат за разпространението на АМР. Следва да се оцени до каква степен може да се избегне АМР чрез добри производствени практики. Комисията ще си сътрудничи със Световната здравна организация (СЗО), други ключови международни организации и на двустранна основа за привличане на вниманието към рисковете за околната среда, включително чрез обмен на най-добри практики и разработване на международни насоки. </w:t>
      </w:r>
      <w:r>
        <w:rPr>
          <w:rFonts w:ascii="Times New Roman" w:hAnsi="Times New Roman"/>
          <w:iCs/>
          <w:noProof/>
          <w:sz w:val="24"/>
          <w:szCs w:val="24"/>
        </w:rPr>
        <w:t>Тя ще насърчава екологично устойчивото производство и унищожаване на лекарства в световен мащаб, включително чрез политически диалог и доброволни ангажименти от страна на отрасъла.</w:t>
      </w:r>
    </w:p>
    <w:tbl>
      <w:tblPr>
        <w:tblStyle w:val="TableGrid"/>
        <w:tblW w:w="0" w:type="auto"/>
        <w:tblLook w:val="04A0" w:firstRow="1" w:lastRow="0" w:firstColumn="1" w:lastColumn="0" w:noHBand="0" w:noVBand="1"/>
      </w:tblPr>
      <w:tblGrid>
        <w:gridCol w:w="9166"/>
      </w:tblGrid>
      <w:tr>
        <w:tc>
          <w:tcPr>
            <w:tcW w:w="9166" w:type="dxa"/>
          </w:tcPr>
          <w:p>
            <w:pPr>
              <w:spacing w:after="120"/>
              <w:rPr>
                <w:rFonts w:ascii="Times New Roman" w:hAnsi="Times New Roman"/>
                <w:b/>
                <w:i/>
                <w:noProof/>
                <w:sz w:val="24"/>
                <w:szCs w:val="24"/>
                <w:u w:val="single"/>
              </w:rPr>
            </w:pPr>
            <w:r>
              <w:rPr>
                <w:rFonts w:ascii="Times New Roman" w:hAnsi="Times New Roman"/>
                <w:b/>
                <w:i/>
                <w:noProof/>
                <w:sz w:val="24"/>
                <w:szCs w:val="24"/>
                <w:u w:val="single"/>
              </w:rPr>
              <w:t>Водещи инициативи за качество и устойчивост на околната среда</w:t>
            </w:r>
          </w:p>
          <w:p>
            <w:pPr>
              <w:pStyle w:val="ListParagraph"/>
              <w:numPr>
                <w:ilvl w:val="0"/>
                <w:numId w:val="15"/>
              </w:numPr>
              <w:spacing w:after="360"/>
              <w:ind w:left="714" w:hanging="357"/>
              <w:jc w:val="both"/>
              <w:rPr>
                <w:rFonts w:ascii="Times New Roman" w:hAnsi="Times New Roman"/>
                <w:noProof/>
                <w:sz w:val="24"/>
                <w:szCs w:val="24"/>
              </w:rPr>
            </w:pPr>
            <w:r>
              <w:rPr>
                <w:rFonts w:ascii="Times New Roman" w:hAnsi="Times New Roman"/>
                <w:noProof/>
                <w:sz w:val="24"/>
                <w:szCs w:val="24"/>
              </w:rPr>
              <w:t>Предложение за преразглеждане на разпоредбите относно производството и предлагането в законодателството в областта на фармацевтичните продукти, за да се подобри прозрачността, да се засили надзорът върху веригата на доставки и да се изяснят отговорностите с цел да се гарантира цялостната устойчивост на околната среда, да се запази качеството на лекарствата и да се осигури подготвеност за нови производствени технологии — срок 2022 г.</w:t>
            </w:r>
          </w:p>
          <w:p>
            <w:pPr>
              <w:pStyle w:val="ListParagraph"/>
              <w:numPr>
                <w:ilvl w:val="0"/>
                <w:numId w:val="15"/>
              </w:numPr>
              <w:spacing w:after="120"/>
              <w:jc w:val="both"/>
              <w:rPr>
                <w:rFonts w:ascii="Times New Roman" w:hAnsi="Times New Roman"/>
                <w:noProof/>
                <w:sz w:val="24"/>
                <w:szCs w:val="24"/>
              </w:rPr>
            </w:pPr>
            <w:r>
              <w:rPr>
                <w:rFonts w:ascii="Times New Roman" w:hAnsi="Times New Roman"/>
                <w:noProof/>
                <w:sz w:val="24"/>
                <w:szCs w:val="24"/>
              </w:rPr>
              <w:t xml:space="preserve">Предложение за преразглеждане на законодателството в областта на фармацевтичните продукти с цел въвеждане на по-строги изисквания спрямо оценката на риска за околната среда и условията за употреба на лекарствата, и преглед на резултатите от научните изследвания в рамките на инициативата за иновативни лекарства — срок 2022 г. </w:t>
            </w:r>
          </w:p>
          <w:p>
            <w:pPr>
              <w:spacing w:after="120"/>
              <w:rPr>
                <w:rFonts w:ascii="Times New Roman" w:hAnsi="Times New Roman"/>
                <w:b/>
                <w:i/>
                <w:noProof/>
                <w:sz w:val="24"/>
                <w:szCs w:val="24"/>
                <w:u w:val="single"/>
              </w:rPr>
            </w:pPr>
            <w:r>
              <w:rPr>
                <w:rFonts w:ascii="Times New Roman" w:hAnsi="Times New Roman"/>
                <w:b/>
                <w:i/>
                <w:noProof/>
                <w:sz w:val="24"/>
                <w:szCs w:val="24"/>
                <w:u w:val="single"/>
              </w:rPr>
              <w:t>Други действия</w:t>
            </w:r>
          </w:p>
          <w:p>
            <w:pPr>
              <w:pStyle w:val="ListParagraph"/>
              <w:numPr>
                <w:ilvl w:val="0"/>
                <w:numId w:val="15"/>
              </w:numPr>
              <w:spacing w:after="120"/>
              <w:jc w:val="both"/>
              <w:rPr>
                <w:rFonts w:ascii="Times New Roman" w:hAnsi="Times New Roman"/>
                <w:noProof/>
                <w:sz w:val="24"/>
                <w:szCs w:val="24"/>
              </w:rPr>
            </w:pPr>
            <w:r>
              <w:rPr>
                <w:rFonts w:ascii="Times New Roman" w:hAnsi="Times New Roman"/>
                <w:noProof/>
                <w:sz w:val="24"/>
                <w:szCs w:val="24"/>
              </w:rPr>
              <w:t>Преглед на рамката за добри производствени практики и подкрепа за инспекциите на добрите производствени и дистрибуторски практики с цел подобряване на съответствието — срок 2022 г.</w:t>
            </w:r>
          </w:p>
          <w:p>
            <w:pPr>
              <w:pStyle w:val="ListParagraph"/>
              <w:numPr>
                <w:ilvl w:val="0"/>
                <w:numId w:val="15"/>
              </w:numPr>
              <w:spacing w:after="120"/>
              <w:jc w:val="both"/>
              <w:rPr>
                <w:rFonts w:ascii="Times New Roman" w:hAnsi="Times New Roman"/>
                <w:noProof/>
                <w:sz w:val="24"/>
                <w:szCs w:val="24"/>
              </w:rPr>
            </w:pPr>
            <w:r>
              <w:rPr>
                <w:rFonts w:ascii="Times New Roman" w:hAnsi="Times New Roman"/>
                <w:noProof/>
                <w:sz w:val="24"/>
                <w:szCs w:val="24"/>
              </w:rPr>
              <w:t>Работа с държавите членки за повишаване на капацитета им за участие в международни програми за инспекции и одит — в ход.</w:t>
            </w:r>
          </w:p>
          <w:p>
            <w:pPr>
              <w:pStyle w:val="ListParagraph"/>
              <w:numPr>
                <w:ilvl w:val="0"/>
                <w:numId w:val="15"/>
              </w:numPr>
              <w:spacing w:after="120"/>
              <w:jc w:val="both"/>
              <w:rPr>
                <w:rFonts w:ascii="Times New Roman" w:hAnsi="Times New Roman"/>
                <w:noProof/>
              </w:rPr>
            </w:pPr>
            <w:r>
              <w:rPr>
                <w:rFonts w:ascii="Times New Roman" w:hAnsi="Times New Roman"/>
                <w:noProof/>
                <w:sz w:val="24"/>
                <w:szCs w:val="24"/>
              </w:rPr>
              <w:t>Сътрудничество с международни партньори</w:t>
            </w:r>
            <w:r>
              <w:rPr>
                <w:rFonts w:ascii="Times New Roman" w:hAnsi="Times New Roman"/>
                <w:noProof/>
                <w:color w:val="1F497D"/>
                <w:sz w:val="24"/>
                <w:szCs w:val="24"/>
              </w:rPr>
              <w:t xml:space="preserve"> </w:t>
            </w:r>
            <w:r>
              <w:rPr>
                <w:rFonts w:ascii="Times New Roman" w:hAnsi="Times New Roman"/>
                <w:noProof/>
                <w:sz w:val="24"/>
                <w:szCs w:val="24"/>
              </w:rPr>
              <w:t xml:space="preserve"> за гарантиране на качеството и екологосъобразността на активните фармацевтични съставки, внасяни от държави извън ЕС — в ход.</w:t>
            </w:r>
          </w:p>
          <w:p>
            <w:pPr>
              <w:pStyle w:val="ListParagraph"/>
              <w:numPr>
                <w:ilvl w:val="0"/>
                <w:numId w:val="15"/>
              </w:numPr>
              <w:spacing w:after="120"/>
              <w:jc w:val="both"/>
              <w:rPr>
                <w:rFonts w:ascii="Times New Roman" w:hAnsi="Times New Roman"/>
                <w:noProof/>
                <w:sz w:val="24"/>
                <w:szCs w:val="24"/>
              </w:rPr>
            </w:pPr>
            <w:r>
              <w:rPr>
                <w:rFonts w:ascii="Times New Roman" w:hAnsi="Times New Roman"/>
                <w:noProof/>
                <w:sz w:val="24"/>
                <w:szCs w:val="24"/>
              </w:rPr>
              <w:t>Съвместна оценка с държавите членки и EMA на това доколко е осъществимо да се подобри информацията в съществуващите бази данни или свързани хранилища по отношение на производствените обекти, начините, по които те използват разрешени в ЕС продукти и инспекционния статус — срок 2022 г.</w:t>
            </w:r>
          </w:p>
          <w:p>
            <w:pPr>
              <w:pStyle w:val="ListParagraph"/>
              <w:numPr>
                <w:ilvl w:val="0"/>
                <w:numId w:val="15"/>
              </w:numPr>
              <w:spacing w:after="120"/>
              <w:jc w:val="both"/>
              <w:rPr>
                <w:rFonts w:ascii="Times New Roman" w:hAnsi="Times New Roman"/>
                <w:b/>
                <w:i/>
                <w:noProof/>
                <w:sz w:val="24"/>
                <w:szCs w:val="24"/>
                <w:u w:val="single"/>
              </w:rPr>
            </w:pPr>
            <w:r>
              <w:rPr>
                <w:rFonts w:ascii="Times New Roman" w:hAnsi="Times New Roman"/>
                <w:noProof/>
                <w:sz w:val="24"/>
                <w:szCs w:val="24"/>
              </w:rPr>
              <w:t>Продължаване на изпълнението на действията в рамките на стратегическия подход към фармацевтичните продукти в околната среда, включително безопасното за околната среда унищожаване на лекарства и намаляването на размера на опаковките — в ход.</w:t>
            </w:r>
          </w:p>
          <w:p>
            <w:pPr>
              <w:pStyle w:val="ListParagraph"/>
              <w:numPr>
                <w:ilvl w:val="0"/>
                <w:numId w:val="15"/>
              </w:numPr>
              <w:spacing w:after="120"/>
              <w:jc w:val="both"/>
              <w:rPr>
                <w:rFonts w:ascii="Times New Roman" w:hAnsi="Times New Roman"/>
                <w:b/>
                <w:i/>
                <w:noProof/>
                <w:sz w:val="24"/>
                <w:szCs w:val="24"/>
                <w:u w:val="single"/>
              </w:rPr>
            </w:pPr>
            <w:r>
              <w:rPr>
                <w:rFonts w:ascii="Times New Roman" w:hAnsi="Times New Roman"/>
                <w:noProof/>
                <w:sz w:val="24"/>
                <w:szCs w:val="24"/>
              </w:rPr>
              <w:t xml:space="preserve">Диалог с държавите членки и заинтересованите страни за разработване на най-добри практики за декарбонизация на веригите за създаване на стойност — срок 2021 г. </w:t>
            </w:r>
          </w:p>
        </w:tc>
      </w:tr>
    </w:tbl>
    <w:p>
      <w:pPr>
        <w:pStyle w:val="Heading2"/>
        <w:numPr>
          <w:ilvl w:val="1"/>
          <w:numId w:val="3"/>
        </w:numPr>
        <w:spacing w:before="240" w:line="240" w:lineRule="auto"/>
        <w:ind w:left="567" w:hanging="567"/>
        <w:rPr>
          <w:rFonts w:ascii="Times New Roman" w:hAnsi="Times New Roman" w:cs="Times New Roman"/>
          <w:i/>
          <w:noProof/>
          <w:color w:val="auto"/>
          <w:sz w:val="24"/>
          <w:szCs w:val="24"/>
        </w:rPr>
      </w:pPr>
      <w:r>
        <w:rPr>
          <w:rFonts w:ascii="Times New Roman" w:hAnsi="Times New Roman"/>
          <w:i/>
          <w:noProof/>
          <w:color w:val="auto"/>
          <w:sz w:val="24"/>
          <w:szCs w:val="24"/>
        </w:rPr>
        <w:t xml:space="preserve">Укрепване на европейските механизми за реагиране при здравни кризи </w:t>
      </w:r>
    </w:p>
    <w:p>
      <w:pPr>
        <w:spacing w:line="240" w:lineRule="auto"/>
        <w:jc w:val="both"/>
        <w:rPr>
          <w:rFonts w:ascii="Times New Roman" w:eastAsia="Calibri" w:hAnsi="Times New Roman"/>
          <w:noProof/>
          <w:sz w:val="24"/>
          <w:szCs w:val="24"/>
        </w:rPr>
      </w:pPr>
      <w:r>
        <w:rPr>
          <w:rFonts w:ascii="Times New Roman" w:hAnsi="Times New Roman"/>
          <w:noProof/>
          <w:sz w:val="24"/>
          <w:szCs w:val="24"/>
        </w:rPr>
        <w:t>Централно място в действията на Съюза в отговор на пандемията от COVID-19 зае ефективното сътрудничество между публичния и частния сектор. Това, че беше възможно да се стигне до сключване на множество предварителни споразумения за закупуване на ваксини, е доказателство за наличието на разнообразна екосистема от малки и средни фармацевтични предприятия и утвърдени мултинационални компании, условията за което са осигурени от стабилна регулаторна и финансова среда. Естеството и бързината на реакцията на кризата с COVID-19 показват необходимостта от по-структуриран подход към изграждането на готовност, както и слабостите в способността на отрасъла да реагира бързо и да бъде готов за извънредни здравни събития с потенциални последици за европейската стратегическа автономност.</w:t>
      </w:r>
    </w:p>
    <w:p>
      <w:pPr>
        <w:spacing w:line="240" w:lineRule="auto"/>
        <w:jc w:val="both"/>
        <w:rPr>
          <w:rFonts w:ascii="Times New Roman" w:eastAsia="Calibri" w:hAnsi="Times New Roman"/>
          <w:noProof/>
          <w:sz w:val="24"/>
          <w:szCs w:val="24"/>
        </w:rPr>
      </w:pPr>
      <w:r>
        <w:rPr>
          <w:rFonts w:ascii="Times New Roman" w:hAnsi="Times New Roman"/>
          <w:noProof/>
          <w:sz w:val="24"/>
          <w:szCs w:val="24"/>
        </w:rPr>
        <w:t xml:space="preserve">Пакетът за </w:t>
      </w:r>
      <w:r>
        <w:rPr>
          <w:rFonts w:ascii="Times New Roman" w:hAnsi="Times New Roman"/>
          <w:b/>
          <w:bCs/>
          <w:noProof/>
          <w:sz w:val="24"/>
          <w:szCs w:val="24"/>
        </w:rPr>
        <w:t>Европейски здравен съюз</w:t>
      </w:r>
      <w:r>
        <w:rPr>
          <w:rFonts w:ascii="Times New Roman" w:hAnsi="Times New Roman"/>
          <w:noProof/>
          <w:sz w:val="24"/>
          <w:szCs w:val="24"/>
        </w:rPr>
        <w:t xml:space="preserve"> е първа стъпка към разработването на структурни и дългосрочни решения за подобряване на подготвеността и устойчивостта на ЕС при трансгранични заплахи за здравето. Той възлага на ЕМА да служи занапред и като основен център за високи научни постижения. Пакетът позволява на EMA да ускорява научните консултации и процедурите за оценка, да оценява капацитета за доставки и да следи, определя количествено и облекчава недостига на основни лекарства по време на криза. Подсилват се правомощията на Европейския център за профилактика и контрол върху заболяванията, така че да предоставя практическа подкрепа на държавите членки и на Европейската комисия чрез епидемиологичен надзор и научни препоръки за подходящи здравни мерки</w:t>
      </w:r>
      <w:r>
        <w:rPr>
          <w:rFonts w:ascii="Times New Roman" w:hAnsi="Times New Roman"/>
          <w:noProof/>
          <w:sz w:val="24"/>
          <w:szCs w:val="20"/>
        </w:rPr>
        <w:t xml:space="preserve"> за справяне със здравни кризи. Най-сетне</w:t>
      </w:r>
      <w:r>
        <w:rPr>
          <w:rFonts w:ascii="Times New Roman" w:hAnsi="Times New Roman"/>
          <w:noProof/>
          <w:sz w:val="24"/>
          <w:szCs w:val="24"/>
        </w:rPr>
        <w:t xml:space="preserve">, пакетът включва регламент относно сериозните трансгранични заплахи с цел подобряване на готовността и реакцията. В него се обявява и създаването на Европейски орган за реакция при извънредни здравни ситуации (HERA). </w:t>
      </w:r>
    </w:p>
    <w:p>
      <w:pPr>
        <w:spacing w:line="240" w:lineRule="auto"/>
        <w:jc w:val="both"/>
        <w:rPr>
          <w:rFonts w:ascii="Times New Roman" w:eastAsia="Calibri" w:hAnsi="Times New Roman"/>
          <w:noProof/>
          <w:sz w:val="24"/>
          <w:szCs w:val="24"/>
        </w:rPr>
      </w:pPr>
      <w:r>
        <w:rPr>
          <w:rFonts w:ascii="Times New Roman" w:hAnsi="Times New Roman"/>
          <w:noProof/>
          <w:sz w:val="24"/>
          <w:szCs w:val="24"/>
        </w:rPr>
        <w:t>HERA запълва един сериозен дефицит в инфраструктурата на ЕС за готовност и реакция при кризи, като засилва координацията на операциите по цялата верига за създаване на стойност и разработването на стратегически инвестиции за научни изследвания, развойна дейност, производство, внедряване, разпространение и използване на медицински мерки за противодействие. Това ще изисква и обединяването на взаимосвързания капацитет на публични и частни субекти, които при необходимост заедно осигуряват възможност за бърза реакция.</w:t>
      </w:r>
    </w:p>
    <w:p>
      <w:pPr>
        <w:spacing w:line="240" w:lineRule="auto"/>
        <w:jc w:val="both"/>
        <w:rPr>
          <w:rFonts w:ascii="Times New Roman" w:eastAsia="Calibri" w:hAnsi="Times New Roman"/>
          <w:noProof/>
          <w:sz w:val="24"/>
          <w:szCs w:val="24"/>
        </w:rPr>
      </w:pPr>
      <w:r>
        <w:rPr>
          <w:rFonts w:ascii="Times New Roman" w:hAnsi="Times New Roman"/>
          <w:noProof/>
          <w:sz w:val="24"/>
          <w:szCs w:val="24"/>
        </w:rPr>
        <w:t>HERA ще прогнозира конкретните заплахи и чрез далновидното проследяване на перспективни научни разработки ще създава благоприятни условия за развитието на технологиите. Органът ще набелязва случаите на недостиг на инвестиции в ключови мерки за противодействие, включително разработването на иновативни антимикробни средства, и ще предлага решения. Той ще следи и окрупнява производствения капацитет, нуждите от суровини и наличностите, което ще донесе решение за проблемните точки по веригата на доставки. HERA ще подкрепя разработването на междусекторни технологични решения (напр. технологии за платформи за създаване на ваксини), които помагат за разработването на планове за подготовка и реагиране при бъдещи заплахи за общественото здраве, както и на специфични мерки за противодействие, включително чрез научни изследвания, клинични изпитвания и инфраструктура за данни.</w:t>
      </w:r>
    </w:p>
    <w:p>
      <w:pPr>
        <w:spacing w:line="240" w:lineRule="auto"/>
        <w:jc w:val="both"/>
        <w:rPr>
          <w:rFonts w:ascii="Times New Roman" w:eastAsia="Calibri" w:hAnsi="Times New Roman"/>
          <w:noProof/>
          <w:sz w:val="24"/>
          <w:szCs w:val="24"/>
        </w:rPr>
      </w:pPr>
      <w:r>
        <w:rPr>
          <w:rFonts w:ascii="Times New Roman" w:hAnsi="Times New Roman"/>
          <w:noProof/>
          <w:sz w:val="24"/>
          <w:szCs w:val="24"/>
        </w:rPr>
        <w:t>При извънредна санитарна ситуация в ЕС ще са необходими допълнителни ресурси, като например широкомащабни и навременни механизми за възлагане на обществени поръчки или наличието на запаси с цел адекватно реагиране в услуга на всички държави членки. Въз основа на опита от разработването на ваксини срещу COVID-19 и набавянето им чрез общи обществени поръчки Комисията ще направи оценка и ще започне подготовка с ударение върху нововъзникващите заплахи за човешкото здраве, като инфекциозните болести и антимикробната резистентност. Успоредно с това тя ще започне оценка на въздействието и консултация относно създаването на орган на ЕС, така че през 2021 г. да предложи специална структура с добре формулиран мандат и подходящи ресурси, която да заработи незабавно. Постигането на синергични взаимодействия и допълването със съществуващите органи на ЕС и съответните разходни програми ще бъде осигурено.</w:t>
      </w:r>
    </w:p>
    <w:p>
      <w:pPr>
        <w:spacing w:line="240" w:lineRule="auto"/>
        <w:jc w:val="both"/>
        <w:rPr>
          <w:rFonts w:ascii="Times New Roman" w:eastAsia="Calibri" w:hAnsi="Times New Roman"/>
          <w:noProof/>
          <w:sz w:val="24"/>
          <w:szCs w:val="24"/>
        </w:rPr>
      </w:pPr>
      <w:r>
        <w:rPr>
          <w:rFonts w:ascii="Times New Roman" w:hAnsi="Times New Roman"/>
          <w:noProof/>
          <w:sz w:val="24"/>
          <w:szCs w:val="24"/>
        </w:rPr>
        <w:t>Планирани са редица допълнителни мерки в подкрепа на устойчивостта. Програмата „ЕС в подкрепа на здравето“ и публично-частните партньорства ще допълнят националните политики за защита на населението от сериозни трансгранични санитарни заплахи и ще допринесат за повече готовност и непосредствена реакция при кризи. Част от прегледа на законодателството ще се занимае с начините за създаване на по-устойчива на кризи система. Успоредно с това картината ще допълнят НИРД, световните вериги за създаване на стойност и за доставки, международното сътрудничество и сближаване и подобрените и диверсифицирани производствени съоръжения. В контекста на своя план за действие в областта на интелектуалната собственост Комисията ще анализира инструментите за по-добро обвързване на интелектуалната собственост с технологиите от решаващо значение по време на кризи.</w:t>
      </w:r>
    </w:p>
    <w:tbl>
      <w:tblPr>
        <w:tblStyle w:val="TableGrid"/>
        <w:tblW w:w="0" w:type="auto"/>
        <w:tblLook w:val="04A0" w:firstRow="1" w:lastRow="0" w:firstColumn="1" w:lastColumn="0" w:noHBand="0" w:noVBand="1"/>
      </w:tblPr>
      <w:tblGrid>
        <w:gridCol w:w="9166"/>
      </w:tblGrid>
      <w:tr>
        <w:tc>
          <w:tcPr>
            <w:tcW w:w="9166" w:type="dxa"/>
          </w:tcPr>
          <w:p>
            <w:pPr>
              <w:keepNext/>
              <w:spacing w:after="120" w:line="276" w:lineRule="auto"/>
              <w:rPr>
                <w:rFonts w:ascii="Times New Roman" w:hAnsi="Times New Roman"/>
                <w:b/>
                <w:i/>
                <w:noProof/>
                <w:sz w:val="24"/>
                <w:szCs w:val="24"/>
                <w:u w:val="single"/>
              </w:rPr>
            </w:pPr>
            <w:r>
              <w:rPr>
                <w:rFonts w:ascii="Times New Roman" w:hAnsi="Times New Roman"/>
                <w:b/>
                <w:i/>
                <w:noProof/>
                <w:sz w:val="24"/>
                <w:szCs w:val="24"/>
                <w:u w:val="single"/>
              </w:rPr>
              <w:t>Водеща инициатива за европейските механизми за реагиране при здравни кризи</w:t>
            </w:r>
          </w:p>
          <w:p>
            <w:pPr>
              <w:numPr>
                <w:ilvl w:val="0"/>
                <w:numId w:val="15"/>
              </w:numPr>
              <w:spacing w:after="120" w:line="276" w:lineRule="auto"/>
              <w:jc w:val="both"/>
              <w:rPr>
                <w:rFonts w:ascii="Times New Roman" w:hAnsi="Times New Roman"/>
                <w:noProof/>
                <w:sz w:val="24"/>
                <w:szCs w:val="24"/>
              </w:rPr>
            </w:pPr>
            <w:r>
              <w:rPr>
                <w:rFonts w:ascii="Times New Roman" w:hAnsi="Times New Roman"/>
                <w:noProof/>
                <w:sz w:val="24"/>
                <w:szCs w:val="24"/>
              </w:rPr>
              <w:t>Предложение за орган на ЕС за спешно реагиране в областта на здравеопазването — срок 2021 г.</w:t>
            </w:r>
          </w:p>
        </w:tc>
      </w:tr>
    </w:tbl>
    <w:p>
      <w:pPr>
        <w:pStyle w:val="Heading1"/>
        <w:numPr>
          <w:ilvl w:val="0"/>
          <w:numId w:val="3"/>
        </w:numPr>
        <w:spacing w:line="240" w:lineRule="auto"/>
        <w:ind w:left="567" w:hanging="567"/>
        <w:rPr>
          <w:rFonts w:ascii="Times New Roman" w:hAnsi="Times New Roman" w:cs="Times New Roman"/>
          <w:b/>
          <w:noProof/>
          <w:color w:val="auto"/>
          <w:sz w:val="24"/>
          <w:szCs w:val="24"/>
        </w:rPr>
      </w:pPr>
      <w:r>
        <w:rPr>
          <w:rFonts w:ascii="Times New Roman" w:hAnsi="Times New Roman"/>
          <w:b/>
          <w:noProof/>
          <w:color w:val="auto"/>
          <w:sz w:val="24"/>
          <w:szCs w:val="24"/>
        </w:rPr>
        <w:t>Ясен глас на ЕС в световен мащаб</w:t>
      </w:r>
    </w:p>
    <w:p>
      <w:pPr>
        <w:spacing w:line="240" w:lineRule="auto"/>
        <w:jc w:val="both"/>
        <w:rPr>
          <w:rFonts w:ascii="Times New Roman" w:hAnsi="Times New Roman"/>
          <w:noProof/>
          <w:sz w:val="24"/>
          <w:szCs w:val="24"/>
        </w:rPr>
      </w:pPr>
      <w:r>
        <w:rPr>
          <w:rFonts w:ascii="Times New Roman" w:hAnsi="Times New Roman"/>
          <w:noProof/>
          <w:sz w:val="24"/>
          <w:szCs w:val="24"/>
        </w:rPr>
        <w:t>Регулаторната система на ЕС относно фармацевтичните продукти е всепризната като добре развита, надеждна и зряла</w:t>
      </w:r>
      <w:r>
        <w:rPr>
          <w:rFonts w:ascii="Times New Roman" w:hAnsi="Times New Roman"/>
          <w:noProof/>
          <w:color w:val="666666"/>
          <w:sz w:val="24"/>
          <w:szCs w:val="24"/>
        </w:rPr>
        <w:t xml:space="preserve">. </w:t>
      </w:r>
      <w:r>
        <w:rPr>
          <w:rFonts w:ascii="Times New Roman" w:hAnsi="Times New Roman"/>
          <w:noProof/>
          <w:sz w:val="24"/>
          <w:szCs w:val="24"/>
        </w:rPr>
        <w:t xml:space="preserve">Освен това фармацевтичният сектор е от стратегическо значение за икономиката на ЕС по отношение на световната търговия. </w:t>
      </w:r>
    </w:p>
    <w:p>
      <w:pPr>
        <w:spacing w:line="240" w:lineRule="auto"/>
        <w:jc w:val="both"/>
        <w:rPr>
          <w:rFonts w:ascii="Times New Roman" w:hAnsi="Times New Roman"/>
          <w:noProof/>
          <w:sz w:val="24"/>
          <w:szCs w:val="24"/>
        </w:rPr>
      </w:pPr>
      <w:r>
        <w:rPr>
          <w:rFonts w:ascii="Times New Roman" w:hAnsi="Times New Roman"/>
          <w:noProof/>
          <w:sz w:val="24"/>
          <w:szCs w:val="24"/>
        </w:rPr>
        <w:t>В дейността си на световно равнище Комисията ще работи в тясно сътрудничество с</w:t>
      </w:r>
      <w:r>
        <w:rPr>
          <w:rFonts w:ascii="Times New Roman" w:hAnsi="Times New Roman"/>
          <w:b/>
          <w:noProof/>
          <w:sz w:val="24"/>
          <w:szCs w:val="24"/>
        </w:rPr>
        <w:t xml:space="preserve"> </w:t>
      </w:r>
      <w:r>
        <w:rPr>
          <w:rFonts w:ascii="Times New Roman" w:hAnsi="Times New Roman"/>
          <w:noProof/>
          <w:sz w:val="24"/>
          <w:szCs w:val="24"/>
        </w:rPr>
        <w:t xml:space="preserve">ЕМА и националните компетентни органи в рамките на регулаторната мрежа. </w:t>
      </w:r>
    </w:p>
    <w:p>
      <w:pPr>
        <w:spacing w:line="240" w:lineRule="auto"/>
        <w:jc w:val="both"/>
        <w:rPr>
          <w:rFonts w:ascii="Times New Roman" w:hAnsi="Times New Roman"/>
          <w:noProof/>
          <w:sz w:val="24"/>
          <w:szCs w:val="24"/>
        </w:rPr>
      </w:pPr>
      <w:r>
        <w:rPr>
          <w:rFonts w:ascii="Times New Roman" w:hAnsi="Times New Roman"/>
          <w:noProof/>
          <w:sz w:val="24"/>
          <w:szCs w:val="24"/>
        </w:rPr>
        <w:t>Комисията ще продължи своя открит диалог с други региони и държави, включително с държавите с ниски и средни доходи. Тя ще проучи как процедурата за издаване на становища относно лекарства, предназначени изключително за пазари извън ЕС, да стане по-привлекателна и да послужи за сътрудничество с други държави и за улесняване на достъпа до лекарства извън ЕС. Освен това ЕС ще продължи работата си в рамките на многостранни форуми за засилено регулаторно сътрудничество и, когато е възможно — за сближаване, по-специално в рамките на Международната програма за фармацевтичните регулатори</w:t>
      </w:r>
      <w:r>
        <w:rPr>
          <w:rStyle w:val="FootnoteReference"/>
          <w:rFonts w:ascii="Times New Roman" w:hAnsi="Times New Roman"/>
          <w:noProof/>
          <w:sz w:val="24"/>
          <w:szCs w:val="24"/>
        </w:rPr>
        <w:footnoteReference w:id="51"/>
      </w:r>
      <w:r>
        <w:rPr>
          <w:rFonts w:ascii="Times New Roman" w:hAnsi="Times New Roman"/>
          <w:noProof/>
          <w:sz w:val="24"/>
          <w:szCs w:val="24"/>
        </w:rPr>
        <w:t xml:space="preserve"> и Международното обединение на регулаторните органи по лекарствата</w:t>
      </w:r>
      <w:r>
        <w:rPr>
          <w:rStyle w:val="FootnoteReference"/>
          <w:rFonts w:ascii="Times New Roman" w:hAnsi="Times New Roman"/>
          <w:noProof/>
          <w:sz w:val="24"/>
          <w:szCs w:val="24"/>
        </w:rPr>
        <w:footnoteReference w:id="52"/>
      </w:r>
      <w:r>
        <w:rPr>
          <w:rFonts w:ascii="Times New Roman" w:hAnsi="Times New Roman"/>
          <w:noProof/>
          <w:sz w:val="24"/>
          <w:szCs w:val="24"/>
        </w:rPr>
        <w:t xml:space="preserve">.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ЕС има интерес да работи с международните си партньори в рамките на международни форуми и организации за сътрудничество за постигане на по-високи стандарти за качество, ефикасност и безопасност. </w:t>
      </w:r>
      <w:r>
        <w:rPr>
          <w:rFonts w:ascii="Times New Roman" w:hAnsi="Times New Roman"/>
          <w:b/>
          <w:bCs/>
          <w:noProof/>
          <w:sz w:val="24"/>
          <w:szCs w:val="24"/>
        </w:rPr>
        <w:t>Общите международни стандарти</w:t>
      </w:r>
      <w:r>
        <w:rPr>
          <w:rFonts w:ascii="Times New Roman" w:hAnsi="Times New Roman"/>
          <w:noProof/>
          <w:sz w:val="24"/>
          <w:szCs w:val="24"/>
        </w:rPr>
        <w:t xml:space="preserve"> са ключов инструмент. Те улесняват разработването на фармацевтични продукти в световен мащаб. ЕС ще продължи да играе водеща роля в международните организации, които насърчават тази стандартизация, като например ICH, чиито насоки все повече се приемат за световни стандарти. Комисията ще работи активно с други партньори от ICH за определяне на дневния ред при изготвянето и актуализирането на насоки за по-нататъшна хармонизация.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Световните пазари са движещ фактор за растеж, включително при МСП. Това включва осигуряване на </w:t>
      </w:r>
      <w:r>
        <w:rPr>
          <w:rFonts w:ascii="Times New Roman" w:hAnsi="Times New Roman"/>
          <w:b/>
          <w:bCs/>
          <w:noProof/>
          <w:sz w:val="24"/>
          <w:szCs w:val="24"/>
        </w:rPr>
        <w:t>еднакви условия на конкуренция</w:t>
      </w:r>
      <w:r>
        <w:rPr>
          <w:rFonts w:ascii="Times New Roman" w:hAnsi="Times New Roman"/>
          <w:noProof/>
          <w:sz w:val="24"/>
          <w:szCs w:val="24"/>
        </w:rPr>
        <w:t xml:space="preserve"> и регулаторна среда, благоприятстваща иновациите и конкурентоспособността. В двустранните отношения с други държави Комисията ще защитава интересите на ЕС, включително реципрочния достъп до пазарите на обществени поръчки в трети държави, но също така ще определя общи области от стратегически интерес. Африка по-специално е важен партньор, с когото следва да се проучи сътрудничеството в областта на иновациите, производството и трансфера на технологии. Ще бъде поставено ударение върху международното сътрудничество, укрепването на глобалното управление и съюзите с партньорските държави, включително чрез инициативи или действия на СТО за улесняване на търговията със здравни продукти.</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ЕС ще </w:t>
      </w:r>
      <w:r>
        <w:rPr>
          <w:rFonts w:ascii="Times New Roman" w:hAnsi="Times New Roman"/>
          <w:b/>
          <w:noProof/>
          <w:sz w:val="24"/>
          <w:szCs w:val="24"/>
        </w:rPr>
        <w:t>подкрепя работата на Световната здравна организация</w:t>
      </w:r>
      <w:r>
        <w:rPr>
          <w:rFonts w:ascii="Times New Roman" w:hAnsi="Times New Roman"/>
          <w:noProof/>
          <w:sz w:val="24"/>
          <w:szCs w:val="24"/>
        </w:rPr>
        <w:t xml:space="preserve"> (СЗО) за укрепване на регулаторния капацитет на регулаторните органи чрез насърчаване придържането към механизми за взаимно разчитане на процедури и създаване на рамка за определяне на регулаторни органи за органи, включени в списъка на СЗО. </w:t>
      </w:r>
    </w:p>
    <w:tbl>
      <w:tblPr>
        <w:tblStyle w:val="TableGrid"/>
        <w:tblW w:w="0" w:type="auto"/>
        <w:tblLook w:val="04A0" w:firstRow="1" w:lastRow="0" w:firstColumn="1" w:lastColumn="0" w:noHBand="0" w:noVBand="1"/>
      </w:tblPr>
      <w:tblGrid>
        <w:gridCol w:w="9166"/>
      </w:tblGrid>
      <w:tr>
        <w:tc>
          <w:tcPr>
            <w:tcW w:w="9166" w:type="dxa"/>
          </w:tcPr>
          <w:p>
            <w:pPr>
              <w:keepNext/>
              <w:spacing w:after="120"/>
              <w:rPr>
                <w:rFonts w:ascii="Times New Roman" w:hAnsi="Times New Roman"/>
                <w:b/>
                <w:i/>
                <w:noProof/>
                <w:sz w:val="24"/>
                <w:szCs w:val="24"/>
                <w:u w:val="single"/>
              </w:rPr>
            </w:pPr>
            <w:r>
              <w:rPr>
                <w:rFonts w:ascii="Times New Roman" w:hAnsi="Times New Roman"/>
                <w:b/>
                <w:i/>
                <w:noProof/>
                <w:sz w:val="24"/>
                <w:szCs w:val="24"/>
                <w:u w:val="single"/>
              </w:rPr>
              <w:t>Водеща инициатива за международно сътрудничество</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Работа на световно равнище с ЕМА и мрежата от национални регулатори, в рамките на международни форуми и чрез двустранно сътрудничество, с цел насърчаване на регулаторното сближаване, за да се гарантира достъп до безопасни, ефективни, висококачествени и ценово достъпни лекарствени продукти в световен мащаб.</w:t>
            </w:r>
          </w:p>
          <w:p>
            <w:pPr>
              <w:keepNext/>
              <w:spacing w:after="120"/>
              <w:rPr>
                <w:rFonts w:ascii="Times New Roman" w:hAnsi="Times New Roman"/>
                <w:b/>
                <w:i/>
                <w:noProof/>
                <w:sz w:val="24"/>
                <w:szCs w:val="24"/>
                <w:u w:val="single"/>
              </w:rPr>
            </w:pPr>
            <w:r>
              <w:rPr>
                <w:rFonts w:ascii="Times New Roman" w:hAnsi="Times New Roman"/>
                <w:b/>
                <w:i/>
                <w:noProof/>
                <w:sz w:val="24"/>
                <w:szCs w:val="24"/>
                <w:u w:val="single"/>
              </w:rPr>
              <w:t>Други действия</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Постигане на напредък в областта на международната хармонизация чрез проактивно предлагане на теми в съответствие с най-новите научни постижения; насърчаване на възприемането и прилагането на международни стандарти и осигуряване на еднакви условия на конкуренция за субектите на международния пазар чрез укрепване на двустранните и многостранните отношения на ЕС.</w:t>
            </w:r>
          </w:p>
        </w:tc>
      </w:tr>
    </w:tbl>
    <w:p>
      <w:pPr>
        <w:pStyle w:val="Heading1"/>
        <w:numPr>
          <w:ilvl w:val="0"/>
          <w:numId w:val="3"/>
        </w:numPr>
        <w:spacing w:line="240" w:lineRule="auto"/>
        <w:ind w:left="567" w:hanging="567"/>
        <w:rPr>
          <w:rFonts w:ascii="Times New Roman" w:hAnsi="Times New Roman" w:cs="Times New Roman"/>
          <w:b/>
          <w:noProof/>
          <w:color w:val="auto"/>
          <w:sz w:val="24"/>
          <w:szCs w:val="24"/>
        </w:rPr>
      </w:pPr>
      <w:r>
        <w:rPr>
          <w:rFonts w:ascii="Times New Roman" w:hAnsi="Times New Roman"/>
          <w:b/>
          <w:noProof/>
          <w:color w:val="auto"/>
          <w:sz w:val="24"/>
          <w:szCs w:val="24"/>
        </w:rPr>
        <w:t>Сътрудничество за успех: съвместен и многопластов подход за изпълнение на стратегията</w:t>
      </w:r>
    </w:p>
    <w:p>
      <w:pPr>
        <w:spacing w:line="240" w:lineRule="auto"/>
        <w:jc w:val="both"/>
        <w:rPr>
          <w:rFonts w:ascii="Times New Roman" w:hAnsi="Times New Roman"/>
          <w:noProof/>
          <w:sz w:val="24"/>
          <w:szCs w:val="24"/>
        </w:rPr>
      </w:pPr>
      <w:r>
        <w:rPr>
          <w:rFonts w:ascii="Times New Roman" w:hAnsi="Times New Roman"/>
          <w:noProof/>
          <w:sz w:val="24"/>
          <w:szCs w:val="24"/>
        </w:rPr>
        <w:t>Фармацевтичната стратегия ще гарантира, че ще продължим да предоставяме висококачествени и безопасни лекарства и че пациентите в ЕС ще могат да се възползват от иновациите. Тя ще гарантира, че ЕС и занапред ще бъде привлекателно място за инвестиции, научни изследвания и разработване на лекарства. Тя ще подобри устойчивостта и готовността на системата на ЕС за действие при кризи. Стратегията ще гарантира също така гласът на ЕС да се чува по-силно на световната сцена.</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За да гарантираме успеха на стратегията, се нуждаем от </w:t>
      </w:r>
      <w:r>
        <w:rPr>
          <w:rFonts w:ascii="Times New Roman" w:hAnsi="Times New Roman"/>
          <w:b/>
          <w:bCs/>
          <w:noProof/>
          <w:sz w:val="24"/>
          <w:szCs w:val="24"/>
        </w:rPr>
        <w:t>всеобхватен и интегриран подход</w:t>
      </w:r>
      <w:r>
        <w:rPr>
          <w:rFonts w:ascii="Times New Roman" w:hAnsi="Times New Roman"/>
          <w:noProof/>
          <w:sz w:val="24"/>
          <w:szCs w:val="24"/>
        </w:rPr>
        <w:t xml:space="preserve">, който да отговаря на предизвикателствата и да противодейства на сегментирането на познанията, като си сътрудничим интердисциплинарно и независимо от регулаторните правомощия през целия жизнен цикъл на лекарствата и медицинските технологии, за да намерим правилните подходи в политиките.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Успешният преход ще зависи от </w:t>
      </w:r>
      <w:r>
        <w:rPr>
          <w:rFonts w:ascii="Times New Roman" w:hAnsi="Times New Roman"/>
          <w:b/>
          <w:bCs/>
          <w:noProof/>
          <w:sz w:val="24"/>
          <w:szCs w:val="24"/>
        </w:rPr>
        <w:t>диалога в духа на сътрудничество</w:t>
      </w:r>
      <w:r>
        <w:rPr>
          <w:rFonts w:ascii="Times New Roman" w:hAnsi="Times New Roman"/>
          <w:noProof/>
          <w:sz w:val="24"/>
          <w:szCs w:val="24"/>
        </w:rPr>
        <w:t xml:space="preserve">, пример за което са различните консултативни дейности при изготвянето на настоящата стратегия. Комисията е готова да продължи този диалог. Съответно тя възнамерява да се свърже с всички отговорни национални органи и заинтересовани страни, за да могат те не само да дадат своя принос, но и да станат партньори в този процес. Ще се използва </w:t>
      </w:r>
      <w:r>
        <w:rPr>
          <w:rFonts w:ascii="Times New Roman" w:hAnsi="Times New Roman"/>
          <w:b/>
          <w:bCs/>
          <w:noProof/>
          <w:sz w:val="24"/>
          <w:szCs w:val="24"/>
        </w:rPr>
        <w:t>приобщаващ диалог с гражданското общество въз основа на съществуващите структури</w:t>
      </w:r>
      <w:r>
        <w:rPr>
          <w:rFonts w:ascii="Times New Roman" w:hAnsi="Times New Roman"/>
          <w:noProof/>
          <w:sz w:val="24"/>
          <w:szCs w:val="24"/>
        </w:rPr>
        <w:t>, за да се улесни взаимодействието със заинтересованите страни: публичните органи, промишлеността, здравните специалисти, организациите на пациенти, потребителите и гражданското общество, както и научноизследователската общност.</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Комисията ще докладва редовно за постигнатия напредък и ще държи </w:t>
      </w:r>
      <w:r>
        <w:rPr>
          <w:rFonts w:ascii="Times New Roman" w:hAnsi="Times New Roman"/>
          <w:b/>
          <w:bCs/>
          <w:noProof/>
          <w:sz w:val="24"/>
          <w:szCs w:val="24"/>
        </w:rPr>
        <w:t>Европейския парламент и Съвета напълно информирани и ангажирани</w:t>
      </w:r>
      <w:r>
        <w:rPr>
          <w:rFonts w:ascii="Times New Roman" w:hAnsi="Times New Roman"/>
          <w:noProof/>
          <w:sz w:val="24"/>
          <w:szCs w:val="24"/>
        </w:rPr>
        <w:t xml:space="preserve"> във всички необходими действия, отчитайки тяхната роля в оформянето на политиките и изготвянето на законодателните актове.</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Комисията ще преследва целите на стратегията и ще изпълнява някои действия </w:t>
      </w:r>
      <w:r>
        <w:rPr>
          <w:rFonts w:ascii="Times New Roman" w:hAnsi="Times New Roman"/>
          <w:b/>
          <w:bCs/>
          <w:noProof/>
          <w:sz w:val="24"/>
          <w:szCs w:val="24"/>
        </w:rPr>
        <w:t>в партньорство с държавите членки</w:t>
      </w:r>
      <w:r>
        <w:rPr>
          <w:rFonts w:ascii="Times New Roman" w:hAnsi="Times New Roman"/>
          <w:noProof/>
          <w:sz w:val="24"/>
          <w:szCs w:val="24"/>
        </w:rPr>
        <w:t xml:space="preserve"> чрез засилен диалог, тясно взаимодействие и проактивен обмен на информация между държавите членки и Комисията. Основният форум за обсъждане с държавите членки ще бъде Фармацевтичният комитет</w:t>
      </w:r>
      <w:r>
        <w:rPr>
          <w:rStyle w:val="FootnoteReference"/>
          <w:rFonts w:ascii="Times New Roman" w:hAnsi="Times New Roman"/>
          <w:noProof/>
          <w:sz w:val="24"/>
          <w:szCs w:val="24"/>
        </w:rPr>
        <w:footnoteReference w:id="53"/>
      </w:r>
      <w:r>
        <w:rPr>
          <w:rFonts w:ascii="Times New Roman" w:hAnsi="Times New Roman"/>
          <w:noProof/>
          <w:sz w:val="24"/>
          <w:szCs w:val="24"/>
        </w:rPr>
        <w:t>, а някои други съществуващи механизми за сътрудничество в ЕС ще бъдат укрепени и рационализирани за тази цел.</w:t>
      </w:r>
    </w:p>
    <w:p>
      <w:pPr>
        <w:spacing w:line="240" w:lineRule="auto"/>
        <w:jc w:val="both"/>
        <w:rPr>
          <w:rFonts w:ascii="Times New Roman" w:hAnsi="Times New Roman"/>
          <w:noProof/>
          <w:sz w:val="24"/>
          <w:szCs w:val="24"/>
        </w:rPr>
      </w:pPr>
      <w:r>
        <w:rPr>
          <w:rFonts w:ascii="Times New Roman" w:hAnsi="Times New Roman"/>
          <w:noProof/>
          <w:sz w:val="24"/>
          <w:szCs w:val="24"/>
        </w:rPr>
        <w:t>Настоящата стратегия очертава една многогодишна визия. Това е началото на процес, който ще гарантира, че фармацевтичната политика на ЕС ще продължи да обслужва устойчиво общественото здраве в икономически, екологичен и социален план в условия на непрекъснати промени, които водят до преобразяване както на науката, така и на пазарите. Изпълнението му изисква дългосрочно ангажиране и мобилизиране на ресурси. Успехът ѝ ще зависи от ангажираността и приноса на всички участници във фармацевтичната верига за създаване на стойност за изграждане на обща съпричастност.</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rivia Sans Book">
    <w:altName w:val="Trivia Sans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150829"/>
      <w:docPartObj>
        <w:docPartGallery w:val="Page Numbers (Bottom of Page)"/>
        <w:docPartUnique/>
      </w:docPartObj>
    </w:sdtPr>
    <w:sdtEndPr>
      <w:rPr>
        <w:rFonts w:ascii="Times New Roman" w:hAnsi="Times New Roman"/>
        <w:noProof/>
        <w:sz w:val="24"/>
        <w:szCs w:val="24"/>
      </w:rPr>
    </w:sdtEndPr>
    <w:sdtContent>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1</w:t>
        </w:r>
        <w:r>
          <w:rPr>
            <w:rFonts w:ascii="Times New Roman" w:hAnsi="Times New Roman"/>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ind w:left="284" w:hanging="284"/>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Евростат: статистика за смъртността и очакваната продължителност на живота.</w:t>
      </w:r>
    </w:p>
  </w:footnote>
  <w:footnote w:id="3">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Рецептор 2 за човешки епидермален растежен фактор.</w:t>
      </w:r>
    </w:p>
  </w:footnote>
  <w:footnote w:id="4">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Химерни антигенни рецепторни Т-клетки.</w:t>
      </w:r>
    </w:p>
  </w:footnote>
  <w:footnote w:id="5">
    <w:p>
      <w:pPr>
        <w:pStyle w:val="FootnoteText"/>
        <w:ind w:left="284" w:hanging="284"/>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Пакет за Европейския здравен съюз: COM(2020)</w:t>
      </w:r>
      <w:r>
        <w:rPr>
          <w:rFonts w:ascii="Times New Roman" w:hAnsi="Times New Roman"/>
        </w:rPr>
        <w:t xml:space="preserve"> 724, COM(2020) 725, COM(2020) 726, COM(2020) 727.</w:t>
      </w:r>
      <w:r>
        <w:rPr>
          <w:rStyle w:val="FootnoteReference"/>
          <w:rFonts w:ascii="Times New Roman" w:hAnsi="Times New Roman"/>
          <w:vertAlign w:val="baseline"/>
        </w:rPr>
        <w:t xml:space="preserve"> </w:t>
      </w:r>
    </w:p>
  </w:footnote>
  <w:footnote w:id="6">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Евростат, Международна търговия със стоки по вид стока.</w:t>
      </w:r>
    </w:p>
  </w:footnote>
  <w:footnote w:id="7">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IQVIA Institute for Human Data Science (2019), The Global use of medicine in 2019 and outlook to 2023 („Световна употреба на лекарства през 2019 г. и перспективи до 2023 г.“).</w:t>
      </w:r>
    </w:p>
  </w:footnote>
  <w:footnote w:id="8">
    <w:p>
      <w:pPr>
        <w:pStyle w:val="FootnoteText"/>
        <w:ind w:left="284" w:hanging="284"/>
        <w:jc w:val="both"/>
      </w:pPr>
      <w:r>
        <w:rPr>
          <w:rStyle w:val="FootnoteReference"/>
        </w:rPr>
        <w:footnoteRef/>
      </w:r>
      <w:r>
        <w:t xml:space="preserve"> </w:t>
      </w:r>
      <w:r>
        <w:tab/>
      </w:r>
      <w:r>
        <w:rPr>
          <w:rStyle w:val="FootnoteReference"/>
          <w:rFonts w:ascii="Times New Roman" w:hAnsi="Times New Roman"/>
          <w:vertAlign w:val="baseline"/>
        </w:rPr>
        <w:t>Прилагането на стратегията ще бъде съвместимо с наличните ресурси в многогодишната финансова рамка за периода 2021—2027 г. и ще бъде приведено в съответствие със съответните програми и политики.</w:t>
      </w:r>
    </w:p>
  </w:footnote>
  <w:footnote w:id="9">
    <w:p>
      <w:pPr>
        <w:pStyle w:val="FootnoteText"/>
        <w:ind w:left="284" w:hanging="284"/>
        <w:jc w:val="both"/>
      </w:pPr>
      <w:r>
        <w:rPr>
          <w:rStyle w:val="FootnoteReference"/>
        </w:rPr>
        <w:footnoteRef/>
      </w:r>
      <w:r>
        <w:t xml:space="preserve"> </w:t>
      </w:r>
      <w:r>
        <w:tab/>
      </w:r>
      <w:r>
        <w:rPr>
          <w:rFonts w:ascii="Times New Roman" w:hAnsi="Times New Roman"/>
        </w:rPr>
        <w:t>COM(2019) 640.</w:t>
      </w:r>
    </w:p>
  </w:footnote>
  <w:footnote w:id="1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 w:history="1">
        <w:r>
          <w:rPr>
            <w:rStyle w:val="Hyperlink"/>
            <w:rFonts w:ascii="Times New Roman" w:hAnsi="Times New Roman"/>
          </w:rPr>
          <w:t>https://ec.europa.eu/social/main.jsp?catId=1226&amp;langId=bg</w:t>
        </w:r>
      </w:hyperlink>
      <w:r>
        <w:rPr>
          <w:rFonts w:ascii="Times New Roman" w:hAnsi="Times New Roman"/>
        </w:rPr>
        <w:t xml:space="preserve"> </w:t>
      </w:r>
    </w:p>
  </w:footnote>
  <w:footnote w:id="11">
    <w:p>
      <w:pPr>
        <w:pStyle w:val="FootnoteText"/>
        <w:ind w:left="284" w:hanging="284"/>
        <w:jc w:val="both"/>
        <w:rPr>
          <w:rStyle w:val="FootnoteReference"/>
          <w:rFonts w:ascii="Times New Roman" w:hAnsi="Times New Roman" w:cs="Times New Roman"/>
          <w:color w:val="auto"/>
          <w:sz w:val="22"/>
          <w:szCs w:val="22"/>
          <w:bdr w:val="none" w:sz="0" w:space="0" w:color="auto"/>
          <w:vertAlign w:val="baseline"/>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Вж. Стратегия на ЕС за равенство между половете (COM(2020) 152), план за действие за борба с расизма (COM(2020) 565 окончателен), стратегическа рамка на ЕС за равните възможности, приобщаването и участието на хората с ромски произход (COM (2020) 620)</w:t>
      </w:r>
      <w:r>
        <w:rPr>
          <w:rFonts w:ascii="Times New Roman" w:hAnsi="Times New Roman"/>
        </w:rPr>
        <w:t xml:space="preserve"> </w:t>
      </w:r>
      <w:r>
        <w:rPr>
          <w:rStyle w:val="FootnoteReference"/>
          <w:rFonts w:ascii="Times New Roman" w:hAnsi="Times New Roman"/>
          <w:vertAlign w:val="baseline"/>
        </w:rPr>
        <w:t xml:space="preserve">, стратегията за равенство на лицата ЛГБТИК+ </w:t>
      </w:r>
      <w:r>
        <w:rPr>
          <w:rFonts w:ascii="Times New Roman" w:hAnsi="Times New Roman"/>
        </w:rPr>
        <w:t xml:space="preserve">и предстоящите </w:t>
      </w:r>
      <w:r>
        <w:rPr>
          <w:rStyle w:val="FootnoteReference"/>
          <w:rFonts w:ascii="Times New Roman" w:hAnsi="Times New Roman"/>
          <w:vertAlign w:val="baseline"/>
        </w:rPr>
        <w:t>Стратегия за правата на хората с увреждания</w:t>
      </w:r>
      <w:r>
        <w:rPr>
          <w:rStyle w:val="FootnoteReference"/>
          <w:vertAlign w:val="baseline"/>
        </w:rPr>
        <w:t xml:space="preserve"> </w:t>
      </w:r>
      <w:r>
        <w:rPr>
          <w:rStyle w:val="FootnoteReference"/>
          <w:rFonts w:ascii="Times New Roman" w:hAnsi="Times New Roman"/>
          <w:vertAlign w:val="baseline"/>
        </w:rPr>
        <w:t>и План за действие за интеграция и приобщаване 2020—2027 г.</w:t>
      </w:r>
    </w:p>
  </w:footnote>
  <w:footnote w:id="1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Европейска комисия (2020 г.), Изграждане на цифровото бъдеще на Европа (ISBN 978-92-76-16363-3).</w:t>
      </w:r>
    </w:p>
  </w:footnote>
  <w:footnote w:id="13">
    <w:p>
      <w:pPr>
        <w:pStyle w:val="FootnoteText"/>
        <w:ind w:left="284" w:hanging="284"/>
        <w:jc w:val="both"/>
        <w:rPr>
          <w:rStyle w:val="FootnoteReference"/>
          <w:rFonts w:ascii="Times New Roman" w:hAnsi="Times New Roman" w:cs="Times New Roman"/>
          <w:color w:val="auto"/>
          <w:sz w:val="22"/>
          <w:szCs w:val="22"/>
          <w:bdr w:val="none" w:sz="0" w:space="0" w:color="auto"/>
          <w:vertAlign w:val="baseline"/>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color w:val="auto"/>
          <w:shd w:val="clear" w:color="auto" w:fill="FFFFFF"/>
        </w:rPr>
        <w:t>COM(2020) 66.</w:t>
      </w:r>
      <w:r>
        <w:rPr>
          <w:rFonts w:ascii="Times New Roman" w:hAnsi="Times New Roman"/>
          <w:color w:val="auto"/>
          <w:sz w:val="21"/>
          <w:szCs w:val="21"/>
          <w:shd w:val="clear" w:color="auto" w:fill="FFFFFF"/>
        </w:rPr>
        <w:t xml:space="preserve"> </w:t>
      </w:r>
    </w:p>
  </w:footnote>
  <w:footnote w:id="14">
    <w:p>
      <w:pPr>
        <w:pStyle w:val="FootnoteText"/>
        <w:ind w:left="284" w:hanging="284"/>
        <w:jc w:val="both"/>
        <w:rPr>
          <w:rStyle w:val="FootnoteReference"/>
          <w:rFonts w:ascii="Times New Roman" w:hAnsi="Times New Roman" w:cs="Times New Roman"/>
          <w:color w:val="auto"/>
          <w:sz w:val="22"/>
          <w:szCs w:val="22"/>
          <w:bdr w:val="none" w:sz="0" w:space="0" w:color="auto"/>
        </w:rPr>
      </w:pPr>
      <w:r>
        <w:rPr>
          <w:rStyle w:val="FootnoteReference"/>
          <w:rFonts w:ascii="Times New Roman" w:hAnsi="Times New Roman" w:cs="Times New Roman"/>
        </w:rPr>
        <w:footnoteRef/>
      </w:r>
      <w:r>
        <w:rPr>
          <w:rStyle w:val="FootnoteReference"/>
          <w:rFonts w:ascii="Times New Roman" w:hAnsi="Times New Roman"/>
        </w:rPr>
        <w:t xml:space="preserve"> </w:t>
      </w:r>
      <w:r>
        <w:tab/>
      </w:r>
      <w:hyperlink r:id="rId2" w:history="1">
        <w:r>
          <w:rPr>
            <w:rStyle w:val="Hyperlink"/>
            <w:rFonts w:ascii="Times New Roman" w:hAnsi="Times New Roman"/>
          </w:rPr>
          <w:t>https://ec.europa.eu/health/sites/health/files/antimicrobial_resistance/docs/amr_2017_action-plan.pdf</w:t>
        </w:r>
      </w:hyperlink>
      <w:r>
        <w:rPr>
          <w:rFonts w:ascii="Times New Roman" w:hAnsi="Times New Roman"/>
        </w:rPr>
        <w:t xml:space="preserve"> </w:t>
      </w:r>
    </w:p>
  </w:footnote>
  <w:footnote w:id="15">
    <w:p>
      <w:pPr>
        <w:pStyle w:val="FootnoteText"/>
        <w:ind w:left="284" w:hanging="284"/>
        <w:jc w:val="both"/>
        <w:rPr>
          <w:rFonts w:ascii="Times New Roman" w:hAnsi="Times New Roman" w:cs="Times New Roman"/>
        </w:rPr>
      </w:pPr>
      <w:r>
        <w:rPr>
          <w:rStyle w:val="FootnoteReference"/>
          <w:rFonts w:ascii="Times New Roman" w:hAnsi="Times New Roman" w:cs="Times New Roman"/>
          <w:color w:val="auto"/>
        </w:rPr>
        <w:footnoteRef/>
      </w:r>
      <w:r>
        <w:rPr>
          <w:rFonts w:ascii="Times New Roman" w:hAnsi="Times New Roman"/>
          <w:color w:val="auto"/>
        </w:rPr>
        <w:t xml:space="preserve"> </w:t>
      </w:r>
      <w:r>
        <w:tab/>
      </w:r>
      <w:r>
        <w:rPr>
          <w:rFonts w:ascii="Times New Roman" w:hAnsi="Times New Roman"/>
          <w:color w:val="auto"/>
        </w:rPr>
        <w:t>COM(2020) 102.</w:t>
      </w:r>
    </w:p>
  </w:footnote>
  <w:footnote w:id="16">
    <w:p>
      <w:pPr>
        <w:pStyle w:val="FootnoteText"/>
        <w:ind w:left="284" w:hanging="284"/>
        <w:jc w:val="both"/>
        <w:rPr>
          <w:rFonts w:ascii="Times New Roman" w:hAnsi="Times New Roman" w:cs="Times New Roman"/>
          <w:color w:val="auto"/>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color w:val="auto"/>
        </w:rPr>
        <w:t>Между Европейския съюз и Грузия, Молдова и Украйна са създадени задълбочени и всеобхватни зони за свободна търговия (ЗВЗСТ).</w:t>
      </w:r>
    </w:p>
  </w:footnote>
  <w:footnote w:id="1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Съвместна оценка на Регламент (EО) № 1901/2006 на Европейския парламент и на Съвета от 12 декември 2006 г. относно лекарствените продукти за педиатрична употреба и Регламент (ЕО) № 141/2000 на Европейския парламент и на Съвета от 16 декември 1999 г. за лекарствата сираци (SWD(2020) 163).</w:t>
      </w:r>
    </w:p>
  </w:footnote>
  <w:footnote w:id="18">
    <w:p>
      <w:pPr>
        <w:pStyle w:val="FootnoteText"/>
        <w:ind w:left="284" w:hanging="284"/>
        <w:jc w:val="both"/>
      </w:pPr>
      <w:r>
        <w:rPr>
          <w:rStyle w:val="FootnoteReference"/>
          <w:rFonts w:ascii="Times New Roman" w:hAnsi="Times New Roman" w:cs="Times New Roman"/>
          <w:color w:val="auto"/>
        </w:rPr>
        <w:footnoteRef/>
      </w:r>
      <w:r>
        <w:rPr>
          <w:rStyle w:val="FootnoteReference"/>
          <w:rFonts w:ascii="Times New Roman" w:hAnsi="Times New Roman"/>
          <w:color w:val="auto"/>
        </w:rPr>
        <w:t xml:space="preserve"> </w:t>
      </w:r>
      <w:r>
        <w:tab/>
      </w:r>
      <w:hyperlink r:id="rId3" w:history="1">
        <w:r>
          <w:rPr>
            <w:rStyle w:val="FootnoteReference"/>
            <w:rFonts w:ascii="Times New Roman" w:hAnsi="Times New Roman"/>
            <w:color w:val="auto"/>
            <w:vertAlign w:val="baseline"/>
          </w:rPr>
          <w:t>https://ec.europa.eu/health/sites/health/files/antimicrobial_resistance/docs/amr_2017_action-plan.pdf</w:t>
        </w:r>
      </w:hyperlink>
    </w:p>
  </w:footnote>
  <w:footnote w:id="19">
    <w:p>
      <w:pPr>
        <w:pStyle w:val="FootnoteText"/>
        <w:ind w:left="284" w:hanging="284"/>
        <w:jc w:val="both"/>
        <w:rPr>
          <w:rStyle w:val="FootnoteReference"/>
          <w:rFonts w:ascii="Times New Roman" w:hAnsi="Times New Roman" w:cs="Times New Roman"/>
          <w:color w:val="auto"/>
          <w:sz w:val="22"/>
          <w:szCs w:val="22"/>
          <w:bdr w:val="none" w:sz="0" w:space="0" w:color="auto"/>
          <w:vertAlign w:val="baseline"/>
        </w:rPr>
      </w:pPr>
      <w:r>
        <w:rPr>
          <w:rStyle w:val="FootnoteReference"/>
        </w:rPr>
        <w:footnoteRef/>
      </w:r>
      <w:r>
        <w:t xml:space="preserve"> </w:t>
      </w:r>
      <w:r>
        <w:tab/>
      </w:r>
      <w:r>
        <w:rPr>
          <w:rStyle w:val="FootnoteReference"/>
          <w:rFonts w:ascii="Times New Roman" w:hAnsi="Times New Roman"/>
          <w:color w:val="auto"/>
          <w:vertAlign w:val="baseline"/>
        </w:rPr>
        <w:t>Cassini et al., (2019) ‘Attributable deaths and disability-adjusted life-years caused by infections with antibiotic-resistant bacteria in the EU and the European Economic Area in 2015: a population-level modelling analysis’, in Lancet Infect Dis. Vol.19, issue 1, pp. 55-56.</w:t>
      </w:r>
    </w:p>
  </w:footnote>
  <w:footnote w:id="20">
    <w:p>
      <w:pPr>
        <w:pStyle w:val="FootnoteText"/>
        <w:ind w:left="284" w:hanging="284"/>
        <w:jc w:val="both"/>
      </w:pPr>
      <w:r>
        <w:rPr>
          <w:rStyle w:val="FootnoteReference"/>
        </w:rPr>
        <w:footnoteRef/>
      </w:r>
      <w:r>
        <w:tab/>
      </w:r>
      <w:r>
        <w:rPr>
          <w:rStyle w:val="FootnoteReference"/>
          <w:rFonts w:ascii="Times New Roman" w:hAnsi="Times New Roman"/>
          <w:vertAlign w:val="baseline"/>
        </w:rPr>
        <w:t>Под „законодателство в областта на фармацевтичните продукти“ да се разбират Директива 2001/83/ЕО на Европейския парламент и на Съвета от 6 ноември 2001 г. за утвърждаване на кодекс на Общността относно лекарствени продукти за хуманна употреба (ОВ L311, 28.11.2001 г., стр. 67) и Регламент (ЕО) № 726/2004 на Европейския парламент и на Съвета от 31 март 2004 г. за установяване на процедури на Общността за разрешаване и контрол на лекарствени продукти за хуманна и ветеринарна употреба и за създаване на Европейска агенция по лекарствата (ОВ L 136, 30.4.2004 г., стр. 1)</w:t>
      </w:r>
      <w:r>
        <w:rPr>
          <w:rFonts w:ascii="Times New Roman" w:hAnsi="Times New Roman"/>
        </w:rPr>
        <w:t>.</w:t>
      </w:r>
    </w:p>
  </w:footnote>
  <w:footnote w:id="21">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Предложение за Регламент на Европейския парламент и на Съвета</w:t>
      </w:r>
      <w:r>
        <w:rPr>
          <w:rFonts w:ascii="Times New Roman" w:hAnsi="Times New Roman"/>
        </w:rPr>
        <w:t xml:space="preserve"> </w:t>
      </w:r>
      <w:r>
        <w:rPr>
          <w:rStyle w:val="FootnoteReference"/>
          <w:rFonts w:ascii="Times New Roman" w:hAnsi="Times New Roman"/>
          <w:vertAlign w:val="baseline"/>
        </w:rPr>
        <w:t>за</w:t>
      </w:r>
      <w:r>
        <w:rPr>
          <w:rFonts w:ascii="Times New Roman" w:hAnsi="Times New Roman"/>
        </w:rPr>
        <w:t xml:space="preserve"> </w:t>
      </w:r>
      <w:r>
        <w:rPr>
          <w:rStyle w:val="FootnoteReference"/>
          <w:rFonts w:ascii="Times New Roman" w:hAnsi="Times New Roman"/>
          <w:vertAlign w:val="baseline"/>
        </w:rPr>
        <w:t>оценка на здравните технологии и за изменение на Директива 2011/24/ЕС (COM(2018) 51)</w:t>
      </w:r>
      <w:r>
        <w:rPr>
          <w:rFonts w:ascii="Times New Roman" w:hAnsi="Times New Roman"/>
        </w:rPr>
        <w:t>.</w:t>
      </w:r>
    </w:p>
  </w:footnote>
  <w:footnote w:id="22">
    <w:p>
      <w:pPr>
        <w:pStyle w:val="FootnoteText"/>
        <w:ind w:left="284" w:hanging="284"/>
        <w:jc w:val="both"/>
        <w:rPr>
          <w:rStyle w:val="FootnoteReference"/>
          <w:rFonts w:ascii="Times New Roman" w:hAnsi="Times New Roman" w:cs="Times New Roman"/>
          <w:color w:val="auto"/>
          <w:sz w:val="22"/>
          <w:szCs w:val="22"/>
          <w:bdr w:val="none" w:sz="0" w:space="0" w:color="auto"/>
          <w:vertAlign w:val="baseline"/>
        </w:rPr>
      </w:pPr>
      <w:r>
        <w:rPr>
          <w:rStyle w:val="FootnoteReference"/>
          <w:rFonts w:ascii="Times New Roman" w:hAnsi="Times New Roman" w:cs="Times New Roman"/>
          <w:lang w:val="en-GB"/>
        </w:rPr>
        <w:footnoteRef/>
      </w:r>
      <w:r>
        <w:rPr>
          <w:rStyle w:val="FootnoteReference"/>
          <w:rFonts w:ascii="Times New Roman" w:hAnsi="Times New Roman"/>
        </w:rPr>
        <w:t xml:space="preserve"> </w:t>
      </w:r>
      <w:r>
        <w:tab/>
      </w:r>
      <w:r>
        <w:rPr>
          <w:rStyle w:val="FootnoteReference"/>
          <w:rFonts w:ascii="Times New Roman" w:hAnsi="Times New Roman"/>
          <w:vertAlign w:val="baseline"/>
        </w:rPr>
        <w:t>Проучване на икономическото въздействие на сертификатите за допълнителна закрила, стимулите и наградите за фармацевтичните предприятия в Европа: окончателен доклад, 2018 г.</w:t>
      </w:r>
    </w:p>
  </w:footnote>
  <w:footnote w:id="23">
    <w:p>
      <w:pPr>
        <w:pStyle w:val="FootnoteText"/>
        <w:ind w:left="284" w:hanging="284"/>
        <w:jc w:val="both"/>
        <w:rPr>
          <w:rStyle w:val="FootnoteReference"/>
          <w:rFonts w:ascii="Times New Roman" w:hAnsi="Times New Roman" w:cs="Times New Roman"/>
          <w:color w:val="auto"/>
          <w:sz w:val="22"/>
          <w:szCs w:val="22"/>
          <w:bdr w:val="none" w:sz="0" w:space="0" w:color="auto"/>
          <w:vertAlign w:val="baseline"/>
        </w:rPr>
      </w:pPr>
      <w:r>
        <w:rPr>
          <w:rStyle w:val="FootnoteReference"/>
          <w:rFonts w:ascii="Times New Roman" w:hAnsi="Times New Roman" w:cs="Times New Roman"/>
          <w:lang w:val="en-GB"/>
        </w:rPr>
        <w:footnoteRef/>
      </w:r>
      <w:r>
        <w:rPr>
          <w:rStyle w:val="FootnoteReference"/>
          <w:rFonts w:ascii="Times New Roman" w:hAnsi="Times New Roman"/>
        </w:rPr>
        <w:t xml:space="preserve"> </w:t>
      </w:r>
      <w:r>
        <w:tab/>
      </w:r>
      <w:r>
        <w:rPr>
          <w:rStyle w:val="FootnoteReference"/>
          <w:rFonts w:ascii="Times New Roman" w:hAnsi="Times New Roman"/>
          <w:vertAlign w:val="baseline"/>
        </w:rPr>
        <w:t>SWD(2020)</w:t>
      </w:r>
      <w:r>
        <w:rPr>
          <w:rFonts w:ascii="Times New Roman" w:hAnsi="Times New Roman"/>
        </w:rPr>
        <w:t xml:space="preserve"> </w:t>
      </w:r>
      <w:r>
        <w:rPr>
          <w:rStyle w:val="FootnoteReference"/>
          <w:rFonts w:ascii="Times New Roman" w:hAnsi="Times New Roman"/>
          <w:vertAlign w:val="baseline"/>
        </w:rPr>
        <w:t>163</w:t>
      </w:r>
      <w:r>
        <w:rPr>
          <w:rFonts w:ascii="Times New Roman" w:hAnsi="Times New Roman"/>
        </w:rPr>
        <w:t>.</w:t>
      </w:r>
    </w:p>
  </w:footnote>
  <w:footnote w:id="24">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 xml:space="preserve">COM(2019) 17. </w:t>
      </w:r>
    </w:p>
  </w:footnote>
  <w:footnote w:id="25">
    <w:p>
      <w:pPr>
        <w:pStyle w:val="FootnoteText"/>
        <w:ind w:left="284" w:hanging="284"/>
        <w:rPr>
          <w:rFonts w:ascii="Times New Roman" w:hAnsi="Times New Roman" w:cs="Times New Roman"/>
        </w:rPr>
      </w:pPr>
      <w:r>
        <w:rPr>
          <w:rStyle w:val="FootnoteReference"/>
        </w:rPr>
        <w:footnoteRef/>
      </w:r>
      <w:r>
        <w:tab/>
      </w:r>
      <w:r>
        <w:rPr>
          <w:rFonts w:ascii="Times New Roman" w:hAnsi="Times New Roman"/>
        </w:rPr>
        <w:t>Пример за такава инициатива е инициативата Beneluxa, вж.</w:t>
      </w:r>
      <w:r>
        <w:t xml:space="preserve"> </w:t>
      </w:r>
      <w:hyperlink r:id="rId4" w:history="1">
        <w:r>
          <w:rPr>
            <w:rFonts w:ascii="Times New Roman" w:hAnsi="Times New Roman"/>
          </w:rPr>
          <w:t>https://beneluxa.org/collaboration</w:t>
        </w:r>
      </w:hyperlink>
      <w:r>
        <w:rPr>
          <w:rFonts w:ascii="Times New Roman" w:hAnsi="Times New Roman"/>
        </w:rPr>
        <w:t>.</w:t>
      </w:r>
    </w:p>
  </w:footnote>
  <w:footnote w:id="26">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Европейска комисия, Състояние на здравеопазването в ЕС: придружаващ доклад, 2019 г. (ISBN 978-92-76-10194-9).</w:t>
      </w:r>
    </w:p>
  </w:footnote>
  <w:footnote w:id="27">
    <w:p>
      <w:pPr>
        <w:pStyle w:val="FootnoteText"/>
        <w:ind w:left="284" w:hanging="284"/>
      </w:pPr>
      <w:r>
        <w:rPr>
          <w:rStyle w:val="FootnoteReference"/>
          <w:rFonts w:ascii="Times New Roman" w:hAnsi="Times New Roman" w:cs="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Вж. бележка под линия 10.</w:t>
      </w:r>
    </w:p>
  </w:footnote>
  <w:footnote w:id="28">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 xml:space="preserve"> COM(2020) 760.</w:t>
      </w:r>
    </w:p>
  </w:footnote>
  <w:footnote w:id="29">
    <w:p>
      <w:pPr>
        <w:pStyle w:val="FootnoteText"/>
        <w:ind w:left="284" w:hanging="284"/>
        <w:jc w:val="both"/>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 xml:space="preserve">При пълно спазване на Общия регламент относно защитата на данните — </w:t>
      </w:r>
      <w:r>
        <w:rPr>
          <w:rStyle w:val="FootnoteReference"/>
          <w:rFonts w:ascii="Times New Roman" w:hAnsi="Times New Roman"/>
          <w:vertAlign w:val="baseline"/>
        </w:rPr>
        <w:t>Директива 95/46/ЕО се отменя и заменя, считано от 25 май 2018 г., с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данните)(ОВ L 119, 4.5.2016 г., стр. 1).</w:t>
      </w:r>
    </w:p>
  </w:footnote>
  <w:footnote w:id="30">
    <w:p>
      <w:pPr>
        <w:pStyle w:val="FootnoteText"/>
        <w:ind w:left="284" w:hanging="284"/>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vertAlign w:val="baseline"/>
        </w:rPr>
        <w:t xml:space="preserve"> </w:t>
      </w:r>
      <w:r>
        <w:tab/>
      </w:r>
      <w:r>
        <w:rPr>
          <w:rFonts w:ascii="Times New Roman" w:hAnsi="Times New Roman"/>
        </w:rPr>
        <w:t>COM(2020) 274.</w:t>
      </w:r>
    </w:p>
  </w:footnote>
  <w:footnote w:id="31">
    <w:p>
      <w:pPr>
        <w:pStyle w:val="FootnoteText"/>
        <w:ind w:left="284" w:hanging="284"/>
      </w:pPr>
      <w:r>
        <w:rPr>
          <w:rStyle w:val="FootnoteReference"/>
        </w:rPr>
        <w:footnoteRef/>
      </w:r>
      <w:r>
        <w:t xml:space="preserve"> </w:t>
      </w:r>
      <w:r>
        <w:tab/>
      </w:r>
      <w:r>
        <w:rPr>
          <w:rStyle w:val="FootnoteReference"/>
          <w:rFonts w:ascii="Times New Roman" w:hAnsi="Times New Roman"/>
          <w:vertAlign w:val="baseline"/>
        </w:rPr>
        <w:t>Пактът за уменията: мобилизиране на всички партньори за инвестиране в уменията</w:t>
      </w:r>
      <w:r>
        <w:rPr>
          <w:rFonts w:ascii="Times New Roman" w:hAnsi="Times New Roman"/>
        </w:rPr>
        <w:t>.</w:t>
      </w:r>
    </w:p>
  </w:footnote>
  <w:footnote w:id="32">
    <w:p>
      <w:pPr>
        <w:pStyle w:val="FootnoteText"/>
        <w:ind w:left="284" w:hanging="284"/>
        <w:rPr>
          <w:rStyle w:val="FootnoteReference"/>
          <w:vertAlign w:val="baseline"/>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Наука, технологии, инженерство</w:t>
      </w:r>
      <w:r>
        <w:rPr>
          <w:rFonts w:ascii="Times New Roman" w:hAnsi="Times New Roman"/>
        </w:rPr>
        <w:t xml:space="preserve"> и </w:t>
      </w:r>
      <w:r>
        <w:rPr>
          <w:rStyle w:val="FootnoteReference"/>
          <w:rFonts w:ascii="Times New Roman" w:hAnsi="Times New Roman"/>
          <w:vertAlign w:val="baseline"/>
        </w:rPr>
        <w:t>математика</w:t>
      </w:r>
      <w:r>
        <w:rPr>
          <w:rFonts w:ascii="Times New Roman" w:hAnsi="Times New Roman"/>
        </w:rPr>
        <w:t>.</w:t>
      </w:r>
    </w:p>
  </w:footnote>
  <w:footnote w:id="33">
    <w:p>
      <w:pPr>
        <w:pStyle w:val="FootnoteText"/>
        <w:ind w:left="284" w:hanging="284"/>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Европейско партньорство за иновативно здравеопазване (инициатива).</w:t>
      </w:r>
    </w:p>
  </w:footnote>
  <w:footnote w:id="34">
    <w:p>
      <w:pPr>
        <w:pStyle w:val="FootnoteText"/>
        <w:ind w:left="284" w:hanging="284"/>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rPr>
        <w:t xml:space="preserve"> </w:t>
      </w:r>
      <w:r>
        <w:tab/>
      </w:r>
      <w:hyperlink r:id="rId5" w:history="1">
        <w:r>
          <w:rPr>
            <w:rStyle w:val="FootnoteReference"/>
            <w:rFonts w:ascii="Times New Roman" w:hAnsi="Times New Roman"/>
            <w:vertAlign w:val="baseline"/>
          </w:rPr>
          <w:t>https://ec.europa.eu/digital-single-market/en/startup-europe</w:t>
        </w:r>
      </w:hyperlink>
      <w:r>
        <w:rPr>
          <w:rFonts w:ascii="Times New Roman" w:hAnsi="Times New Roman"/>
        </w:rPr>
        <w:t xml:space="preserve">. </w:t>
      </w:r>
    </w:p>
  </w:footnote>
  <w:footnote w:id="35">
    <w:p>
      <w:pPr>
        <w:pStyle w:val="FootnoteText"/>
        <w:ind w:left="284" w:hanging="284"/>
        <w:rPr>
          <w:rStyle w:val="FootnoteReference"/>
          <w:rFonts w:ascii="Times New Roman" w:hAnsi="Times New Roman" w:cs="Times New Roman"/>
          <w:color w:val="auto"/>
          <w:sz w:val="22"/>
          <w:szCs w:val="22"/>
          <w:bdr w:val="none" w:sz="0" w:space="0" w:color="auto"/>
          <w:vertAlign w:val="baseline"/>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COM(2020) 103.</w:t>
      </w:r>
    </w:p>
  </w:footnote>
  <w:footnote w:id="36">
    <w:p>
      <w:pPr>
        <w:pStyle w:val="FootnoteText"/>
        <w:ind w:left="284" w:hanging="284"/>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Става дума за промяната при производството на персонализирани лекарства, което в момента се осъществява изцяло в заводска среда, но занапред може да се оптимизира в болничната стая на пациента.</w:t>
      </w:r>
    </w:p>
  </w:footnote>
  <w:footnote w:id="37">
    <w:p>
      <w:pPr>
        <w:pStyle w:val="FootnoteText"/>
        <w:ind w:left="284" w:hanging="284"/>
        <w:jc w:val="both"/>
        <w:rPr>
          <w:rStyle w:val="FootnoteReference"/>
          <w:rFonts w:ascii="Times New Roman" w:hAnsi="Times New Roman" w:cs="Times New Roman"/>
          <w:color w:val="auto"/>
          <w:sz w:val="22"/>
          <w:szCs w:val="22"/>
          <w:bdr w:val="none" w:sz="0" w:space="0" w:color="auto"/>
          <w:vertAlign w:val="baseline"/>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В съответствие със стратегията на ЕС за данните, по-специално за повторното използване на данни и обмена на данни между предприятията и правителствата.</w:t>
      </w:r>
    </w:p>
  </w:footnote>
  <w:footnote w:id="3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i/>
        </w:rPr>
        <w:t>Осигуряване на достъп до най-малко 1 милион секвенирани генома в ЕС до 2022 г.</w:t>
      </w:r>
      <w:r>
        <w:rPr>
          <w:rFonts w:ascii="Times New Roman" w:hAnsi="Times New Roman"/>
        </w:rPr>
        <w:t xml:space="preserve">; </w:t>
      </w:r>
    </w:p>
    <w:p>
      <w:pPr>
        <w:pStyle w:val="FootnoteText"/>
        <w:ind w:left="284"/>
        <w:jc w:val="both"/>
        <w:rPr>
          <w:rFonts w:ascii="Times New Roman" w:hAnsi="Times New Roman" w:cs="Times New Roman"/>
        </w:rPr>
      </w:pPr>
      <w:hyperlink r:id="rId6" w:history="1">
        <w:r>
          <w:rPr>
            <w:rStyle w:val="Hyperlink"/>
            <w:rFonts w:ascii="Times New Roman" w:hAnsi="Times New Roman"/>
          </w:rPr>
          <w:t>https://ec.europa.eu/digital-single-market/en/european-1-million-genomes-initiative</w:t>
        </w:r>
      </w:hyperlink>
      <w:r>
        <w:rPr>
          <w:rStyle w:val="Hyperlink"/>
          <w:rFonts w:ascii="Times New Roman" w:hAnsi="Times New Roman"/>
        </w:rPr>
        <w:t>.</w:t>
      </w:r>
    </w:p>
  </w:footnote>
  <w:footnote w:id="39">
    <w:p>
      <w:pPr>
        <w:pStyle w:val="FootnoteText"/>
        <w:ind w:left="284" w:hanging="284"/>
        <w:jc w:val="both"/>
        <w:rPr>
          <w:rStyle w:val="FootnoteReference"/>
          <w:rFonts w:ascii="Times New Roman" w:hAnsi="Times New Roman" w:cs="Times New Roman"/>
          <w:color w:val="auto"/>
          <w:sz w:val="22"/>
          <w:szCs w:val="22"/>
          <w:bdr w:val="none" w:sz="0" w:space="0" w:color="auto"/>
          <w:vertAlign w:val="baseline"/>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Регламент (ЕС) № 536/2014 на Европейския парламент и на Съвета от 16 април 2014 г. относно клиничните изпитвания на лекарствени продукти за хуманна употреба (ОВ L 158, 27.5.2014 г., стр. 1).</w:t>
      </w:r>
    </w:p>
  </w:footnote>
  <w:footnote w:id="40">
    <w:p>
      <w:pPr>
        <w:pStyle w:val="FootnoteText"/>
        <w:ind w:left="284" w:hanging="284"/>
        <w:jc w:val="both"/>
      </w:pPr>
      <w:r>
        <w:rPr>
          <w:rStyle w:val="FootnoteReference"/>
          <w:rFonts w:ascii="Times New Roman" w:hAnsi="Times New Roman" w:cs="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Регламент (ЕС) 2017/745 на Европейския парламент и на Съвета от 5 април 2017 година за медицинските изделия, за изменение на Директива 2001/83/ЕО, Регламент (ЕО) № 178/2002 и Регламент (ЕО) № 1223/2009 и за отмяна на директиви 90/385/ЕИО и 93/42/ЕИО на Съвета (ОВ L 117, 5.5.2017 г., стр. 1) и Регламент (ЕС) 2017/746 на Европейския парламент и на Съвета от 5 април 2017 година за медицинските изделия за инвитро диагностика и за отмяна на Директива 98/79/ЕО и Решение 2010/227/ЕС на Комисията, (ОВ L 117, 5.5.2017 г., стр. 176.)</w:t>
      </w:r>
    </w:p>
  </w:footnote>
  <w:footnote w:id="4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i/>
        </w:rPr>
        <w:t>Проучване на опита, придобит в резултат на прилагането на процедурите за разрешаване и контрол на лекарствени продукти за хуманна употреба</w:t>
      </w:r>
      <w:r>
        <w:rPr>
          <w:rFonts w:ascii="Times New Roman" w:hAnsi="Times New Roman"/>
        </w:rPr>
        <w:t xml:space="preserve"> — предстои да бъде публикувано през 2021 г.</w:t>
      </w:r>
    </w:p>
  </w:footnote>
  <w:footnote w:id="42">
    <w:p>
      <w:pPr>
        <w:pStyle w:val="titleta"/>
        <w:spacing w:before="0" w:beforeAutospacing="0" w:after="0" w:afterAutospacing="0" w:line="240" w:lineRule="auto"/>
        <w:ind w:left="284" w:hanging="284"/>
        <w:jc w:val="both"/>
      </w:pPr>
      <w:r>
        <w:rPr>
          <w:rStyle w:val="FootnoteReference"/>
          <w:sz w:val="20"/>
          <w:szCs w:val="20"/>
        </w:rPr>
        <w:footnoteRef/>
      </w:r>
      <w:r>
        <w:rPr>
          <w:rStyle w:val="FootnoteReference"/>
        </w:rPr>
        <w:t xml:space="preserve"> </w:t>
      </w:r>
      <w:r>
        <w:tab/>
      </w:r>
      <w:r>
        <w:rPr>
          <w:rStyle w:val="FootnoteReference"/>
          <w:sz w:val="20"/>
          <w:szCs w:val="20"/>
          <w:vertAlign w:val="baseline"/>
        </w:rPr>
        <w:t>Заключения на Европейския съвет от 2 октомври 2020 г. (EUCO 13/20).</w:t>
      </w:r>
      <w:r>
        <w:rPr>
          <w:rStyle w:val="FootnoteReference"/>
          <w:vertAlign w:val="baseline"/>
        </w:rPr>
        <w:t>.</w:t>
      </w:r>
    </w:p>
  </w:footnote>
  <w:footnote w:id="43">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Фармацевтична група на Европейския съюз (PGEU), </w:t>
      </w:r>
      <w:r>
        <w:rPr>
          <w:rFonts w:ascii="Times New Roman" w:hAnsi="Times New Roman"/>
          <w:i/>
        </w:rPr>
        <w:t>Проучване на недостига на лекарства — резултати за 2019 г.</w:t>
      </w:r>
      <w:r>
        <w:rPr>
          <w:rFonts w:ascii="Times New Roman" w:hAnsi="Times New Roman"/>
        </w:rPr>
        <w:t xml:space="preserve"> </w:t>
      </w:r>
    </w:p>
  </w:footnote>
  <w:footnote w:id="44">
    <w:p>
      <w:pPr>
        <w:pStyle w:val="titleta"/>
        <w:spacing w:before="0" w:beforeAutospacing="0" w:after="0" w:afterAutospacing="0" w:line="240" w:lineRule="auto"/>
        <w:ind w:left="284" w:hanging="284"/>
        <w:jc w:val="both"/>
        <w:rPr>
          <w:sz w:val="20"/>
          <w:szCs w:val="20"/>
        </w:rPr>
      </w:pPr>
      <w:r>
        <w:rPr>
          <w:rStyle w:val="FootnoteReference"/>
          <w:sz w:val="20"/>
          <w:szCs w:val="20"/>
        </w:rPr>
        <w:footnoteRef/>
      </w:r>
      <w:r>
        <w:rPr>
          <w:sz w:val="20"/>
          <w:szCs w:val="20"/>
          <w:shd w:val="clear" w:color="auto" w:fill="FFFFFF"/>
        </w:rPr>
        <w:t xml:space="preserve"> </w:t>
      </w:r>
      <w:r>
        <w:tab/>
      </w:r>
      <w:r>
        <w:rPr>
          <w:color w:val="000000"/>
          <w:sz w:val="20"/>
          <w:szCs w:val="20"/>
          <w:u w:color="000000"/>
          <w:bdr w:val="nil"/>
          <w:shd w:val="clear" w:color="auto" w:fill="FFFFFF"/>
        </w:rPr>
        <w:t>Резолюция на Европейския парламент от 17 септември 2020 г. относно недостига на лекарства — как да се намери решение на нововъзникващ проблем</w:t>
      </w:r>
      <w:r>
        <w:rPr>
          <w:color w:val="000000"/>
          <w:sz w:val="20"/>
          <w:szCs w:val="20"/>
          <w:u w:color="000000"/>
          <w:bdr w:val="nil"/>
        </w:rPr>
        <w:t xml:space="preserve"> (2020/2071 (INI)) и Заключения на Европейския съвет от 2 октомври 2020 г. (EUCO 13/20).</w:t>
      </w:r>
    </w:p>
  </w:footnote>
  <w:footnote w:id="4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7" w:history="1">
        <w:r>
          <w:rPr>
            <w:rStyle w:val="Hyperlink"/>
            <w:rFonts w:ascii="Times New Roman" w:hAnsi="Times New Roman"/>
          </w:rPr>
          <w:t>https://www.ema.europa.eu/en/human-regulatory/post-authorisation/referral-procedures/nitrosamine-impurities</w:t>
        </w:r>
      </w:hyperlink>
      <w:r>
        <w:rPr>
          <w:rFonts w:ascii="Times New Roman" w:hAnsi="Times New Roman"/>
        </w:rPr>
        <w:t xml:space="preserve"> </w:t>
      </w:r>
    </w:p>
  </w:footnote>
  <w:footnote w:id="46">
    <w:p>
      <w:pPr>
        <w:pStyle w:val="FootnoteText"/>
        <w:ind w:left="284" w:hanging="284"/>
      </w:pPr>
      <w:r>
        <w:rPr>
          <w:rStyle w:val="FootnoteReference"/>
        </w:rPr>
        <w:footnoteRef/>
      </w:r>
      <w:r>
        <w:tab/>
      </w:r>
      <w:hyperlink r:id="rId8" w:history="1">
        <w:r>
          <w:rPr>
            <w:rFonts w:ascii="Times New Roman" w:hAnsi="Times New Roman"/>
          </w:rPr>
          <w:t>Известие на Комисията — Разделно събиране на опасни отпадъци от домакинствата (2020/C 375/01)</w:t>
        </w:r>
      </w:hyperlink>
      <w:r>
        <w:rPr>
          <w:rFonts w:ascii="Times New Roman" w:hAnsi="Times New Roman"/>
        </w:rPr>
        <w:t>, 6.11.2020 г.</w:t>
      </w:r>
    </w:p>
  </w:footnote>
  <w:footnote w:id="47">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COM(2020) 98. </w:t>
      </w:r>
    </w:p>
  </w:footnote>
  <w:footnote w:id="48">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COM(2020) 667.</w:t>
      </w:r>
    </w:p>
  </w:footnote>
  <w:footnote w:id="4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COM(2019) 128.</w:t>
      </w:r>
      <w:r>
        <w:rPr>
          <w:rStyle w:val="Hyperlink"/>
          <w:rFonts w:ascii="Times New Roman" w:hAnsi="Times New Roman"/>
        </w:rPr>
        <w:t xml:space="preserve"> </w:t>
      </w:r>
      <w:r>
        <w:rPr>
          <w:rFonts w:ascii="Times New Roman" w:hAnsi="Times New Roman"/>
        </w:rPr>
        <w:t>Допълнителна информация за напредъка в прилагането на стратегическия подход към фармацевтичните продукти в околната среда:</w:t>
      </w:r>
      <w:hyperlink r:id="rId9" w:history="1">
        <w:r>
          <w:rPr>
            <w:rStyle w:val="Hyperlink"/>
            <w:rFonts w:ascii="Times New Roman" w:hAnsi="Times New Roman"/>
          </w:rPr>
          <w:t xml:space="preserve"> https://ec.europa.eu/environment/water/water-dangersub/pharmaceuticals.htm</w:t>
        </w:r>
      </w:hyperlink>
      <w:r>
        <w:rPr>
          <w:rFonts w:ascii="Times New Roman" w:hAnsi="Times New Roman"/>
        </w:rPr>
        <w:t>.</w:t>
      </w:r>
    </w:p>
  </w:footnote>
  <w:footnote w:id="5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COM(2017) 339.</w:t>
      </w:r>
    </w:p>
  </w:footnote>
  <w:footnote w:id="51">
    <w:p>
      <w:pPr>
        <w:pStyle w:val="FootnoteText"/>
        <w:ind w:left="284" w:hanging="284"/>
      </w:pPr>
      <w:r>
        <w:rPr>
          <w:rStyle w:val="FootnoteReference"/>
          <w:rFonts w:ascii="Times New Roman" w:hAnsi="Times New Roman" w:cs="Times New Roman"/>
        </w:rPr>
        <w:footnoteRef/>
      </w:r>
      <w:r>
        <w:rPr>
          <w:rFonts w:ascii="Times New Roman" w:hAnsi="Times New Roman"/>
        </w:rPr>
        <w:t xml:space="preserve"> </w:t>
      </w:r>
      <w:r>
        <w:tab/>
      </w:r>
      <w:r>
        <w:rPr>
          <w:rStyle w:val="FootnoteReference"/>
          <w:rFonts w:ascii="Times New Roman" w:hAnsi="Times New Roman"/>
          <w:vertAlign w:val="baseline"/>
        </w:rPr>
        <w:t>http://www.iprp.global/home</w:t>
      </w:r>
      <w:r>
        <w:rPr>
          <w:rFonts w:ascii="Times New Roman" w:hAnsi="Times New Roman"/>
        </w:rPr>
        <w:t xml:space="preserve"> </w:t>
      </w:r>
    </w:p>
  </w:footnote>
  <w:footnote w:id="52">
    <w:p>
      <w:pPr>
        <w:pStyle w:val="FootnoteText"/>
        <w:ind w:left="284" w:hanging="284"/>
      </w:pPr>
      <w:r>
        <w:rPr>
          <w:rStyle w:val="FootnoteReference"/>
          <w:rFonts w:ascii="Times New Roman" w:hAnsi="Times New Roman" w:cs="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http://www.icmra.info/drupal/en/home</w:t>
      </w:r>
      <w:r>
        <w:rPr>
          <w:rFonts w:ascii="Times New Roman" w:hAnsi="Times New Roman"/>
        </w:rPr>
        <w:t xml:space="preserve"> </w:t>
      </w:r>
    </w:p>
  </w:footnote>
  <w:footnote w:id="53">
    <w:p>
      <w:pPr>
        <w:pStyle w:val="FootnoteText"/>
        <w:ind w:left="284" w:hanging="284"/>
        <w:jc w:val="both"/>
        <w:rPr>
          <w:rStyle w:val="FootnoteReference"/>
          <w:rFonts w:ascii="Times New Roman" w:hAnsi="Times New Roman" w:cs="Times New Roman"/>
          <w:color w:val="auto"/>
          <w:sz w:val="22"/>
          <w:szCs w:val="22"/>
          <w:bdr w:val="none" w:sz="0" w:space="0" w:color="auto"/>
          <w:vertAlign w:val="baseline"/>
        </w:rPr>
      </w:pPr>
      <w:r>
        <w:rPr>
          <w:rStyle w:val="FootnoteReference"/>
          <w:rFonts w:ascii="Times New Roman" w:hAnsi="Times New Roman" w:cs="Times New Roman"/>
        </w:rPr>
        <w:footnoteRef/>
      </w:r>
      <w:r>
        <w:rPr>
          <w:rStyle w:val="FootnoteReference"/>
        </w:rPr>
        <w:t xml:space="preserve"> </w:t>
      </w:r>
      <w:r>
        <w:tab/>
      </w:r>
      <w:r>
        <w:rPr>
          <w:rStyle w:val="FootnoteReference"/>
          <w:rFonts w:ascii="Times New Roman" w:hAnsi="Times New Roman"/>
          <w:vertAlign w:val="baseline"/>
        </w:rPr>
        <w:t>Решение 75/320/ЕИО на Съвета от 20 май 1975 г. за създаване на Фармацевтичен комитет (ОВ L 147, 9.6.1975 г., стр.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248C40"/>
    <w:multiLevelType w:val="hybridMultilevel"/>
    <w:tmpl w:val="CF72DB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E61613"/>
    <w:multiLevelType w:val="hybridMultilevel"/>
    <w:tmpl w:val="121CF9A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7872DA"/>
    <w:multiLevelType w:val="multilevel"/>
    <w:tmpl w:val="ADCCF5D2"/>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3">
    <w:nsid w:val="125E6655"/>
    <w:multiLevelType w:val="hybridMultilevel"/>
    <w:tmpl w:val="4CB406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1793240D"/>
    <w:multiLevelType w:val="hybridMultilevel"/>
    <w:tmpl w:val="698EC5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6E63DD"/>
    <w:multiLevelType w:val="hybridMultilevel"/>
    <w:tmpl w:val="E1528822"/>
    <w:lvl w:ilvl="0" w:tplc="08090009">
      <w:start w:val="1"/>
      <w:numFmt w:val="bullet"/>
      <w:lvlText w:val=""/>
      <w:lvlJc w:val="left"/>
      <w:pPr>
        <w:ind w:left="3120" w:hanging="360"/>
      </w:pPr>
      <w:rPr>
        <w:rFonts w:ascii="Wingdings" w:hAnsi="Wingdings" w:hint="default"/>
      </w:rPr>
    </w:lvl>
    <w:lvl w:ilvl="1" w:tplc="04090003" w:tentative="1">
      <w:start w:val="1"/>
      <w:numFmt w:val="bullet"/>
      <w:lvlText w:val="o"/>
      <w:lvlJc w:val="left"/>
      <w:pPr>
        <w:ind w:left="3840" w:hanging="360"/>
      </w:pPr>
      <w:rPr>
        <w:rFonts w:ascii="Courier New" w:hAnsi="Courier New" w:cs="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cs="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cs="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6">
    <w:nsid w:val="1BC21810"/>
    <w:multiLevelType w:val="hybridMultilevel"/>
    <w:tmpl w:val="BDEEF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E4617A8"/>
    <w:multiLevelType w:val="multilevel"/>
    <w:tmpl w:val="0060D368"/>
    <w:lvl w:ilvl="0">
      <w:start w:val="1"/>
      <w:numFmt w:val="decimal"/>
      <w:lvlText w:val="%1."/>
      <w:lvlJc w:val="left"/>
      <w:pPr>
        <w:ind w:left="360" w:hanging="360"/>
      </w:pPr>
    </w:lvl>
    <w:lvl w:ilvl="1">
      <w:start w:val="1"/>
      <w:numFmt w:val="decimal"/>
      <w:isLgl/>
      <w:lvlText w:val="%1.%2"/>
      <w:lvlJc w:val="left"/>
      <w:pPr>
        <w:ind w:left="1080" w:hanging="360"/>
      </w:pPr>
      <w:rPr>
        <w:rFonts w:hint="default"/>
        <w:b w:val="0"/>
        <w:i w:val="0"/>
        <w:u w:val="none"/>
      </w:rPr>
    </w:lvl>
    <w:lvl w:ilvl="2">
      <w:start w:val="1"/>
      <w:numFmt w:val="decimal"/>
      <w:isLgl/>
      <w:lvlText w:val="%1.%2.%3"/>
      <w:lvlJc w:val="left"/>
      <w:pPr>
        <w:ind w:left="2160" w:hanging="720"/>
      </w:pPr>
      <w:rPr>
        <w:rFonts w:hint="default"/>
        <w:b w:val="0"/>
        <w:i w:val="0"/>
        <w:u w:val="none"/>
      </w:rPr>
    </w:lvl>
    <w:lvl w:ilvl="3">
      <w:start w:val="1"/>
      <w:numFmt w:val="decimal"/>
      <w:isLgl/>
      <w:lvlText w:val="%1.%2.%3.%4"/>
      <w:lvlJc w:val="left"/>
      <w:pPr>
        <w:ind w:left="2880" w:hanging="720"/>
      </w:pPr>
      <w:rPr>
        <w:rFonts w:hint="default"/>
        <w:b w:val="0"/>
        <w:i w:val="0"/>
        <w:u w:val="none"/>
      </w:rPr>
    </w:lvl>
    <w:lvl w:ilvl="4">
      <w:start w:val="1"/>
      <w:numFmt w:val="decimal"/>
      <w:isLgl/>
      <w:lvlText w:val="%1.%2.%3.%4.%5"/>
      <w:lvlJc w:val="left"/>
      <w:pPr>
        <w:ind w:left="3960" w:hanging="1080"/>
      </w:pPr>
      <w:rPr>
        <w:rFonts w:hint="default"/>
        <w:b w:val="0"/>
        <w:i w:val="0"/>
        <w:u w:val="none"/>
      </w:rPr>
    </w:lvl>
    <w:lvl w:ilvl="5">
      <w:start w:val="1"/>
      <w:numFmt w:val="decimal"/>
      <w:isLgl/>
      <w:lvlText w:val="%1.%2.%3.%4.%5.%6"/>
      <w:lvlJc w:val="left"/>
      <w:pPr>
        <w:ind w:left="4680" w:hanging="1080"/>
      </w:pPr>
      <w:rPr>
        <w:rFonts w:hint="default"/>
        <w:b w:val="0"/>
        <w:i w:val="0"/>
        <w:u w:val="none"/>
      </w:rPr>
    </w:lvl>
    <w:lvl w:ilvl="6">
      <w:start w:val="1"/>
      <w:numFmt w:val="decimal"/>
      <w:isLgl/>
      <w:lvlText w:val="%1.%2.%3.%4.%5.%6.%7"/>
      <w:lvlJc w:val="left"/>
      <w:pPr>
        <w:ind w:left="5760" w:hanging="1440"/>
      </w:pPr>
      <w:rPr>
        <w:rFonts w:hint="default"/>
        <w:b w:val="0"/>
        <w:i w:val="0"/>
        <w:u w:val="none"/>
      </w:rPr>
    </w:lvl>
    <w:lvl w:ilvl="7">
      <w:start w:val="1"/>
      <w:numFmt w:val="decimal"/>
      <w:isLgl/>
      <w:lvlText w:val="%1.%2.%3.%4.%5.%6.%7.%8"/>
      <w:lvlJc w:val="left"/>
      <w:pPr>
        <w:ind w:left="6480" w:hanging="1440"/>
      </w:pPr>
      <w:rPr>
        <w:rFonts w:hint="default"/>
        <w:b w:val="0"/>
        <w:i w:val="0"/>
        <w:u w:val="none"/>
      </w:rPr>
    </w:lvl>
    <w:lvl w:ilvl="8">
      <w:start w:val="1"/>
      <w:numFmt w:val="decimal"/>
      <w:isLgl/>
      <w:lvlText w:val="%1.%2.%3.%4.%5.%6.%7.%8.%9"/>
      <w:lvlJc w:val="left"/>
      <w:pPr>
        <w:ind w:left="7560" w:hanging="1800"/>
      </w:pPr>
      <w:rPr>
        <w:rFonts w:hint="default"/>
        <w:b w:val="0"/>
        <w:i w:val="0"/>
        <w:u w:val="none"/>
      </w:rPr>
    </w:lvl>
  </w:abstractNum>
  <w:abstractNum w:abstractNumId="8">
    <w:nsid w:val="224D2CE7"/>
    <w:multiLevelType w:val="hybridMultilevel"/>
    <w:tmpl w:val="B172EA26"/>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EE3052"/>
    <w:multiLevelType w:val="multilevel"/>
    <w:tmpl w:val="1A98B39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5CA0008"/>
    <w:multiLevelType w:val="hybridMultilevel"/>
    <w:tmpl w:val="D132159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2CC84194"/>
    <w:multiLevelType w:val="hybridMultilevel"/>
    <w:tmpl w:val="FF68C430"/>
    <w:lvl w:ilvl="0" w:tplc="323449D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C15327"/>
    <w:multiLevelType w:val="multilevel"/>
    <w:tmpl w:val="8A8A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80306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695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625363D"/>
    <w:multiLevelType w:val="hybridMultilevel"/>
    <w:tmpl w:val="FED8403A"/>
    <w:lvl w:ilvl="0" w:tplc="0809000B">
      <w:start w:val="1"/>
      <w:numFmt w:val="bullet"/>
      <w:lvlText w:val=""/>
      <w:lvlJc w:val="left"/>
      <w:pPr>
        <w:ind w:left="717" w:hanging="360"/>
      </w:pPr>
      <w:rPr>
        <w:rFonts w:ascii="Wingdings" w:hAnsi="Wingdings" w:hint="default"/>
        <w:sz w:val="24"/>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nsid w:val="467544C0"/>
    <w:multiLevelType w:val="hybridMultilevel"/>
    <w:tmpl w:val="73E48B6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AE7ADD"/>
    <w:multiLevelType w:val="hybridMultilevel"/>
    <w:tmpl w:val="A63CD26A"/>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88259B"/>
    <w:multiLevelType w:val="hybridMultilevel"/>
    <w:tmpl w:val="BA0E5E0A"/>
    <w:lvl w:ilvl="0" w:tplc="0809000B">
      <w:start w:val="1"/>
      <w:numFmt w:val="bullet"/>
      <w:lvlText w:val=""/>
      <w:lvlJc w:val="left"/>
      <w:pPr>
        <w:ind w:left="717" w:hanging="360"/>
      </w:pPr>
      <w:rPr>
        <w:rFonts w:ascii="Wingdings" w:hAnsi="Wingdings" w:hint="default"/>
        <w:sz w:val="24"/>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8">
    <w:nsid w:val="68985101"/>
    <w:multiLevelType w:val="multilevel"/>
    <w:tmpl w:val="49084DE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9">
    <w:nsid w:val="72E340A1"/>
    <w:multiLevelType w:val="multilevel"/>
    <w:tmpl w:val="798A01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42A50F3"/>
    <w:multiLevelType w:val="hybridMultilevel"/>
    <w:tmpl w:val="273CAC8A"/>
    <w:lvl w:ilvl="0" w:tplc="1AF8F394">
      <w:numFmt w:val="bullet"/>
      <w:lvlText w:val="-"/>
      <w:lvlJc w:val="left"/>
      <w:pPr>
        <w:ind w:left="717" w:hanging="360"/>
      </w:pPr>
      <w:rPr>
        <w:rFonts w:ascii="Times New Roman" w:eastAsia="Times New Roman" w:hAnsi="Times New Roman" w:cs="Times New Roman" w:hint="default"/>
        <w:sz w:val="24"/>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1">
    <w:nsid w:val="75F87BB2"/>
    <w:multiLevelType w:val="hybridMultilevel"/>
    <w:tmpl w:val="303827CA"/>
    <w:lvl w:ilvl="0" w:tplc="AFD8A716">
      <w:start w:val="4"/>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2">
    <w:nsid w:val="7BCF0562"/>
    <w:multiLevelType w:val="hybridMultilevel"/>
    <w:tmpl w:val="40709074"/>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05706A"/>
    <w:multiLevelType w:val="hybridMultilevel"/>
    <w:tmpl w:val="E20EEBBA"/>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4500D5"/>
    <w:multiLevelType w:val="hybridMultilevel"/>
    <w:tmpl w:val="EE4201E2"/>
    <w:lvl w:ilvl="0" w:tplc="EB68BD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EB824A1"/>
    <w:multiLevelType w:val="hybridMultilevel"/>
    <w:tmpl w:val="F60273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9"/>
  </w:num>
  <w:num w:numId="2">
    <w:abstractNumId w:val="7"/>
  </w:num>
  <w:num w:numId="3">
    <w:abstractNumId w:val="13"/>
  </w:num>
  <w:num w:numId="4">
    <w:abstractNumId w:val="9"/>
  </w:num>
  <w:num w:numId="5">
    <w:abstractNumId w:val="25"/>
  </w:num>
  <w:num w:numId="6">
    <w:abstractNumId w:val="11"/>
  </w:num>
  <w:num w:numId="7">
    <w:abstractNumId w:val="24"/>
  </w:num>
  <w:num w:numId="8">
    <w:abstractNumId w:val="5"/>
  </w:num>
  <w:num w:numId="9">
    <w:abstractNumId w:val="0"/>
  </w:num>
  <w:num w:numId="10">
    <w:abstractNumId w:val="15"/>
  </w:num>
  <w:num w:numId="11">
    <w:abstractNumId w:val="22"/>
  </w:num>
  <w:num w:numId="12">
    <w:abstractNumId w:val="16"/>
  </w:num>
  <w:num w:numId="13">
    <w:abstractNumId w:val="1"/>
  </w:num>
  <w:num w:numId="14">
    <w:abstractNumId w:val="23"/>
  </w:num>
  <w:num w:numId="15">
    <w:abstractNumId w:val="8"/>
  </w:num>
  <w:num w:numId="16">
    <w:abstractNumId w:val="10"/>
  </w:num>
  <w:num w:numId="17">
    <w:abstractNumId w:val="4"/>
  </w:num>
  <w:num w:numId="18">
    <w:abstractNumId w:val="12"/>
  </w:num>
  <w:num w:numId="19">
    <w:abstractNumId w:val="18"/>
  </w:num>
  <w:num w:numId="20">
    <w:abstractNumId w:val="6"/>
  </w:num>
  <w:num w:numId="21">
    <w:abstractNumId w:val="3"/>
  </w:num>
  <w:num w:numId="22">
    <w:abstractNumId w:val="2"/>
  </w:num>
  <w:num w:numId="23">
    <w:abstractNumId w:val="21"/>
  </w:num>
  <w:num w:numId="24">
    <w:abstractNumId w:val="20"/>
  </w:num>
  <w:num w:numId="25">
    <w:abstractNumId w:val="1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revisionView w:markup="0"/>
  <w:defaultTabStop w:val="720"/>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5F7FDBE-E315-437D-9DA9-CC8EB9C191BE"/>
    <w:docVar w:name="LW_COVERPAGE_TYPE" w:val="1"/>
    <w:docVar w:name="LW_CROSSREFERENCE" w:val="{SWD(2020) 286 final}"/>
    <w:docVar w:name="LW_DocType" w:val="NORMAL"/>
    <w:docVar w:name="LW_EMISSION" w:val="25.11.2020"/>
    <w:docVar w:name="LW_EMISSION_ISODATE" w:val="2020-11-25"/>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7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60?\u1072?\u1088?\u1084?\u1072?\u1094?\u1077?\u1074?\u1090?\u1080?\u1095?\u1085?\u1072? \u1089?\u1090?\u1088?\u1072?\u1090?\u1077?\u1075?\u1080?\u1103? \u1079?\u1072? \u1045?\u1074?\u1088?\u1086?\u1087?\u1072?"/>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Times New Roman" w:hAnsi="Calibri" w:cs="Times New Roman"/>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FootnoteText">
    <w:name w:val="footnote text"/>
    <w:link w:val="FootnoteTextChar"/>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fr-BE"/>
    </w:rPr>
  </w:style>
  <w:style w:type="character" w:customStyle="1" w:styleId="FootnoteTextChar">
    <w:name w:val="Footnote Text Char"/>
    <w:basedOn w:val="DefaultParagraphFont"/>
    <w:link w:val="FootnoteText"/>
    <w:rPr>
      <w:rFonts w:ascii="Calibri" w:eastAsia="Calibri" w:hAnsi="Calibri" w:cs="Calibri"/>
      <w:color w:val="000000"/>
      <w:sz w:val="20"/>
      <w:szCs w:val="20"/>
      <w:u w:color="000000"/>
      <w:bdr w:val="nil"/>
      <w:lang w:val="bg-BG" w:eastAsia="fr-BE"/>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character" w:customStyle="1" w:styleId="al-author-name-more">
    <w:name w:val="al-author-name-more"/>
    <w:basedOn w:val="DefaultParagraphFont"/>
  </w:style>
  <w:style w:type="character" w:customStyle="1" w:styleId="delimiter">
    <w:name w:val="delimiter"/>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eastAsia="Times New Roman" w:hAnsi="Calibri"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eastAsia="Times New Roman"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360"/>
    </w:pPr>
    <w:rPr>
      <w:rFonts w:ascii="Times New Roman" w:hAnsi="Times New Roman"/>
      <w:sz w:val="24"/>
    </w:rPr>
  </w:style>
  <w:style w:type="character" w:customStyle="1" w:styleId="ListParagraphChar">
    <w:name w:val="List Paragraph Char"/>
    <w:basedOn w:val="DefaultParagraphFont"/>
    <w:link w:val="ListParagraph"/>
    <w:uiPriority w:val="34"/>
    <w:rPr>
      <w:rFonts w:ascii="Calibri" w:eastAsia="Times New Roman" w:hAnsi="Calibri" w:cs="Times New Roman"/>
    </w:rPr>
  </w:style>
  <w:style w:type="character" w:customStyle="1" w:styleId="FooterCoverPageChar">
    <w:name w:val="Footer Cover Page Char"/>
    <w:basedOn w:val="ListParagraphChar"/>
    <w:link w:val="FooterCoverPage"/>
    <w:rPr>
      <w:rFonts w:ascii="Times New Roman" w:eastAsia="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pPr>
    <w:rPr>
      <w:rFonts w:ascii="Times New Roman" w:hAnsi="Times New Roman"/>
      <w:b/>
      <w:sz w:val="32"/>
    </w:rPr>
  </w:style>
  <w:style w:type="character" w:customStyle="1" w:styleId="FooterSensitivityChar">
    <w:name w:val="Footer Sensitivity Char"/>
    <w:basedOn w:val="ListParagraphChar"/>
    <w:link w:val="FooterSensitivity"/>
    <w:rPr>
      <w:rFonts w:ascii="Times New Roman" w:eastAsia="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ind w:hanging="360"/>
      <w:jc w:val="both"/>
    </w:pPr>
    <w:rPr>
      <w:rFonts w:ascii="Times New Roman" w:hAnsi="Times New Roman"/>
      <w:sz w:val="24"/>
    </w:rPr>
  </w:style>
  <w:style w:type="character" w:customStyle="1" w:styleId="HeaderCoverPageChar">
    <w:name w:val="Header Cover Page Char"/>
    <w:basedOn w:val="ListParagraphChar"/>
    <w:link w:val="HeaderCoverPage"/>
    <w:rPr>
      <w:rFonts w:ascii="Times New Roman" w:eastAsia="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hanging="360"/>
      <w:jc w:val="center"/>
    </w:pPr>
    <w:rPr>
      <w:rFonts w:ascii="Times New Roman" w:hAnsi="Times New Roman"/>
      <w:b/>
      <w:sz w:val="32"/>
    </w:rPr>
  </w:style>
  <w:style w:type="character" w:customStyle="1" w:styleId="HeaderSensitivityChar">
    <w:name w:val="Header Sensitivity Char"/>
    <w:basedOn w:val="ListParagraphChar"/>
    <w:link w:val="HeaderSensitivity"/>
    <w:rPr>
      <w:rFonts w:ascii="Times New Roman" w:eastAsia="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basedOn w:val="ListParagraphChar"/>
    <w:link w:val="HeaderSensitivityRight"/>
    <w:rPr>
      <w:rFonts w:ascii="Times New Roman" w:eastAsia="Times New Roman" w:hAnsi="Times New Roman" w:cs="Times New Roman"/>
      <w:sz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titleta">
    <w:name w:val="title_ta"/>
    <w:basedOn w:val="Normal"/>
    <w:pPr>
      <w:spacing w:before="100" w:beforeAutospacing="1" w:after="100" w:afterAutospacing="1"/>
    </w:pPr>
    <w:rPr>
      <w:rFonts w:ascii="Times New Roman" w:hAnsi="Times New Roman"/>
      <w:sz w:val="24"/>
      <w:szCs w:val="24"/>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lang w:eastAsia="en-GB"/>
    </w:rPr>
  </w:style>
  <w:style w:type="paragraph" w:styleId="Revision">
    <w:name w:val="Revision"/>
    <w:hidden/>
    <w:uiPriority w:val="99"/>
    <w:semiHidden/>
    <w:pPr>
      <w:spacing w:after="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character" w:styleId="Strong">
    <w:name w:val="Strong"/>
    <w:basedOn w:val="DefaultParagraphFont"/>
    <w:uiPriority w:val="22"/>
    <w:qFormat/>
    <w:rPr>
      <w:b/>
      <w:bCs/>
    </w:rPr>
  </w:style>
  <w:style w:type="character" w:customStyle="1" w:styleId="A4">
    <w:name w:val="A4"/>
    <w:uiPriority w:val="99"/>
    <w:rPr>
      <w:rFonts w:cs="Trivia Sans Book"/>
      <w:color w:val="221E1F"/>
      <w:sz w:val="16"/>
      <w:szCs w:val="16"/>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eastAsiaTheme="minorHAnsi" w:hAnsi="Times New Roman"/>
      <w:sz w:val="24"/>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styleId="PlainText">
    <w:name w:val="Plain Text"/>
    <w:basedOn w:val="Normal"/>
    <w:link w:val="PlainTextChar"/>
    <w:uiPriority w:val="99"/>
    <w:unhideWhenUsed/>
    <w:pPr>
      <w:spacing w:after="0" w:line="240" w:lineRule="auto"/>
    </w:pPr>
    <w:rPr>
      <w:rFonts w:eastAsiaTheme="minorHAnsi" w:cs="Calibri"/>
    </w:rPr>
  </w:style>
  <w:style w:type="character" w:customStyle="1" w:styleId="PlainTextChar">
    <w:name w:val="Plain Text Char"/>
    <w:basedOn w:val="DefaultParagraphFont"/>
    <w:link w:val="PlainText"/>
    <w:uiPriority w:val="99"/>
    <w:rPr>
      <w:rFonts w:ascii="Calibri" w:hAnsi="Calibri" w:cs="Calibri"/>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
    <w:name w:val="ABC"/>
    <w:basedOn w:val="Normal"/>
    <w:link w:val="ABCChar"/>
    <w:qFormat/>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720" w:hanging="720"/>
      <w:jc w:val="both"/>
    </w:pPr>
    <w:rPr>
      <w:rFonts w:ascii="Times New Roman" w:hAnsi="Times New Roman"/>
      <w:sz w:val="24"/>
      <w:szCs w:val="24"/>
    </w:rPr>
  </w:style>
  <w:style w:type="character" w:customStyle="1" w:styleId="ABCChar">
    <w:name w:val="ABC Char"/>
    <w:basedOn w:val="DefaultParagraphFont"/>
    <w:link w:val="ABC"/>
    <w:rPr>
      <w:rFonts w:ascii="Times New Roman" w:eastAsia="Times New Roman" w:hAnsi="Times New Roman" w:cs="Times New Roman"/>
      <w:sz w:val="24"/>
      <w:szCs w:val="24"/>
      <w:shd w:val="clear" w:color="auto" w:fill="D9D9D9" w:themeFill="background1" w:themeFillShade="D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Times New Roman" w:hAnsi="Calibri" w:cs="Times New Roman"/>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FootnoteText">
    <w:name w:val="footnote text"/>
    <w:link w:val="FootnoteTextChar"/>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fr-BE"/>
    </w:rPr>
  </w:style>
  <w:style w:type="character" w:customStyle="1" w:styleId="FootnoteTextChar">
    <w:name w:val="Footnote Text Char"/>
    <w:basedOn w:val="DefaultParagraphFont"/>
    <w:link w:val="FootnoteText"/>
    <w:rPr>
      <w:rFonts w:ascii="Calibri" w:eastAsia="Calibri" w:hAnsi="Calibri" w:cs="Calibri"/>
      <w:color w:val="000000"/>
      <w:sz w:val="20"/>
      <w:szCs w:val="20"/>
      <w:u w:color="000000"/>
      <w:bdr w:val="nil"/>
      <w:lang w:val="bg-BG" w:eastAsia="fr-BE"/>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character" w:customStyle="1" w:styleId="al-author-name-more">
    <w:name w:val="al-author-name-more"/>
    <w:basedOn w:val="DefaultParagraphFont"/>
  </w:style>
  <w:style w:type="character" w:customStyle="1" w:styleId="delimiter">
    <w:name w:val="delimiter"/>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eastAsia="Times New Roman" w:hAnsi="Calibri"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eastAsia="Times New Roman"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360"/>
    </w:pPr>
    <w:rPr>
      <w:rFonts w:ascii="Times New Roman" w:hAnsi="Times New Roman"/>
      <w:sz w:val="24"/>
    </w:rPr>
  </w:style>
  <w:style w:type="character" w:customStyle="1" w:styleId="ListParagraphChar">
    <w:name w:val="List Paragraph Char"/>
    <w:basedOn w:val="DefaultParagraphFont"/>
    <w:link w:val="ListParagraph"/>
    <w:uiPriority w:val="34"/>
    <w:rPr>
      <w:rFonts w:ascii="Calibri" w:eastAsia="Times New Roman" w:hAnsi="Calibri" w:cs="Times New Roman"/>
    </w:rPr>
  </w:style>
  <w:style w:type="character" w:customStyle="1" w:styleId="FooterCoverPageChar">
    <w:name w:val="Footer Cover Page Char"/>
    <w:basedOn w:val="ListParagraphChar"/>
    <w:link w:val="FooterCoverPage"/>
    <w:rPr>
      <w:rFonts w:ascii="Times New Roman" w:eastAsia="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pPr>
    <w:rPr>
      <w:rFonts w:ascii="Times New Roman" w:hAnsi="Times New Roman"/>
      <w:b/>
      <w:sz w:val="32"/>
    </w:rPr>
  </w:style>
  <w:style w:type="character" w:customStyle="1" w:styleId="FooterSensitivityChar">
    <w:name w:val="Footer Sensitivity Char"/>
    <w:basedOn w:val="ListParagraphChar"/>
    <w:link w:val="FooterSensitivity"/>
    <w:rPr>
      <w:rFonts w:ascii="Times New Roman" w:eastAsia="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ind w:hanging="360"/>
      <w:jc w:val="both"/>
    </w:pPr>
    <w:rPr>
      <w:rFonts w:ascii="Times New Roman" w:hAnsi="Times New Roman"/>
      <w:sz w:val="24"/>
    </w:rPr>
  </w:style>
  <w:style w:type="character" w:customStyle="1" w:styleId="HeaderCoverPageChar">
    <w:name w:val="Header Cover Page Char"/>
    <w:basedOn w:val="ListParagraphChar"/>
    <w:link w:val="HeaderCoverPage"/>
    <w:rPr>
      <w:rFonts w:ascii="Times New Roman" w:eastAsia="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hanging="360"/>
      <w:jc w:val="center"/>
    </w:pPr>
    <w:rPr>
      <w:rFonts w:ascii="Times New Roman" w:hAnsi="Times New Roman"/>
      <w:b/>
      <w:sz w:val="32"/>
    </w:rPr>
  </w:style>
  <w:style w:type="character" w:customStyle="1" w:styleId="HeaderSensitivityChar">
    <w:name w:val="Header Sensitivity Char"/>
    <w:basedOn w:val="ListParagraphChar"/>
    <w:link w:val="HeaderSensitivity"/>
    <w:rPr>
      <w:rFonts w:ascii="Times New Roman" w:eastAsia="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basedOn w:val="ListParagraphChar"/>
    <w:link w:val="HeaderSensitivityRight"/>
    <w:rPr>
      <w:rFonts w:ascii="Times New Roman" w:eastAsia="Times New Roman" w:hAnsi="Times New Roman" w:cs="Times New Roman"/>
      <w:sz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titleta">
    <w:name w:val="title_ta"/>
    <w:basedOn w:val="Normal"/>
    <w:pPr>
      <w:spacing w:before="100" w:beforeAutospacing="1" w:after="100" w:afterAutospacing="1"/>
    </w:pPr>
    <w:rPr>
      <w:rFonts w:ascii="Times New Roman" w:hAnsi="Times New Roman"/>
      <w:sz w:val="24"/>
      <w:szCs w:val="24"/>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lang w:eastAsia="en-GB"/>
    </w:rPr>
  </w:style>
  <w:style w:type="paragraph" w:styleId="Revision">
    <w:name w:val="Revision"/>
    <w:hidden/>
    <w:uiPriority w:val="99"/>
    <w:semiHidden/>
    <w:pPr>
      <w:spacing w:after="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character" w:styleId="Strong">
    <w:name w:val="Strong"/>
    <w:basedOn w:val="DefaultParagraphFont"/>
    <w:uiPriority w:val="22"/>
    <w:qFormat/>
    <w:rPr>
      <w:b/>
      <w:bCs/>
    </w:rPr>
  </w:style>
  <w:style w:type="character" w:customStyle="1" w:styleId="A4">
    <w:name w:val="A4"/>
    <w:uiPriority w:val="99"/>
    <w:rPr>
      <w:rFonts w:cs="Trivia Sans Book"/>
      <w:color w:val="221E1F"/>
      <w:sz w:val="16"/>
      <w:szCs w:val="16"/>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eastAsiaTheme="minorHAnsi" w:hAnsi="Times New Roman"/>
      <w:sz w:val="24"/>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styleId="PlainText">
    <w:name w:val="Plain Text"/>
    <w:basedOn w:val="Normal"/>
    <w:link w:val="PlainTextChar"/>
    <w:uiPriority w:val="99"/>
    <w:unhideWhenUsed/>
    <w:pPr>
      <w:spacing w:after="0" w:line="240" w:lineRule="auto"/>
    </w:pPr>
    <w:rPr>
      <w:rFonts w:eastAsiaTheme="minorHAnsi" w:cs="Calibri"/>
    </w:rPr>
  </w:style>
  <w:style w:type="character" w:customStyle="1" w:styleId="PlainTextChar">
    <w:name w:val="Plain Text Char"/>
    <w:basedOn w:val="DefaultParagraphFont"/>
    <w:link w:val="PlainText"/>
    <w:uiPriority w:val="99"/>
    <w:rPr>
      <w:rFonts w:ascii="Calibri" w:hAnsi="Calibri" w:cs="Calibri"/>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
    <w:name w:val="ABC"/>
    <w:basedOn w:val="Normal"/>
    <w:link w:val="ABCChar"/>
    <w:qFormat/>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720" w:hanging="720"/>
      <w:jc w:val="both"/>
    </w:pPr>
    <w:rPr>
      <w:rFonts w:ascii="Times New Roman" w:hAnsi="Times New Roman"/>
      <w:sz w:val="24"/>
      <w:szCs w:val="24"/>
    </w:rPr>
  </w:style>
  <w:style w:type="character" w:customStyle="1" w:styleId="ABCChar">
    <w:name w:val="ABC Char"/>
    <w:basedOn w:val="DefaultParagraphFont"/>
    <w:link w:val="ABC"/>
    <w:rPr>
      <w:rFonts w:ascii="Times New Roman" w:eastAsia="Times New Roman" w:hAnsi="Times New Roman" w:cs="Times New Roman"/>
      <w:sz w:val="24"/>
      <w:szCs w:val="24"/>
      <w:shd w:val="clear" w:color="auto" w:fill="D9D9D9" w:themeFill="background1" w:themeFillShade="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7273">
      <w:bodyDiv w:val="1"/>
      <w:marLeft w:val="0"/>
      <w:marRight w:val="0"/>
      <w:marTop w:val="0"/>
      <w:marBottom w:val="0"/>
      <w:divBdr>
        <w:top w:val="none" w:sz="0" w:space="0" w:color="auto"/>
        <w:left w:val="none" w:sz="0" w:space="0" w:color="auto"/>
        <w:bottom w:val="none" w:sz="0" w:space="0" w:color="auto"/>
        <w:right w:val="none" w:sz="0" w:space="0" w:color="auto"/>
      </w:divBdr>
    </w:div>
    <w:div w:id="188107867">
      <w:bodyDiv w:val="1"/>
      <w:marLeft w:val="0"/>
      <w:marRight w:val="0"/>
      <w:marTop w:val="0"/>
      <w:marBottom w:val="0"/>
      <w:divBdr>
        <w:top w:val="none" w:sz="0" w:space="0" w:color="auto"/>
        <w:left w:val="none" w:sz="0" w:space="0" w:color="auto"/>
        <w:bottom w:val="none" w:sz="0" w:space="0" w:color="auto"/>
        <w:right w:val="none" w:sz="0" w:space="0" w:color="auto"/>
      </w:divBdr>
    </w:div>
    <w:div w:id="228394357">
      <w:bodyDiv w:val="1"/>
      <w:marLeft w:val="0"/>
      <w:marRight w:val="0"/>
      <w:marTop w:val="0"/>
      <w:marBottom w:val="0"/>
      <w:divBdr>
        <w:top w:val="none" w:sz="0" w:space="0" w:color="auto"/>
        <w:left w:val="none" w:sz="0" w:space="0" w:color="auto"/>
        <w:bottom w:val="none" w:sz="0" w:space="0" w:color="auto"/>
        <w:right w:val="none" w:sz="0" w:space="0" w:color="auto"/>
      </w:divBdr>
    </w:div>
    <w:div w:id="235482372">
      <w:bodyDiv w:val="1"/>
      <w:marLeft w:val="0"/>
      <w:marRight w:val="0"/>
      <w:marTop w:val="0"/>
      <w:marBottom w:val="0"/>
      <w:divBdr>
        <w:top w:val="none" w:sz="0" w:space="0" w:color="auto"/>
        <w:left w:val="none" w:sz="0" w:space="0" w:color="auto"/>
        <w:bottom w:val="none" w:sz="0" w:space="0" w:color="auto"/>
        <w:right w:val="none" w:sz="0" w:space="0" w:color="auto"/>
      </w:divBdr>
    </w:div>
    <w:div w:id="239874553">
      <w:bodyDiv w:val="1"/>
      <w:marLeft w:val="0"/>
      <w:marRight w:val="0"/>
      <w:marTop w:val="0"/>
      <w:marBottom w:val="0"/>
      <w:divBdr>
        <w:top w:val="none" w:sz="0" w:space="0" w:color="auto"/>
        <w:left w:val="none" w:sz="0" w:space="0" w:color="auto"/>
        <w:bottom w:val="none" w:sz="0" w:space="0" w:color="auto"/>
        <w:right w:val="none" w:sz="0" w:space="0" w:color="auto"/>
      </w:divBdr>
    </w:div>
    <w:div w:id="320357642">
      <w:bodyDiv w:val="1"/>
      <w:marLeft w:val="0"/>
      <w:marRight w:val="0"/>
      <w:marTop w:val="0"/>
      <w:marBottom w:val="0"/>
      <w:divBdr>
        <w:top w:val="none" w:sz="0" w:space="0" w:color="auto"/>
        <w:left w:val="none" w:sz="0" w:space="0" w:color="auto"/>
        <w:bottom w:val="none" w:sz="0" w:space="0" w:color="auto"/>
        <w:right w:val="none" w:sz="0" w:space="0" w:color="auto"/>
      </w:divBdr>
    </w:div>
    <w:div w:id="328602419">
      <w:bodyDiv w:val="1"/>
      <w:marLeft w:val="0"/>
      <w:marRight w:val="0"/>
      <w:marTop w:val="0"/>
      <w:marBottom w:val="0"/>
      <w:divBdr>
        <w:top w:val="none" w:sz="0" w:space="0" w:color="auto"/>
        <w:left w:val="none" w:sz="0" w:space="0" w:color="auto"/>
        <w:bottom w:val="none" w:sz="0" w:space="0" w:color="auto"/>
        <w:right w:val="none" w:sz="0" w:space="0" w:color="auto"/>
      </w:divBdr>
    </w:div>
    <w:div w:id="339354772">
      <w:bodyDiv w:val="1"/>
      <w:marLeft w:val="0"/>
      <w:marRight w:val="0"/>
      <w:marTop w:val="0"/>
      <w:marBottom w:val="0"/>
      <w:divBdr>
        <w:top w:val="none" w:sz="0" w:space="0" w:color="auto"/>
        <w:left w:val="none" w:sz="0" w:space="0" w:color="auto"/>
        <w:bottom w:val="none" w:sz="0" w:space="0" w:color="auto"/>
        <w:right w:val="none" w:sz="0" w:space="0" w:color="auto"/>
      </w:divBdr>
    </w:div>
    <w:div w:id="474638966">
      <w:bodyDiv w:val="1"/>
      <w:marLeft w:val="0"/>
      <w:marRight w:val="0"/>
      <w:marTop w:val="0"/>
      <w:marBottom w:val="0"/>
      <w:divBdr>
        <w:top w:val="none" w:sz="0" w:space="0" w:color="auto"/>
        <w:left w:val="none" w:sz="0" w:space="0" w:color="auto"/>
        <w:bottom w:val="none" w:sz="0" w:space="0" w:color="auto"/>
        <w:right w:val="none" w:sz="0" w:space="0" w:color="auto"/>
      </w:divBdr>
    </w:div>
    <w:div w:id="527836311">
      <w:bodyDiv w:val="1"/>
      <w:marLeft w:val="0"/>
      <w:marRight w:val="0"/>
      <w:marTop w:val="0"/>
      <w:marBottom w:val="0"/>
      <w:divBdr>
        <w:top w:val="none" w:sz="0" w:space="0" w:color="auto"/>
        <w:left w:val="none" w:sz="0" w:space="0" w:color="auto"/>
        <w:bottom w:val="none" w:sz="0" w:space="0" w:color="auto"/>
        <w:right w:val="none" w:sz="0" w:space="0" w:color="auto"/>
      </w:divBdr>
    </w:div>
    <w:div w:id="565920204">
      <w:bodyDiv w:val="1"/>
      <w:marLeft w:val="0"/>
      <w:marRight w:val="0"/>
      <w:marTop w:val="0"/>
      <w:marBottom w:val="0"/>
      <w:divBdr>
        <w:top w:val="none" w:sz="0" w:space="0" w:color="auto"/>
        <w:left w:val="none" w:sz="0" w:space="0" w:color="auto"/>
        <w:bottom w:val="none" w:sz="0" w:space="0" w:color="auto"/>
        <w:right w:val="none" w:sz="0" w:space="0" w:color="auto"/>
      </w:divBdr>
    </w:div>
    <w:div w:id="846870761">
      <w:bodyDiv w:val="1"/>
      <w:marLeft w:val="0"/>
      <w:marRight w:val="0"/>
      <w:marTop w:val="0"/>
      <w:marBottom w:val="0"/>
      <w:divBdr>
        <w:top w:val="none" w:sz="0" w:space="0" w:color="auto"/>
        <w:left w:val="none" w:sz="0" w:space="0" w:color="auto"/>
        <w:bottom w:val="none" w:sz="0" w:space="0" w:color="auto"/>
        <w:right w:val="none" w:sz="0" w:space="0" w:color="auto"/>
      </w:divBdr>
    </w:div>
    <w:div w:id="895706958">
      <w:bodyDiv w:val="1"/>
      <w:marLeft w:val="0"/>
      <w:marRight w:val="0"/>
      <w:marTop w:val="0"/>
      <w:marBottom w:val="0"/>
      <w:divBdr>
        <w:top w:val="none" w:sz="0" w:space="0" w:color="auto"/>
        <w:left w:val="none" w:sz="0" w:space="0" w:color="auto"/>
        <w:bottom w:val="none" w:sz="0" w:space="0" w:color="auto"/>
        <w:right w:val="none" w:sz="0" w:space="0" w:color="auto"/>
      </w:divBdr>
    </w:div>
    <w:div w:id="899095842">
      <w:bodyDiv w:val="1"/>
      <w:marLeft w:val="0"/>
      <w:marRight w:val="0"/>
      <w:marTop w:val="0"/>
      <w:marBottom w:val="0"/>
      <w:divBdr>
        <w:top w:val="none" w:sz="0" w:space="0" w:color="auto"/>
        <w:left w:val="none" w:sz="0" w:space="0" w:color="auto"/>
        <w:bottom w:val="none" w:sz="0" w:space="0" w:color="auto"/>
        <w:right w:val="none" w:sz="0" w:space="0" w:color="auto"/>
      </w:divBdr>
    </w:div>
    <w:div w:id="928319203">
      <w:bodyDiv w:val="1"/>
      <w:marLeft w:val="0"/>
      <w:marRight w:val="0"/>
      <w:marTop w:val="0"/>
      <w:marBottom w:val="0"/>
      <w:divBdr>
        <w:top w:val="none" w:sz="0" w:space="0" w:color="auto"/>
        <w:left w:val="none" w:sz="0" w:space="0" w:color="auto"/>
        <w:bottom w:val="none" w:sz="0" w:space="0" w:color="auto"/>
        <w:right w:val="none" w:sz="0" w:space="0" w:color="auto"/>
      </w:divBdr>
    </w:div>
    <w:div w:id="1119836835">
      <w:bodyDiv w:val="1"/>
      <w:marLeft w:val="0"/>
      <w:marRight w:val="0"/>
      <w:marTop w:val="0"/>
      <w:marBottom w:val="0"/>
      <w:divBdr>
        <w:top w:val="none" w:sz="0" w:space="0" w:color="auto"/>
        <w:left w:val="none" w:sz="0" w:space="0" w:color="auto"/>
        <w:bottom w:val="none" w:sz="0" w:space="0" w:color="auto"/>
        <w:right w:val="none" w:sz="0" w:space="0" w:color="auto"/>
      </w:divBdr>
    </w:div>
    <w:div w:id="1161695149">
      <w:bodyDiv w:val="1"/>
      <w:marLeft w:val="0"/>
      <w:marRight w:val="0"/>
      <w:marTop w:val="0"/>
      <w:marBottom w:val="0"/>
      <w:divBdr>
        <w:top w:val="none" w:sz="0" w:space="0" w:color="auto"/>
        <w:left w:val="none" w:sz="0" w:space="0" w:color="auto"/>
        <w:bottom w:val="none" w:sz="0" w:space="0" w:color="auto"/>
        <w:right w:val="none" w:sz="0" w:space="0" w:color="auto"/>
      </w:divBdr>
    </w:div>
    <w:div w:id="1191916664">
      <w:bodyDiv w:val="1"/>
      <w:marLeft w:val="0"/>
      <w:marRight w:val="0"/>
      <w:marTop w:val="0"/>
      <w:marBottom w:val="0"/>
      <w:divBdr>
        <w:top w:val="none" w:sz="0" w:space="0" w:color="auto"/>
        <w:left w:val="none" w:sz="0" w:space="0" w:color="auto"/>
        <w:bottom w:val="none" w:sz="0" w:space="0" w:color="auto"/>
        <w:right w:val="none" w:sz="0" w:space="0" w:color="auto"/>
      </w:divBdr>
    </w:div>
    <w:div w:id="1206716867">
      <w:bodyDiv w:val="1"/>
      <w:marLeft w:val="0"/>
      <w:marRight w:val="0"/>
      <w:marTop w:val="0"/>
      <w:marBottom w:val="0"/>
      <w:divBdr>
        <w:top w:val="none" w:sz="0" w:space="0" w:color="auto"/>
        <w:left w:val="none" w:sz="0" w:space="0" w:color="auto"/>
        <w:bottom w:val="none" w:sz="0" w:space="0" w:color="auto"/>
        <w:right w:val="none" w:sz="0" w:space="0" w:color="auto"/>
      </w:divBdr>
    </w:div>
    <w:div w:id="1422288767">
      <w:bodyDiv w:val="1"/>
      <w:marLeft w:val="0"/>
      <w:marRight w:val="0"/>
      <w:marTop w:val="0"/>
      <w:marBottom w:val="0"/>
      <w:divBdr>
        <w:top w:val="none" w:sz="0" w:space="0" w:color="auto"/>
        <w:left w:val="none" w:sz="0" w:space="0" w:color="auto"/>
        <w:bottom w:val="none" w:sz="0" w:space="0" w:color="auto"/>
        <w:right w:val="none" w:sz="0" w:space="0" w:color="auto"/>
      </w:divBdr>
    </w:div>
    <w:div w:id="1456868286">
      <w:bodyDiv w:val="1"/>
      <w:marLeft w:val="0"/>
      <w:marRight w:val="0"/>
      <w:marTop w:val="0"/>
      <w:marBottom w:val="0"/>
      <w:divBdr>
        <w:top w:val="none" w:sz="0" w:space="0" w:color="auto"/>
        <w:left w:val="none" w:sz="0" w:space="0" w:color="auto"/>
        <w:bottom w:val="none" w:sz="0" w:space="0" w:color="auto"/>
        <w:right w:val="none" w:sz="0" w:space="0" w:color="auto"/>
      </w:divBdr>
    </w:div>
    <w:div w:id="1570773361">
      <w:bodyDiv w:val="1"/>
      <w:marLeft w:val="0"/>
      <w:marRight w:val="0"/>
      <w:marTop w:val="0"/>
      <w:marBottom w:val="0"/>
      <w:divBdr>
        <w:top w:val="none" w:sz="0" w:space="0" w:color="auto"/>
        <w:left w:val="none" w:sz="0" w:space="0" w:color="auto"/>
        <w:bottom w:val="none" w:sz="0" w:space="0" w:color="auto"/>
        <w:right w:val="none" w:sz="0" w:space="0" w:color="auto"/>
      </w:divBdr>
    </w:div>
    <w:div w:id="1592084546">
      <w:bodyDiv w:val="1"/>
      <w:marLeft w:val="0"/>
      <w:marRight w:val="0"/>
      <w:marTop w:val="0"/>
      <w:marBottom w:val="0"/>
      <w:divBdr>
        <w:top w:val="none" w:sz="0" w:space="0" w:color="auto"/>
        <w:left w:val="none" w:sz="0" w:space="0" w:color="auto"/>
        <w:bottom w:val="none" w:sz="0" w:space="0" w:color="auto"/>
        <w:right w:val="none" w:sz="0" w:space="0" w:color="auto"/>
      </w:divBdr>
    </w:div>
    <w:div w:id="1644769471">
      <w:bodyDiv w:val="1"/>
      <w:marLeft w:val="0"/>
      <w:marRight w:val="0"/>
      <w:marTop w:val="0"/>
      <w:marBottom w:val="0"/>
      <w:divBdr>
        <w:top w:val="none" w:sz="0" w:space="0" w:color="auto"/>
        <w:left w:val="none" w:sz="0" w:space="0" w:color="auto"/>
        <w:bottom w:val="none" w:sz="0" w:space="0" w:color="auto"/>
        <w:right w:val="none" w:sz="0" w:space="0" w:color="auto"/>
      </w:divBdr>
    </w:div>
    <w:div w:id="1778213536">
      <w:bodyDiv w:val="1"/>
      <w:marLeft w:val="0"/>
      <w:marRight w:val="0"/>
      <w:marTop w:val="0"/>
      <w:marBottom w:val="0"/>
      <w:divBdr>
        <w:top w:val="none" w:sz="0" w:space="0" w:color="auto"/>
        <w:left w:val="none" w:sz="0" w:space="0" w:color="auto"/>
        <w:bottom w:val="none" w:sz="0" w:space="0" w:color="auto"/>
        <w:right w:val="none" w:sz="0" w:space="0" w:color="auto"/>
      </w:divBdr>
    </w:div>
    <w:div w:id="1790510097">
      <w:bodyDiv w:val="1"/>
      <w:marLeft w:val="0"/>
      <w:marRight w:val="0"/>
      <w:marTop w:val="0"/>
      <w:marBottom w:val="0"/>
      <w:divBdr>
        <w:top w:val="none" w:sz="0" w:space="0" w:color="auto"/>
        <w:left w:val="none" w:sz="0" w:space="0" w:color="auto"/>
        <w:bottom w:val="none" w:sz="0" w:space="0" w:color="auto"/>
        <w:right w:val="none" w:sz="0" w:space="0" w:color="auto"/>
      </w:divBdr>
    </w:div>
    <w:div w:id="1798526053">
      <w:bodyDiv w:val="1"/>
      <w:marLeft w:val="0"/>
      <w:marRight w:val="0"/>
      <w:marTop w:val="0"/>
      <w:marBottom w:val="0"/>
      <w:divBdr>
        <w:top w:val="none" w:sz="0" w:space="0" w:color="auto"/>
        <w:left w:val="none" w:sz="0" w:space="0" w:color="auto"/>
        <w:bottom w:val="none" w:sz="0" w:space="0" w:color="auto"/>
        <w:right w:val="none" w:sz="0" w:space="0" w:color="auto"/>
      </w:divBdr>
    </w:div>
    <w:div w:id="1798641106">
      <w:bodyDiv w:val="1"/>
      <w:marLeft w:val="0"/>
      <w:marRight w:val="0"/>
      <w:marTop w:val="0"/>
      <w:marBottom w:val="0"/>
      <w:divBdr>
        <w:top w:val="none" w:sz="0" w:space="0" w:color="auto"/>
        <w:left w:val="none" w:sz="0" w:space="0" w:color="auto"/>
        <w:bottom w:val="none" w:sz="0" w:space="0" w:color="auto"/>
        <w:right w:val="none" w:sz="0" w:space="0" w:color="auto"/>
      </w:divBdr>
    </w:div>
    <w:div w:id="1836456132">
      <w:bodyDiv w:val="1"/>
      <w:marLeft w:val="0"/>
      <w:marRight w:val="0"/>
      <w:marTop w:val="0"/>
      <w:marBottom w:val="0"/>
      <w:divBdr>
        <w:top w:val="none" w:sz="0" w:space="0" w:color="auto"/>
        <w:left w:val="none" w:sz="0" w:space="0" w:color="auto"/>
        <w:bottom w:val="none" w:sz="0" w:space="0" w:color="auto"/>
        <w:right w:val="none" w:sz="0" w:space="0" w:color="auto"/>
      </w:divBdr>
    </w:div>
    <w:div w:id="1837186246">
      <w:bodyDiv w:val="1"/>
      <w:marLeft w:val="0"/>
      <w:marRight w:val="0"/>
      <w:marTop w:val="0"/>
      <w:marBottom w:val="0"/>
      <w:divBdr>
        <w:top w:val="none" w:sz="0" w:space="0" w:color="auto"/>
        <w:left w:val="none" w:sz="0" w:space="0" w:color="auto"/>
        <w:bottom w:val="none" w:sz="0" w:space="0" w:color="auto"/>
        <w:right w:val="none" w:sz="0" w:space="0" w:color="auto"/>
      </w:divBdr>
    </w:div>
    <w:div w:id="1871843756">
      <w:bodyDiv w:val="1"/>
      <w:marLeft w:val="0"/>
      <w:marRight w:val="0"/>
      <w:marTop w:val="0"/>
      <w:marBottom w:val="0"/>
      <w:divBdr>
        <w:top w:val="none" w:sz="0" w:space="0" w:color="auto"/>
        <w:left w:val="none" w:sz="0" w:space="0" w:color="auto"/>
        <w:bottom w:val="none" w:sz="0" w:space="0" w:color="auto"/>
        <w:right w:val="none" w:sz="0" w:space="0" w:color="auto"/>
      </w:divBdr>
    </w:div>
    <w:div w:id="1903130927">
      <w:bodyDiv w:val="1"/>
      <w:marLeft w:val="0"/>
      <w:marRight w:val="0"/>
      <w:marTop w:val="0"/>
      <w:marBottom w:val="0"/>
      <w:divBdr>
        <w:top w:val="none" w:sz="0" w:space="0" w:color="auto"/>
        <w:left w:val="none" w:sz="0" w:space="0" w:color="auto"/>
        <w:bottom w:val="none" w:sz="0" w:space="0" w:color="auto"/>
        <w:right w:val="none" w:sz="0" w:space="0" w:color="auto"/>
      </w:divBdr>
    </w:div>
    <w:div w:id="1936554984">
      <w:bodyDiv w:val="1"/>
      <w:marLeft w:val="0"/>
      <w:marRight w:val="0"/>
      <w:marTop w:val="0"/>
      <w:marBottom w:val="0"/>
      <w:divBdr>
        <w:top w:val="none" w:sz="0" w:space="0" w:color="auto"/>
        <w:left w:val="none" w:sz="0" w:space="0" w:color="auto"/>
        <w:bottom w:val="none" w:sz="0" w:space="0" w:color="auto"/>
        <w:right w:val="none" w:sz="0" w:space="0" w:color="auto"/>
      </w:divBdr>
    </w:div>
    <w:div w:id="1957253521">
      <w:bodyDiv w:val="1"/>
      <w:marLeft w:val="0"/>
      <w:marRight w:val="0"/>
      <w:marTop w:val="0"/>
      <w:marBottom w:val="0"/>
      <w:divBdr>
        <w:top w:val="none" w:sz="0" w:space="0" w:color="auto"/>
        <w:left w:val="none" w:sz="0" w:space="0" w:color="auto"/>
        <w:bottom w:val="none" w:sz="0" w:space="0" w:color="auto"/>
        <w:right w:val="none" w:sz="0" w:space="0" w:color="auto"/>
      </w:divBdr>
    </w:div>
    <w:div w:id="1961647764">
      <w:bodyDiv w:val="1"/>
      <w:marLeft w:val="0"/>
      <w:marRight w:val="0"/>
      <w:marTop w:val="0"/>
      <w:marBottom w:val="0"/>
      <w:divBdr>
        <w:top w:val="none" w:sz="0" w:space="0" w:color="auto"/>
        <w:left w:val="none" w:sz="0" w:space="0" w:color="auto"/>
        <w:bottom w:val="none" w:sz="0" w:space="0" w:color="auto"/>
        <w:right w:val="none" w:sz="0" w:space="0" w:color="auto"/>
      </w:divBdr>
    </w:div>
    <w:div w:id="1971980846">
      <w:bodyDiv w:val="1"/>
      <w:marLeft w:val="0"/>
      <w:marRight w:val="0"/>
      <w:marTop w:val="0"/>
      <w:marBottom w:val="0"/>
      <w:divBdr>
        <w:top w:val="none" w:sz="0" w:space="0" w:color="auto"/>
        <w:left w:val="none" w:sz="0" w:space="0" w:color="auto"/>
        <w:bottom w:val="none" w:sz="0" w:space="0" w:color="auto"/>
        <w:right w:val="none" w:sz="0" w:space="0" w:color="auto"/>
      </w:divBdr>
    </w:div>
    <w:div w:id="1990748069">
      <w:bodyDiv w:val="1"/>
      <w:marLeft w:val="0"/>
      <w:marRight w:val="0"/>
      <w:marTop w:val="0"/>
      <w:marBottom w:val="0"/>
      <w:divBdr>
        <w:top w:val="none" w:sz="0" w:space="0" w:color="auto"/>
        <w:left w:val="none" w:sz="0" w:space="0" w:color="auto"/>
        <w:bottom w:val="none" w:sz="0" w:space="0" w:color="auto"/>
        <w:right w:val="none" w:sz="0" w:space="0" w:color="auto"/>
      </w:divBdr>
    </w:div>
    <w:div w:id="1998610679">
      <w:bodyDiv w:val="1"/>
      <w:marLeft w:val="0"/>
      <w:marRight w:val="0"/>
      <w:marTop w:val="0"/>
      <w:marBottom w:val="0"/>
      <w:divBdr>
        <w:top w:val="none" w:sz="0" w:space="0" w:color="auto"/>
        <w:left w:val="none" w:sz="0" w:space="0" w:color="auto"/>
        <w:bottom w:val="none" w:sz="0" w:space="0" w:color="auto"/>
        <w:right w:val="none" w:sz="0" w:space="0" w:color="auto"/>
      </w:divBdr>
    </w:div>
    <w:div w:id="207542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BG/TXT/?uri=uriserv:OJ.C_.2020.375.01.0001.01.ENG&amp;toc=OJ:C:2020:375:FULL" TargetMode="External"/><Relationship Id="rId3" Type="http://schemas.openxmlformats.org/officeDocument/2006/relationships/hyperlink" Target="https://ec.europa.eu/health/sites/health/files/antimicrobial_resistance/docs/amr_2017_action-plan.pdf" TargetMode="External"/><Relationship Id="rId7" Type="http://schemas.openxmlformats.org/officeDocument/2006/relationships/hyperlink" Target="https://www.ema.europa.eu/en/human-regulatory/post-authorisation/referral-procedures/nitrosamine-impurities" TargetMode="External"/><Relationship Id="rId2" Type="http://schemas.openxmlformats.org/officeDocument/2006/relationships/hyperlink" Target="https://ec.europa.eu/health/sites/health/files/antimicrobial_resistance/docs/amr_2017_action-plan.pdf" TargetMode="External"/><Relationship Id="rId1" Type="http://schemas.openxmlformats.org/officeDocument/2006/relationships/hyperlink" Target="https://ec.europa.eu/social/main.jsp?catId=1226&amp;langId=bg" TargetMode="External"/><Relationship Id="rId6" Type="http://schemas.openxmlformats.org/officeDocument/2006/relationships/hyperlink" Target="https://ec.europa.eu/digital-single-market/en/european-1-million-genomes-initiative" TargetMode="External"/><Relationship Id="rId5" Type="http://schemas.openxmlformats.org/officeDocument/2006/relationships/hyperlink" Target="https://ec.europa.eu/digital-single-market/en/startup-europe" TargetMode="External"/><Relationship Id="rId4" Type="http://schemas.openxmlformats.org/officeDocument/2006/relationships/hyperlink" Target="https://beneluxa.org/collaboration" TargetMode="External"/><Relationship Id="rId9" Type="http://schemas.openxmlformats.org/officeDocument/2006/relationships/hyperlink" Target="https://ec.europa.eu/environment/water/water-dangersub/pharmaceutic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CB320-8D93-4DA8-902D-C074AF262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11301</Words>
  <Characters>70183</Characters>
  <Application>Microsoft Office Word</Application>
  <DocSecurity>0</DocSecurity>
  <Lines>1150</Lines>
  <Paragraphs>216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2020-11-23T14:53:00Z</dcterms:created>
  <dcterms:modified xsi:type="dcterms:W3CDTF">2020-11-27T08:45:00Z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