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031A6A8-E18A-4CBD-972B-F023024E1147" style="width:450.4pt;height:46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rPr>
          <w:noProof/>
        </w:rPr>
      </w:pPr>
    </w:p>
    <w:p>
      <w:pPr>
        <w:spacing w:after="0"/>
        <w:jc w:val="center"/>
        <w:rPr>
          <w:rFonts w:eastAsia="Times New Roman"/>
          <w:b/>
          <w:noProof/>
          <w:color w:val="000000"/>
          <w:szCs w:val="24"/>
        </w:rPr>
      </w:pPr>
      <w:r>
        <w:rPr>
          <w:rFonts w:eastAsia="Times New Roman"/>
          <w:b/>
          <w:noProof/>
          <w:color w:val="000000"/>
          <w:szCs w:val="24"/>
        </w:rPr>
        <w:t>Decision No …/2020 of the Joint Committee established by the Agreement on the withdrawal of the United Kingdom of Great Britain and Northern Ireland from the European Union and the European Atomic Energy Community</w:t>
      </w:r>
    </w:p>
    <w:p>
      <w:pPr>
        <w:spacing w:before="240"/>
        <w:jc w:val="center"/>
        <w:rPr>
          <w:rFonts w:eastAsia="Times New Roman"/>
          <w:b/>
          <w:bCs/>
          <w:noProof/>
          <w:color w:val="000000"/>
          <w:szCs w:val="24"/>
        </w:rPr>
      </w:pPr>
      <w:r>
        <w:rPr>
          <w:rFonts w:eastAsia="Times New Roman"/>
          <w:b/>
          <w:bCs/>
          <w:noProof/>
          <w:color w:val="000000"/>
          <w:szCs w:val="24"/>
        </w:rPr>
        <w:t>of …</w:t>
      </w:r>
    </w:p>
    <w:p>
      <w:pPr>
        <w:spacing w:before="240"/>
        <w:jc w:val="center"/>
        <w:rPr>
          <w:rFonts w:ascii="&amp;quot" w:eastAsia="Times New Roman" w:hAnsi="&amp;quot"/>
          <w:b/>
          <w:bCs/>
          <w:noProof/>
          <w:color w:val="000000"/>
          <w:szCs w:val="24"/>
        </w:rPr>
      </w:pPr>
      <w:r>
        <w:rPr>
          <w:b/>
          <w:noProof/>
        </w:rPr>
        <w:t>setting the date from which the provisions of Title III of Part Two of the Agreement shall apply to the nationals of Iceland, the Principality of Liechtenstein, the Kingdom of Norway, and the Swiss Confederation</w:t>
      </w:r>
    </w:p>
    <w:p>
      <w:pPr>
        <w:spacing w:after="0"/>
        <w:rPr>
          <w:rFonts w:eastAsia="Times New Roman"/>
          <w:noProof/>
          <w:color w:val="000000"/>
          <w:szCs w:val="24"/>
        </w:rPr>
      </w:pPr>
      <w:r>
        <w:rPr>
          <w:rFonts w:eastAsia="Times New Roman"/>
          <w:noProof/>
          <w:color w:val="000000"/>
          <w:szCs w:val="24"/>
        </w:rPr>
        <w:t>THE JOINT COMMITTEE,</w:t>
      </w:r>
    </w:p>
    <w:p>
      <w:pPr>
        <w:spacing w:after="0"/>
        <w:rPr>
          <w:rFonts w:eastAsia="Times New Roman"/>
          <w:noProof/>
          <w:color w:val="000000"/>
          <w:szCs w:val="24"/>
        </w:rPr>
      </w:pPr>
      <w:r>
        <w:rPr>
          <w:rFonts w:eastAsia="Times New Roman"/>
          <w:noProof/>
          <w:color w:val="000000"/>
          <w:szCs w:val="24"/>
        </w:rPr>
        <w:t>Having regard to the Agreement on the withdrawal of the United Kingdom of Great Britain and Northern Ireland from the European Union and the European Atomic Energy Community</w:t>
      </w:r>
      <w:r>
        <w:rPr>
          <w:rStyle w:val="FootnoteReference"/>
          <w:rFonts w:eastAsia="Times New Roman"/>
          <w:noProof/>
          <w:color w:val="000000"/>
          <w:szCs w:val="24"/>
        </w:rPr>
        <w:footnoteReference w:id="1"/>
      </w:r>
      <w:r>
        <w:rPr>
          <w:rFonts w:eastAsia="Times New Roman"/>
          <w:noProof/>
          <w:color w:val="000000"/>
          <w:szCs w:val="24"/>
        </w:rPr>
        <w:t xml:space="preserve"> (the ‘Withdrawal Agreement’), and in particular Article 33(2) thereof,</w:t>
      </w:r>
    </w:p>
    <w:p>
      <w:pPr>
        <w:spacing w:after="0"/>
        <w:rPr>
          <w:rFonts w:eastAsia="Times New Roman"/>
          <w:noProof/>
          <w:color w:val="000000"/>
          <w:szCs w:val="24"/>
        </w:rPr>
      </w:pPr>
      <w:r>
        <w:rPr>
          <w:rFonts w:eastAsia="Times New Roman"/>
          <w:noProof/>
          <w:color w:val="000000"/>
          <w:szCs w:val="24"/>
        </w:rPr>
        <w:t>Whereas:</w:t>
      </w:r>
    </w:p>
    <w:p>
      <w:pPr>
        <w:pStyle w:val="Point0"/>
        <w:rPr>
          <w:noProof/>
        </w:rPr>
      </w:pPr>
      <w:r>
        <w:rPr>
          <w:noProof/>
        </w:rPr>
        <w:t>(1)</w:t>
      </w:r>
      <w:r>
        <w:rPr>
          <w:noProof/>
        </w:rPr>
        <w:tab/>
        <w:t>Pursuant to Article 33(1) of the Withdrawal Agreement, the provisions of Title III of Part Two of the Agreement on the coordination of the social security systems, applicable to Union citizens, shall apply to nationals of Iceland, the Principality of Liechtenstein, the Kingdom of Norway, and the Swiss Confederation provided that these states have concluded and apply corresponding agreements, on the one hand, with the United Kingdom which apply to Union citizens and, on the other hand, with the Union which apply to United Kingdom nationals.</w:t>
      </w:r>
    </w:p>
    <w:p>
      <w:pPr>
        <w:pStyle w:val="Point0"/>
        <w:rPr>
          <w:noProof/>
        </w:rPr>
      </w:pPr>
      <w:r>
        <w:rPr>
          <w:noProof/>
        </w:rPr>
        <w:t>(2)</w:t>
      </w:r>
      <w:r>
        <w:rPr>
          <w:noProof/>
        </w:rPr>
        <w:tab/>
        <w:t>Pursuant to Article 33(2) of the Withdrawal Agreement, upon notification from the United Kingdom and from the Union of the date of entry into force of these agreements, the Joint Committee shall set the date from which the provisions of Title III of Part Two of the Agreement shall apply to the nationals of Iceland, the Principality of Liechtenstein, the Kingdom of Norway, and the Swiss Confederation, as applicable.</w:t>
      </w:r>
    </w:p>
    <w:p>
      <w:pPr>
        <w:pStyle w:val="Point0"/>
        <w:rPr>
          <w:noProof/>
        </w:rPr>
      </w:pPr>
      <w:r>
        <w:rPr>
          <w:noProof/>
        </w:rPr>
        <w:t>(3)</w:t>
      </w:r>
      <w:r>
        <w:rPr>
          <w:noProof/>
        </w:rPr>
        <w:tab/>
        <w:t>The Union has concluded corresponding agreements with Iceland, the Principality of Liechtenstein and the Kingdom of Norway</w:t>
      </w:r>
      <w:r>
        <w:rPr>
          <w:rStyle w:val="FootnoteReference"/>
          <w:noProof/>
        </w:rPr>
        <w:footnoteReference w:id="2"/>
      </w:r>
      <w:r>
        <w:rPr>
          <w:noProof/>
        </w:rPr>
        <w:t xml:space="preserve"> and with the Swiss Confederation</w:t>
      </w:r>
      <w:r>
        <w:rPr>
          <w:rStyle w:val="FootnoteReference"/>
          <w:noProof/>
        </w:rPr>
        <w:footnoteReference w:id="3"/>
      </w:r>
      <w:r>
        <w:rPr>
          <w:noProof/>
        </w:rPr>
        <w:t xml:space="preserve"> which apply to United Kingdom nationals. The United Kingdom has concluded corresponding agreements with Iceland, the Principality of Liechtenstein and the Kingdom of Norway</w:t>
      </w:r>
      <w:r>
        <w:rPr>
          <w:rStyle w:val="FootnoteReference"/>
          <w:noProof/>
        </w:rPr>
        <w:footnoteReference w:id="4"/>
      </w:r>
      <w:r>
        <w:rPr>
          <w:noProof/>
        </w:rPr>
        <w:t xml:space="preserve"> and with the Swiss Confederation</w:t>
      </w:r>
      <w:r>
        <w:rPr>
          <w:rStyle w:val="FootnoteReference"/>
          <w:noProof/>
        </w:rPr>
        <w:footnoteReference w:id="5"/>
      </w:r>
      <w:r>
        <w:rPr>
          <w:noProof/>
        </w:rPr>
        <w:t xml:space="preserve"> which apply to Union citizens. </w:t>
      </w:r>
    </w:p>
    <w:p>
      <w:pPr>
        <w:pStyle w:val="Point0"/>
        <w:rPr>
          <w:noProof/>
        </w:rPr>
      </w:pPr>
      <w:r>
        <w:rPr>
          <w:noProof/>
        </w:rPr>
        <w:lastRenderedPageBreak/>
        <w:t>(4)</w:t>
      </w:r>
      <w:r>
        <w:rPr>
          <w:noProof/>
        </w:rPr>
        <w:tab/>
        <w:t xml:space="preserve">In view of the notifications from the United Kingdom and from the Union of the date of entry into force of the agreements referred to in recital (3), the date from which the provisions of Title III of Part Two of the Withdrawal Agreement shall apply to the nationals of Iceland, the Principality of Liechtenstein, the Kingdom of Norway, and the Swiss Confederation, should be 1 January 2021, </w:t>
      </w:r>
    </w:p>
    <w:p>
      <w:pPr>
        <w:spacing w:after="0"/>
        <w:rPr>
          <w:rFonts w:eastAsia="Times New Roman"/>
          <w:noProof/>
          <w:color w:val="000000"/>
          <w:szCs w:val="24"/>
        </w:rPr>
      </w:pPr>
      <w:r>
        <w:rPr>
          <w:rFonts w:eastAsia="Times New Roman"/>
          <w:noProof/>
          <w:color w:val="000000"/>
          <w:szCs w:val="24"/>
        </w:rPr>
        <w:t>HAS ADOPTED THIS DECISION:</w:t>
      </w:r>
    </w:p>
    <w:p>
      <w:pPr>
        <w:keepNext/>
        <w:spacing w:before="360"/>
        <w:jc w:val="center"/>
        <w:rPr>
          <w:rFonts w:eastAsia="Times New Roman"/>
          <w:i/>
          <w:iCs/>
          <w:noProof/>
          <w:color w:val="000000"/>
          <w:szCs w:val="24"/>
        </w:rPr>
      </w:pPr>
      <w:r>
        <w:rPr>
          <w:rFonts w:eastAsia="Times New Roman"/>
          <w:i/>
          <w:iCs/>
          <w:noProof/>
          <w:color w:val="000000"/>
          <w:szCs w:val="24"/>
        </w:rPr>
        <w:t>Article 1</w:t>
      </w:r>
    </w:p>
    <w:p>
      <w:pPr>
        <w:spacing w:before="360"/>
        <w:rPr>
          <w:noProof/>
        </w:rPr>
      </w:pPr>
      <w:r>
        <w:rPr>
          <w:rFonts w:eastAsia="Times New Roman"/>
          <w:noProof/>
          <w:color w:val="000000"/>
          <w:szCs w:val="24"/>
        </w:rPr>
        <w:t>The date from which the provisions of Title III of Part Two of the Withdrawal Agreement shall apply to the nationals of Iceland, the Principality of Liechtenstein, the Kingdom of Norway, and the Swiss Confederation shall be 1 January 2021.</w:t>
      </w:r>
      <w:r>
        <w:rPr>
          <w:noProof/>
        </w:rPr>
        <w:t xml:space="preserve"> </w:t>
      </w:r>
    </w:p>
    <w:p>
      <w:pPr>
        <w:spacing w:before="360"/>
        <w:jc w:val="center"/>
        <w:rPr>
          <w:rFonts w:eastAsia="Times New Roman"/>
          <w:i/>
          <w:iCs/>
          <w:noProof/>
          <w:color w:val="000000"/>
          <w:szCs w:val="24"/>
        </w:rPr>
      </w:pPr>
      <w:r>
        <w:rPr>
          <w:rFonts w:eastAsia="Times New Roman"/>
          <w:i/>
          <w:iCs/>
          <w:noProof/>
          <w:color w:val="000000"/>
          <w:szCs w:val="24"/>
        </w:rPr>
        <w:t>Article 2</w:t>
      </w:r>
    </w:p>
    <w:p>
      <w:pPr>
        <w:spacing w:after="0"/>
        <w:rPr>
          <w:rFonts w:eastAsia="Times New Roman"/>
          <w:noProof/>
          <w:color w:val="000000"/>
          <w:szCs w:val="24"/>
        </w:rPr>
      </w:pPr>
      <w:r>
        <w:rPr>
          <w:rFonts w:eastAsia="Times New Roman"/>
          <w:noProof/>
          <w:color w:val="000000"/>
          <w:szCs w:val="24"/>
        </w:rPr>
        <w:t xml:space="preserve">This Decision shall enter into force on the day of its adoption. </w:t>
      </w:r>
    </w:p>
    <w:p>
      <w:pPr>
        <w:spacing w:after="0"/>
        <w:rPr>
          <w:rFonts w:eastAsia="Times New Roman"/>
          <w:noProof/>
          <w:color w:val="000000"/>
          <w:szCs w:val="24"/>
        </w:rPr>
      </w:pPr>
      <w:r>
        <w:rPr>
          <w:rFonts w:eastAsia="Times New Roman"/>
          <w:noProof/>
          <w:color w:val="000000"/>
          <w:szCs w:val="24"/>
        </w:rPr>
        <w:t>Done at …,</w:t>
      </w:r>
    </w:p>
    <w:p>
      <w:pPr>
        <w:spacing w:before="60" w:after="60"/>
        <w:jc w:val="center"/>
        <w:rPr>
          <w:rFonts w:eastAsia="Times New Roman"/>
          <w:noProof/>
          <w:color w:val="000000"/>
          <w:szCs w:val="24"/>
        </w:rPr>
      </w:pPr>
      <w:r>
        <w:rPr>
          <w:rFonts w:eastAsia="Times New Roman"/>
          <w:i/>
          <w:iCs/>
          <w:noProof/>
          <w:color w:val="000000"/>
          <w:szCs w:val="24"/>
        </w:rPr>
        <w:t>For the Joint Committee</w:t>
      </w:r>
      <w:r>
        <w:rPr>
          <w:rFonts w:eastAsia="Times New Roman"/>
          <w:noProof/>
          <w:color w:val="000000"/>
          <w:szCs w:val="24"/>
        </w:rPr>
        <w:t xml:space="preserve"> </w:t>
      </w:r>
    </w:p>
    <w:p>
      <w:pPr>
        <w:jc w:val="center"/>
        <w:rPr>
          <w:rFonts w:eastAsia="Times New Roman"/>
          <w:i/>
          <w:iCs/>
          <w:noProof/>
          <w:color w:val="000000"/>
          <w:szCs w:val="24"/>
        </w:rPr>
      </w:pPr>
      <w:r>
        <w:rPr>
          <w:rFonts w:eastAsia="Times New Roman"/>
          <w:i/>
          <w:iCs/>
          <w:noProof/>
          <w:color w:val="000000"/>
          <w:szCs w:val="24"/>
        </w:rPr>
        <w:t>The Co-chairs</w:t>
      </w:r>
    </w:p>
    <w:p>
      <w:pPr>
        <w:jc w:val="center"/>
        <w:rPr>
          <w:rFonts w:eastAsia="Times New Roman"/>
          <w:i/>
          <w:iCs/>
          <w:noProof/>
          <w:color w:val="000000"/>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OJ L 29, 31.1.2020, p.7.</w:t>
        </w:r>
      </w:hyperlink>
    </w:p>
  </w:footnote>
  <w:footnote w:id="2">
    <w:p>
      <w:pPr>
        <w:pStyle w:val="FootnoteText"/>
      </w:pPr>
      <w:r>
        <w:rPr>
          <w:rStyle w:val="FootnoteReference"/>
        </w:rPr>
        <w:footnoteRef/>
      </w:r>
      <w:r>
        <w:tab/>
        <w:t>Decision No […] of […] of the EEA Joint Committee amending Annex VI (Social Security) to the EEA Agreement.</w:t>
      </w:r>
    </w:p>
  </w:footnote>
  <w:footnote w:id="3">
    <w:p>
      <w:pPr>
        <w:pStyle w:val="FootnoteText"/>
      </w:pPr>
      <w:r>
        <w:rPr>
          <w:rStyle w:val="FootnoteReference"/>
        </w:rPr>
        <w:footnoteRef/>
      </w:r>
      <w:r>
        <w:tab/>
        <w:t>Decision No .../... of the Joint Committee established under the Agreement between the European Community and its Member States, of the one part, and the Swiss Confederation, of the other, on the free movement of persons of […] amending Annex II to that Agreement on the coordination of social security schemes.</w:t>
      </w:r>
    </w:p>
  </w:footnote>
  <w:footnote w:id="4">
    <w:p>
      <w:pPr>
        <w:pStyle w:val="FootnoteText"/>
      </w:pPr>
      <w:r>
        <w:rPr>
          <w:rStyle w:val="FootnoteReference"/>
        </w:rPr>
        <w:footnoteRef/>
      </w:r>
      <w:r>
        <w:tab/>
        <w:t>Agreement on arrangements between Iceland, the Principality of Liechtenstein, the Kingdom of Norway and the United Kingdom of Great Britain and Northern Ireland following the withdrawal of the United Kingdom from the European Union, the EEA Agreement and other agreements applicable between the United Kingdom and the EEA EFTA States by virtue of the United Kingdom’s membership of the European Union signed in London on 28 January 2020.</w:t>
      </w:r>
    </w:p>
  </w:footnote>
  <w:footnote w:id="5">
    <w:p>
      <w:pPr>
        <w:pStyle w:val="FootnoteText"/>
      </w:pPr>
      <w:r>
        <w:rPr>
          <w:rStyle w:val="FootnoteReference"/>
        </w:rPr>
        <w:footnoteRef/>
      </w:r>
      <w:r>
        <w:tab/>
        <w:t>Agreement between the United Kingdom of Great Britain and Northern Ireland and the Swiss Confederation on Citizens’ Rights following the Withdrawal of the United Kingdom from the European Union and the Free Movement of Persons Agreement signed in Bern on 25 February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C67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DC7C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A9E6E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02FB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BC53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CF2AC9A"/>
    <w:lvl w:ilvl="0">
      <w:start w:val="1"/>
      <w:numFmt w:val="decimal"/>
      <w:pStyle w:val="ListNumber"/>
      <w:lvlText w:val="%1."/>
      <w:lvlJc w:val="left"/>
      <w:pPr>
        <w:tabs>
          <w:tab w:val="num" w:pos="360"/>
        </w:tabs>
        <w:ind w:left="360" w:hanging="360"/>
      </w:pPr>
    </w:lvl>
  </w:abstractNum>
  <w:abstractNum w:abstractNumId="6">
    <w:nsid w:val="FFFFFF89"/>
    <w:multiLevelType w:val="singleLevel"/>
    <w:tmpl w:val="4C9EE07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7"/>
  </w:num>
  <w:num w:numId="10">
    <w:abstractNumId w:val="11"/>
  </w:num>
  <w:num w:numId="11">
    <w:abstractNumId w:val="19"/>
  </w:num>
  <w:num w:numId="12">
    <w:abstractNumId w:val="10"/>
  </w:num>
  <w:num w:numId="13">
    <w:abstractNumId w:val="12"/>
  </w:num>
  <w:num w:numId="14">
    <w:abstractNumId w:val="8"/>
  </w:num>
  <w:num w:numId="15">
    <w:abstractNumId w:val="18"/>
  </w:num>
  <w:num w:numId="16">
    <w:abstractNumId w:val="7"/>
  </w:num>
  <w:num w:numId="17">
    <w:abstractNumId w:val="13"/>
  </w:num>
  <w:num w:numId="18">
    <w:abstractNumId w:val="15"/>
  </w:num>
  <w:num w:numId="19">
    <w:abstractNumId w:val="16"/>
  </w:num>
  <w:num w:numId="20">
    <w:abstractNumId w:val="9"/>
  </w:num>
  <w:num w:numId="21">
    <w:abstractNumId w:val="14"/>
  </w:num>
  <w:num w:numId="22">
    <w:abstractNumId w:val="21"/>
  </w:num>
  <w:num w:numId="23">
    <w:abstractNumId w:val="17"/>
  </w:num>
  <w:num w:numId="24">
    <w:abstractNumId w:val="11"/>
  </w:num>
  <w:num w:numId="25">
    <w:abstractNumId w:val="19"/>
  </w:num>
  <w:num w:numId="26">
    <w:abstractNumId w:val="10"/>
  </w:num>
  <w:num w:numId="27">
    <w:abstractNumId w:val="12"/>
  </w:num>
  <w:num w:numId="28">
    <w:abstractNumId w:val="8"/>
  </w:num>
  <w:num w:numId="29">
    <w:abstractNumId w:val="18"/>
  </w:num>
  <w:num w:numId="30">
    <w:abstractNumId w:val="7"/>
  </w:num>
  <w:num w:numId="31">
    <w:abstractNumId w:val="13"/>
  </w:num>
  <w:num w:numId="32">
    <w:abstractNumId w:val="15"/>
  </w:num>
  <w:num w:numId="33">
    <w:abstractNumId w:val="16"/>
  </w:num>
  <w:num w:numId="34">
    <w:abstractNumId w:val="9"/>
  </w:num>
  <w:num w:numId="35">
    <w:abstractNumId w:val="14"/>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5 12:57: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031A6A8-E18A-4CBD-972B-F023024E1147"/>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by the Agreement on the withdrawal of the United Kingdom of Great Britain and Northern Ireland from the European Union and the European Atomic Energy Community as regards the date from which the provisions of Title III of Part Two of the Agreement shall apply to the nationals of Iceland, the Principality of Liechtenstein, the Kingdom of Norway, and the Swiss Confederation_x000d__x000d__x000d__x000d__x000b__x000d__x000d__x000d__x000d__x000b_"/>
    <w:docVar w:name="LW_OBJETACTEPRINCIPAL.CP" w:val="on the position to be taken on behalf of the European Union in the Joint Committee established by the Agreement on the withdrawal of the United Kingdom of Great Britain and Northern Ireland from the European Union and the European Atomic Energy Community as regards the date from which the provisions of Title III of Part Two of the Agreement shall apply to the nationals of Iceland, the Principality of Liechtenstein, the Kingdom of Norway, and the Swiss Confederation_x000d__x000d__x000d__x000d__x000b__x000d__x000d__x000d__x000d__x000b_"/>
    <w:docVar w:name="LW_PART_NBR" w:val="1"/>
    <w:docVar w:name="LW_PART_NBR_TOTAL" w:val="1"/>
    <w:docVar w:name="LW_REF.INST.NEW" w:val="COM"/>
    <w:docVar w:name="LW_REF.INST.NEW_ADOPTED" w:val="final"/>
    <w:docVar w:name="LW_REF.INST.NEW_TEXT" w:val="(2020)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uiPriority w:val="99"/>
    <w:rPr>
      <w:color w:val="0000FF"/>
      <w:u w:val="single"/>
    </w:rPr>
  </w:style>
  <w:style w:type="paragraph" w:styleId="ListBullet2">
    <w:name w:val="List Bullet 2"/>
    <w:basedOn w:val="Normal"/>
    <w:pPr>
      <w:numPr>
        <w:numId w:val="1"/>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uiPriority w:val="99"/>
    <w:rPr>
      <w:color w:val="0000FF"/>
      <w:u w:val="single"/>
    </w:rPr>
  </w:style>
  <w:style w:type="paragraph" w:styleId="ListBullet2">
    <w:name w:val="List Bullet 2"/>
    <w:basedOn w:val="Normal"/>
    <w:pPr>
      <w:numPr>
        <w:numId w:val="1"/>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uriserv:OJ.L_.2020.029.01.0007.01.ENG&amp;toc=OJ:L:2020:02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466</Words>
  <Characters>2429</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 Emmanuelle (UKTF)</dc:creator>
  <cp:keywords/>
  <dc:description/>
  <cp:lastModifiedBy>DIGIT/C6</cp:lastModifiedBy>
  <cp:revision>9</cp:revision>
  <dcterms:created xsi:type="dcterms:W3CDTF">2020-11-23T17:56:00Z</dcterms:created>
  <dcterms:modified xsi:type="dcterms:W3CDTF">2020-11-25T11:57:00Z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