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524F34-907F-4EBB-B402-3D1F1EC73C03" style="width:450.75pt;height:393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DQPStarAt1DQPStarAt72C3E718DF204D66A4A84"/>
      <w:r>
        <w:rPr>
          <w:noProof/>
        </w:rPr>
        <w:t>1.</w:t>
      </w:r>
      <w:r>
        <w:rPr>
          <w:noProof/>
        </w:rPr>
        <w:tab/>
        <w:t>Предмет на предложението</w:t>
      </w:r>
    </w:p>
    <w:bookmarkEnd w:id="1"/>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(наричано по-нататък „Споразумението“)</w:t>
      </w:r>
      <w:r>
        <w:rPr>
          <w:rStyle w:val="FootnoteReference"/>
          <w:rFonts w:eastAsia="Arial Unicode MS"/>
          <w:noProof/>
        </w:rPr>
        <w:footnoteReference w:id="1"/>
      </w:r>
      <w:r>
        <w:rPr>
          <w:noProof/>
        </w:rPr>
        <w:t>.</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 xml:space="preserve">Евро-средиземноморско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w:t>
      </w:r>
    </w:p>
    <w:p>
      <w:pPr>
        <w:rPr>
          <w:noProof/>
          <w:color w:val="000000"/>
          <w:shd w:val="clear" w:color="auto" w:fill="FFFFFF"/>
        </w:rPr>
      </w:pPr>
      <w:r>
        <w:rPr>
          <w:noProof/>
        </w:rPr>
        <w:t xml:space="preserve">Със Споразумението се цели </w:t>
      </w:r>
      <w:r>
        <w:rPr>
          <w:noProof/>
          <w:color w:val="000000"/>
          <w:shd w:val="clear" w:color="auto" w:fill="FFFFFF"/>
        </w:rPr>
        <w:t>насърчаване на постепенно отваряне на достъпа до пазара и хармонизиране на нормативните уредби с цел сближаване с ЕС,</w:t>
      </w:r>
      <w:r>
        <w:rPr>
          <w:noProof/>
        </w:rPr>
        <w:t xml:space="preserve"> </w:t>
      </w:r>
      <w:r>
        <w:rPr>
          <w:noProof/>
          <w:color w:val="000000"/>
          <w:shd w:val="clear" w:color="auto" w:fill="FFFFFF"/>
        </w:rPr>
        <w:t xml:space="preserve">включително по въпросите на безопасността, сигурността, управлението на въздушното движение, икономическото регулиране, защитата на потребителите и опазването на околната среда. Правилата следва да се основават на съответното законодателство, което е в сила в Европейския съюз, съгласно приложение III към настоящото споразумение. </w:t>
      </w:r>
    </w:p>
    <w:p>
      <w:pPr>
        <w:rPr>
          <w:rFonts w:eastAsia="Arial Unicode MS"/>
          <w:noProof/>
        </w:rPr>
      </w:pPr>
      <w:r>
        <w:rPr>
          <w:noProof/>
        </w:rPr>
        <w:t>В Споразумението е предвидено премахването на всички ограничения въз основа на национална принадлежност, капацитет и честота между двете страни. В него е предвидено и постигане на сближаване на нормативната уредба в области като управлението на въздушното движение, безопасността, сигурността, опазването на околната среда, конкуренцията и защитата на потребителите.</w:t>
      </w:r>
    </w:p>
    <w:p>
      <w:pPr>
        <w:rPr>
          <w:rFonts w:eastAsia="Arial Unicode MS"/>
          <w:noProof/>
        </w:rPr>
      </w:pPr>
      <w:r>
        <w:rPr>
          <w:noProof/>
        </w:rPr>
        <w:t xml:space="preserve">Споразумението влезе в сила на 2 август 2020 г. </w:t>
      </w:r>
    </w:p>
    <w:p>
      <w:pPr>
        <w:pStyle w:val="ManualHeading2"/>
        <w:rPr>
          <w:noProof/>
        </w:rPr>
      </w:pPr>
      <w:r>
        <w:rPr>
          <w:noProof/>
        </w:rPr>
        <w:t>2.2.</w:t>
      </w:r>
      <w:r>
        <w:rPr>
          <w:noProof/>
        </w:rPr>
        <w:tab/>
        <w:t>Съвместен комитет</w:t>
      </w:r>
    </w:p>
    <w:p>
      <w:pPr>
        <w:rPr>
          <w:rFonts w:eastAsia="Arial Unicode MS"/>
          <w:noProof/>
        </w:rPr>
      </w:pPr>
      <w:r>
        <w:rPr>
          <w:noProof/>
        </w:rPr>
        <w:t xml:space="preserve">Съвместният комитет е създаден съгласно член 21 от Споразумението. Той отговаря за администрирането на Споразумението и гарантира неговото правилно прилагане. </w:t>
      </w:r>
    </w:p>
    <w:p>
      <w:pPr>
        <w:rPr>
          <w:rFonts w:eastAsia="Arial Unicode MS"/>
          <w:noProof/>
        </w:rPr>
      </w:pPr>
      <w:r>
        <w:rPr>
          <w:noProof/>
        </w:rPr>
        <w:t xml:space="preserve">За тази цел той си сътрудничи в редица области и формулира препоръки и взема решения, когато това е изрично предвидено в Споразумението. Основните му задачи са да си сътрудничи като: а) насърчава обмена на експертни мнения по нови законодателни или регулаторни инициативи и разработки, включително в областта на сигурността, безопасността, опазването на околната среда, авиационната инфраструктура (включително слотове), конкурентната среда и защитата на потребителите; б) редовно анализира социалните последствия от настоящото споразумение във връзка с начина му на прилагане, особено в областта на трудовата заетост, и изготвя подходящи действия в отговор на опасения, за които бъде установено, че са основателни; в) разглежда потенциалните области за по-нататъшно развитие на настоящото споразумение, включително препоръки за изменения в него; г) съгласува, въз основа на консенсус, предложения, подходи или документи от </w:t>
      </w:r>
      <w:r>
        <w:rPr>
          <w:noProof/>
        </w:rPr>
        <w:lastRenderedPageBreak/>
        <w:t>процедурен характер, които са пряко свързани с функционирането на настоящото споразумение;</w:t>
      </w:r>
    </w:p>
    <w:p>
      <w:pPr>
        <w:rPr>
          <w:rFonts w:eastAsia="Arial Unicode MS"/>
          <w:noProof/>
        </w:rPr>
      </w:pPr>
      <w:r>
        <w:rPr>
          <w:noProof/>
        </w:rPr>
        <w:t>Освен това, в съответствие с член 5 (Инвестиции) от Споразумението, Съвместният комитет разглежда въпроси, свързани с двустранните инвестиции в мажоритарно участие или промени в ефективния контрол на въздушните превозвачи на страните.</w:t>
      </w:r>
    </w:p>
    <w:p>
      <w:pPr>
        <w:rPr>
          <w:rFonts w:eastAsia="Arial Unicode MS"/>
          <w:noProof/>
        </w:rPr>
      </w:pPr>
      <w:r>
        <w:rPr>
          <w:noProof/>
        </w:rPr>
        <w:t xml:space="preserve">Съгласно член 21, параграф 3 от Споразумението Съвместният комитет трябва да приеме с решение свой процедурен правилник. </w:t>
      </w:r>
    </w:p>
    <w:p>
      <w:pPr>
        <w:rPr>
          <w:rFonts w:eastAsia="Arial Unicode MS"/>
          <w:noProof/>
        </w:rPr>
      </w:pP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 xml:space="preserve">На първото си заседание Съвместният комитет приема решение относно приемането на своя процедурен правилник (наричан по-нататък „предвиденият акт“). </w:t>
      </w:r>
    </w:p>
    <w:p>
      <w:pPr>
        <w:rPr>
          <w:rFonts w:eastAsia="Arial Unicode MS"/>
          <w:noProof/>
        </w:rPr>
      </w:pPr>
      <w:r>
        <w:rPr>
          <w:noProof/>
        </w:rPr>
        <w:t>Целта на предвидения акт е, в съответствие с член 21, параграф 3 от Споразумението, да бъде приет процедурният правилник за организацията и работата на Съвместния комитет, за да се даде възможност за правилно прилагане на Споразумението.</w:t>
      </w:r>
    </w:p>
    <w:p>
      <w:pPr>
        <w:pStyle w:val="ManualHeading1"/>
        <w:rPr>
          <w:noProof/>
        </w:rPr>
      </w:pPr>
      <w:r>
        <w:rPr>
          <w:noProof/>
        </w:rPr>
        <w:t>3.</w:t>
      </w:r>
      <w:r>
        <w:rPr>
          <w:noProof/>
        </w:rPr>
        <w:tab/>
        <w:t>Позиция, която да трябва да се заеме от името на Съюза</w:t>
      </w:r>
    </w:p>
    <w:p>
      <w:pPr>
        <w:rPr>
          <w:noProof/>
        </w:rPr>
      </w:pPr>
      <w:r>
        <w:rPr>
          <w:noProof/>
        </w:rPr>
        <w:t>Позицията, която трябва да се заеме от името на Съюза, следва да има за цел приемането на процедурния правилник на Съвместния комитет, създаден по силата на Споразумението. Позицията следва да се основава на проекта на решение на Съвместния комитет.</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w:t>
      </w:r>
    </w:p>
    <w:p>
      <w:pPr>
        <w:rPr>
          <w:noProof/>
        </w:rPr>
      </w:pPr>
      <w:r>
        <w:rPr>
          <w:noProof/>
        </w:rPr>
        <w:t xml:space="preserve">Актът, който Съвместният комитет има за задача да приеме, е акт с правно действие, тъй като налага на страните задължения по силата на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lastRenderedPageBreak/>
        <w:t>Предвид горепосоченото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 на предвидения акт са свързани с въздушния транспорт.</w:t>
      </w:r>
    </w:p>
    <w:p>
      <w:pPr>
        <w:rPr>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pStyle w:val="ManualHeading1"/>
        <w:rPr>
          <w:noProof/>
        </w:rPr>
      </w:pPr>
      <w:r>
        <w:rPr>
          <w:noProof/>
        </w:rPr>
        <w:t>5.</w:t>
      </w:r>
      <w:r>
        <w:rPr>
          <w:noProof/>
        </w:rPr>
        <w:tab/>
        <w:t>Публикуване на предвидения акт</w:t>
      </w:r>
    </w:p>
    <w:p>
      <w:pPr>
        <w:rPr>
          <w:noProof/>
        </w:rPr>
      </w:pPr>
      <w:r>
        <w:rPr>
          <w:noProof/>
        </w:rPr>
        <w:t xml:space="preserve">Тъй като с акта на Съвместния комитет ще се определи неговият процедурен правилник, целесъобразно е след приемането му той да се публикува в </w:t>
      </w:r>
      <w:r>
        <w:rPr>
          <w:i/>
          <w:iCs/>
          <w:noProof/>
        </w:rPr>
        <w:t>Официален вестник на Европейския съюз</w:t>
      </w:r>
      <w:r>
        <w:rPr>
          <w:noProof/>
        </w:rPr>
        <w:t>.</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2" w:name="DQPStarAt1DQPStarAtD600FD7F2DB348B0ACCC3"/>
      <w:r>
        <w:rPr>
          <w:noProof/>
        </w:rPr>
        <w:t>(1)</w:t>
      </w:r>
      <w:r>
        <w:rPr>
          <w:noProof/>
        </w:rPr>
        <w:tab/>
        <w:t>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(наричано по-нататък „Споразумението“) беше сключено от Съюза с Решение (ЕС) 2020/953 на Съвета</w:t>
      </w:r>
      <w:r>
        <w:rPr>
          <w:rStyle w:val="FootnoteReference"/>
          <w:rFonts w:eastAsia="Times New Roman"/>
          <w:noProof/>
        </w:rPr>
        <w:footnoteReference w:id="2"/>
      </w:r>
      <w:r>
        <w:rPr>
          <w:noProof/>
        </w:rPr>
        <w:t xml:space="preserve"> и влезе в сила на 2 август 2020 г. </w:t>
      </w:r>
    </w:p>
    <w:bookmarkEnd w:id="2"/>
    <w:p>
      <w:pPr>
        <w:pStyle w:val="ManualConsidrant"/>
        <w:rPr>
          <w:noProof/>
        </w:rPr>
      </w:pPr>
      <w:r>
        <w:rPr>
          <w:noProof/>
        </w:rPr>
        <w:t>(2)</w:t>
      </w:r>
      <w:r>
        <w:rPr>
          <w:noProof/>
        </w:rPr>
        <w:tab/>
        <w:t>С член 21 от Споразумението се създава Съвместен комитет, който гарантира администрирането и правилното прилагане на Споразумението.</w:t>
      </w:r>
    </w:p>
    <w:p>
      <w:pPr>
        <w:pStyle w:val="ManualConsidrant"/>
        <w:rPr>
          <w:noProof/>
        </w:rPr>
      </w:pPr>
      <w:r>
        <w:rPr>
          <w:noProof/>
        </w:rPr>
        <w:t>(3)</w:t>
      </w:r>
      <w:r>
        <w:rPr>
          <w:noProof/>
        </w:rPr>
        <w:tab/>
        <w:t>В член 21, параграф 3 от Споразумението се предвижда, че Съвместният комитет следва да приеме свой процедурен правилник.</w:t>
      </w:r>
    </w:p>
    <w:p>
      <w:pPr>
        <w:pStyle w:val="ManualConsidrant"/>
        <w:rPr>
          <w:noProof/>
        </w:rPr>
      </w:pPr>
      <w:r>
        <w:rPr>
          <w:noProof/>
        </w:rPr>
        <w:t>(4)</w:t>
      </w:r>
      <w:r>
        <w:rPr>
          <w:noProof/>
        </w:rPr>
        <w:tab/>
        <w:t>С цел да се гарантира правилното прилагане на Споразумението, процедурният правилник на Съвместния комитет следва да бъде приет.</w:t>
      </w:r>
    </w:p>
    <w:p>
      <w:pPr>
        <w:pStyle w:val="ManualConsidrant"/>
        <w:rPr>
          <w:noProof/>
        </w:rPr>
      </w:pPr>
      <w:r>
        <w:rPr>
          <w:noProof/>
        </w:rPr>
        <w:t>(5)</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за приемане на неговия процедурен правилник ще бъде обвързващо за Съюза. Позицията на Съюза в рамките на Съвместния комитет следва да се основава на приложения проект на решение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първото заседание на Съвместния комитет, създаден съгласно член 21 от Евро-средиземноморското споразумение в областта на въздухоплаването между Европейския съюз и неговите </w:t>
      </w:r>
      <w:r>
        <w:rPr>
          <w:noProof/>
        </w:rPr>
        <w:lastRenderedPageBreak/>
        <w:t>държави членки, от една страна, и Хашемитско кралство Йордания, от друга страна, във връзка с приемането на процедурния правилник на Съвместния комитет, се основава на проекта на решение на Съвместния комитет, приложен към настоящото решение.</w:t>
      </w:r>
    </w:p>
    <w:p>
      <w:pPr>
        <w:spacing w:before="100" w:beforeAutospacing="1" w:after="100" w:afterAutospacing="1"/>
        <w:rPr>
          <w:rFonts w:eastAsia="Times New Roman"/>
          <w:noProof/>
        </w:rPr>
      </w:pPr>
      <w:r>
        <w:rPr>
          <w:noProof/>
        </w:rPr>
        <w:t>Представителите на Съюза в рамките на Съвместния комитет могат да приемат незначителни промени в проекта на решение на Съвместния комитет, без да е необходимо допълнително решение на Съвета.</w:t>
      </w:r>
    </w:p>
    <w:p>
      <w:pPr>
        <w:pStyle w:val="Titrearticle"/>
        <w:rPr>
          <w:noProof/>
        </w:rPr>
      </w:pPr>
      <w:r>
        <w:rPr>
          <w:noProof/>
        </w:rPr>
        <w:t>Член 2</w:t>
      </w:r>
    </w:p>
    <w:p>
      <w:pPr>
        <w:spacing w:before="100" w:beforeAutospacing="1" w:after="100" w:afterAutospacing="1"/>
        <w:rPr>
          <w:rFonts w:eastAsia="Times New Roman"/>
          <w:noProof/>
        </w:rPr>
      </w:pPr>
      <w:r>
        <w:rPr>
          <w:noProof/>
        </w:rPr>
        <w:t xml:space="preserve">Адресат на настоящото решение е Комисията.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(ЕС) 2020/953 на Съвета от 26 юни 2020 г. относно сключването от името на Съюза на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(ОВ L 212, 3.7.2020 г., стр. 12).</w:t>
      </w:r>
    </w:p>
  </w:footnote>
  <w:footnote w:id="2">
    <w:p>
      <w:pPr>
        <w:pStyle w:val="FootnoteText"/>
      </w:pPr>
      <w:r>
        <w:rPr>
          <w:rStyle w:val="FootnoteReference"/>
        </w:rPr>
        <w:footnoteRef/>
      </w:r>
      <w:r>
        <w:tab/>
        <w:t>Решение (ЕС) 2020/953 на Съвета от 26 юни 2020 г. относно сключването от името на Съюза на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(ОВ L 212, 3.7.2020 г., стр.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01: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524F34-907F-4EBB-B402-3D1F1EC73C03"/>
    <w:docVar w:name="LW_COVERPAGE_TYPE" w:val="1"/>
    <w:docVar w:name="LW_CROSSREFERENCE" w:val="&lt;UNUSED&gt;"/>
    <w:docVar w:name="LW_DocType" w:val="COM"/>
    <w:docVar w:name="LW_EMISSION" w:val="27.11.2020"/>
    <w:docVar w:name="LW_EMISSION_ISODATE" w:val="2020-11-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8"/>
    <w:docVar w:name="LW_REF.II.NEW.CP_YEAR" w:val="2020"/>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4091649-E161-4D2B-A59D-4AE0DE29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1290</Words>
  <Characters>7730</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2020-11-19T09:26:00Z</dcterms:created>
  <dcterms:modified xsi:type="dcterms:W3CDTF">2020-11-20T10:01:00Z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