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alt="FB9C8A84-B372-4CA0-898A-272251AE8069" style="width:450.75pt;height:44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sz w:val="22"/>
          <w:szCs w:val="22"/>
          <w:lang w:val="en-GB" w:eastAsia="en-US"/>
        </w:rPr>
        <w:id w:val="1415507755"/>
        <w:docPartObj>
          <w:docPartGallery w:val="Table of Contents"/>
          <w:docPartUnique/>
        </w:docPartObj>
      </w:sdtPr>
      <w:sdtEndPr>
        <w:rPr>
          <w:b/>
          <w:bCs/>
        </w:rPr>
      </w:sdtEndPr>
      <w:sdtContent>
        <w:p>
          <w:pPr>
            <w:pStyle w:val="TOCHeading"/>
          </w:pPr>
          <w:r>
            <w:t>Contents</w:t>
          </w:r>
        </w:p>
        <w:p>
          <w:pPr>
            <w:rPr>
              <w:noProof/>
              <w:lang w:val="en-US" w:eastAsia="ja-JP"/>
            </w:rPr>
          </w:pPr>
        </w:p>
        <w:p>
          <w:pPr>
            <w:pStyle w:val="TOC1"/>
            <w:tabs>
              <w:tab w:val="right" w:leader="dot" w:pos="9062"/>
            </w:tabs>
            <w:rPr>
              <w:rFonts w:eastAsiaTheme="minorEastAsia"/>
              <w:noProof/>
              <w:lang w:val="fr-BE" w:eastAsia="fr-BE"/>
            </w:rPr>
          </w:pPr>
          <w:r>
            <w:rPr>
              <w:noProof/>
            </w:rPr>
            <w:fldChar w:fldCharType="begin"/>
          </w:r>
          <w:r>
            <w:rPr>
              <w:noProof/>
            </w:rPr>
            <w:instrText xml:space="preserve"> TOC \o "1-3" \h \z \u </w:instrText>
          </w:r>
          <w:r>
            <w:rPr>
              <w:noProof/>
            </w:rPr>
            <w:fldChar w:fldCharType="separate"/>
          </w:r>
          <w:hyperlink w:anchor="_Toc53992015" w:history="1">
            <w:r>
              <w:rPr>
                <w:rStyle w:val="Hyperlink"/>
                <w:noProof/>
              </w:rPr>
              <w:t>1. OVERVIEW OF EU CLIMATE TARGETS</w:t>
            </w:r>
            <w:r>
              <w:rPr>
                <w:noProof/>
                <w:webHidden/>
              </w:rPr>
              <w:tab/>
            </w:r>
            <w:r>
              <w:rPr>
                <w:noProof/>
                <w:webHidden/>
              </w:rPr>
              <w:fldChar w:fldCharType="begin"/>
            </w:r>
            <w:r>
              <w:rPr>
                <w:noProof/>
                <w:webHidden/>
              </w:rPr>
              <w:instrText xml:space="preserve"> PAGEREF _Toc53992015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2"/>
            </w:tabs>
            <w:rPr>
              <w:rFonts w:eastAsiaTheme="minorEastAsia"/>
              <w:noProof/>
              <w:lang w:val="fr-BE" w:eastAsia="fr-BE"/>
            </w:rPr>
          </w:pPr>
          <w:hyperlink w:anchor="_Toc53992016" w:history="1">
            <w:r>
              <w:rPr>
                <w:rStyle w:val="Hyperlink"/>
                <w:noProof/>
              </w:rPr>
              <w:t>2. GREENHOUSE GAS EMISSIONS COVERED BY THE KYOTO PROTOCOL AND THE CLIMATE AND ENERGY PACKAGE</w:t>
            </w:r>
            <w:r>
              <w:rPr>
                <w:noProof/>
                <w:webHidden/>
              </w:rPr>
              <w:tab/>
            </w:r>
            <w:r>
              <w:rPr>
                <w:noProof/>
                <w:webHidden/>
              </w:rPr>
              <w:fldChar w:fldCharType="begin"/>
            </w:r>
            <w:r>
              <w:rPr>
                <w:noProof/>
                <w:webHidden/>
              </w:rPr>
              <w:instrText xml:space="preserve"> PAGEREF _Toc53992016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9062"/>
            </w:tabs>
            <w:rPr>
              <w:rFonts w:eastAsiaTheme="minorEastAsia"/>
              <w:noProof/>
              <w:lang w:val="fr-BE" w:eastAsia="fr-BE"/>
            </w:rPr>
          </w:pPr>
          <w:hyperlink w:anchor="_Toc53992017" w:history="1">
            <w:r>
              <w:rPr>
                <w:rStyle w:val="Hyperlink"/>
                <w:noProof/>
              </w:rPr>
              <w:t>3. EU GREENHOUSE GAS EMISSIONS BY SECTOR</w:t>
            </w:r>
            <w:r>
              <w:rPr>
                <w:noProof/>
                <w:webHidden/>
              </w:rPr>
              <w:tab/>
            </w:r>
            <w:r>
              <w:rPr>
                <w:noProof/>
                <w:webHidden/>
              </w:rPr>
              <w:fldChar w:fldCharType="begin"/>
            </w:r>
            <w:r>
              <w:rPr>
                <w:noProof/>
                <w:webHidden/>
              </w:rPr>
              <w:instrText xml:space="preserve"> PAGEREF _Toc53992017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9062"/>
            </w:tabs>
            <w:rPr>
              <w:rFonts w:eastAsiaTheme="minorEastAsia"/>
              <w:noProof/>
              <w:lang w:val="fr-BE" w:eastAsia="fr-BE"/>
            </w:rPr>
          </w:pPr>
          <w:hyperlink w:anchor="_Toc53992018" w:history="1">
            <w:r>
              <w:rPr>
                <w:rStyle w:val="Hyperlink"/>
                <w:rFonts w:eastAsia="Calibri"/>
                <w:noProof/>
                <w:lang w:eastAsia="en-GB"/>
              </w:rPr>
              <w:t>4. TOTAL GHG EMISSIONS PER MEMBER STATE</w:t>
            </w:r>
            <w:r>
              <w:rPr>
                <w:noProof/>
                <w:webHidden/>
              </w:rPr>
              <w:tab/>
            </w:r>
            <w:r>
              <w:rPr>
                <w:noProof/>
                <w:webHidden/>
              </w:rPr>
              <w:fldChar w:fldCharType="begin"/>
            </w:r>
            <w:r>
              <w:rPr>
                <w:noProof/>
                <w:webHidden/>
              </w:rPr>
              <w:instrText xml:space="preserve"> PAGEREF _Toc53992018 \h </w:instrText>
            </w:r>
            <w:r>
              <w:rPr>
                <w:noProof/>
                <w:webHidden/>
              </w:rPr>
            </w:r>
            <w:r>
              <w:rPr>
                <w:noProof/>
                <w:webHidden/>
              </w:rPr>
              <w:fldChar w:fldCharType="separate"/>
            </w:r>
            <w:r>
              <w:rPr>
                <w:noProof/>
                <w:webHidden/>
              </w:rPr>
              <w:t>9</w:t>
            </w:r>
            <w:r>
              <w:rPr>
                <w:noProof/>
                <w:webHidden/>
              </w:rPr>
              <w:fldChar w:fldCharType="end"/>
            </w:r>
          </w:hyperlink>
        </w:p>
        <w:p>
          <w:pPr>
            <w:pStyle w:val="TOC1"/>
            <w:tabs>
              <w:tab w:val="right" w:leader="dot" w:pos="9062"/>
            </w:tabs>
            <w:rPr>
              <w:rFonts w:eastAsiaTheme="minorEastAsia"/>
              <w:noProof/>
              <w:lang w:val="fr-BE" w:eastAsia="fr-BE"/>
            </w:rPr>
          </w:pPr>
          <w:hyperlink w:anchor="_Toc53992019" w:history="1">
            <w:r>
              <w:rPr>
                <w:rStyle w:val="Hyperlink"/>
                <w:rFonts w:eastAsia="Calibri"/>
                <w:noProof/>
                <w:lang w:eastAsia="en-GB"/>
              </w:rPr>
              <w:t>5. GREENHOUSE GAS INTENSITY IN THE EU AND ITS MEMBER STATES</w:t>
            </w:r>
            <w:r>
              <w:rPr>
                <w:noProof/>
                <w:webHidden/>
              </w:rPr>
              <w:tab/>
            </w:r>
            <w:r>
              <w:rPr>
                <w:noProof/>
                <w:webHidden/>
              </w:rPr>
              <w:fldChar w:fldCharType="begin"/>
            </w:r>
            <w:r>
              <w:rPr>
                <w:noProof/>
                <w:webHidden/>
              </w:rPr>
              <w:instrText xml:space="preserve"> PAGEREF _Toc53992019 \h </w:instrText>
            </w:r>
            <w:r>
              <w:rPr>
                <w:noProof/>
                <w:webHidden/>
              </w:rPr>
            </w:r>
            <w:r>
              <w:rPr>
                <w:noProof/>
                <w:webHidden/>
              </w:rPr>
              <w:fldChar w:fldCharType="separate"/>
            </w:r>
            <w:r>
              <w:rPr>
                <w:noProof/>
                <w:webHidden/>
              </w:rPr>
              <w:t>10</w:t>
            </w:r>
            <w:r>
              <w:rPr>
                <w:noProof/>
                <w:webHidden/>
              </w:rPr>
              <w:fldChar w:fldCharType="end"/>
            </w:r>
          </w:hyperlink>
        </w:p>
        <w:p>
          <w:pPr>
            <w:pStyle w:val="TOC1"/>
            <w:tabs>
              <w:tab w:val="right" w:leader="dot" w:pos="9062"/>
            </w:tabs>
            <w:rPr>
              <w:rFonts w:eastAsiaTheme="minorEastAsia"/>
              <w:noProof/>
              <w:lang w:val="fr-BE" w:eastAsia="fr-BE"/>
            </w:rPr>
          </w:pPr>
          <w:hyperlink w:anchor="_Toc53992020" w:history="1">
            <w:r>
              <w:rPr>
                <w:rStyle w:val="Hyperlink"/>
                <w:noProof/>
              </w:rPr>
              <w:t>6. GREENHOUSE GAS EMISSIONS PER CAPITA IN THE EU AND ITS MEMBER STATES</w:t>
            </w:r>
            <w:r>
              <w:rPr>
                <w:noProof/>
                <w:webHidden/>
              </w:rPr>
              <w:tab/>
            </w:r>
            <w:r>
              <w:rPr>
                <w:noProof/>
                <w:webHidden/>
              </w:rPr>
              <w:fldChar w:fldCharType="begin"/>
            </w:r>
            <w:r>
              <w:rPr>
                <w:noProof/>
                <w:webHidden/>
              </w:rPr>
              <w:instrText xml:space="preserve"> PAGEREF _Toc53992020 \h </w:instrText>
            </w:r>
            <w:r>
              <w:rPr>
                <w:noProof/>
                <w:webHidden/>
              </w:rPr>
            </w:r>
            <w:r>
              <w:rPr>
                <w:noProof/>
                <w:webHidden/>
              </w:rPr>
              <w:fldChar w:fldCharType="separate"/>
            </w:r>
            <w:r>
              <w:rPr>
                <w:noProof/>
                <w:webHidden/>
              </w:rPr>
              <w:t>11</w:t>
            </w:r>
            <w:r>
              <w:rPr>
                <w:noProof/>
                <w:webHidden/>
              </w:rPr>
              <w:fldChar w:fldCharType="end"/>
            </w:r>
          </w:hyperlink>
        </w:p>
        <w:p>
          <w:pPr>
            <w:pStyle w:val="TOC1"/>
            <w:tabs>
              <w:tab w:val="right" w:leader="dot" w:pos="9062"/>
            </w:tabs>
            <w:rPr>
              <w:rFonts w:eastAsiaTheme="minorEastAsia"/>
              <w:noProof/>
              <w:lang w:val="fr-BE" w:eastAsia="fr-BE"/>
            </w:rPr>
          </w:pPr>
          <w:hyperlink w:anchor="_Toc53992021" w:history="1">
            <w:r>
              <w:rPr>
                <w:rStyle w:val="Hyperlink"/>
                <w:rFonts w:eastAsia="Calibri"/>
                <w:noProof/>
              </w:rPr>
              <w:t>7. EU ETS EMISSIONS</w:t>
            </w:r>
            <w:r>
              <w:rPr>
                <w:noProof/>
                <w:webHidden/>
              </w:rPr>
              <w:tab/>
            </w:r>
            <w:r>
              <w:rPr>
                <w:noProof/>
                <w:webHidden/>
              </w:rPr>
              <w:fldChar w:fldCharType="begin"/>
            </w:r>
            <w:r>
              <w:rPr>
                <w:noProof/>
                <w:webHidden/>
              </w:rPr>
              <w:instrText xml:space="preserve"> PAGEREF _Toc53992021 \h </w:instrText>
            </w:r>
            <w:r>
              <w:rPr>
                <w:noProof/>
                <w:webHidden/>
              </w:rPr>
            </w:r>
            <w:r>
              <w:rPr>
                <w:noProof/>
                <w:webHidden/>
              </w:rPr>
              <w:fldChar w:fldCharType="separate"/>
            </w:r>
            <w:r>
              <w:rPr>
                <w:noProof/>
                <w:webHidden/>
              </w:rPr>
              <w:t>12</w:t>
            </w:r>
            <w:r>
              <w:rPr>
                <w:noProof/>
                <w:webHidden/>
              </w:rPr>
              <w:fldChar w:fldCharType="end"/>
            </w:r>
          </w:hyperlink>
        </w:p>
        <w:p>
          <w:pPr>
            <w:pStyle w:val="TOC1"/>
            <w:tabs>
              <w:tab w:val="right" w:leader="dot" w:pos="9062"/>
            </w:tabs>
            <w:rPr>
              <w:rFonts w:eastAsiaTheme="minorEastAsia"/>
              <w:noProof/>
              <w:lang w:val="fr-BE" w:eastAsia="fr-BE"/>
            </w:rPr>
          </w:pPr>
          <w:hyperlink w:anchor="_Toc53992022" w:history="1">
            <w:r>
              <w:rPr>
                <w:rStyle w:val="Hyperlink"/>
                <w:noProof/>
              </w:rPr>
              <w:t>8. EMISSIONS COVERED BY THE EFFORT SHARING LEGISLATION</w:t>
            </w:r>
            <w:r>
              <w:rPr>
                <w:noProof/>
                <w:webHidden/>
              </w:rPr>
              <w:tab/>
            </w:r>
            <w:r>
              <w:rPr>
                <w:noProof/>
                <w:webHidden/>
              </w:rPr>
              <w:fldChar w:fldCharType="begin"/>
            </w:r>
            <w:r>
              <w:rPr>
                <w:noProof/>
                <w:webHidden/>
              </w:rPr>
              <w:instrText xml:space="preserve"> PAGEREF _Toc53992022 \h </w:instrText>
            </w:r>
            <w:r>
              <w:rPr>
                <w:noProof/>
                <w:webHidden/>
              </w:rPr>
            </w:r>
            <w:r>
              <w:rPr>
                <w:noProof/>
                <w:webHidden/>
              </w:rPr>
              <w:fldChar w:fldCharType="separate"/>
            </w:r>
            <w:r>
              <w:rPr>
                <w:noProof/>
                <w:webHidden/>
              </w:rPr>
              <w:t>13</w:t>
            </w:r>
            <w:r>
              <w:rPr>
                <w:noProof/>
                <w:webHidden/>
              </w:rPr>
              <w:fldChar w:fldCharType="end"/>
            </w:r>
          </w:hyperlink>
        </w:p>
        <w:p>
          <w:pPr>
            <w:pStyle w:val="TOC1"/>
            <w:tabs>
              <w:tab w:val="right" w:leader="dot" w:pos="9062"/>
            </w:tabs>
            <w:rPr>
              <w:rFonts w:eastAsiaTheme="minorEastAsia"/>
              <w:noProof/>
              <w:lang w:val="fr-BE" w:eastAsia="fr-BE"/>
            </w:rPr>
          </w:pPr>
          <w:hyperlink w:anchor="_Toc53992023" w:history="1">
            <w:r>
              <w:rPr>
                <w:rStyle w:val="Hyperlink"/>
                <w:rFonts w:eastAsia="Calibri"/>
                <w:noProof/>
                <w:lang w:val="en-US"/>
              </w:rPr>
              <w:t>9. USE OF REVENUES FROM AUCTIONING OF ETS ALLOWANCES</w:t>
            </w:r>
            <w:r>
              <w:rPr>
                <w:noProof/>
                <w:webHidden/>
              </w:rPr>
              <w:tab/>
            </w:r>
            <w:r>
              <w:rPr>
                <w:noProof/>
                <w:webHidden/>
              </w:rPr>
              <w:fldChar w:fldCharType="begin"/>
            </w:r>
            <w:r>
              <w:rPr>
                <w:noProof/>
                <w:webHidden/>
              </w:rPr>
              <w:instrText xml:space="preserve"> PAGEREF _Toc53992023 \h </w:instrText>
            </w:r>
            <w:r>
              <w:rPr>
                <w:noProof/>
                <w:webHidden/>
              </w:rPr>
            </w:r>
            <w:r>
              <w:rPr>
                <w:noProof/>
                <w:webHidden/>
              </w:rPr>
              <w:fldChar w:fldCharType="separate"/>
            </w:r>
            <w:r>
              <w:rPr>
                <w:noProof/>
                <w:webHidden/>
              </w:rPr>
              <w:t>22</w:t>
            </w:r>
            <w:r>
              <w:rPr>
                <w:noProof/>
                <w:webHidden/>
              </w:rPr>
              <w:fldChar w:fldCharType="end"/>
            </w:r>
          </w:hyperlink>
        </w:p>
        <w:p>
          <w:pPr>
            <w:pStyle w:val="TOC1"/>
            <w:tabs>
              <w:tab w:val="right" w:leader="dot" w:pos="9062"/>
            </w:tabs>
            <w:rPr>
              <w:rFonts w:eastAsiaTheme="minorEastAsia"/>
              <w:noProof/>
              <w:lang w:val="fr-BE" w:eastAsia="fr-BE"/>
            </w:rPr>
          </w:pPr>
          <w:hyperlink w:anchor="_Toc53992024" w:history="1">
            <w:r>
              <w:rPr>
                <w:rStyle w:val="Hyperlink"/>
                <w:rFonts w:eastAsia="Calibri"/>
                <w:noProof/>
                <w:lang w:val="en-US"/>
              </w:rPr>
              <w:t>10. NER 300 PROJECTS</w:t>
            </w:r>
            <w:r>
              <w:rPr>
                <w:noProof/>
                <w:webHidden/>
              </w:rPr>
              <w:tab/>
            </w:r>
            <w:r>
              <w:rPr>
                <w:noProof/>
                <w:webHidden/>
              </w:rPr>
              <w:fldChar w:fldCharType="begin"/>
            </w:r>
            <w:r>
              <w:rPr>
                <w:noProof/>
                <w:webHidden/>
              </w:rPr>
              <w:instrText xml:space="preserve"> PAGEREF _Toc53992024 \h </w:instrText>
            </w:r>
            <w:r>
              <w:rPr>
                <w:noProof/>
                <w:webHidden/>
              </w:rPr>
            </w:r>
            <w:r>
              <w:rPr>
                <w:noProof/>
                <w:webHidden/>
              </w:rPr>
              <w:fldChar w:fldCharType="separate"/>
            </w:r>
            <w:r>
              <w:rPr>
                <w:noProof/>
                <w:webHidden/>
              </w:rPr>
              <w:t>25</w:t>
            </w:r>
            <w:r>
              <w:rPr>
                <w:noProof/>
                <w:webHidden/>
              </w:rPr>
              <w:fldChar w:fldCharType="end"/>
            </w:r>
          </w:hyperlink>
        </w:p>
        <w:p>
          <w:pPr>
            <w:rPr>
              <w:noProof/>
            </w:rPr>
          </w:pPr>
          <w:r>
            <w:rPr>
              <w:b/>
              <w:bCs/>
              <w:noProof/>
            </w:rPr>
            <w:fldChar w:fldCharType="end"/>
          </w:r>
        </w:p>
      </w:sdtContent>
    </w:sdt>
    <w:p>
      <w:pPr>
        <w:spacing w:after="200" w:line="276" w:lineRule="auto"/>
        <w:rPr>
          <w:rFonts w:ascii="Calibri" w:eastAsia="Calibri" w:hAnsi="Calibri" w:cs="Times New Roman"/>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pPr>
        <w:pStyle w:val="Heading1"/>
      </w:pPr>
      <w:bookmarkStart w:id="2" w:name="_Toc496781108"/>
      <w:bookmarkStart w:id="3" w:name="_Toc496864243"/>
      <w:bookmarkStart w:id="4" w:name="_Toc523734011"/>
      <w:bookmarkStart w:id="5" w:name="_Toc527446991"/>
      <w:bookmarkStart w:id="6" w:name="_Toc527447532"/>
      <w:bookmarkStart w:id="7" w:name="_Toc529975181"/>
      <w:bookmarkStart w:id="8" w:name="_Toc53992015"/>
      <w:r>
        <w:lastRenderedPageBreak/>
        <w:t xml:space="preserve">1. </w:t>
      </w:r>
      <w:r>
        <w:rPr>
          <w:rStyle w:val="Heading1Char"/>
          <w:b/>
          <w:bCs/>
        </w:rPr>
        <w:t>O</w:t>
      </w:r>
      <w:bookmarkEnd w:id="2"/>
      <w:bookmarkEnd w:id="3"/>
      <w:bookmarkEnd w:id="4"/>
      <w:bookmarkEnd w:id="5"/>
      <w:bookmarkEnd w:id="6"/>
      <w:bookmarkEnd w:id="7"/>
      <w:r>
        <w:rPr>
          <w:rStyle w:val="Heading1Char"/>
          <w:b/>
          <w:bCs/>
        </w:rPr>
        <w:t>VERVIEW OF EU CLIMATE TARGETS</w:t>
      </w:r>
      <w:bookmarkEnd w:id="8"/>
    </w:p>
    <w:p>
      <w:pPr>
        <w:spacing w:after="200" w:line="240" w:lineRule="auto"/>
        <w:rPr>
          <w:rFonts w:ascii="Calibri" w:eastAsia="Calibri" w:hAnsi="Calibri" w:cs="Times New Roman"/>
          <w:noProof/>
          <w:color w:val="4F81BD"/>
          <w:sz w:val="20"/>
          <w:szCs w:val="18"/>
          <w:lang w:val="en-US"/>
        </w:rPr>
      </w:pPr>
      <w:r>
        <w:rPr>
          <w:rFonts w:ascii="Calibri" w:eastAsia="Calibri" w:hAnsi="Calibri" w:cs="Times New Roman"/>
          <w:b/>
          <w:bCs/>
          <w:noProof/>
          <w:color w:val="4F81BD"/>
          <w:sz w:val="18"/>
          <w:szCs w:val="18"/>
          <w:lang w:val="en-US"/>
        </w:rPr>
        <w:br/>
      </w:r>
      <w:r>
        <w:rPr>
          <w:rFonts w:ascii="Calibri" w:eastAsia="Calibri" w:hAnsi="Calibri" w:cs="Times New Roman"/>
          <w:b/>
          <w:bCs/>
          <w:noProof/>
          <w:color w:val="4F81BD"/>
          <w:sz w:val="20"/>
          <w:szCs w:val="18"/>
          <w:lang w:val="en-US"/>
        </w:rPr>
        <w:t xml:space="preserve">Table </w:t>
      </w:r>
      <w:r>
        <w:rPr>
          <w:rFonts w:ascii="Calibri" w:eastAsia="Calibri" w:hAnsi="Calibri" w:cs="Times New Roman"/>
          <w:b/>
          <w:bCs/>
          <w:noProof/>
          <w:color w:val="4F81BD"/>
          <w:sz w:val="20"/>
          <w:szCs w:val="18"/>
          <w:lang w:val="en-US"/>
        </w:rPr>
        <w:fldChar w:fldCharType="begin"/>
      </w:r>
      <w:r>
        <w:rPr>
          <w:rFonts w:ascii="Calibri" w:eastAsia="Calibri" w:hAnsi="Calibri" w:cs="Times New Roman"/>
          <w:b/>
          <w:bCs/>
          <w:noProof/>
          <w:color w:val="4F81BD"/>
          <w:sz w:val="20"/>
          <w:szCs w:val="18"/>
          <w:lang w:val="en-US"/>
        </w:rPr>
        <w:instrText xml:space="preserve"> SEQ Table \* ARABIC </w:instrText>
      </w:r>
      <w:r>
        <w:rPr>
          <w:rFonts w:ascii="Calibri" w:eastAsia="Calibri" w:hAnsi="Calibri" w:cs="Times New Roman"/>
          <w:b/>
          <w:bCs/>
          <w:noProof/>
          <w:color w:val="4F81BD"/>
          <w:sz w:val="20"/>
          <w:szCs w:val="18"/>
          <w:lang w:val="en-US"/>
        </w:rPr>
        <w:fldChar w:fldCharType="separate"/>
      </w:r>
      <w:r>
        <w:rPr>
          <w:rFonts w:ascii="Calibri" w:eastAsia="Calibri" w:hAnsi="Calibri" w:cs="Times New Roman"/>
          <w:b/>
          <w:bCs/>
          <w:noProof/>
          <w:color w:val="4F81BD"/>
          <w:sz w:val="20"/>
          <w:szCs w:val="18"/>
          <w:lang w:val="en-US"/>
        </w:rPr>
        <w:t>1</w:t>
      </w:r>
      <w:r>
        <w:rPr>
          <w:rFonts w:ascii="Calibri" w:eastAsia="Calibri" w:hAnsi="Calibri" w:cs="Times New Roman"/>
          <w:b/>
          <w:bCs/>
          <w:noProof/>
          <w:color w:val="4F81BD"/>
          <w:sz w:val="20"/>
          <w:szCs w:val="18"/>
          <w:lang w:val="en-US"/>
        </w:rPr>
        <w:fldChar w:fldCharType="end"/>
      </w:r>
      <w:r>
        <w:rPr>
          <w:rFonts w:ascii="Calibri" w:eastAsia="Calibri" w:hAnsi="Calibri" w:cs="Times New Roman"/>
          <w:b/>
          <w:bCs/>
          <w:noProof/>
          <w:color w:val="4F81BD"/>
          <w:sz w:val="20"/>
          <w:szCs w:val="18"/>
          <w:lang w:val="en-US"/>
        </w:rPr>
        <w:t>: Overview of EU climate targets.</w:t>
      </w:r>
    </w:p>
    <w:tbl>
      <w:tblPr>
        <w:tblW w:w="4925" w:type="pct"/>
        <w:jc w:val="center"/>
        <w:tblLook w:val="04A0" w:firstRow="1" w:lastRow="0" w:firstColumn="1" w:lastColumn="0" w:noHBand="0" w:noVBand="1"/>
      </w:tblPr>
      <w:tblGrid>
        <w:gridCol w:w="1301"/>
        <w:gridCol w:w="1280"/>
        <w:gridCol w:w="1056"/>
        <w:gridCol w:w="1611"/>
        <w:gridCol w:w="1798"/>
        <w:gridCol w:w="25"/>
        <w:gridCol w:w="1826"/>
        <w:gridCol w:w="1753"/>
        <w:gridCol w:w="148"/>
        <w:gridCol w:w="1605"/>
        <w:gridCol w:w="1602"/>
      </w:tblGrid>
      <w:tr>
        <w:trPr>
          <w:trHeight w:val="508"/>
          <w:tblHeader/>
          <w:jc w:val="center"/>
        </w:trPr>
        <w:tc>
          <w:tcPr>
            <w:tcW w:w="464" w:type="pct"/>
            <w:tcBorders>
              <w:top w:val="single" w:sz="8" w:space="0" w:color="auto"/>
              <w:left w:val="single" w:sz="8" w:space="0" w:color="auto"/>
              <w:bottom w:val="single" w:sz="8" w:space="0" w:color="auto"/>
              <w:right w:val="single" w:sz="8" w:space="0" w:color="auto"/>
            </w:tcBorders>
            <w:shd w:val="clear" w:color="auto" w:fill="0094DE"/>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 </w:t>
            </w:r>
          </w:p>
        </w:tc>
        <w:tc>
          <w:tcPr>
            <w:tcW w:w="1409" w:type="pct"/>
            <w:gridSpan w:val="3"/>
            <w:tcBorders>
              <w:top w:val="single" w:sz="8" w:space="0" w:color="auto"/>
              <w:left w:val="nil"/>
              <w:bottom w:val="single" w:sz="8" w:space="0" w:color="auto"/>
              <w:right w:val="single" w:sz="8" w:space="0" w:color="000000"/>
            </w:tcBorders>
            <w:shd w:val="clear" w:color="auto" w:fill="0094DE"/>
            <w:vAlign w:val="center"/>
            <w:hideMark/>
          </w:tcPr>
          <w:p>
            <w:pPr>
              <w:spacing w:after="0" w:line="276" w:lineRule="auto"/>
              <w:jc w:val="center"/>
              <w:rPr>
                <w:rFonts w:ascii="Calibri" w:eastAsia="Calibri" w:hAnsi="Calibri" w:cs="Times New Roman"/>
                <w:b/>
                <w:bCs/>
                <w:noProof/>
                <w:color w:val="FFFFFF"/>
                <w:szCs w:val="20"/>
                <w:lang w:eastAsia="en-GB"/>
              </w:rPr>
            </w:pPr>
            <w:r>
              <w:rPr>
                <w:rFonts w:ascii="Calibri" w:eastAsia="Calibri" w:hAnsi="Calibri" w:cs="Times New Roman"/>
                <w:b/>
                <w:bCs/>
                <w:noProof/>
                <w:color w:val="FFFFFF"/>
                <w:szCs w:val="20"/>
                <w:lang w:eastAsia="en-GB"/>
              </w:rPr>
              <w:t>International commitments</w:t>
            </w:r>
          </w:p>
        </w:tc>
        <w:tc>
          <w:tcPr>
            <w:tcW w:w="3126" w:type="pct"/>
            <w:gridSpan w:val="7"/>
            <w:tcBorders>
              <w:top w:val="single" w:sz="8" w:space="0" w:color="auto"/>
              <w:left w:val="nil"/>
              <w:bottom w:val="single" w:sz="8" w:space="0" w:color="auto"/>
              <w:right w:val="single" w:sz="8" w:space="0" w:color="000000"/>
            </w:tcBorders>
            <w:shd w:val="clear" w:color="auto" w:fill="0094DE"/>
            <w:vAlign w:val="center"/>
            <w:hideMark/>
          </w:tcPr>
          <w:p>
            <w:pPr>
              <w:spacing w:after="0" w:line="276" w:lineRule="auto"/>
              <w:jc w:val="center"/>
              <w:rPr>
                <w:rFonts w:ascii="Calibri" w:eastAsia="Calibri" w:hAnsi="Calibri" w:cs="Times New Roman"/>
                <w:b/>
                <w:bCs/>
                <w:noProof/>
                <w:color w:val="FFFFFF"/>
                <w:szCs w:val="20"/>
                <w:lang w:eastAsia="en-GB"/>
              </w:rPr>
            </w:pPr>
            <w:r>
              <w:rPr>
                <w:rFonts w:ascii="Calibri" w:eastAsia="Calibri" w:hAnsi="Calibri" w:cs="Times New Roman"/>
                <w:b/>
                <w:bCs/>
                <w:noProof/>
                <w:color w:val="FFFFFF"/>
                <w:szCs w:val="20"/>
                <w:lang w:eastAsia="en-GB"/>
              </w:rPr>
              <w:t>EU domestic legislation</w:t>
            </w:r>
          </w:p>
        </w:tc>
      </w:tr>
      <w:tr>
        <w:trPr>
          <w:trHeight w:val="508"/>
          <w:tblHeader/>
          <w:jc w:val="center"/>
        </w:trPr>
        <w:tc>
          <w:tcPr>
            <w:tcW w:w="464" w:type="pct"/>
            <w:vMerge w:val="restart"/>
            <w:tcBorders>
              <w:top w:val="nil"/>
              <w:left w:val="single" w:sz="8" w:space="0" w:color="auto"/>
              <w:bottom w:val="single" w:sz="8" w:space="0" w:color="000000"/>
              <w:right w:val="single" w:sz="8" w:space="0" w:color="auto"/>
            </w:tcBorders>
            <w:shd w:val="clear" w:color="auto" w:fill="95B3D7"/>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 </w:t>
            </w:r>
          </w:p>
        </w:tc>
        <w:tc>
          <w:tcPr>
            <w:tcW w:w="834" w:type="pct"/>
            <w:gridSpan w:val="2"/>
            <w:vMerge w:val="restart"/>
            <w:tcBorders>
              <w:top w:val="single" w:sz="8" w:space="0" w:color="auto"/>
              <w:left w:val="single" w:sz="8" w:space="0" w:color="auto"/>
              <w:bottom w:val="single" w:sz="8" w:space="0" w:color="000000"/>
              <w:right w:val="single" w:sz="8" w:space="0" w:color="000000"/>
            </w:tcBorders>
            <w:shd w:val="clear" w:color="auto" w:fill="95B3D7"/>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The EU’s commitment under the Kyoto Protocol</w:t>
            </w:r>
          </w:p>
        </w:tc>
        <w:tc>
          <w:tcPr>
            <w:tcW w:w="575" w:type="pct"/>
            <w:vMerge w:val="restart"/>
            <w:tcBorders>
              <w:top w:val="nil"/>
              <w:left w:val="single" w:sz="8" w:space="0" w:color="auto"/>
              <w:bottom w:val="single" w:sz="8" w:space="0" w:color="000000"/>
              <w:right w:val="single" w:sz="8" w:space="0" w:color="auto"/>
            </w:tcBorders>
            <w:shd w:val="clear" w:color="auto" w:fill="CCC0D9"/>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The EU’s commitment under the Paris Agreement</w:t>
            </w:r>
          </w:p>
        </w:tc>
        <w:tc>
          <w:tcPr>
            <w:tcW w:w="1303" w:type="pct"/>
            <w:gridSpan w:val="3"/>
            <w:tcBorders>
              <w:top w:val="single" w:sz="8" w:space="0" w:color="auto"/>
              <w:left w:val="single" w:sz="8" w:space="0" w:color="auto"/>
              <w:bottom w:val="single" w:sz="8" w:space="0" w:color="auto"/>
              <w:right w:val="single" w:sz="8" w:space="0" w:color="000000"/>
            </w:tcBorders>
            <w:shd w:val="clear" w:color="auto" w:fill="95B3D7"/>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2020 Climate and Energy Package</w:t>
            </w:r>
          </w:p>
        </w:tc>
        <w:tc>
          <w:tcPr>
            <w:tcW w:w="1824" w:type="pct"/>
            <w:gridSpan w:val="4"/>
            <w:tcBorders>
              <w:top w:val="single" w:sz="8" w:space="0" w:color="auto"/>
              <w:left w:val="nil"/>
              <w:bottom w:val="single" w:sz="8" w:space="0" w:color="auto"/>
              <w:right w:val="single" w:sz="8" w:space="0" w:color="000000"/>
            </w:tcBorders>
            <w:shd w:val="clear" w:color="auto" w:fill="CCC0D9"/>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2030 Climate and Energy Framework</w:t>
            </w:r>
          </w:p>
        </w:tc>
      </w:tr>
      <w:tr>
        <w:trPr>
          <w:trHeight w:val="522"/>
          <w:tblHeader/>
          <w:jc w:val="center"/>
        </w:trPr>
        <w:tc>
          <w:tcPr>
            <w:tcW w:w="464" w:type="pct"/>
            <w:vMerge/>
            <w:tcBorders>
              <w:top w:val="nil"/>
              <w:left w:val="single" w:sz="8" w:space="0" w:color="auto"/>
              <w:bottom w:val="single" w:sz="8" w:space="0" w:color="000000"/>
              <w:right w:val="single" w:sz="8" w:space="0" w:color="auto"/>
            </w:tcBorders>
            <w:shd w:val="clear" w:color="auto" w:fill="95B3D7"/>
            <w:vAlign w:val="center"/>
            <w:hideMark/>
          </w:tcPr>
          <w:p>
            <w:pPr>
              <w:spacing w:after="0" w:line="276" w:lineRule="auto"/>
              <w:rPr>
                <w:rFonts w:ascii="Calibri" w:eastAsia="Calibri" w:hAnsi="Calibri" w:cs="Times New Roman"/>
                <w:b/>
                <w:bCs/>
                <w:noProof/>
                <w:color w:val="000000"/>
                <w:sz w:val="20"/>
                <w:szCs w:val="20"/>
                <w:lang w:eastAsia="en-GB"/>
              </w:rPr>
            </w:pPr>
          </w:p>
        </w:tc>
        <w:tc>
          <w:tcPr>
            <w:tcW w:w="834" w:type="pct"/>
            <w:gridSpan w:val="2"/>
            <w:vMerge/>
            <w:tcBorders>
              <w:top w:val="single" w:sz="8" w:space="0" w:color="auto"/>
              <w:left w:val="single" w:sz="8" w:space="0" w:color="auto"/>
              <w:bottom w:val="single" w:sz="8" w:space="0" w:color="000000"/>
              <w:right w:val="single" w:sz="8" w:space="0" w:color="000000"/>
            </w:tcBorders>
            <w:shd w:val="clear" w:color="auto" w:fill="95B3D7"/>
            <w:vAlign w:val="center"/>
            <w:hideMark/>
          </w:tcPr>
          <w:p>
            <w:pPr>
              <w:spacing w:after="0" w:line="276" w:lineRule="auto"/>
              <w:rPr>
                <w:rFonts w:ascii="Calibri" w:eastAsia="Calibri" w:hAnsi="Calibri" w:cs="Times New Roman"/>
                <w:b/>
                <w:bCs/>
                <w:noProof/>
                <w:color w:val="000000"/>
                <w:sz w:val="20"/>
                <w:szCs w:val="20"/>
                <w:lang w:eastAsia="en-GB"/>
              </w:rPr>
            </w:pPr>
          </w:p>
        </w:tc>
        <w:tc>
          <w:tcPr>
            <w:tcW w:w="575" w:type="pct"/>
            <w:vMerge/>
            <w:tcBorders>
              <w:top w:val="nil"/>
              <w:left w:val="single" w:sz="8" w:space="0" w:color="auto"/>
              <w:bottom w:val="single" w:sz="8" w:space="0" w:color="000000"/>
              <w:right w:val="single" w:sz="8" w:space="0" w:color="auto"/>
            </w:tcBorders>
            <w:shd w:val="clear" w:color="auto" w:fill="CCC0D9"/>
            <w:vAlign w:val="center"/>
            <w:hideMark/>
          </w:tcPr>
          <w:p>
            <w:pPr>
              <w:spacing w:after="0" w:line="276" w:lineRule="auto"/>
              <w:rPr>
                <w:rFonts w:ascii="Calibri" w:eastAsia="Calibri" w:hAnsi="Calibri" w:cs="Times New Roman"/>
                <w:b/>
                <w:bCs/>
                <w:noProof/>
                <w:color w:val="000000"/>
                <w:sz w:val="20"/>
                <w:szCs w:val="20"/>
                <w:lang w:eastAsia="en-GB"/>
              </w:rPr>
            </w:pPr>
          </w:p>
        </w:tc>
        <w:tc>
          <w:tcPr>
            <w:tcW w:w="642" w:type="pct"/>
            <w:tcBorders>
              <w:top w:val="nil"/>
              <w:left w:val="nil"/>
              <w:bottom w:val="single" w:sz="8" w:space="0" w:color="auto"/>
              <w:right w:val="single" w:sz="8" w:space="0" w:color="auto"/>
            </w:tcBorders>
            <w:shd w:val="clear" w:color="auto" w:fill="95B3D7"/>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EU ETS</w:t>
            </w:r>
          </w:p>
        </w:tc>
        <w:tc>
          <w:tcPr>
            <w:tcW w:w="661" w:type="pct"/>
            <w:gridSpan w:val="2"/>
            <w:tcBorders>
              <w:top w:val="nil"/>
              <w:left w:val="nil"/>
              <w:bottom w:val="single" w:sz="8" w:space="0" w:color="auto"/>
              <w:right w:val="single" w:sz="8" w:space="0" w:color="auto"/>
            </w:tcBorders>
            <w:shd w:val="clear" w:color="auto" w:fill="95B3D7"/>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Effort Sharing Decision (ESD)</w:t>
            </w:r>
          </w:p>
        </w:tc>
        <w:tc>
          <w:tcPr>
            <w:tcW w:w="679" w:type="pct"/>
            <w:gridSpan w:val="2"/>
            <w:tcBorders>
              <w:top w:val="nil"/>
              <w:left w:val="nil"/>
              <w:bottom w:val="single" w:sz="8" w:space="0" w:color="auto"/>
              <w:right w:val="single" w:sz="8" w:space="0" w:color="auto"/>
            </w:tcBorders>
            <w:shd w:val="clear" w:color="auto" w:fill="CCC0D9"/>
            <w:vAlign w:val="center"/>
            <w:hideMark/>
          </w:tcPr>
          <w:p>
            <w:pPr>
              <w:spacing w:after="0" w:line="276" w:lineRule="auto"/>
              <w:jc w:val="center"/>
              <w:rPr>
                <w:rFonts w:ascii="Calibri" w:eastAsia="Calibri" w:hAnsi="Calibri" w:cs="Times New Roman"/>
                <w:b/>
                <w:bCs/>
                <w:noProof/>
                <w:color w:val="000000"/>
                <w:sz w:val="20"/>
                <w:szCs w:val="20"/>
                <w:lang w:val="pt-PT" w:eastAsia="en-GB"/>
              </w:rPr>
            </w:pPr>
            <w:r>
              <w:rPr>
                <w:rFonts w:ascii="Calibri" w:eastAsia="Calibri" w:hAnsi="Calibri" w:cs="Times New Roman"/>
                <w:b/>
                <w:bCs/>
                <w:noProof/>
                <w:color w:val="000000"/>
                <w:sz w:val="20"/>
                <w:szCs w:val="20"/>
                <w:lang w:val="pt-PT" w:eastAsia="en-GB"/>
              </w:rPr>
              <w:t xml:space="preserve">EU ETS </w:t>
            </w:r>
          </w:p>
          <w:p>
            <w:pPr>
              <w:spacing w:after="0" w:line="276" w:lineRule="auto"/>
              <w:jc w:val="center"/>
              <w:rPr>
                <w:rFonts w:ascii="Calibri" w:eastAsia="Calibri" w:hAnsi="Calibri" w:cs="Times New Roman"/>
                <w:b/>
                <w:bCs/>
                <w:noProof/>
                <w:color w:val="000000"/>
                <w:sz w:val="20"/>
                <w:szCs w:val="20"/>
                <w:lang w:val="pt-PT" w:eastAsia="en-GB"/>
              </w:rPr>
            </w:pPr>
          </w:p>
        </w:tc>
        <w:tc>
          <w:tcPr>
            <w:tcW w:w="573" w:type="pct"/>
            <w:tcBorders>
              <w:top w:val="nil"/>
              <w:left w:val="nil"/>
              <w:bottom w:val="single" w:sz="8" w:space="0" w:color="auto"/>
              <w:right w:val="single" w:sz="8" w:space="0" w:color="auto"/>
            </w:tcBorders>
            <w:shd w:val="clear" w:color="auto" w:fill="CCC0D9"/>
            <w:vAlign w:val="center"/>
            <w:hideMark/>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Effort Sharing Regulation (ESR)</w:t>
            </w:r>
          </w:p>
        </w:tc>
        <w:tc>
          <w:tcPr>
            <w:tcW w:w="572" w:type="pct"/>
            <w:tcBorders>
              <w:top w:val="nil"/>
              <w:left w:val="nil"/>
              <w:bottom w:val="single" w:sz="8" w:space="0" w:color="auto"/>
              <w:right w:val="single" w:sz="8" w:space="0" w:color="auto"/>
            </w:tcBorders>
            <w:shd w:val="clear" w:color="auto" w:fill="CCC0D9"/>
            <w:vAlign w:val="center"/>
          </w:tcPr>
          <w:p>
            <w:pPr>
              <w:spacing w:after="0" w:line="276" w:lineRule="auto"/>
              <w:jc w:val="center"/>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LULUCF</w:t>
            </w:r>
          </w:p>
        </w:tc>
      </w:tr>
      <w:tr>
        <w:trPr>
          <w:trHeight w:val="313"/>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Target year of period</w:t>
            </w:r>
          </w:p>
        </w:tc>
        <w:tc>
          <w:tcPr>
            <w:tcW w:w="834"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Second commitment period (2013-2020)</w:t>
            </w: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(target for EU-28)</w:t>
            </w:r>
          </w:p>
        </w:tc>
        <w:tc>
          <w:tcPr>
            <w:tcW w:w="575"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Already in force – covers the period post 2020</w:t>
            </w:r>
          </w:p>
        </w:tc>
        <w:tc>
          <w:tcPr>
            <w:tcW w:w="642"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2013-2020</w:t>
            </w:r>
          </w:p>
        </w:tc>
        <w:tc>
          <w:tcPr>
            <w:tcW w:w="661"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2013-2020</w:t>
            </w:r>
          </w:p>
        </w:tc>
        <w:tc>
          <w:tcPr>
            <w:tcW w:w="679" w:type="pct"/>
            <w:gridSpan w:val="2"/>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2021-2030</w:t>
            </w:r>
          </w:p>
        </w:tc>
        <w:tc>
          <w:tcPr>
            <w:tcW w:w="573"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2021-2030</w:t>
            </w:r>
          </w:p>
        </w:tc>
        <w:tc>
          <w:tcPr>
            <w:tcW w:w="572" w:type="pct"/>
            <w:tcBorders>
              <w:top w:val="nil"/>
              <w:left w:val="nil"/>
              <w:bottom w:val="single" w:sz="8" w:space="0" w:color="auto"/>
              <w:right w:val="single" w:sz="8" w:space="0" w:color="auto"/>
            </w:tcBorders>
            <w:shd w:val="clear" w:color="000000" w:fill="E4DFEC"/>
            <w:vAlign w:val="center"/>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2021-2030</w:t>
            </w:r>
          </w:p>
        </w:tc>
      </w:tr>
      <w:tr>
        <w:trPr>
          <w:trHeight w:val="522"/>
          <w:jc w:val="center"/>
        </w:trPr>
        <w:tc>
          <w:tcPr>
            <w:tcW w:w="464" w:type="pct"/>
            <w:vMerge w:val="restart"/>
            <w:tcBorders>
              <w:top w:val="single" w:sz="8" w:space="0" w:color="auto"/>
              <w:left w:val="single" w:sz="8" w:space="0" w:color="auto"/>
              <w:bottom w:val="single" w:sz="8" w:space="0" w:color="000000"/>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Emission reduction target</w:t>
            </w:r>
          </w:p>
        </w:tc>
        <w:tc>
          <w:tcPr>
            <w:tcW w:w="834" w:type="pct"/>
            <w:gridSpan w:val="2"/>
            <w:vMerge w:val="restart"/>
            <w:tcBorders>
              <w:top w:val="single" w:sz="8" w:space="0" w:color="auto"/>
              <w:left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-20 %</w:t>
            </w:r>
          </w:p>
        </w:tc>
        <w:tc>
          <w:tcPr>
            <w:tcW w:w="575" w:type="pct"/>
            <w:vMerge w:val="restart"/>
            <w:tcBorders>
              <w:top w:val="single" w:sz="8" w:space="0" w:color="auto"/>
              <w:left w:val="single" w:sz="8" w:space="0" w:color="auto"/>
              <w:bottom w:val="single" w:sz="8" w:space="0" w:color="000000"/>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at least -40 % in 2030</w:t>
            </w:r>
          </w:p>
        </w:tc>
        <w:tc>
          <w:tcPr>
            <w:tcW w:w="642" w:type="pct"/>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-21 % in 2020 compared to 2005 for ETS emissions</w:t>
            </w:r>
          </w:p>
        </w:tc>
        <w:tc>
          <w:tcPr>
            <w:tcW w:w="661"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Annual targets by MS. In 2020 -10 % compared to 2005 for non-ETS emissions</w:t>
            </w:r>
          </w:p>
        </w:tc>
        <w:tc>
          <w:tcPr>
            <w:tcW w:w="679" w:type="pct"/>
            <w:gridSpan w:val="2"/>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-43 % in 2030 compared to 2005 for ETS emissions</w:t>
            </w:r>
          </w:p>
        </w:tc>
        <w:tc>
          <w:tcPr>
            <w:tcW w:w="573"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Annual targets by MS. In 2030 -30 % compared to 2005 for non-ETS emissions</w:t>
            </w:r>
          </w:p>
        </w:tc>
        <w:tc>
          <w:tcPr>
            <w:tcW w:w="572" w:type="pct"/>
            <w:tcBorders>
              <w:top w:val="nil"/>
              <w:left w:val="nil"/>
              <w:bottom w:val="single" w:sz="8" w:space="0" w:color="auto"/>
              <w:right w:val="single" w:sz="8" w:space="0" w:color="auto"/>
            </w:tcBorders>
            <w:shd w:val="clear" w:color="000000" w:fill="E4DFEC"/>
            <w:vAlign w:val="center"/>
          </w:tcPr>
          <w:p>
            <w:pPr>
              <w:spacing w:after="0" w:line="276" w:lineRule="auto"/>
              <w:jc w:val="center"/>
              <w:rPr>
                <w:rFonts w:ascii="Calibri" w:eastAsia="Calibri" w:hAnsi="Calibri" w:cs="Times New Roman"/>
                <w:noProof/>
                <w:color w:val="000000"/>
                <w:sz w:val="18"/>
                <w:szCs w:val="18"/>
                <w:lang w:eastAsia="en-GB"/>
              </w:rPr>
            </w:pPr>
            <w:r>
              <w:rPr>
                <w:noProof/>
                <w:sz w:val="20"/>
              </w:rPr>
              <w:t>0% (no-debit target based on accounting rules)</w:t>
            </w:r>
          </w:p>
        </w:tc>
      </w:tr>
      <w:tr>
        <w:trPr>
          <w:trHeight w:val="313"/>
          <w:jc w:val="center"/>
        </w:trPr>
        <w:tc>
          <w:tcPr>
            <w:tcW w:w="464" w:type="pct"/>
            <w:vMerge/>
            <w:tcBorders>
              <w:top w:val="single" w:sz="8" w:space="0" w:color="auto"/>
              <w:left w:val="single" w:sz="8" w:space="0" w:color="auto"/>
              <w:bottom w:val="single" w:sz="4"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p>
        </w:tc>
        <w:tc>
          <w:tcPr>
            <w:tcW w:w="834" w:type="pct"/>
            <w:gridSpan w:val="2"/>
            <w:vMerge/>
            <w:tcBorders>
              <w:left w:val="single" w:sz="8" w:space="0" w:color="auto"/>
              <w:bottom w:val="single" w:sz="4" w:space="0" w:color="auto"/>
              <w:right w:val="single" w:sz="8" w:space="0" w:color="auto"/>
            </w:tcBorders>
            <w:vAlign w:val="center"/>
            <w:hideMark/>
          </w:tcPr>
          <w:p>
            <w:pPr>
              <w:spacing w:after="0" w:line="276" w:lineRule="auto"/>
              <w:rPr>
                <w:rFonts w:ascii="Calibri" w:eastAsia="Calibri" w:hAnsi="Calibri" w:cs="Times New Roman"/>
                <w:noProof/>
                <w:color w:val="000000"/>
                <w:sz w:val="18"/>
                <w:szCs w:val="18"/>
                <w:lang w:eastAsia="en-GB"/>
              </w:rPr>
            </w:pPr>
          </w:p>
        </w:tc>
        <w:tc>
          <w:tcPr>
            <w:tcW w:w="575" w:type="pct"/>
            <w:vMerge/>
            <w:tcBorders>
              <w:top w:val="single" w:sz="8" w:space="0" w:color="auto"/>
              <w:left w:val="single" w:sz="8" w:space="0" w:color="auto"/>
              <w:bottom w:val="single" w:sz="4" w:space="0" w:color="auto"/>
              <w:right w:val="single" w:sz="8" w:space="0" w:color="auto"/>
            </w:tcBorders>
            <w:vAlign w:val="center"/>
            <w:hideMark/>
          </w:tcPr>
          <w:p>
            <w:pPr>
              <w:spacing w:after="0" w:line="276" w:lineRule="auto"/>
              <w:rPr>
                <w:rFonts w:ascii="Calibri" w:eastAsia="Calibri" w:hAnsi="Calibri" w:cs="Times New Roman"/>
                <w:noProof/>
                <w:color w:val="000000"/>
                <w:sz w:val="18"/>
                <w:szCs w:val="18"/>
                <w:lang w:eastAsia="en-GB"/>
              </w:rPr>
            </w:pPr>
          </w:p>
        </w:tc>
        <w:tc>
          <w:tcPr>
            <w:tcW w:w="1303" w:type="pct"/>
            <w:gridSpan w:val="3"/>
            <w:tcBorders>
              <w:top w:val="nil"/>
              <w:left w:val="nil"/>
              <w:bottom w:val="single" w:sz="4" w:space="0" w:color="auto"/>
              <w:right w:val="single" w:sz="8" w:space="0" w:color="000000"/>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Overall target: -20 % GHG emissions reduction vs 1990"</w:t>
            </w:r>
          </w:p>
        </w:tc>
        <w:tc>
          <w:tcPr>
            <w:tcW w:w="1824" w:type="pct"/>
            <w:gridSpan w:val="4"/>
            <w:tcBorders>
              <w:top w:val="single" w:sz="8" w:space="0" w:color="auto"/>
              <w:left w:val="nil"/>
              <w:bottom w:val="single" w:sz="4" w:space="0" w:color="auto"/>
              <w:right w:val="single" w:sz="8" w:space="0" w:color="000000"/>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Overall target:  at least -40 % domestic GHG emissions reduction vs 1990</w:t>
            </w:r>
          </w:p>
        </w:tc>
      </w:tr>
      <w:tr>
        <w:trPr>
          <w:trHeight w:val="732"/>
          <w:jc w:val="center"/>
        </w:trPr>
        <w:tc>
          <w:tcPr>
            <w:tcW w:w="46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Further targets</w:t>
            </w:r>
          </w:p>
        </w:tc>
        <w:tc>
          <w:tcPr>
            <w:tcW w:w="8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w:t>
            </w:r>
          </w:p>
        </w:tc>
        <w:tc>
          <w:tcPr>
            <w:tcW w:w="575"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pPr>
              <w:spacing w:after="0" w:line="276" w:lineRule="auto"/>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xml:space="preserve">• limiting global warming to well below 2°C.; </w:t>
            </w:r>
            <w:r>
              <w:rPr>
                <w:rFonts w:ascii="Calibri" w:eastAsia="Calibri" w:hAnsi="Calibri" w:cs="Times New Roman"/>
                <w:noProof/>
                <w:color w:val="000000"/>
                <w:sz w:val="18"/>
                <w:szCs w:val="18"/>
                <w:lang w:eastAsia="en-GB"/>
              </w:rPr>
              <w:br/>
              <w:t>• every 5 years to set more ambitious targets as required by science;</w:t>
            </w:r>
            <w:r>
              <w:rPr>
                <w:rFonts w:ascii="Calibri" w:eastAsia="Calibri" w:hAnsi="Calibri" w:cs="Times New Roman"/>
                <w:noProof/>
                <w:color w:val="000000"/>
                <w:sz w:val="18"/>
                <w:szCs w:val="18"/>
                <w:lang w:eastAsia="en-GB"/>
              </w:rPr>
              <w:br/>
              <w:t>• report on implementation/ track progress towards the long-term goal through a robust transparency and accountability system.</w:t>
            </w:r>
          </w:p>
          <w:p>
            <w:pPr>
              <w:spacing w:after="0" w:line="276" w:lineRule="auto"/>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balance between anthropogenic emissions by sources and removals by sinks of greenhouse gases in the second half of this century.</w:t>
            </w:r>
          </w:p>
        </w:tc>
        <w:tc>
          <w:tcPr>
            <w:tcW w:w="130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76" w:lineRule="auto"/>
              <w:rPr>
                <w:rFonts w:ascii="Calibri" w:eastAsia="Calibri" w:hAnsi="Calibri" w:cs="Times New Roman"/>
                <w:noProof/>
                <w:color w:val="000000"/>
                <w:sz w:val="18"/>
                <w:szCs w:val="18"/>
                <w:lang w:eastAsia="en-GB"/>
              </w:rPr>
            </w:pPr>
            <w:r>
              <w:rPr>
                <w:rFonts w:ascii="Wingdings" w:eastAsia="Calibri" w:hAnsi="Wingdings" w:cs="Times New Roman"/>
                <w:noProof/>
                <w:color w:val="000000"/>
                <w:sz w:val="18"/>
                <w:szCs w:val="18"/>
                <w:lang w:eastAsia="en-GB"/>
              </w:rPr>
              <w:t></w:t>
            </w:r>
            <w:r>
              <w:rPr>
                <w:rFonts w:ascii="Calibri" w:eastAsia="Calibri" w:hAnsi="Calibri" w:cs="Times New Roman"/>
                <w:noProof/>
                <w:color w:val="000000"/>
                <w:sz w:val="18"/>
                <w:szCs w:val="18"/>
                <w:lang w:eastAsia="en-GB"/>
              </w:rPr>
              <w:t>Renewable Energy Directive: 20 % share of renewable energy of gross final energy consumption;</w:t>
            </w:r>
          </w:p>
        </w:tc>
        <w:tc>
          <w:tcPr>
            <w:tcW w:w="1824"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pPr>
              <w:spacing w:after="0" w:line="276" w:lineRule="auto"/>
              <w:rPr>
                <w:rFonts w:ascii="Wingdings" w:eastAsia="Calibri" w:hAnsi="Wingdings" w:cs="Times New Roman"/>
                <w:noProof/>
                <w:color w:val="000000"/>
                <w:sz w:val="18"/>
                <w:szCs w:val="18"/>
                <w:lang w:eastAsia="en-GB"/>
              </w:rPr>
            </w:pPr>
            <w:r>
              <w:rPr>
                <w:rFonts w:ascii="Wingdings" w:eastAsia="Calibri" w:hAnsi="Wingdings" w:cs="Times New Roman"/>
                <w:noProof/>
                <w:color w:val="000000"/>
                <w:sz w:val="18"/>
                <w:szCs w:val="18"/>
                <w:lang w:eastAsia="en-GB"/>
              </w:rPr>
              <w:t></w:t>
            </w:r>
            <w:r>
              <w:rPr>
                <w:rFonts w:ascii="Calibri" w:eastAsia="Calibri" w:hAnsi="Calibri" w:cs="Times New Roman"/>
                <w:noProof/>
                <w:color w:val="000000"/>
                <w:sz w:val="18"/>
                <w:szCs w:val="18"/>
                <w:lang w:eastAsia="en-GB"/>
              </w:rPr>
              <w:t>At least 32 % share of  renewable energy in EU energy consumption (with an upward review by 2023);</w:t>
            </w:r>
          </w:p>
        </w:tc>
      </w:tr>
      <w:tr>
        <w:trPr>
          <w:trHeight w:val="881"/>
          <w:jc w:val="center"/>
        </w:trPr>
        <w:tc>
          <w:tcPr>
            <w:tcW w:w="464" w:type="pct"/>
            <w:vMerge/>
            <w:tcBorders>
              <w:top w:val="single" w:sz="4" w:space="0" w:color="auto"/>
              <w:left w:val="single" w:sz="8" w:space="0" w:color="auto"/>
              <w:bottom w:val="single" w:sz="8" w:space="0" w:color="000000"/>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p>
        </w:tc>
        <w:tc>
          <w:tcPr>
            <w:tcW w:w="834" w:type="pct"/>
            <w:gridSpan w:val="2"/>
            <w:vMerge/>
            <w:tcBorders>
              <w:top w:val="single" w:sz="4" w:space="0" w:color="auto"/>
              <w:left w:val="single" w:sz="8" w:space="0" w:color="auto"/>
              <w:bottom w:val="single" w:sz="8" w:space="0" w:color="000000"/>
              <w:right w:val="single" w:sz="8" w:space="0" w:color="auto"/>
            </w:tcBorders>
            <w:vAlign w:val="center"/>
            <w:hideMark/>
          </w:tcPr>
          <w:p>
            <w:pPr>
              <w:spacing w:after="0" w:line="276" w:lineRule="auto"/>
              <w:rPr>
                <w:rFonts w:ascii="Calibri" w:eastAsia="Calibri" w:hAnsi="Calibri" w:cs="Times New Roman"/>
                <w:noProof/>
                <w:color w:val="000000"/>
                <w:sz w:val="18"/>
                <w:szCs w:val="18"/>
                <w:lang w:eastAsia="en-GB"/>
              </w:rPr>
            </w:pPr>
          </w:p>
        </w:tc>
        <w:tc>
          <w:tcPr>
            <w:tcW w:w="575" w:type="pct"/>
            <w:vMerge/>
            <w:tcBorders>
              <w:top w:val="single" w:sz="4" w:space="0" w:color="auto"/>
              <w:left w:val="single" w:sz="8" w:space="0" w:color="auto"/>
              <w:bottom w:val="single" w:sz="8" w:space="0" w:color="000000"/>
              <w:right w:val="single" w:sz="8" w:space="0" w:color="auto"/>
            </w:tcBorders>
            <w:vAlign w:val="center"/>
            <w:hideMark/>
          </w:tcPr>
          <w:p>
            <w:pPr>
              <w:spacing w:after="0" w:line="276" w:lineRule="auto"/>
              <w:rPr>
                <w:rFonts w:ascii="Calibri" w:eastAsia="Calibri" w:hAnsi="Calibri" w:cs="Times New Roman"/>
                <w:noProof/>
                <w:color w:val="000000"/>
                <w:sz w:val="18"/>
                <w:szCs w:val="18"/>
                <w:lang w:eastAsia="en-GB"/>
              </w:rPr>
            </w:pPr>
          </w:p>
        </w:tc>
        <w:tc>
          <w:tcPr>
            <w:tcW w:w="1303" w:type="pct"/>
            <w:gridSpan w:val="3"/>
            <w:tcBorders>
              <w:top w:val="single" w:sz="4" w:space="0" w:color="auto"/>
              <w:left w:val="nil"/>
              <w:bottom w:val="single" w:sz="8" w:space="0" w:color="auto"/>
              <w:right w:val="single" w:sz="8" w:space="0" w:color="000000"/>
            </w:tcBorders>
            <w:shd w:val="clear" w:color="000000" w:fill="FFFFFF"/>
            <w:vAlign w:val="center"/>
            <w:hideMark/>
          </w:tcPr>
          <w:p>
            <w:pPr>
              <w:spacing w:after="0" w:line="276" w:lineRule="auto"/>
              <w:rPr>
                <w:rFonts w:ascii="Calibri" w:eastAsia="Calibri" w:hAnsi="Calibri" w:cs="Times New Roman"/>
                <w:noProof/>
                <w:color w:val="000000"/>
                <w:sz w:val="18"/>
                <w:szCs w:val="18"/>
                <w:lang w:eastAsia="en-GB"/>
              </w:rPr>
            </w:pPr>
            <w:r>
              <w:rPr>
                <w:rFonts w:ascii="Wingdings" w:eastAsia="Calibri" w:hAnsi="Wingdings" w:cs="Times New Roman"/>
                <w:noProof/>
                <w:color w:val="000000"/>
                <w:sz w:val="18"/>
                <w:szCs w:val="18"/>
                <w:lang w:eastAsia="en-GB"/>
              </w:rPr>
              <w:t></w:t>
            </w:r>
            <w:r>
              <w:rPr>
                <w:rFonts w:ascii="Calibri" w:eastAsia="Calibri" w:hAnsi="Calibri" w:cs="Times New Roman"/>
                <w:noProof/>
                <w:color w:val="000000"/>
                <w:sz w:val="18"/>
                <w:szCs w:val="18"/>
                <w:lang w:eastAsia="en-GB"/>
              </w:rPr>
              <w:t>Energy Efficiency Directive : Increase energy efficiency by 20 %.</w:t>
            </w:r>
          </w:p>
        </w:tc>
        <w:tc>
          <w:tcPr>
            <w:tcW w:w="1824" w:type="pct"/>
            <w:gridSpan w:val="4"/>
            <w:tcBorders>
              <w:top w:val="single" w:sz="4" w:space="0" w:color="auto"/>
              <w:left w:val="nil"/>
              <w:bottom w:val="single" w:sz="8" w:space="0" w:color="auto"/>
              <w:right w:val="single" w:sz="8" w:space="0" w:color="000000"/>
            </w:tcBorders>
            <w:shd w:val="clear" w:color="000000" w:fill="E4DFEC"/>
            <w:vAlign w:val="center"/>
            <w:hideMark/>
          </w:tcPr>
          <w:p>
            <w:pPr>
              <w:spacing w:after="0" w:line="276" w:lineRule="auto"/>
              <w:rPr>
                <w:rFonts w:ascii="Wingdings" w:eastAsia="Calibri" w:hAnsi="Wingdings" w:cs="Times New Roman"/>
                <w:noProof/>
                <w:color w:val="000000"/>
                <w:sz w:val="18"/>
                <w:szCs w:val="18"/>
                <w:lang w:eastAsia="en-GB"/>
              </w:rPr>
            </w:pPr>
            <w:r>
              <w:rPr>
                <w:rFonts w:ascii="Wingdings" w:eastAsia="Calibri" w:hAnsi="Wingdings" w:cs="Times New Roman"/>
                <w:noProof/>
                <w:color w:val="000000"/>
                <w:sz w:val="18"/>
                <w:szCs w:val="18"/>
                <w:lang w:eastAsia="en-GB"/>
              </w:rPr>
              <w:t></w:t>
            </w:r>
            <w:r>
              <w:rPr>
                <w:rFonts w:ascii="Calibri" w:eastAsia="Calibri" w:hAnsi="Calibri" w:cs="Times New Roman"/>
                <w:noProof/>
                <w:color w:val="000000"/>
                <w:sz w:val="18"/>
                <w:szCs w:val="18"/>
                <w:lang w:eastAsia="en-GB"/>
              </w:rPr>
              <w:t>At least 32.5 % improvement in energy efficiency (with an upward review by 2023).</w:t>
            </w:r>
          </w:p>
        </w:tc>
      </w:tr>
      <w:tr>
        <w:trPr>
          <w:trHeight w:val="529"/>
          <w:jc w:val="center"/>
        </w:trPr>
        <w:tc>
          <w:tcPr>
            <w:tcW w:w="464" w:type="pct"/>
            <w:vMerge w:val="restart"/>
            <w:tcBorders>
              <w:top w:val="single" w:sz="8" w:space="0" w:color="auto"/>
              <w:left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Base year</w:t>
            </w:r>
          </w:p>
        </w:tc>
        <w:tc>
          <w:tcPr>
            <w:tcW w:w="834" w:type="pct"/>
            <w:gridSpan w:val="2"/>
            <w:vMerge w:val="restart"/>
            <w:tcBorders>
              <w:top w:val="nil"/>
              <w:left w:val="nil"/>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1990, but subject to flexibility rules. 1995 or 2000 may be used as its base year for NF3</w:t>
            </w:r>
          </w:p>
        </w:tc>
        <w:tc>
          <w:tcPr>
            <w:tcW w:w="575" w:type="pct"/>
            <w:vMerge w:val="restart"/>
            <w:tcBorders>
              <w:top w:val="single" w:sz="8" w:space="0" w:color="auto"/>
              <w:left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1990</w:t>
            </w:r>
          </w:p>
        </w:tc>
        <w:tc>
          <w:tcPr>
            <w:tcW w:w="651"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2005</w:t>
            </w:r>
          </w:p>
        </w:tc>
        <w:tc>
          <w:tcPr>
            <w:tcW w:w="652" w:type="pct"/>
            <w:tcBorders>
              <w:top w:val="single" w:sz="8" w:space="0" w:color="auto"/>
              <w:left w:val="single" w:sz="8" w:space="0" w:color="auto"/>
              <w:bottom w:val="single" w:sz="4" w:space="0" w:color="auto"/>
              <w:right w:val="single" w:sz="8" w:space="0" w:color="000000"/>
            </w:tcBorders>
            <w:shd w:val="clear" w:color="auto" w:fill="auto"/>
            <w:vAlign w:val="center"/>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2005</w:t>
            </w:r>
          </w:p>
        </w:tc>
        <w:tc>
          <w:tcPr>
            <w:tcW w:w="626" w:type="pct"/>
            <w:tcBorders>
              <w:top w:val="single" w:sz="8" w:space="0" w:color="auto"/>
              <w:left w:val="single" w:sz="8" w:space="0" w:color="auto"/>
              <w:bottom w:val="single" w:sz="8" w:space="0" w:color="000000"/>
              <w:right w:val="single" w:sz="8" w:space="0" w:color="000000"/>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xml:space="preserve">2005 </w:t>
            </w:r>
          </w:p>
        </w:tc>
        <w:tc>
          <w:tcPr>
            <w:tcW w:w="626" w:type="pct"/>
            <w:gridSpan w:val="2"/>
            <w:tcBorders>
              <w:top w:val="single" w:sz="8" w:space="0" w:color="auto"/>
              <w:left w:val="single" w:sz="8" w:space="0" w:color="auto"/>
              <w:bottom w:val="single" w:sz="8" w:space="0" w:color="000000"/>
              <w:right w:val="single" w:sz="8" w:space="0" w:color="000000"/>
            </w:tcBorders>
            <w:shd w:val="clear" w:color="000000" w:fill="E4DFEC"/>
            <w:vAlign w:val="center"/>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2005</w:t>
            </w:r>
          </w:p>
        </w:tc>
        <w:tc>
          <w:tcPr>
            <w:tcW w:w="572" w:type="pct"/>
            <w:tcBorders>
              <w:top w:val="single" w:sz="8" w:space="0" w:color="auto"/>
              <w:left w:val="single" w:sz="8" w:space="0" w:color="auto"/>
              <w:right w:val="single" w:sz="8" w:space="0" w:color="000000"/>
            </w:tcBorders>
            <w:shd w:val="clear" w:color="000000" w:fill="E4DFEC"/>
          </w:tcPr>
          <w:p>
            <w:pPr>
              <w:spacing w:after="0" w:line="276" w:lineRule="auto"/>
              <w:jc w:val="center"/>
              <w:rPr>
                <w:rFonts w:ascii="Calibri" w:eastAsia="Calibri" w:hAnsi="Calibri" w:cs="Times New Roman"/>
                <w:noProof/>
                <w:color w:val="000000"/>
                <w:sz w:val="18"/>
                <w:szCs w:val="18"/>
                <w:lang w:eastAsia="en-GB"/>
              </w:rPr>
            </w:pPr>
            <w:r>
              <w:rPr>
                <w:noProof/>
                <w:sz w:val="20"/>
              </w:rPr>
              <w:t>Subject to accounting rules</w:t>
            </w:r>
          </w:p>
        </w:tc>
      </w:tr>
      <w:tr>
        <w:trPr>
          <w:trHeight w:val="529"/>
          <w:jc w:val="center"/>
        </w:trPr>
        <w:tc>
          <w:tcPr>
            <w:tcW w:w="464" w:type="pct"/>
            <w:vMerge/>
            <w:tcBorders>
              <w:left w:val="single" w:sz="8" w:space="0" w:color="auto"/>
              <w:bottom w:val="single" w:sz="8" w:space="0" w:color="000000"/>
              <w:right w:val="single" w:sz="8" w:space="0" w:color="auto"/>
            </w:tcBorders>
            <w:shd w:val="clear" w:color="auto" w:fill="DBE5F1"/>
            <w:vAlign w:val="center"/>
          </w:tcPr>
          <w:p>
            <w:pPr>
              <w:spacing w:after="0" w:line="276" w:lineRule="auto"/>
              <w:rPr>
                <w:rFonts w:ascii="Calibri" w:eastAsia="Calibri" w:hAnsi="Calibri" w:cs="Times New Roman"/>
                <w:b/>
                <w:bCs/>
                <w:noProof/>
                <w:color w:val="000000"/>
                <w:sz w:val="20"/>
                <w:szCs w:val="20"/>
                <w:lang w:eastAsia="en-GB"/>
              </w:rPr>
            </w:pPr>
          </w:p>
        </w:tc>
        <w:tc>
          <w:tcPr>
            <w:tcW w:w="834" w:type="pct"/>
            <w:gridSpan w:val="2"/>
            <w:vMerge/>
            <w:tcBorders>
              <w:left w:val="nil"/>
              <w:bottom w:val="single" w:sz="8" w:space="0" w:color="auto"/>
              <w:right w:val="single" w:sz="8" w:space="0" w:color="auto"/>
            </w:tcBorders>
            <w:shd w:val="clear" w:color="auto" w:fill="auto"/>
            <w:vAlign w:val="center"/>
          </w:tcPr>
          <w:p>
            <w:pPr>
              <w:spacing w:after="0" w:line="276" w:lineRule="auto"/>
              <w:jc w:val="center"/>
              <w:rPr>
                <w:rFonts w:ascii="Calibri" w:eastAsia="Calibri" w:hAnsi="Calibri" w:cs="Times New Roman"/>
                <w:noProof/>
                <w:color w:val="000000"/>
                <w:sz w:val="18"/>
                <w:szCs w:val="18"/>
                <w:lang w:eastAsia="en-GB"/>
              </w:rPr>
            </w:pPr>
          </w:p>
        </w:tc>
        <w:tc>
          <w:tcPr>
            <w:tcW w:w="575" w:type="pct"/>
            <w:vMerge/>
            <w:tcBorders>
              <w:left w:val="single" w:sz="8" w:space="0" w:color="auto"/>
              <w:bottom w:val="single" w:sz="8" w:space="0" w:color="000000"/>
              <w:right w:val="single" w:sz="8" w:space="0" w:color="auto"/>
            </w:tcBorders>
            <w:shd w:val="clear" w:color="000000" w:fill="E4DFEC"/>
            <w:vAlign w:val="center"/>
          </w:tcPr>
          <w:p>
            <w:pPr>
              <w:spacing w:after="0" w:line="276" w:lineRule="auto"/>
              <w:jc w:val="center"/>
              <w:rPr>
                <w:rFonts w:ascii="Calibri" w:eastAsia="Calibri" w:hAnsi="Calibri" w:cs="Times New Roman"/>
                <w:noProof/>
                <w:color w:val="000000"/>
                <w:sz w:val="18"/>
                <w:szCs w:val="18"/>
                <w:lang w:eastAsia="en-GB"/>
              </w:rPr>
            </w:pPr>
          </w:p>
        </w:tc>
        <w:tc>
          <w:tcPr>
            <w:tcW w:w="1303" w:type="pct"/>
            <w:gridSpan w:val="3"/>
            <w:tcBorders>
              <w:top w:val="single" w:sz="4" w:space="0" w:color="auto"/>
              <w:left w:val="single" w:sz="8" w:space="0" w:color="auto"/>
              <w:bottom w:val="single" w:sz="8" w:space="0" w:color="000000"/>
              <w:right w:val="single" w:sz="8" w:space="0" w:color="000000"/>
            </w:tcBorders>
            <w:shd w:val="clear" w:color="auto" w:fill="auto"/>
            <w:vAlign w:val="center"/>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1990 for overall emission reduction target</w:t>
            </w:r>
          </w:p>
        </w:tc>
        <w:tc>
          <w:tcPr>
            <w:tcW w:w="1824" w:type="pct"/>
            <w:gridSpan w:val="4"/>
            <w:tcBorders>
              <w:top w:val="single" w:sz="8" w:space="0" w:color="auto"/>
              <w:left w:val="single" w:sz="8" w:space="0" w:color="auto"/>
              <w:bottom w:val="single" w:sz="8" w:space="0" w:color="000000"/>
              <w:right w:val="single" w:sz="8" w:space="0" w:color="000000"/>
            </w:tcBorders>
            <w:shd w:val="clear" w:color="000000" w:fill="E4DFEC"/>
            <w:vAlign w:val="center"/>
          </w:tcPr>
          <w:p>
            <w:pPr>
              <w:spacing w:after="0" w:line="276" w:lineRule="auto"/>
              <w:jc w:val="center"/>
              <w:rPr>
                <w:noProof/>
                <w:sz w:val="20"/>
              </w:rPr>
            </w:pPr>
            <w:r>
              <w:rPr>
                <w:rFonts w:ascii="Calibri" w:eastAsia="Calibri" w:hAnsi="Calibri" w:cs="Times New Roman"/>
                <w:noProof/>
                <w:color w:val="000000"/>
                <w:sz w:val="18"/>
                <w:szCs w:val="18"/>
                <w:lang w:eastAsia="en-GB"/>
              </w:rPr>
              <w:t>1990 for overall emission reduction target</w:t>
            </w:r>
          </w:p>
        </w:tc>
      </w:tr>
      <w:tr>
        <w:trPr>
          <w:trHeight w:val="1648"/>
          <w:jc w:val="center"/>
        </w:trPr>
        <w:tc>
          <w:tcPr>
            <w:tcW w:w="464" w:type="pct"/>
            <w:tcBorders>
              <w:top w:val="single" w:sz="8" w:space="0" w:color="auto"/>
              <w:left w:val="single" w:sz="8" w:space="0" w:color="auto"/>
              <w:bottom w:val="single" w:sz="8" w:space="0" w:color="000000"/>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LULUCF</w:t>
            </w:r>
          </w:p>
        </w:tc>
        <w:tc>
          <w:tcPr>
            <w:tcW w:w="834"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Included: afforestation, reforestation and deforestation (ARD) and forest management, other activities if elected</w:t>
            </w: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xml:space="preserve">(new accounting rules) </w:t>
            </w:r>
          </w:p>
        </w:tc>
        <w:tc>
          <w:tcPr>
            <w:tcW w:w="575" w:type="pct"/>
            <w:tcBorders>
              <w:top w:val="single" w:sz="8" w:space="0" w:color="auto"/>
              <w:left w:val="single" w:sz="8" w:space="0" w:color="auto"/>
              <w:bottom w:val="single" w:sz="8" w:space="0" w:color="000000"/>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Included</w:t>
            </w:r>
            <w:r>
              <w:rPr>
                <w:noProof/>
                <w:sz w:val="20"/>
              </w:rPr>
              <w:t xml:space="preserve">: Contributes to the commitment of decreasing emissions by at least -40%. </w:t>
            </w:r>
          </w:p>
        </w:tc>
        <w:tc>
          <w:tcPr>
            <w:tcW w:w="1303" w:type="pct"/>
            <w:gridSpan w:val="3"/>
            <w:tcBorders>
              <w:top w:val="single" w:sz="8" w:space="0" w:color="auto"/>
              <w:left w:val="single" w:sz="8" w:space="0" w:color="auto"/>
              <w:bottom w:val="single" w:sz="8" w:space="0" w:color="000000"/>
              <w:right w:val="single" w:sz="8" w:space="0" w:color="000000"/>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Excluded from target, but reported in inventories.</w:t>
            </w:r>
          </w:p>
        </w:tc>
        <w:tc>
          <w:tcPr>
            <w:tcW w:w="1824" w:type="pct"/>
            <w:gridSpan w:val="4"/>
            <w:tcBorders>
              <w:top w:val="single" w:sz="8" w:space="0" w:color="auto"/>
              <w:left w:val="single" w:sz="8" w:space="0" w:color="auto"/>
              <w:bottom w:val="single" w:sz="8" w:space="0" w:color="000000"/>
              <w:right w:val="single" w:sz="8" w:space="0" w:color="000000"/>
            </w:tcBorders>
            <w:shd w:val="clear" w:color="000000" w:fill="E4DFEC"/>
            <w:vAlign w:val="center"/>
            <w:hideMark/>
          </w:tcPr>
          <w:p>
            <w:pPr>
              <w:spacing w:after="0" w:line="276" w:lineRule="auto"/>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xml:space="preserve">Included: </w:t>
            </w:r>
            <w:r>
              <w:rPr>
                <w:noProof/>
                <w:sz w:val="20"/>
              </w:rPr>
              <w:t xml:space="preserve">Contributes to the commitment of decreasing emissions by at least -40%. </w:t>
            </w:r>
          </w:p>
        </w:tc>
      </w:tr>
      <w:tr>
        <w:trPr>
          <w:trHeight w:val="522"/>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Aviation</w:t>
            </w:r>
            <w:r>
              <w:rPr>
                <w:rFonts w:ascii="Calibri" w:eastAsia="Calibri" w:hAnsi="Calibri" w:cs="Times New Roman"/>
                <w:b/>
                <w:bCs/>
                <w:noProof/>
                <w:color w:val="000000"/>
                <w:sz w:val="20"/>
                <w:szCs w:val="20"/>
                <w:vertAlign w:val="superscript"/>
                <w:lang w:eastAsia="en-GB"/>
              </w:rPr>
              <w:footnoteReference w:id="1"/>
            </w:r>
          </w:p>
        </w:tc>
        <w:tc>
          <w:tcPr>
            <w:tcW w:w="834" w:type="pct"/>
            <w:gridSpan w:val="2"/>
            <w:tcBorders>
              <w:top w:val="single" w:sz="8" w:space="0" w:color="auto"/>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xml:space="preserve">Domestic aviation included. International aviation not attributed. </w:t>
            </w:r>
          </w:p>
        </w:tc>
        <w:tc>
          <w:tcPr>
            <w:tcW w:w="575"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Economy-wide action encouraged</w:t>
            </w:r>
          </w:p>
        </w:tc>
        <w:tc>
          <w:tcPr>
            <w:tcW w:w="642"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EU ETS:</w:t>
            </w: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xml:space="preserve"> Domestic (national) and some international aviation included. </w:t>
            </w:r>
          </w:p>
        </w:tc>
        <w:tc>
          <w:tcPr>
            <w:tcW w:w="661"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ESD:</w:t>
            </w: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val="pt-PT" w:eastAsia="en-GB"/>
              </w:rPr>
              <w:t xml:space="preserve"> 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xml:space="preserve"> from domestic aviation excluded</w:t>
            </w:r>
          </w:p>
        </w:tc>
        <w:tc>
          <w:tcPr>
            <w:tcW w:w="679" w:type="pct"/>
            <w:gridSpan w:val="2"/>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EU ETS:</w:t>
            </w: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Domestic and some international aviation included.</w:t>
            </w:r>
          </w:p>
        </w:tc>
        <w:tc>
          <w:tcPr>
            <w:tcW w:w="573"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ESR:</w:t>
            </w: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xml:space="preserve"> from domestic aviation excluded</w:t>
            </w:r>
            <w:r>
              <w:rPr>
                <w:rFonts w:ascii="Calibri" w:eastAsia="Calibri" w:hAnsi="Calibri" w:cs="Times New Roman"/>
                <w:noProof/>
                <w:color w:val="000000"/>
                <w:sz w:val="18"/>
                <w:szCs w:val="18"/>
                <w:lang w:eastAsia="en-GB"/>
              </w:rPr>
              <w:t xml:space="preserve"> Aviation generally excluded</w:t>
            </w:r>
          </w:p>
        </w:tc>
        <w:tc>
          <w:tcPr>
            <w:tcW w:w="572" w:type="pct"/>
            <w:tcBorders>
              <w:top w:val="nil"/>
              <w:left w:val="nil"/>
              <w:bottom w:val="single" w:sz="8" w:space="0" w:color="auto"/>
              <w:right w:val="single" w:sz="8" w:space="0" w:color="auto"/>
            </w:tcBorders>
            <w:shd w:val="clear" w:color="000000" w:fill="E4DFEC"/>
          </w:tcPr>
          <w:p>
            <w:pPr>
              <w:spacing w:after="0" w:line="276" w:lineRule="auto"/>
              <w:jc w:val="center"/>
              <w:rPr>
                <w:rFonts w:ascii="Calibri" w:eastAsia="Calibri" w:hAnsi="Calibri" w:cs="Times New Roman"/>
                <w:noProof/>
                <w:color w:val="000000"/>
                <w:sz w:val="18"/>
                <w:szCs w:val="18"/>
                <w:lang w:eastAsia="en-GB"/>
              </w:rPr>
            </w:pPr>
          </w:p>
        </w:tc>
      </w:tr>
      <w:tr>
        <w:trPr>
          <w:trHeight w:val="776"/>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Use of international credits</w:t>
            </w:r>
          </w:p>
        </w:tc>
        <w:tc>
          <w:tcPr>
            <w:tcW w:w="834"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Use of KP flexible mechanisms subject to KP rules</w:t>
            </w:r>
          </w:p>
        </w:tc>
        <w:tc>
          <w:tcPr>
            <w:tcW w:w="575"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The EU will not use international credits (according to its NDC)</w:t>
            </w:r>
          </w:p>
        </w:tc>
        <w:tc>
          <w:tcPr>
            <w:tcW w:w="642"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 xml:space="preserve">Upper limit for credit use for period 2008-2020 at a maximum of 50 % of the reduction effort below 2005 levels </w:t>
            </w:r>
          </w:p>
        </w:tc>
        <w:tc>
          <w:tcPr>
            <w:tcW w:w="661"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sz w:val="18"/>
                <w:szCs w:val="18"/>
              </w:rPr>
              <w:t>Annual use of carbon credits is limited to up to 3 % of each Member State's ESD emissions in 2005</w:t>
            </w:r>
            <w:hyperlink r:id="rId22" w:anchor="RANGE!C25" w:history="1">
              <w:r>
                <w:rPr>
                  <w:rFonts w:ascii="Calibri" w:eastAsia="Calibri" w:hAnsi="Calibri" w:cs="Times New Roman"/>
                  <w:noProof/>
                  <w:color w:val="000000"/>
                  <w:sz w:val="18"/>
                  <w:szCs w:val="18"/>
                  <w:vertAlign w:val="superscript"/>
                  <w:lang w:eastAsia="en-GB"/>
                </w:rPr>
                <w:footnoteReference w:id="2"/>
              </w:r>
              <w:r>
                <w:rPr>
                  <w:rFonts w:ascii="Calibri" w:eastAsia="Calibri" w:hAnsi="Calibri" w:cs="Times New Roman"/>
                  <w:noProof/>
                  <w:color w:val="000000"/>
                  <w:sz w:val="18"/>
                  <w:szCs w:val="18"/>
                  <w:lang w:eastAsia="en-GB"/>
                </w:rPr>
                <w:t xml:space="preserve"> </w:t>
              </w:r>
            </w:hyperlink>
          </w:p>
        </w:tc>
        <w:tc>
          <w:tcPr>
            <w:tcW w:w="679" w:type="pct"/>
            <w:gridSpan w:val="2"/>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No</w:t>
            </w:r>
            <w:r>
              <w:rPr>
                <w:rStyle w:val="FootnoteReference"/>
                <w:rFonts w:ascii="Calibri" w:eastAsia="Calibri" w:hAnsi="Calibri" w:cs="Times New Roman"/>
                <w:noProof/>
                <w:color w:val="000000"/>
                <w:sz w:val="18"/>
                <w:szCs w:val="18"/>
                <w:lang w:eastAsia="en-GB"/>
              </w:rPr>
              <w:footnoteReference w:id="3"/>
            </w:r>
            <w:r>
              <w:rPr>
                <w:rFonts w:ascii="Calibri" w:eastAsia="Calibri" w:hAnsi="Calibri" w:cs="Times New Roman"/>
                <w:noProof/>
                <w:color w:val="000000"/>
                <w:sz w:val="18"/>
                <w:szCs w:val="18"/>
                <w:lang w:eastAsia="en-GB"/>
              </w:rPr>
              <w:t xml:space="preserve">  </w:t>
            </w:r>
          </w:p>
        </w:tc>
        <w:tc>
          <w:tcPr>
            <w:tcW w:w="573"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No</w:t>
            </w:r>
          </w:p>
        </w:tc>
        <w:tc>
          <w:tcPr>
            <w:tcW w:w="572" w:type="pct"/>
            <w:tcBorders>
              <w:top w:val="nil"/>
              <w:left w:val="nil"/>
              <w:bottom w:val="single" w:sz="8" w:space="0" w:color="auto"/>
              <w:right w:val="single" w:sz="8" w:space="0" w:color="auto"/>
            </w:tcBorders>
            <w:shd w:val="clear" w:color="000000" w:fill="E4DFEC"/>
            <w:vAlign w:val="center"/>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No</w:t>
            </w:r>
          </w:p>
        </w:tc>
      </w:tr>
      <w:tr>
        <w:trPr>
          <w:trHeight w:val="776"/>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Carry-over of units from preceeding periods</w:t>
            </w:r>
            <w:r>
              <w:rPr>
                <w:rFonts w:ascii="Calibri" w:eastAsia="Calibri" w:hAnsi="Calibri" w:cs="Times New Roman"/>
                <w:b/>
                <w:bCs/>
                <w:noProof/>
                <w:color w:val="000000"/>
                <w:sz w:val="20"/>
                <w:szCs w:val="20"/>
                <w:vertAlign w:val="superscript"/>
                <w:lang w:eastAsia="en-GB"/>
              </w:rPr>
              <w:footnoteReference w:id="4"/>
            </w:r>
          </w:p>
        </w:tc>
        <w:tc>
          <w:tcPr>
            <w:tcW w:w="834"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p>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Subject to KP rules including those agreed in the Doha Amendment</w:t>
            </w:r>
          </w:p>
        </w:tc>
        <w:tc>
          <w:tcPr>
            <w:tcW w:w="575"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No</w:t>
            </w:r>
          </w:p>
        </w:tc>
        <w:tc>
          <w:tcPr>
            <w:tcW w:w="642"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EU ETS allowances can be banked into subsequent ETS trading periods since the second trading period</w:t>
            </w:r>
          </w:p>
        </w:tc>
        <w:tc>
          <w:tcPr>
            <w:tcW w:w="661"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No carry over from previous period</w:t>
            </w:r>
          </w:p>
        </w:tc>
        <w:tc>
          <w:tcPr>
            <w:tcW w:w="679" w:type="pct"/>
            <w:gridSpan w:val="2"/>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Indefinite validity of allowances not limited to trading periods, no need to carry over.</w:t>
            </w:r>
          </w:p>
        </w:tc>
        <w:tc>
          <w:tcPr>
            <w:tcW w:w="573"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No</w:t>
            </w:r>
          </w:p>
        </w:tc>
        <w:tc>
          <w:tcPr>
            <w:tcW w:w="572" w:type="pct"/>
            <w:tcBorders>
              <w:top w:val="nil"/>
              <w:left w:val="nil"/>
              <w:bottom w:val="single" w:sz="8" w:space="0" w:color="auto"/>
              <w:right w:val="single" w:sz="8" w:space="0" w:color="auto"/>
            </w:tcBorders>
            <w:shd w:val="clear" w:color="000000" w:fill="E4DFEC"/>
            <w:vAlign w:val="center"/>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No</w:t>
            </w:r>
          </w:p>
        </w:tc>
      </w:tr>
      <w:tr>
        <w:trPr>
          <w:trHeight w:val="313"/>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Gases covered</w:t>
            </w:r>
          </w:p>
        </w:tc>
        <w:tc>
          <w:tcPr>
            <w:tcW w:w="834"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val="pt-PT" w:eastAsia="en-GB"/>
              </w:rPr>
            </w:pPr>
          </w:p>
          <w:p>
            <w:pPr>
              <w:spacing w:after="0" w:line="276" w:lineRule="auto"/>
              <w:jc w:val="center"/>
              <w:rPr>
                <w:rFonts w:ascii="Calibri" w:eastAsia="Calibri" w:hAnsi="Calibri" w:cs="Times New Roman"/>
                <w:noProof/>
                <w:color w:val="000000"/>
                <w:sz w:val="18"/>
                <w:szCs w:val="18"/>
                <w:lang w:val="pt-PT"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CH</w:t>
            </w:r>
            <w:r>
              <w:rPr>
                <w:rFonts w:ascii="Calibri" w:eastAsia="Calibri" w:hAnsi="Calibri" w:cs="Times New Roman"/>
                <w:noProof/>
                <w:color w:val="000000"/>
                <w:sz w:val="18"/>
                <w:szCs w:val="18"/>
                <w:vertAlign w:val="subscript"/>
                <w:lang w:val="pt-PT" w:eastAsia="en-GB"/>
              </w:rPr>
              <w:t>4</w:t>
            </w:r>
            <w:r>
              <w:rPr>
                <w:rFonts w:ascii="Calibri" w:eastAsia="Calibri" w:hAnsi="Calibri" w:cs="Times New Roman"/>
                <w:noProof/>
                <w:color w:val="000000"/>
                <w:sz w:val="18"/>
                <w:szCs w:val="18"/>
                <w:lang w:val="pt-PT" w:eastAsia="en-GB"/>
              </w:rPr>
              <w:t>, N</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O, HFCs</w:t>
            </w:r>
            <w:r>
              <w:rPr>
                <w:rStyle w:val="FootnoteReference"/>
                <w:rFonts w:ascii="Calibri" w:eastAsia="Calibri" w:hAnsi="Calibri" w:cs="Times New Roman"/>
                <w:noProof/>
                <w:color w:val="000000"/>
                <w:sz w:val="18"/>
                <w:szCs w:val="18"/>
                <w:lang w:val="pt-PT" w:eastAsia="en-GB"/>
              </w:rPr>
              <w:footnoteReference w:id="5"/>
            </w:r>
            <w:r>
              <w:rPr>
                <w:rFonts w:ascii="Calibri" w:eastAsia="Calibri" w:hAnsi="Calibri" w:cs="Times New Roman"/>
                <w:noProof/>
                <w:color w:val="000000"/>
                <w:sz w:val="18"/>
                <w:szCs w:val="18"/>
                <w:lang w:val="pt-PT" w:eastAsia="en-GB"/>
              </w:rPr>
              <w:t>, PFCs, SF</w:t>
            </w:r>
            <w:r>
              <w:rPr>
                <w:rFonts w:ascii="Calibri" w:eastAsia="Calibri" w:hAnsi="Calibri" w:cs="Times New Roman"/>
                <w:noProof/>
                <w:color w:val="000000"/>
                <w:sz w:val="18"/>
                <w:szCs w:val="18"/>
                <w:vertAlign w:val="subscript"/>
                <w:lang w:val="pt-PT" w:eastAsia="en-GB"/>
              </w:rPr>
              <w:t>6</w:t>
            </w:r>
            <w:r>
              <w:rPr>
                <w:rFonts w:ascii="Calibri" w:eastAsia="Calibri" w:hAnsi="Calibri" w:cs="Times New Roman"/>
                <w:noProof/>
                <w:color w:val="000000"/>
                <w:sz w:val="18"/>
                <w:szCs w:val="18"/>
                <w:lang w:val="pt-PT" w:eastAsia="en-GB"/>
              </w:rPr>
              <w:t>, NF</w:t>
            </w:r>
            <w:r>
              <w:rPr>
                <w:rFonts w:ascii="Calibri" w:eastAsia="Calibri" w:hAnsi="Calibri" w:cs="Times New Roman"/>
                <w:noProof/>
                <w:color w:val="000000"/>
                <w:sz w:val="18"/>
                <w:szCs w:val="18"/>
                <w:vertAlign w:val="subscript"/>
                <w:lang w:val="pt-PT" w:eastAsia="en-GB"/>
              </w:rPr>
              <w:t>3</w:t>
            </w:r>
          </w:p>
        </w:tc>
        <w:tc>
          <w:tcPr>
            <w:tcW w:w="575"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val="pt-PT"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CH</w:t>
            </w:r>
            <w:r>
              <w:rPr>
                <w:rFonts w:ascii="Calibri" w:eastAsia="Calibri" w:hAnsi="Calibri" w:cs="Times New Roman"/>
                <w:noProof/>
                <w:color w:val="000000"/>
                <w:sz w:val="18"/>
                <w:szCs w:val="18"/>
                <w:vertAlign w:val="subscript"/>
                <w:lang w:val="pt-PT" w:eastAsia="en-GB"/>
              </w:rPr>
              <w:t>4</w:t>
            </w:r>
            <w:r>
              <w:rPr>
                <w:rFonts w:ascii="Calibri" w:eastAsia="Calibri" w:hAnsi="Calibri" w:cs="Times New Roman"/>
                <w:noProof/>
                <w:color w:val="000000"/>
                <w:sz w:val="18"/>
                <w:szCs w:val="18"/>
                <w:lang w:val="pt-PT" w:eastAsia="en-GB"/>
              </w:rPr>
              <w:t>, N</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O, HFCs, PFCs, SF</w:t>
            </w:r>
            <w:r>
              <w:rPr>
                <w:rFonts w:ascii="Calibri" w:eastAsia="Calibri" w:hAnsi="Calibri" w:cs="Times New Roman"/>
                <w:noProof/>
                <w:color w:val="000000"/>
                <w:sz w:val="18"/>
                <w:szCs w:val="18"/>
                <w:vertAlign w:val="subscript"/>
                <w:lang w:val="pt-PT" w:eastAsia="en-GB"/>
              </w:rPr>
              <w:t>6</w:t>
            </w:r>
            <w:r>
              <w:rPr>
                <w:rFonts w:ascii="Calibri" w:eastAsia="Calibri" w:hAnsi="Calibri" w:cs="Times New Roman"/>
                <w:noProof/>
                <w:color w:val="000000"/>
                <w:sz w:val="18"/>
                <w:szCs w:val="18"/>
                <w:lang w:val="pt-PT" w:eastAsia="en-GB"/>
              </w:rPr>
              <w:t>, NF</w:t>
            </w:r>
            <w:r>
              <w:rPr>
                <w:rFonts w:ascii="Calibri" w:eastAsia="Calibri" w:hAnsi="Calibri" w:cs="Times New Roman"/>
                <w:noProof/>
                <w:color w:val="000000"/>
                <w:sz w:val="18"/>
                <w:szCs w:val="18"/>
                <w:vertAlign w:val="subscript"/>
                <w:lang w:val="pt-PT" w:eastAsia="en-GB"/>
              </w:rPr>
              <w:t>3</w:t>
            </w:r>
          </w:p>
        </w:tc>
        <w:tc>
          <w:tcPr>
            <w:tcW w:w="642" w:type="pct"/>
            <w:tcBorders>
              <w:top w:val="single" w:sz="8" w:space="0" w:color="auto"/>
              <w:left w:val="single" w:sz="8" w:space="0" w:color="auto"/>
              <w:bottom w:val="single" w:sz="8" w:space="0" w:color="auto"/>
              <w:right w:val="single" w:sz="8" w:space="0" w:color="000000"/>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val="pt-PT"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N</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xml:space="preserve">O, PFCs, </w:t>
            </w:r>
          </w:p>
        </w:tc>
        <w:tc>
          <w:tcPr>
            <w:tcW w:w="661"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pPr>
              <w:spacing w:after="0" w:line="276" w:lineRule="auto"/>
              <w:jc w:val="center"/>
              <w:rPr>
                <w:rFonts w:ascii="Calibri" w:eastAsia="Calibri" w:hAnsi="Calibri" w:cs="Times New Roman"/>
                <w:noProof/>
                <w:color w:val="000000"/>
                <w:sz w:val="18"/>
                <w:szCs w:val="18"/>
                <w:lang w:val="pt-PT"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CH</w:t>
            </w:r>
            <w:r>
              <w:rPr>
                <w:rFonts w:ascii="Calibri" w:eastAsia="Calibri" w:hAnsi="Calibri" w:cs="Times New Roman"/>
                <w:noProof/>
                <w:color w:val="000000"/>
                <w:sz w:val="18"/>
                <w:szCs w:val="18"/>
                <w:vertAlign w:val="subscript"/>
                <w:lang w:val="pt-PT" w:eastAsia="en-GB"/>
              </w:rPr>
              <w:t>4</w:t>
            </w:r>
            <w:r>
              <w:rPr>
                <w:rFonts w:ascii="Calibri" w:eastAsia="Calibri" w:hAnsi="Calibri" w:cs="Times New Roman"/>
                <w:noProof/>
                <w:color w:val="000000"/>
                <w:sz w:val="18"/>
                <w:szCs w:val="18"/>
                <w:lang w:val="pt-PT" w:eastAsia="en-GB"/>
              </w:rPr>
              <w:t>, N</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O, HFCs, PFCs, SF</w:t>
            </w:r>
            <w:r>
              <w:rPr>
                <w:rFonts w:ascii="Calibri" w:eastAsia="Calibri" w:hAnsi="Calibri" w:cs="Times New Roman"/>
                <w:noProof/>
                <w:color w:val="000000"/>
                <w:sz w:val="18"/>
                <w:szCs w:val="18"/>
                <w:vertAlign w:val="subscript"/>
                <w:lang w:val="pt-PT" w:eastAsia="en-GB"/>
              </w:rPr>
              <w:t>6</w:t>
            </w:r>
          </w:p>
        </w:tc>
        <w:tc>
          <w:tcPr>
            <w:tcW w:w="679" w:type="pct"/>
            <w:gridSpan w:val="2"/>
            <w:tcBorders>
              <w:top w:val="single" w:sz="8" w:space="0" w:color="auto"/>
              <w:left w:val="nil"/>
              <w:bottom w:val="single" w:sz="8" w:space="0" w:color="auto"/>
              <w:right w:val="single" w:sz="8" w:space="0" w:color="000000"/>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val="pt-PT"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N</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xml:space="preserve">O, PFCs, </w:t>
            </w:r>
          </w:p>
        </w:tc>
        <w:tc>
          <w:tcPr>
            <w:tcW w:w="573" w:type="pct"/>
            <w:tcBorders>
              <w:top w:val="single" w:sz="8" w:space="0" w:color="auto"/>
              <w:left w:val="nil"/>
              <w:bottom w:val="single" w:sz="8" w:space="0" w:color="auto"/>
              <w:right w:val="single" w:sz="8" w:space="0" w:color="000000"/>
            </w:tcBorders>
            <w:shd w:val="clear" w:color="000000" w:fill="E4DFEC"/>
            <w:vAlign w:val="center"/>
          </w:tcPr>
          <w:p>
            <w:pPr>
              <w:spacing w:after="0" w:line="276" w:lineRule="auto"/>
              <w:jc w:val="center"/>
              <w:rPr>
                <w:rFonts w:ascii="Calibri" w:eastAsia="Calibri" w:hAnsi="Calibri" w:cs="Times New Roman"/>
                <w:noProof/>
                <w:color w:val="000000"/>
                <w:sz w:val="18"/>
                <w:szCs w:val="18"/>
                <w:lang w:val="pt-PT"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CH</w:t>
            </w:r>
            <w:r>
              <w:rPr>
                <w:rFonts w:ascii="Calibri" w:eastAsia="Calibri" w:hAnsi="Calibri" w:cs="Times New Roman"/>
                <w:noProof/>
                <w:color w:val="000000"/>
                <w:sz w:val="18"/>
                <w:szCs w:val="18"/>
                <w:vertAlign w:val="subscript"/>
                <w:lang w:val="pt-PT" w:eastAsia="en-GB"/>
              </w:rPr>
              <w:t>4</w:t>
            </w:r>
            <w:r>
              <w:rPr>
                <w:rFonts w:ascii="Calibri" w:eastAsia="Calibri" w:hAnsi="Calibri" w:cs="Times New Roman"/>
                <w:noProof/>
                <w:color w:val="000000"/>
                <w:sz w:val="18"/>
                <w:szCs w:val="18"/>
                <w:lang w:val="pt-PT" w:eastAsia="en-GB"/>
              </w:rPr>
              <w:t>, N</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O, HFCs, PFCs, SF</w:t>
            </w:r>
            <w:r>
              <w:rPr>
                <w:rFonts w:ascii="Calibri" w:eastAsia="Calibri" w:hAnsi="Calibri" w:cs="Times New Roman"/>
                <w:noProof/>
                <w:color w:val="000000"/>
                <w:sz w:val="18"/>
                <w:szCs w:val="18"/>
                <w:vertAlign w:val="subscript"/>
                <w:lang w:val="pt-PT" w:eastAsia="en-GB"/>
              </w:rPr>
              <w:t>6</w:t>
            </w:r>
            <w:r>
              <w:rPr>
                <w:rFonts w:ascii="Calibri" w:eastAsia="Calibri" w:hAnsi="Calibri" w:cs="Times New Roman"/>
                <w:noProof/>
                <w:color w:val="000000"/>
                <w:sz w:val="18"/>
                <w:szCs w:val="18"/>
                <w:lang w:val="pt-PT" w:eastAsia="en-GB"/>
              </w:rPr>
              <w:t>, NF</w:t>
            </w:r>
            <w:r>
              <w:rPr>
                <w:rFonts w:ascii="Calibri" w:eastAsia="Calibri" w:hAnsi="Calibri" w:cs="Times New Roman"/>
                <w:noProof/>
                <w:color w:val="000000"/>
                <w:sz w:val="18"/>
                <w:szCs w:val="18"/>
                <w:vertAlign w:val="subscript"/>
                <w:lang w:val="pt-PT" w:eastAsia="en-GB"/>
              </w:rPr>
              <w:t>3</w:t>
            </w:r>
          </w:p>
        </w:tc>
        <w:tc>
          <w:tcPr>
            <w:tcW w:w="572" w:type="pct"/>
            <w:tcBorders>
              <w:top w:val="single" w:sz="8" w:space="0" w:color="auto"/>
              <w:left w:val="nil"/>
              <w:bottom w:val="single" w:sz="8" w:space="0" w:color="auto"/>
              <w:right w:val="single" w:sz="8" w:space="0" w:color="000000"/>
            </w:tcBorders>
            <w:shd w:val="clear" w:color="000000" w:fill="E4DFEC"/>
            <w:vAlign w:val="center"/>
          </w:tcPr>
          <w:p>
            <w:pPr>
              <w:spacing w:after="0" w:line="276" w:lineRule="auto"/>
              <w:jc w:val="center"/>
              <w:rPr>
                <w:rFonts w:ascii="Calibri" w:eastAsia="Calibri" w:hAnsi="Calibri" w:cs="Times New Roman"/>
                <w:noProof/>
                <w:color w:val="000000"/>
                <w:sz w:val="18"/>
                <w:szCs w:val="18"/>
                <w:lang w:val="pt-PT" w:eastAsia="en-GB"/>
              </w:rPr>
            </w:pPr>
            <w:r>
              <w:rPr>
                <w:rFonts w:ascii="Calibri" w:eastAsia="Calibri" w:hAnsi="Calibri" w:cs="Times New Roman"/>
                <w:noProof/>
                <w:color w:val="000000"/>
                <w:sz w:val="18"/>
                <w:szCs w:val="18"/>
                <w:lang w:val="pt-PT" w:eastAsia="en-GB"/>
              </w:rPr>
              <w:t>CO</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 CH</w:t>
            </w:r>
            <w:r>
              <w:rPr>
                <w:rFonts w:ascii="Calibri" w:eastAsia="Calibri" w:hAnsi="Calibri" w:cs="Times New Roman"/>
                <w:noProof/>
                <w:color w:val="000000"/>
                <w:sz w:val="18"/>
                <w:szCs w:val="18"/>
                <w:vertAlign w:val="subscript"/>
                <w:lang w:val="pt-PT" w:eastAsia="en-GB"/>
              </w:rPr>
              <w:t>4</w:t>
            </w:r>
            <w:r>
              <w:rPr>
                <w:rFonts w:ascii="Calibri" w:eastAsia="Calibri" w:hAnsi="Calibri" w:cs="Times New Roman"/>
                <w:noProof/>
                <w:color w:val="000000"/>
                <w:sz w:val="18"/>
                <w:szCs w:val="18"/>
                <w:lang w:val="pt-PT" w:eastAsia="en-GB"/>
              </w:rPr>
              <w:t>, N</w:t>
            </w:r>
            <w:r>
              <w:rPr>
                <w:rFonts w:ascii="Calibri" w:eastAsia="Calibri" w:hAnsi="Calibri" w:cs="Times New Roman"/>
                <w:noProof/>
                <w:color w:val="000000"/>
                <w:sz w:val="18"/>
                <w:szCs w:val="18"/>
                <w:vertAlign w:val="subscript"/>
                <w:lang w:val="pt-PT" w:eastAsia="en-GB"/>
              </w:rPr>
              <w:t>2</w:t>
            </w:r>
            <w:r>
              <w:rPr>
                <w:rFonts w:ascii="Calibri" w:eastAsia="Calibri" w:hAnsi="Calibri" w:cs="Times New Roman"/>
                <w:noProof/>
                <w:color w:val="000000"/>
                <w:sz w:val="18"/>
                <w:szCs w:val="18"/>
                <w:lang w:val="pt-PT" w:eastAsia="en-GB"/>
              </w:rPr>
              <w:t>O</w:t>
            </w:r>
          </w:p>
        </w:tc>
      </w:tr>
      <w:tr>
        <w:trPr>
          <w:trHeight w:val="776"/>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Sectors included</w:t>
            </w:r>
          </w:p>
        </w:tc>
        <w:tc>
          <w:tcPr>
            <w:tcW w:w="457"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Energy, IPPU, agriculture, waste, LULUCF</w:t>
            </w:r>
          </w:p>
        </w:tc>
        <w:tc>
          <w:tcPr>
            <w:tcW w:w="377"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Energy, IPPU, agriculture, waste, LULUCF</w:t>
            </w:r>
          </w:p>
        </w:tc>
        <w:tc>
          <w:tcPr>
            <w:tcW w:w="575"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Energy, IPPU, agriculture, waste, LULUCF</w:t>
            </w:r>
          </w:p>
        </w:tc>
        <w:tc>
          <w:tcPr>
            <w:tcW w:w="642"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Power &amp; heat generation, energy-intensive industry sectors, aviation</w:t>
            </w:r>
          </w:p>
        </w:tc>
        <w:tc>
          <w:tcPr>
            <w:tcW w:w="661" w:type="pct"/>
            <w:gridSpan w:val="2"/>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Transport (except aviation), buildings, non-ETS industry, agriculture (non-CO</w:t>
            </w:r>
            <w:r>
              <w:rPr>
                <w:rFonts w:ascii="Calibri" w:eastAsia="Calibri" w:hAnsi="Calibri" w:cs="Times New Roman"/>
                <w:noProof/>
                <w:color w:val="000000"/>
                <w:sz w:val="18"/>
                <w:szCs w:val="18"/>
                <w:vertAlign w:val="subscript"/>
                <w:lang w:eastAsia="en-GB"/>
              </w:rPr>
              <w:t>2</w:t>
            </w:r>
            <w:r>
              <w:rPr>
                <w:rFonts w:ascii="Calibri" w:eastAsia="Calibri" w:hAnsi="Calibri" w:cs="Times New Roman"/>
                <w:noProof/>
                <w:color w:val="000000"/>
                <w:sz w:val="18"/>
                <w:szCs w:val="18"/>
                <w:lang w:eastAsia="en-GB"/>
              </w:rPr>
              <w:t>) and waste</w:t>
            </w:r>
          </w:p>
        </w:tc>
        <w:tc>
          <w:tcPr>
            <w:tcW w:w="679" w:type="pct"/>
            <w:gridSpan w:val="2"/>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Power &amp; heat generation, energy-intensive industry sectors, aviation</w:t>
            </w:r>
          </w:p>
        </w:tc>
        <w:tc>
          <w:tcPr>
            <w:tcW w:w="573"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Transport (except aviation), buildings, non-ETS industry, agriculture (non CO</w:t>
            </w:r>
            <w:r>
              <w:rPr>
                <w:rFonts w:ascii="Calibri" w:eastAsia="Calibri" w:hAnsi="Calibri" w:cs="Times New Roman"/>
                <w:noProof/>
                <w:color w:val="000000"/>
                <w:sz w:val="18"/>
                <w:szCs w:val="18"/>
                <w:vertAlign w:val="subscript"/>
                <w:lang w:eastAsia="en-GB"/>
              </w:rPr>
              <w:t>2</w:t>
            </w:r>
            <w:r>
              <w:rPr>
                <w:rFonts w:ascii="Calibri" w:eastAsia="Calibri" w:hAnsi="Calibri" w:cs="Times New Roman"/>
                <w:noProof/>
                <w:color w:val="000000"/>
                <w:sz w:val="18"/>
                <w:szCs w:val="18"/>
                <w:lang w:eastAsia="en-GB"/>
              </w:rPr>
              <w:t>) and waste</w:t>
            </w:r>
          </w:p>
        </w:tc>
        <w:tc>
          <w:tcPr>
            <w:tcW w:w="572" w:type="pct"/>
            <w:tcBorders>
              <w:top w:val="nil"/>
              <w:left w:val="nil"/>
              <w:bottom w:val="single" w:sz="8" w:space="0" w:color="auto"/>
              <w:right w:val="single" w:sz="8" w:space="0" w:color="auto"/>
            </w:tcBorders>
            <w:shd w:val="clear" w:color="000000" w:fill="E4DFEC"/>
            <w:vAlign w:val="center"/>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Land use, land use change and forestry</w:t>
            </w:r>
          </w:p>
        </w:tc>
      </w:tr>
      <w:tr>
        <w:trPr>
          <w:trHeight w:val="313"/>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GWPs used</w:t>
            </w:r>
          </w:p>
        </w:tc>
        <w:tc>
          <w:tcPr>
            <w:tcW w:w="457"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IPCC SAR</w:t>
            </w:r>
          </w:p>
        </w:tc>
        <w:tc>
          <w:tcPr>
            <w:tcW w:w="377"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IPCC AR4</w:t>
            </w:r>
          </w:p>
        </w:tc>
        <w:tc>
          <w:tcPr>
            <w:tcW w:w="575" w:type="pct"/>
            <w:tcBorders>
              <w:top w:val="nil"/>
              <w:left w:val="nil"/>
              <w:bottom w:val="single" w:sz="8" w:space="0" w:color="auto"/>
              <w:right w:val="nil"/>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IPCC AR5</w:t>
            </w:r>
          </w:p>
        </w:tc>
        <w:tc>
          <w:tcPr>
            <w:tcW w:w="130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IPCC AR4</w:t>
            </w:r>
          </w:p>
        </w:tc>
        <w:tc>
          <w:tcPr>
            <w:tcW w:w="1824" w:type="pct"/>
            <w:gridSpan w:val="4"/>
            <w:tcBorders>
              <w:top w:val="single" w:sz="8" w:space="0" w:color="auto"/>
              <w:left w:val="nil"/>
              <w:bottom w:val="single" w:sz="8" w:space="0" w:color="auto"/>
              <w:right w:val="single" w:sz="8" w:space="0" w:color="000000"/>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IPCC AR5</w:t>
            </w:r>
          </w:p>
        </w:tc>
      </w:tr>
      <w:tr>
        <w:trPr>
          <w:trHeight w:val="860"/>
          <w:jc w:val="center"/>
        </w:trPr>
        <w:tc>
          <w:tcPr>
            <w:tcW w:w="464" w:type="pct"/>
            <w:tcBorders>
              <w:top w:val="nil"/>
              <w:left w:val="single" w:sz="8" w:space="0" w:color="auto"/>
              <w:bottom w:val="single" w:sz="8" w:space="0" w:color="auto"/>
              <w:right w:val="single" w:sz="8" w:space="0" w:color="auto"/>
            </w:tcBorders>
            <w:shd w:val="clear" w:color="auto" w:fill="DBE5F1"/>
            <w:vAlign w:val="center"/>
            <w:hideMark/>
          </w:tcPr>
          <w:p>
            <w:pPr>
              <w:spacing w:after="0" w:line="276" w:lineRule="auto"/>
              <w:rPr>
                <w:rFonts w:ascii="Calibri" w:eastAsia="Calibri" w:hAnsi="Calibri" w:cs="Times New Roman"/>
                <w:b/>
                <w:bCs/>
                <w:noProof/>
                <w:color w:val="000000"/>
                <w:sz w:val="20"/>
                <w:szCs w:val="20"/>
                <w:lang w:eastAsia="en-GB"/>
              </w:rPr>
            </w:pPr>
            <w:r>
              <w:rPr>
                <w:rFonts w:ascii="Calibri" w:eastAsia="Calibri" w:hAnsi="Calibri" w:cs="Times New Roman"/>
                <w:b/>
                <w:bCs/>
                <w:noProof/>
                <w:color w:val="000000"/>
                <w:sz w:val="20"/>
                <w:szCs w:val="20"/>
                <w:lang w:eastAsia="en-GB"/>
              </w:rPr>
              <w:t>Applicable to number of MS</w:t>
            </w:r>
          </w:p>
        </w:tc>
        <w:tc>
          <w:tcPr>
            <w:tcW w:w="457"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15 (additional KP targets for single MS)</w:t>
            </w:r>
          </w:p>
        </w:tc>
        <w:tc>
          <w:tcPr>
            <w:tcW w:w="377" w:type="pct"/>
            <w:tcBorders>
              <w:top w:val="nil"/>
              <w:left w:val="nil"/>
              <w:bottom w:val="single" w:sz="8" w:space="0" w:color="auto"/>
              <w:right w:val="single" w:sz="8" w:space="0" w:color="auto"/>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EU-27, UK</w:t>
            </w:r>
            <w:r>
              <w:rPr>
                <w:rStyle w:val="FootnoteReference"/>
                <w:rFonts w:ascii="Calibri" w:eastAsia="Calibri" w:hAnsi="Calibri" w:cs="Times New Roman"/>
                <w:noProof/>
                <w:color w:val="000000"/>
                <w:sz w:val="18"/>
                <w:szCs w:val="18"/>
                <w:lang w:eastAsia="en-GB"/>
              </w:rPr>
              <w:footnoteReference w:id="6"/>
            </w:r>
            <w:r>
              <w:rPr>
                <w:rFonts w:ascii="Calibri" w:eastAsia="Calibri" w:hAnsi="Calibri" w:cs="Times New Roman"/>
                <w:noProof/>
                <w:color w:val="000000"/>
                <w:sz w:val="18"/>
                <w:szCs w:val="18"/>
                <w:lang w:eastAsia="en-GB"/>
              </w:rPr>
              <w:t xml:space="preserve"> and Iceland</w:t>
            </w:r>
          </w:p>
        </w:tc>
        <w:tc>
          <w:tcPr>
            <w:tcW w:w="575" w:type="pct"/>
            <w:tcBorders>
              <w:top w:val="nil"/>
              <w:left w:val="nil"/>
              <w:bottom w:val="single" w:sz="8" w:space="0" w:color="auto"/>
              <w:right w:val="single" w:sz="8" w:space="0" w:color="auto"/>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EU-27, UK</w:t>
            </w:r>
          </w:p>
        </w:tc>
        <w:tc>
          <w:tcPr>
            <w:tcW w:w="130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EU-27, UK</w:t>
            </w:r>
            <w:r>
              <w:rPr>
                <w:rStyle w:val="FootnoteReference"/>
                <w:rFonts w:ascii="Calibri" w:eastAsia="Calibri" w:hAnsi="Calibri" w:cs="Times New Roman"/>
                <w:noProof/>
                <w:color w:val="000000"/>
                <w:sz w:val="18"/>
                <w:szCs w:val="18"/>
                <w:lang w:eastAsia="en-GB"/>
              </w:rPr>
              <w:footnoteReference w:id="7"/>
            </w:r>
          </w:p>
        </w:tc>
        <w:tc>
          <w:tcPr>
            <w:tcW w:w="1824" w:type="pct"/>
            <w:gridSpan w:val="4"/>
            <w:tcBorders>
              <w:top w:val="single" w:sz="8" w:space="0" w:color="auto"/>
              <w:left w:val="nil"/>
              <w:bottom w:val="single" w:sz="8" w:space="0" w:color="auto"/>
              <w:right w:val="single" w:sz="8" w:space="0" w:color="000000"/>
            </w:tcBorders>
            <w:shd w:val="clear" w:color="000000" w:fill="E4DFEC"/>
            <w:vAlign w:val="center"/>
            <w:hideMark/>
          </w:tcPr>
          <w:p>
            <w:pPr>
              <w:spacing w:after="0" w:line="276" w:lineRule="auto"/>
              <w:jc w:val="center"/>
              <w:rPr>
                <w:rFonts w:ascii="Calibri" w:eastAsia="Calibri" w:hAnsi="Calibri" w:cs="Times New Roman"/>
                <w:noProof/>
                <w:color w:val="000000"/>
                <w:sz w:val="18"/>
                <w:szCs w:val="18"/>
                <w:lang w:eastAsia="en-GB"/>
              </w:rPr>
            </w:pPr>
            <w:r>
              <w:rPr>
                <w:rFonts w:ascii="Calibri" w:eastAsia="Calibri" w:hAnsi="Calibri" w:cs="Times New Roman"/>
                <w:noProof/>
                <w:color w:val="000000"/>
                <w:sz w:val="18"/>
                <w:szCs w:val="18"/>
                <w:lang w:eastAsia="en-GB"/>
              </w:rPr>
              <w:t>EU-27</w:t>
            </w:r>
            <w:r>
              <w:rPr>
                <w:rStyle w:val="FootnoteReference"/>
                <w:rFonts w:ascii="Calibri" w:eastAsia="Calibri" w:hAnsi="Calibri" w:cs="Times New Roman"/>
                <w:noProof/>
                <w:color w:val="000000"/>
                <w:sz w:val="18"/>
                <w:szCs w:val="18"/>
                <w:lang w:eastAsia="en-GB"/>
              </w:rPr>
              <w:footnoteReference w:id="8"/>
            </w:r>
            <w:r>
              <w:rPr>
                <w:rFonts w:ascii="Calibri" w:eastAsia="Calibri" w:hAnsi="Calibri" w:cs="Times New Roman"/>
                <w:noProof/>
                <w:color w:val="000000"/>
                <w:sz w:val="18"/>
                <w:szCs w:val="18"/>
                <w:lang w:eastAsia="en-GB"/>
              </w:rPr>
              <w:t xml:space="preserve"> </w:t>
            </w:r>
          </w:p>
        </w:tc>
      </w:tr>
    </w:tbl>
    <w:p>
      <w:pPr>
        <w:spacing w:after="0" w:line="276" w:lineRule="auto"/>
        <w:rPr>
          <w:rFonts w:ascii="Calibri" w:eastAsia="Calibri" w:hAnsi="Calibri" w:cs="Times New Roman"/>
          <w:noProof/>
        </w:rPr>
        <w:sectPr>
          <w:headerReference w:type="even" r:id="rId23"/>
          <w:headerReference w:type="default" r:id="rId24"/>
          <w:footerReference w:type="even" r:id="rId25"/>
          <w:footerReference w:type="default" r:id="rId26"/>
          <w:headerReference w:type="first" r:id="rId27"/>
          <w:footerReference w:type="first" r:id="rId28"/>
          <w:pgSz w:w="16838" w:h="11906" w:orient="landscape"/>
          <w:pgMar w:top="1418" w:right="1418" w:bottom="1418" w:left="1418" w:header="709" w:footer="709" w:gutter="0"/>
          <w:cols w:space="708"/>
          <w:docGrid w:linePitch="360"/>
        </w:sectPr>
      </w:pPr>
    </w:p>
    <w:p>
      <w:pPr>
        <w:pStyle w:val="Heading1"/>
      </w:pPr>
      <w:bookmarkStart w:id="9" w:name="_Toc53992016"/>
      <w:bookmarkStart w:id="10" w:name="_Toc523734015"/>
      <w:bookmarkStart w:id="11" w:name="_Toc527446992"/>
      <w:bookmarkStart w:id="12" w:name="_Toc527447533"/>
      <w:bookmarkStart w:id="13" w:name="_Toc529975182"/>
      <w:bookmarkStart w:id="14" w:name="_Toc523734012"/>
      <w:r>
        <w:t>2. GREENHOUSE GAS EMISSIONS COVERED BY THE KYOTO PROTOCOL AND THE CLIMATE AND ENERGY PACKAGE</w:t>
      </w:r>
      <w:bookmarkEnd w:id="9"/>
      <w:r>
        <w:t xml:space="preserve"> </w:t>
      </w:r>
      <w:bookmarkEnd w:id="10"/>
      <w:bookmarkEnd w:id="11"/>
      <w:bookmarkEnd w:id="12"/>
      <w:bookmarkEnd w:id="13"/>
    </w:p>
    <w:p>
      <w:pPr>
        <w:keepNext/>
        <w:spacing w:after="200" w:line="240" w:lineRule="auto"/>
        <w:rPr>
          <w:rFonts w:ascii="Calibri" w:eastAsia="Calibri" w:hAnsi="Calibri" w:cs="Times New Roman"/>
          <w:b/>
          <w:bCs/>
          <w:noProof/>
          <w:color w:val="4F81BD"/>
          <w:sz w:val="18"/>
          <w:szCs w:val="18"/>
          <w:lang w:val="en-US"/>
        </w:rPr>
      </w:pPr>
      <w:r>
        <w:rPr>
          <w:rFonts w:ascii="Calibri" w:eastAsia="Calibri" w:hAnsi="Calibri" w:cs="Times New Roman"/>
          <w:b/>
          <w:bCs/>
          <w:noProof/>
          <w:color w:val="4F81BD"/>
          <w:sz w:val="18"/>
          <w:szCs w:val="18"/>
          <w:lang w:val="en-US"/>
        </w:rPr>
        <w:br/>
      </w:r>
      <w:r>
        <w:rPr>
          <w:rFonts w:ascii="Calibri" w:eastAsia="Calibri" w:hAnsi="Calibri" w:cs="Times New Roman"/>
          <w:b/>
          <w:bCs/>
          <w:noProof/>
          <w:color w:val="4F81BD"/>
          <w:sz w:val="20"/>
          <w:szCs w:val="18"/>
          <w:lang w:val="en-US"/>
        </w:rPr>
        <w:t xml:space="preserve">Table </w:t>
      </w:r>
      <w:r>
        <w:rPr>
          <w:rFonts w:ascii="Calibri" w:eastAsia="Calibri" w:hAnsi="Calibri" w:cs="Times New Roman"/>
          <w:b/>
          <w:bCs/>
          <w:noProof/>
          <w:color w:val="4F81BD"/>
          <w:sz w:val="20"/>
          <w:szCs w:val="18"/>
          <w:lang w:val="en-US"/>
        </w:rPr>
        <w:fldChar w:fldCharType="begin"/>
      </w:r>
      <w:r>
        <w:rPr>
          <w:rFonts w:ascii="Calibri" w:eastAsia="Calibri" w:hAnsi="Calibri" w:cs="Times New Roman"/>
          <w:b/>
          <w:bCs/>
          <w:noProof/>
          <w:color w:val="4F81BD"/>
          <w:sz w:val="20"/>
          <w:szCs w:val="18"/>
          <w:lang w:val="en-US"/>
        </w:rPr>
        <w:instrText xml:space="preserve"> SEQ Table \* ARABIC </w:instrText>
      </w:r>
      <w:r>
        <w:rPr>
          <w:rFonts w:ascii="Calibri" w:eastAsia="Calibri" w:hAnsi="Calibri" w:cs="Times New Roman"/>
          <w:b/>
          <w:bCs/>
          <w:noProof/>
          <w:color w:val="4F81BD"/>
          <w:sz w:val="20"/>
          <w:szCs w:val="18"/>
          <w:lang w:val="en-US"/>
        </w:rPr>
        <w:fldChar w:fldCharType="separate"/>
      </w:r>
      <w:r>
        <w:rPr>
          <w:rFonts w:ascii="Calibri" w:eastAsia="Calibri" w:hAnsi="Calibri" w:cs="Times New Roman"/>
          <w:b/>
          <w:bCs/>
          <w:noProof/>
          <w:color w:val="4F81BD"/>
          <w:sz w:val="20"/>
          <w:szCs w:val="18"/>
          <w:lang w:val="en-US"/>
        </w:rPr>
        <w:t>2</w:t>
      </w:r>
      <w:r>
        <w:rPr>
          <w:rFonts w:ascii="Calibri" w:eastAsia="Calibri" w:hAnsi="Calibri" w:cs="Times New Roman"/>
          <w:b/>
          <w:bCs/>
          <w:noProof/>
          <w:color w:val="4F81BD"/>
          <w:sz w:val="20"/>
          <w:szCs w:val="18"/>
          <w:lang w:val="en-US"/>
        </w:rPr>
        <w:fldChar w:fldCharType="end"/>
      </w:r>
      <w:r>
        <w:rPr>
          <w:rFonts w:ascii="Calibri" w:eastAsia="Calibri" w:hAnsi="Calibri" w:cs="Times New Roman"/>
          <w:b/>
          <w:bCs/>
          <w:noProof/>
          <w:color w:val="4F81BD"/>
          <w:sz w:val="20"/>
          <w:szCs w:val="18"/>
          <w:lang w:val="en-US"/>
        </w:rPr>
        <w:t>: Emissions covered by the EU Climate and Energy Package and by the Kyoto Protocol, second commitment period 1990, 2018 and 2020 targets (Mt CO</w:t>
      </w:r>
      <w:r>
        <w:rPr>
          <w:rFonts w:ascii="Calibri" w:eastAsia="Calibri" w:hAnsi="Calibri" w:cs="Times New Roman"/>
          <w:b/>
          <w:bCs/>
          <w:noProof/>
          <w:color w:val="4F81BD"/>
          <w:sz w:val="20"/>
          <w:szCs w:val="18"/>
          <w:vertAlign w:val="subscript"/>
          <w:lang w:val="en-US"/>
        </w:rPr>
        <w:t>2</w:t>
      </w:r>
      <w:r>
        <w:rPr>
          <w:rFonts w:ascii="Calibri" w:eastAsia="Calibri" w:hAnsi="Calibri" w:cs="Times New Roman"/>
          <w:b/>
          <w:bCs/>
          <w:noProof/>
          <w:color w:val="4F81BD"/>
          <w:sz w:val="20"/>
          <w:szCs w:val="18"/>
          <w:lang w:val="en-US"/>
        </w:rPr>
        <w:t>-eq. and % change from base year emissions)</w:t>
      </w:r>
    </w:p>
    <w:tbl>
      <w:tblPr>
        <w:tblW w:w="9109" w:type="dxa"/>
        <w:tblCellMar>
          <w:left w:w="70" w:type="dxa"/>
          <w:right w:w="70" w:type="dxa"/>
        </w:tblCellMar>
        <w:tblLook w:val="04A0" w:firstRow="1" w:lastRow="0" w:firstColumn="1" w:lastColumn="0" w:noHBand="0" w:noVBand="1"/>
      </w:tblPr>
      <w:tblGrid>
        <w:gridCol w:w="1926"/>
        <w:gridCol w:w="1179"/>
        <w:gridCol w:w="1142"/>
        <w:gridCol w:w="1197"/>
        <w:gridCol w:w="1234"/>
        <w:gridCol w:w="1234"/>
        <w:gridCol w:w="1197"/>
      </w:tblGrid>
      <w:tr>
        <w:trPr>
          <w:trHeight w:val="370"/>
        </w:trPr>
        <w:tc>
          <w:tcPr>
            <w:tcW w:w="1926" w:type="dxa"/>
            <w:tcBorders>
              <w:top w:val="single" w:sz="4" w:space="0" w:color="9BC2E6"/>
              <w:left w:val="single" w:sz="4" w:space="0" w:color="9BC2E6"/>
              <w:bottom w:val="single" w:sz="4" w:space="0" w:color="9BC2E6"/>
              <w:right w:val="nil"/>
            </w:tcBorders>
            <w:shd w:val="clear" w:color="5B9BD5" w:fill="1091E0"/>
            <w:vAlign w:val="bottom"/>
            <w:hideMark/>
          </w:tcPr>
          <w:p>
            <w:pPr>
              <w:spacing w:after="0" w:line="240" w:lineRule="auto"/>
              <w:rPr>
                <w:rFonts w:ascii="Calibri" w:eastAsia="Times New Roman" w:hAnsi="Calibri" w:cs="Calibri"/>
                <w:b/>
                <w:bCs/>
                <w:noProof/>
                <w:color w:val="FFFFFF"/>
                <w:sz w:val="20"/>
                <w:lang w:val="en-IE" w:eastAsia="fr-BE"/>
              </w:rPr>
            </w:pPr>
            <w:r>
              <w:rPr>
                <w:rFonts w:ascii="Calibri" w:eastAsia="Times New Roman" w:hAnsi="Calibri" w:cs="Calibri"/>
                <w:b/>
                <w:bCs/>
                <w:noProof/>
                <w:color w:val="FFFFFF"/>
                <w:sz w:val="20"/>
                <w:lang w:val="en-IE" w:eastAsia="fr-BE"/>
              </w:rPr>
              <w:t> </w:t>
            </w:r>
          </w:p>
        </w:tc>
        <w:tc>
          <w:tcPr>
            <w:tcW w:w="1179" w:type="dxa"/>
            <w:tcBorders>
              <w:top w:val="single" w:sz="4" w:space="0" w:color="9BC2E6"/>
              <w:left w:val="nil"/>
              <w:bottom w:val="single" w:sz="4" w:space="0" w:color="9BC2E6"/>
              <w:right w:val="nil"/>
            </w:tcBorders>
            <w:shd w:val="clear" w:color="5B9BD5" w:fill="1091E0"/>
            <w:vAlign w:val="bottom"/>
            <w:hideMark/>
          </w:tcPr>
          <w:p>
            <w:pPr>
              <w:spacing w:after="0" w:line="240" w:lineRule="auto"/>
              <w:rPr>
                <w:rFonts w:ascii="Calibri" w:eastAsia="Times New Roman" w:hAnsi="Calibri" w:cs="Calibri"/>
                <w:b/>
                <w:bCs/>
                <w:noProof/>
                <w:color w:val="FFFFFF"/>
                <w:sz w:val="20"/>
                <w:lang w:val="en-IE" w:eastAsia="fr-BE"/>
              </w:rPr>
            </w:pPr>
            <w:r>
              <w:rPr>
                <w:rFonts w:ascii="Calibri" w:eastAsia="Times New Roman" w:hAnsi="Calibri" w:cs="Calibri"/>
                <w:b/>
                <w:bCs/>
                <w:noProof/>
                <w:color w:val="FFFFFF"/>
                <w:sz w:val="20"/>
                <w:lang w:val="en-IE" w:eastAsia="fr-BE"/>
              </w:rPr>
              <w:t>Base year emissions (Mt CO2-eq.)</w:t>
            </w:r>
          </w:p>
        </w:tc>
        <w:tc>
          <w:tcPr>
            <w:tcW w:w="1142" w:type="dxa"/>
            <w:tcBorders>
              <w:top w:val="single" w:sz="4" w:space="0" w:color="9BC2E6"/>
              <w:left w:val="nil"/>
              <w:bottom w:val="single" w:sz="4" w:space="0" w:color="9BC2E6"/>
              <w:right w:val="nil"/>
            </w:tcBorders>
            <w:shd w:val="clear" w:color="5B9BD5" w:fill="1091E0"/>
            <w:hideMark/>
          </w:tcPr>
          <w:p>
            <w:pPr>
              <w:spacing w:after="0" w:line="240" w:lineRule="auto"/>
              <w:rPr>
                <w:rFonts w:ascii="Calibri" w:eastAsia="Times New Roman" w:hAnsi="Calibri" w:cs="Calibri"/>
                <w:b/>
                <w:bCs/>
                <w:noProof/>
                <w:color w:val="FFFFFF"/>
                <w:sz w:val="20"/>
                <w:lang w:val="fr-BE" w:eastAsia="fr-BE"/>
              </w:rPr>
            </w:pPr>
            <w:r>
              <w:rPr>
                <w:rFonts w:ascii="Calibri" w:eastAsia="Times New Roman" w:hAnsi="Calibri" w:cs="Calibri"/>
                <w:b/>
                <w:bCs/>
                <w:noProof/>
                <w:color w:val="FFFFFF"/>
                <w:sz w:val="20"/>
                <w:lang w:val="fr-BE" w:eastAsia="fr-BE"/>
              </w:rPr>
              <w:t>1990 emissions (Mt CO2-eq.)</w:t>
            </w:r>
          </w:p>
        </w:tc>
        <w:tc>
          <w:tcPr>
            <w:tcW w:w="1197" w:type="dxa"/>
            <w:tcBorders>
              <w:top w:val="single" w:sz="4" w:space="0" w:color="9BC2E6"/>
              <w:left w:val="nil"/>
              <w:bottom w:val="single" w:sz="4" w:space="0" w:color="9BC2E6"/>
              <w:right w:val="nil"/>
            </w:tcBorders>
            <w:shd w:val="clear" w:color="5B9BD5" w:fill="1091E0"/>
            <w:hideMark/>
          </w:tcPr>
          <w:p>
            <w:pPr>
              <w:spacing w:after="0" w:line="240" w:lineRule="auto"/>
              <w:rPr>
                <w:rFonts w:ascii="Calibri" w:eastAsia="Times New Roman" w:hAnsi="Calibri" w:cs="Calibri"/>
                <w:b/>
                <w:bCs/>
                <w:noProof/>
                <w:color w:val="FFFFFF"/>
                <w:sz w:val="20"/>
                <w:lang w:val="fr-BE" w:eastAsia="fr-BE"/>
              </w:rPr>
            </w:pPr>
            <w:r>
              <w:rPr>
                <w:rFonts w:ascii="Calibri" w:eastAsia="Times New Roman" w:hAnsi="Calibri" w:cs="Calibri"/>
                <w:b/>
                <w:bCs/>
                <w:noProof/>
                <w:color w:val="FFFFFF"/>
                <w:sz w:val="20"/>
                <w:lang w:val="fr-BE" w:eastAsia="fr-BE"/>
              </w:rPr>
              <w:t>2018 emissions (Mt CO2-eq.)</w:t>
            </w:r>
          </w:p>
        </w:tc>
        <w:tc>
          <w:tcPr>
            <w:tcW w:w="1234" w:type="dxa"/>
            <w:tcBorders>
              <w:top w:val="single" w:sz="4" w:space="0" w:color="9BC2E6"/>
              <w:left w:val="nil"/>
              <w:bottom w:val="single" w:sz="4" w:space="0" w:color="9BC2E6"/>
              <w:right w:val="nil"/>
            </w:tcBorders>
            <w:shd w:val="clear" w:color="5B9BD5" w:fill="1091E0"/>
            <w:hideMark/>
          </w:tcPr>
          <w:p>
            <w:pPr>
              <w:spacing w:after="0" w:line="240" w:lineRule="auto"/>
              <w:rPr>
                <w:rFonts w:ascii="Calibri" w:eastAsia="Times New Roman" w:hAnsi="Calibri" w:cs="Calibri"/>
                <w:b/>
                <w:bCs/>
                <w:noProof/>
                <w:color w:val="FFFFFF"/>
                <w:sz w:val="20"/>
                <w:lang w:val="en-IE" w:eastAsia="fr-BE"/>
              </w:rPr>
            </w:pPr>
            <w:r>
              <w:rPr>
                <w:rFonts w:ascii="Calibri" w:eastAsia="Times New Roman" w:hAnsi="Calibri" w:cs="Calibri"/>
                <w:b/>
                <w:bCs/>
                <w:noProof/>
                <w:color w:val="FFFFFF"/>
                <w:sz w:val="20"/>
                <w:lang w:val="en-IE" w:eastAsia="fr-BE"/>
              </w:rPr>
              <w:t>2018 emissions (% change from base year)</w:t>
            </w:r>
          </w:p>
        </w:tc>
        <w:tc>
          <w:tcPr>
            <w:tcW w:w="1234" w:type="dxa"/>
            <w:tcBorders>
              <w:top w:val="single" w:sz="4" w:space="0" w:color="9BC2E6"/>
              <w:left w:val="nil"/>
              <w:bottom w:val="single" w:sz="4" w:space="0" w:color="9BC2E6"/>
              <w:right w:val="nil"/>
            </w:tcBorders>
            <w:shd w:val="clear" w:color="5B9BD5" w:fill="1091E0"/>
            <w:hideMark/>
          </w:tcPr>
          <w:p>
            <w:pPr>
              <w:spacing w:after="0" w:line="240" w:lineRule="auto"/>
              <w:rPr>
                <w:rFonts w:ascii="Calibri" w:eastAsia="Times New Roman" w:hAnsi="Calibri" w:cs="Calibri"/>
                <w:b/>
                <w:bCs/>
                <w:noProof/>
                <w:color w:val="FFFFFF"/>
                <w:sz w:val="20"/>
                <w:lang w:val="fr-BE" w:eastAsia="fr-BE"/>
              </w:rPr>
            </w:pPr>
            <w:r>
              <w:rPr>
                <w:rFonts w:ascii="Calibri" w:eastAsia="Times New Roman" w:hAnsi="Calibri" w:cs="Calibri"/>
                <w:b/>
                <w:bCs/>
                <w:noProof/>
                <w:color w:val="FFFFFF"/>
                <w:sz w:val="20"/>
                <w:lang w:val="fr-BE" w:eastAsia="fr-BE"/>
              </w:rPr>
              <w:t>2020 targets (Mt CO2-eq.)</w:t>
            </w:r>
          </w:p>
        </w:tc>
        <w:tc>
          <w:tcPr>
            <w:tcW w:w="1197" w:type="dxa"/>
            <w:tcBorders>
              <w:top w:val="single" w:sz="4" w:space="0" w:color="9BC2E6"/>
              <w:left w:val="nil"/>
              <w:bottom w:val="single" w:sz="4" w:space="0" w:color="9BC2E6"/>
              <w:right w:val="single" w:sz="4" w:space="0" w:color="9BC2E6"/>
            </w:tcBorders>
            <w:shd w:val="clear" w:color="5B9BD5" w:fill="1091E0"/>
            <w:hideMark/>
          </w:tcPr>
          <w:p>
            <w:pPr>
              <w:spacing w:after="0" w:line="240" w:lineRule="auto"/>
              <w:rPr>
                <w:rFonts w:ascii="Calibri" w:eastAsia="Times New Roman" w:hAnsi="Calibri" w:cs="Calibri"/>
                <w:b/>
                <w:bCs/>
                <w:noProof/>
                <w:color w:val="FFFFFF"/>
                <w:sz w:val="20"/>
                <w:lang w:val="en-IE" w:eastAsia="fr-BE"/>
              </w:rPr>
            </w:pPr>
            <w:r>
              <w:rPr>
                <w:rFonts w:ascii="Calibri" w:eastAsia="Times New Roman" w:hAnsi="Calibri" w:cs="Calibri"/>
                <w:b/>
                <w:bCs/>
                <w:noProof/>
                <w:color w:val="FFFFFF"/>
                <w:sz w:val="20"/>
                <w:lang w:val="en-IE" w:eastAsia="fr-BE"/>
              </w:rPr>
              <w:t>2020 target (% change from base year)</w:t>
            </w:r>
          </w:p>
        </w:tc>
      </w:tr>
      <w:tr>
        <w:trPr>
          <w:trHeight w:val="92"/>
        </w:trPr>
        <w:tc>
          <w:tcPr>
            <w:tcW w:w="1926"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Climate and energy package:</w:t>
            </w:r>
          </w:p>
        </w:tc>
        <w:tc>
          <w:tcPr>
            <w:tcW w:w="1179"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142"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197"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234"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234"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197" w:type="dxa"/>
            <w:tcBorders>
              <w:top w:val="single" w:sz="4" w:space="0" w:color="9BC2E6"/>
              <w:left w:val="nil"/>
              <w:bottom w:val="nil"/>
              <w:right w:val="single" w:sz="4" w:space="0" w:color="9BC2E6"/>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r>
      <w:tr>
        <w:trPr>
          <w:trHeight w:val="277"/>
        </w:trPr>
        <w:tc>
          <w:tcPr>
            <w:tcW w:w="1926"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Total GHG emissions, including international aviation (EU Convention scope)</w:t>
            </w:r>
          </w:p>
        </w:tc>
        <w:tc>
          <w:tcPr>
            <w:tcW w:w="1179" w:type="dxa"/>
            <w:tcBorders>
              <w:top w:val="single" w:sz="4" w:space="0" w:color="9BC2E6"/>
              <w:left w:val="nil"/>
              <w:bottom w:val="nil"/>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5721</w:t>
            </w:r>
          </w:p>
        </w:tc>
        <w:tc>
          <w:tcPr>
            <w:tcW w:w="1142" w:type="dxa"/>
            <w:tcBorders>
              <w:top w:val="single" w:sz="4" w:space="0" w:color="9BC2E6"/>
              <w:left w:val="nil"/>
              <w:bottom w:val="nil"/>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5721</w:t>
            </w:r>
          </w:p>
        </w:tc>
        <w:tc>
          <w:tcPr>
            <w:tcW w:w="1197" w:type="dxa"/>
            <w:tcBorders>
              <w:top w:val="single" w:sz="4" w:space="0" w:color="9BC2E6"/>
              <w:left w:val="nil"/>
              <w:bottom w:val="nil"/>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4392</w:t>
            </w:r>
          </w:p>
        </w:tc>
        <w:tc>
          <w:tcPr>
            <w:tcW w:w="1234" w:type="dxa"/>
            <w:tcBorders>
              <w:top w:val="single" w:sz="4" w:space="0" w:color="9BC2E6"/>
              <w:left w:val="nil"/>
              <w:bottom w:val="nil"/>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234" w:type="dxa"/>
            <w:tcBorders>
              <w:top w:val="single" w:sz="4" w:space="0" w:color="9BC2E6"/>
              <w:left w:val="nil"/>
              <w:bottom w:val="nil"/>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4577</w:t>
            </w:r>
          </w:p>
        </w:tc>
        <w:tc>
          <w:tcPr>
            <w:tcW w:w="1197"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r>
      <w:tr>
        <w:trPr>
          <w:trHeight w:val="92"/>
        </w:trPr>
        <w:tc>
          <w:tcPr>
            <w:tcW w:w="1926"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Kyoto Protocol:</w:t>
            </w:r>
          </w:p>
        </w:tc>
        <w:tc>
          <w:tcPr>
            <w:tcW w:w="1179"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142"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197"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234"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234" w:type="dxa"/>
            <w:tcBorders>
              <w:top w:val="single" w:sz="4" w:space="0" w:color="9BC2E6"/>
              <w:left w:val="nil"/>
              <w:bottom w:val="nil"/>
              <w:right w:val="nil"/>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c>
          <w:tcPr>
            <w:tcW w:w="1197" w:type="dxa"/>
            <w:tcBorders>
              <w:top w:val="single" w:sz="4" w:space="0" w:color="9BC2E6"/>
              <w:left w:val="nil"/>
              <w:bottom w:val="nil"/>
              <w:right w:val="single" w:sz="4" w:space="0" w:color="9BC2E6"/>
            </w:tcBorders>
            <w:shd w:val="clear" w:color="DDEBF7" w:fill="DDEBF7"/>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w:t>
            </w:r>
          </w:p>
        </w:tc>
      </w:tr>
      <w:tr>
        <w:trPr>
          <w:trHeight w:val="277"/>
        </w:trPr>
        <w:tc>
          <w:tcPr>
            <w:tcW w:w="1926" w:type="dxa"/>
            <w:tcBorders>
              <w:top w:val="single" w:sz="4" w:space="0" w:color="9BC2E6"/>
              <w:left w:val="single" w:sz="4" w:space="0" w:color="9BC2E6"/>
              <w:bottom w:val="single" w:sz="4" w:space="0" w:color="9BC2E6"/>
              <w:right w:val="nil"/>
            </w:tcBorders>
            <w:shd w:val="clear" w:color="auto" w:fill="auto"/>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Total GHG emissions, excluding international aviation (EU KP scope + Iceland)</w:t>
            </w:r>
          </w:p>
        </w:tc>
        <w:tc>
          <w:tcPr>
            <w:tcW w:w="1179"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5876</w:t>
            </w:r>
          </w:p>
        </w:tc>
        <w:tc>
          <w:tcPr>
            <w:tcW w:w="1142"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5659</w:t>
            </w:r>
          </w:p>
        </w:tc>
        <w:tc>
          <w:tcPr>
            <w:tcW w:w="1197"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4234</w:t>
            </w:r>
          </w:p>
        </w:tc>
        <w:tc>
          <w:tcPr>
            <w:tcW w:w="1234"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28%</w:t>
            </w:r>
          </w:p>
        </w:tc>
        <w:tc>
          <w:tcPr>
            <w:tcW w:w="1234"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4701</w:t>
            </w:r>
          </w:p>
        </w:tc>
        <w:tc>
          <w:tcPr>
            <w:tcW w:w="1197"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r>
    </w:tbl>
    <w:p>
      <w:pPr>
        <w:spacing w:after="200" w:line="276" w:lineRule="auto"/>
        <w:rPr>
          <w:rFonts w:ascii="Calibri" w:eastAsia="Calibri" w:hAnsi="Calibri" w:cs="Times New Roman"/>
          <w:noProof/>
          <w:lang w:val="en-US"/>
        </w:rPr>
      </w:pPr>
    </w:p>
    <w:p>
      <w:pPr>
        <w:spacing w:after="200" w:line="26" w:lineRule="atLeast"/>
        <w:jc w:val="both"/>
        <w:rPr>
          <w:rFonts w:ascii="Times New Roman" w:eastAsia="Calibri" w:hAnsi="Times New Roman" w:cs="Times New Roman"/>
          <w:noProof/>
          <w:sz w:val="24"/>
        </w:rPr>
      </w:pPr>
      <w:r>
        <w:rPr>
          <w:rFonts w:ascii="Times New Roman" w:eastAsia="Calibri" w:hAnsi="Times New Roman" w:cs="Times New Roman"/>
          <w:noProof/>
          <w:sz w:val="24"/>
        </w:rPr>
        <w:t xml:space="preserve">Table 2 shows progress towards the EU’s 2020 targets as defined under the EU Climate and Energy Package and under the Kyoto Protocol. The differences between the two approaches are described in table 1. Notably, emissions from international aviation are included in the Climate and Energy Package, but excluded under the Kyoto Protocol. The geographical scope of the commitment under the Kyoto protocol includes Iceland and certain regions not included in the Climate and Energy Package. </w:t>
      </w:r>
    </w:p>
    <w:p>
      <w:pPr>
        <w:spacing w:after="200" w:line="26" w:lineRule="atLeast"/>
        <w:jc w:val="both"/>
        <w:rPr>
          <w:rFonts w:ascii="Times New Roman" w:eastAsia="Calibri" w:hAnsi="Times New Roman" w:cs="Times New Roman"/>
          <w:noProof/>
          <w:sz w:val="24"/>
        </w:rPr>
      </w:pPr>
      <w:r>
        <w:rPr>
          <w:rFonts w:ascii="Times New Roman" w:eastAsia="Calibri" w:hAnsi="Times New Roman" w:cs="Times New Roman"/>
          <w:noProof/>
          <w:sz w:val="24"/>
        </w:rPr>
        <w:t>Under the Kyoto Protocol, base year emissions differs from 1990 because some Member States have used a different base year. Moreover, for NF</w:t>
      </w:r>
      <w:r>
        <w:rPr>
          <w:rFonts w:ascii="Times New Roman" w:eastAsia="Calibri" w:hAnsi="Times New Roman" w:cs="Times New Roman"/>
          <w:noProof/>
          <w:sz w:val="24"/>
          <w:vertAlign w:val="subscript"/>
        </w:rPr>
        <w:t>3</w:t>
      </w:r>
      <w:r>
        <w:rPr>
          <w:rFonts w:ascii="Times New Roman" w:eastAsia="Calibri" w:hAnsi="Times New Roman" w:cs="Times New Roman"/>
          <w:noProof/>
          <w:sz w:val="24"/>
        </w:rPr>
        <w:t xml:space="preserve"> emissions, 1995 or 2000 may have been  used as base year. </w:t>
      </w:r>
    </w:p>
    <w:p>
      <w:pPr>
        <w:spacing w:line="26" w:lineRule="atLeast"/>
        <w:jc w:val="both"/>
        <w:rPr>
          <w:rFonts w:ascii="Times New Roman" w:hAnsi="Times New Roman" w:cs="Times New Roman"/>
          <w:noProof/>
          <w:sz w:val="24"/>
          <w:szCs w:val="24"/>
        </w:rPr>
      </w:pPr>
      <w:r>
        <w:rPr>
          <w:rFonts w:ascii="Times New Roman" w:hAnsi="Times New Roman" w:cs="Times New Roman"/>
          <w:noProof/>
          <w:sz w:val="24"/>
          <w:szCs w:val="24"/>
        </w:rPr>
        <w:t>Under the Kyoto Protocol, Member States also need to account for emissions and removals from certain categories of land use, land use change and forestry (LULUCF) by applying the accounting rules of the Kyoto Protocol. Table 2 does not include emissions and removals from LULUCF. For the EU as a whole, the LULUCF sector has been a net accounted sink in 2013-2018, thereby contributing to achieving the commitment.</w:t>
      </w:r>
    </w:p>
    <w:p>
      <w:pPr>
        <w:spacing w:after="200" w:line="276" w:lineRule="auto"/>
        <w:rPr>
          <w:rFonts w:ascii="Calibri" w:eastAsia="Calibri" w:hAnsi="Calibri" w:cs="Times New Roman"/>
          <w:noProof/>
        </w:rPr>
      </w:pPr>
    </w:p>
    <w:p>
      <w:pPr>
        <w:rPr>
          <w:rFonts w:ascii="Cambria" w:eastAsia="Times New Roman" w:hAnsi="Cambria" w:cs="Times New Roman"/>
          <w:b/>
          <w:bCs/>
          <w:noProof/>
          <w:color w:val="365F91"/>
          <w:sz w:val="28"/>
          <w:szCs w:val="28"/>
        </w:rPr>
      </w:pPr>
      <w:r>
        <w:rPr>
          <w:rFonts w:ascii="Calibri" w:eastAsia="Calibri" w:hAnsi="Calibri" w:cs="Times New Roman"/>
          <w:noProof/>
        </w:rPr>
        <w:br w:type="page"/>
      </w:r>
    </w:p>
    <w:p>
      <w:pPr>
        <w:pStyle w:val="Heading1"/>
      </w:pPr>
      <w:bookmarkStart w:id="15" w:name="_Toc527446993"/>
      <w:bookmarkStart w:id="16" w:name="_Toc527447534"/>
      <w:bookmarkStart w:id="17" w:name="_Toc529975183"/>
      <w:bookmarkStart w:id="18" w:name="_Toc53992017"/>
      <w:r>
        <w:t xml:space="preserve">3. EU </w:t>
      </w:r>
      <w:bookmarkEnd w:id="14"/>
      <w:bookmarkEnd w:id="15"/>
      <w:bookmarkEnd w:id="16"/>
      <w:bookmarkEnd w:id="17"/>
      <w:r>
        <w:t>GREENHOUSE GAS EMISSIONS BY SECTOR</w:t>
      </w:r>
      <w:bookmarkEnd w:id="18"/>
    </w:p>
    <w:p>
      <w:pPr>
        <w:spacing w:after="200" w:line="276" w:lineRule="auto"/>
        <w:rPr>
          <w:rFonts w:ascii="Calibri" w:eastAsia="Calibri" w:hAnsi="Calibri" w:cs="Times New Roman"/>
          <w:noProof/>
        </w:rPr>
      </w:pPr>
    </w:p>
    <w:p>
      <w:pPr>
        <w:keepNext/>
        <w:spacing w:after="200" w:line="276" w:lineRule="auto"/>
        <w:ind w:right="-188"/>
        <w:rPr>
          <w:rFonts w:ascii="Calibri" w:eastAsia="Calibri" w:hAnsi="Calibri" w:cs="Times New Roman"/>
          <w:b/>
          <w:bCs/>
          <w:noProof/>
          <w:color w:val="4F81BD"/>
          <w:sz w:val="20"/>
          <w:szCs w:val="18"/>
          <w:vertAlign w:val="superscript"/>
          <w:lang w:val="en-US"/>
        </w:rPr>
      </w:pPr>
      <w:r>
        <w:rPr>
          <w:noProof/>
          <w:lang w:val="fr-BE" w:eastAsia="fr-BE"/>
        </w:rPr>
        <w:object w:dxaOrig="9439" w:dyaOrig="7601">
          <v:shape id="_x0000_i1026" type="#_x0000_t75" style="width:471.75pt;height:380.25pt" o:ole="">
            <v:imagedata r:id="rId29" o:title=""/>
          </v:shape>
          <o:OLEObject Type="Embed" ProgID="Excel.Sheet.12" ShapeID="_x0000_i1026" DrawAspect="Content" ObjectID="_1667814346" r:id="rId30"/>
        </w:object>
      </w:r>
      <w:r>
        <w:rPr>
          <w:noProof/>
          <w:lang w:val="en-US" w:eastAsia="fr-BE"/>
        </w:rPr>
        <w:br/>
      </w:r>
      <w:r>
        <w:rPr>
          <w:rFonts w:ascii="Calibri" w:eastAsia="Calibri" w:hAnsi="Calibri" w:cs="Times New Roman"/>
          <w:b/>
          <w:bCs/>
          <w:noProof/>
          <w:color w:val="4F81BD"/>
          <w:sz w:val="20"/>
          <w:szCs w:val="18"/>
          <w:lang w:val="en-US"/>
        </w:rPr>
        <w:t>Figure 1: EU-27 greenhouse gas emissions by sector, historical data (1990-2019) and projections (2020-2030).</w:t>
      </w:r>
      <w:r>
        <w:rPr>
          <w:rFonts w:ascii="Calibri" w:eastAsia="Calibri" w:hAnsi="Calibri" w:cs="Times New Roman"/>
          <w:b/>
          <w:bCs/>
          <w:noProof/>
          <w:color w:val="4F81BD"/>
          <w:sz w:val="20"/>
          <w:szCs w:val="18"/>
          <w:vertAlign w:val="superscript"/>
          <w:lang w:val="en-US"/>
        </w:rPr>
        <w:footnoteReference w:id="9"/>
      </w:r>
      <w:r>
        <w:rPr>
          <w:rFonts w:ascii="Calibri" w:eastAsia="Calibri" w:hAnsi="Calibri" w:cs="Times New Roman"/>
          <w:b/>
          <w:bCs/>
          <w:noProof/>
          <w:color w:val="4F81BD"/>
          <w:sz w:val="20"/>
          <w:szCs w:val="18"/>
          <w:vertAlign w:val="superscript"/>
          <w:lang w:val="en-US"/>
        </w:rPr>
        <w:t xml:space="preserve"> </w:t>
      </w:r>
    </w:p>
    <w:p>
      <w:pPr>
        <w:spacing w:after="200" w:line="240" w:lineRule="auto"/>
        <w:rPr>
          <w:rFonts w:ascii="Calibri" w:eastAsia="Calibri" w:hAnsi="Calibri" w:cs="Times New Roman"/>
          <w:b/>
          <w:bCs/>
          <w:noProof/>
          <w:color w:val="4F81BD"/>
          <w:sz w:val="18"/>
          <w:szCs w:val="18"/>
          <w:lang w:val="en-US"/>
        </w:rPr>
      </w:pPr>
    </w:p>
    <w:p>
      <w:pPr>
        <w:keepNext/>
        <w:spacing w:after="200" w:line="276" w:lineRule="auto"/>
        <w:rPr>
          <w:rFonts w:ascii="Calibri" w:eastAsia="Calibri" w:hAnsi="Calibri" w:cs="Times New Roman"/>
          <w:noProof/>
        </w:rPr>
      </w:pPr>
      <w:r>
        <w:rPr>
          <w:noProof/>
          <w:lang w:eastAsia="en-GB"/>
        </w:rPr>
        <w:drawing>
          <wp:inline distT="0" distB="0" distL="0" distR="0">
            <wp:extent cx="4568701" cy="2662381"/>
            <wp:effectExtent l="0" t="0" r="381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after="200" w:line="240" w:lineRule="auto"/>
        <w:rPr>
          <w:rFonts w:ascii="Calibri" w:eastAsia="Calibri" w:hAnsi="Calibri" w:cs="Times New Roman"/>
          <w:b/>
          <w:bCs/>
          <w:noProof/>
          <w:color w:val="4F81BD"/>
          <w:sz w:val="20"/>
          <w:szCs w:val="18"/>
          <w:lang w:val="en-US"/>
        </w:rPr>
      </w:pPr>
      <w:r>
        <w:rPr>
          <w:rFonts w:ascii="Calibri" w:eastAsia="Calibri" w:hAnsi="Calibri" w:cs="Times New Roman"/>
          <w:b/>
          <w:bCs/>
          <w:noProof/>
          <w:color w:val="4F81BD"/>
          <w:sz w:val="20"/>
          <w:szCs w:val="18"/>
          <w:lang w:val="en-US"/>
        </w:rPr>
        <w:t>Figure 2: EU-27 greenhouse gas emissions by sector 2018 (in % of total emissions).</w:t>
      </w:r>
      <w:r>
        <w:rPr>
          <w:rFonts w:ascii="Calibri" w:eastAsia="Calibri" w:hAnsi="Calibri" w:cs="Times New Roman"/>
          <w:b/>
          <w:bCs/>
          <w:noProof/>
          <w:color w:val="4F81BD"/>
          <w:sz w:val="20"/>
          <w:szCs w:val="18"/>
          <w:vertAlign w:val="superscript"/>
          <w:lang w:val="en-US"/>
        </w:rPr>
        <w:footnoteReference w:id="10"/>
      </w:r>
      <w:r>
        <w:rPr>
          <w:rFonts w:ascii="Calibri" w:eastAsia="Calibri" w:hAnsi="Calibri" w:cs="Times New Roman"/>
          <w:b/>
          <w:bCs/>
          <w:noProof/>
          <w:color w:val="4F81BD"/>
          <w:sz w:val="20"/>
          <w:szCs w:val="18"/>
          <w:lang w:val="en-US"/>
        </w:rPr>
        <w:t xml:space="preserve"> </w:t>
      </w:r>
    </w:p>
    <w:p>
      <w:pPr>
        <w:spacing w:after="200" w:line="276" w:lineRule="auto"/>
        <w:rPr>
          <w:rFonts w:ascii="Times New Roman" w:eastAsia="Calibri" w:hAnsi="Times New Roman" w:cs="Times New Roman"/>
          <w:noProof/>
          <w:sz w:val="24"/>
          <w:szCs w:val="24"/>
        </w:rPr>
      </w:pPr>
    </w:p>
    <w:p>
      <w:pPr>
        <w:spacing w:after="200" w:line="276"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sectors used in Figure 1 and 2 correspond to the following IPCC sectors: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Energy supply: 1A1, 1B and 1C,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Energy use in manufacturing industries: 1A2,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Industrial processes and product use: 2,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Transport: 1A3,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Other energy use: 1A4, 1A5 and 6,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Agriculture: 3,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Waste: 5, </w:t>
      </w:r>
    </w:p>
    <w:p>
      <w:pPr>
        <w:numPr>
          <w:ilvl w:val="0"/>
          <w:numId w:val="14"/>
        </w:numPr>
        <w:spacing w:after="200" w:line="276" w:lineRule="auto"/>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International aviation: memo item.</w:t>
      </w:r>
    </w:p>
    <w:p>
      <w:pPr>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pPr>
        <w:pStyle w:val="Heading1"/>
        <w:rPr>
          <w:lang w:val="en-IE" w:eastAsia="fr-BE"/>
        </w:rPr>
      </w:pPr>
      <w:bookmarkStart w:id="19" w:name="_Toc53992018"/>
      <w:r>
        <w:rPr>
          <w:rFonts w:eastAsia="Calibri"/>
          <w:lang w:eastAsia="en-GB"/>
        </w:rPr>
        <w:t>4. TOTAL GHG EMISSIONS PER MEMBER STATE</w:t>
      </w:r>
      <w:bookmarkEnd w:id="19"/>
    </w:p>
    <w:p>
      <w:pPr>
        <w:spacing w:after="200" w:line="276" w:lineRule="auto"/>
        <w:contextualSpacing/>
        <w:rPr>
          <w:rFonts w:ascii="Times New Roman" w:eastAsia="Calibri" w:hAnsi="Times New Roman" w:cs="Times New Roman"/>
          <w:noProof/>
          <w:sz w:val="24"/>
          <w:szCs w:val="24"/>
          <w:lang w:val="en-IE"/>
        </w:rPr>
      </w:pPr>
    </w:p>
    <w:p>
      <w:pPr>
        <w:spacing w:after="0" w:line="240" w:lineRule="auto"/>
        <w:rPr>
          <w:rFonts w:ascii="Calibri" w:eastAsia="Times New Roman" w:hAnsi="Calibri" w:cs="Calibri"/>
          <w:b/>
          <w:bCs/>
          <w:noProof/>
          <w:color w:val="4F81BD"/>
          <w:sz w:val="20"/>
          <w:szCs w:val="18"/>
          <w:lang w:val="en-US" w:eastAsia="fr-BE"/>
        </w:rPr>
      </w:pPr>
      <w:r>
        <w:rPr>
          <w:rFonts w:ascii="Calibri" w:eastAsia="Times New Roman" w:hAnsi="Calibri" w:cs="Calibri"/>
          <w:b/>
          <w:bCs/>
          <w:noProof/>
          <w:color w:val="4F81BD"/>
          <w:sz w:val="20"/>
          <w:szCs w:val="18"/>
          <w:lang w:val="en-US" w:eastAsia="fr-BE"/>
        </w:rPr>
        <w:t>Table 3: Total GHG Emissions 2019, excl. LULUCF, including international aviation (Mt CO</w:t>
      </w:r>
      <w:r>
        <w:rPr>
          <w:rFonts w:ascii="Calibri" w:eastAsia="Times New Roman" w:hAnsi="Calibri" w:cs="Calibri"/>
          <w:b/>
          <w:bCs/>
          <w:noProof/>
          <w:color w:val="4F81BD"/>
          <w:sz w:val="20"/>
          <w:szCs w:val="18"/>
          <w:vertAlign w:val="subscript"/>
          <w:lang w:val="en-US" w:eastAsia="fr-BE"/>
        </w:rPr>
        <w:t>2</w:t>
      </w:r>
      <w:r>
        <w:rPr>
          <w:rFonts w:ascii="Calibri" w:eastAsia="Times New Roman" w:hAnsi="Calibri" w:cs="Calibri"/>
          <w:b/>
          <w:bCs/>
          <w:noProof/>
          <w:color w:val="4F81BD"/>
          <w:sz w:val="20"/>
          <w:szCs w:val="18"/>
          <w:lang w:val="en-US" w:eastAsia="fr-BE"/>
        </w:rPr>
        <w:t>-eq. and % change from 1990 and 2005)</w:t>
      </w:r>
    </w:p>
    <w:p>
      <w:pPr>
        <w:spacing w:after="0" w:line="240" w:lineRule="auto"/>
        <w:rPr>
          <w:rFonts w:ascii="Calibri" w:eastAsia="Times New Roman" w:hAnsi="Calibri" w:cs="Calibri"/>
          <w:b/>
          <w:bCs/>
          <w:noProof/>
          <w:color w:val="4F81BD"/>
          <w:sz w:val="18"/>
          <w:szCs w:val="18"/>
          <w:lang w:val="en-US" w:eastAsia="fr-BE"/>
        </w:rPr>
      </w:pPr>
    </w:p>
    <w:tbl>
      <w:tblPr>
        <w:tblW w:w="8705" w:type="dxa"/>
        <w:tblInd w:w="7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left w:w="70" w:type="dxa"/>
          <w:right w:w="70" w:type="dxa"/>
        </w:tblCellMar>
        <w:tblLook w:val="04A0" w:firstRow="1" w:lastRow="0" w:firstColumn="1" w:lastColumn="0" w:noHBand="0" w:noVBand="1"/>
      </w:tblPr>
      <w:tblGrid>
        <w:gridCol w:w="1257"/>
        <w:gridCol w:w="1295"/>
        <w:gridCol w:w="1327"/>
        <w:gridCol w:w="1359"/>
        <w:gridCol w:w="238"/>
        <w:gridCol w:w="1417"/>
        <w:gridCol w:w="1329"/>
        <w:gridCol w:w="483"/>
      </w:tblGrid>
      <w:tr>
        <w:trPr>
          <w:trHeight w:val="290"/>
        </w:trPr>
        <w:tc>
          <w:tcPr>
            <w:tcW w:w="1257" w:type="dxa"/>
            <w:shd w:val="clear" w:color="auto" w:fill="1091E0"/>
            <w:noWrap/>
            <w:vAlign w:val="center"/>
          </w:tcPr>
          <w:p>
            <w:pPr>
              <w:spacing w:after="0" w:line="240" w:lineRule="auto"/>
              <w:rPr>
                <w:rFonts w:ascii="Calibri" w:eastAsia="Times New Roman" w:hAnsi="Calibri" w:cs="Calibri"/>
                <w:noProof/>
                <w:color w:val="000000"/>
                <w:sz w:val="20"/>
                <w:lang w:val="en-US" w:eastAsia="fr-BE"/>
              </w:rPr>
            </w:pPr>
          </w:p>
        </w:tc>
        <w:tc>
          <w:tcPr>
            <w:tcW w:w="1295" w:type="dxa"/>
            <w:shd w:val="clear" w:color="auto" w:fill="1091E0"/>
            <w:noWrap/>
            <w:vAlign w:val="center"/>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b/>
                <w:noProof/>
                <w:color w:val="FFFFFF" w:themeColor="background1"/>
                <w:sz w:val="20"/>
                <w:lang w:val="fr-BE" w:eastAsia="fr-BE"/>
              </w:rPr>
              <w:t>1990</w:t>
            </w:r>
          </w:p>
        </w:tc>
        <w:tc>
          <w:tcPr>
            <w:tcW w:w="1327" w:type="dxa"/>
            <w:shd w:val="clear" w:color="auto" w:fill="1091E0"/>
            <w:noWrap/>
            <w:vAlign w:val="center"/>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b/>
                <w:noProof/>
                <w:color w:val="FFFFFF" w:themeColor="background1"/>
                <w:sz w:val="20"/>
                <w:lang w:val="fr-BE" w:eastAsia="fr-BE"/>
              </w:rPr>
              <w:t>2005</w:t>
            </w:r>
          </w:p>
        </w:tc>
        <w:tc>
          <w:tcPr>
            <w:tcW w:w="1359" w:type="dxa"/>
            <w:shd w:val="clear" w:color="auto" w:fill="1091E0"/>
            <w:noWrap/>
            <w:vAlign w:val="center"/>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b/>
                <w:noProof/>
                <w:color w:val="FFFFFF" w:themeColor="background1"/>
                <w:sz w:val="20"/>
                <w:lang w:val="fr-BE" w:eastAsia="fr-BE"/>
              </w:rPr>
              <w:t>2019</w:t>
            </w:r>
          </w:p>
        </w:tc>
        <w:tc>
          <w:tcPr>
            <w:tcW w:w="238" w:type="dxa"/>
            <w:shd w:val="clear" w:color="auto" w:fill="1091E0"/>
            <w:noWrap/>
            <w:vAlign w:val="bottom"/>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1091E0"/>
            <w:noWrap/>
            <w:vAlign w:val="center"/>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b/>
                <w:noProof/>
                <w:color w:val="FFFFFF" w:themeColor="background1"/>
                <w:sz w:val="20"/>
                <w:lang w:val="fr-BE" w:eastAsia="fr-BE"/>
              </w:rPr>
              <w:t>2019/1990</w:t>
            </w:r>
          </w:p>
        </w:tc>
        <w:tc>
          <w:tcPr>
            <w:tcW w:w="1329" w:type="dxa"/>
            <w:shd w:val="clear" w:color="auto" w:fill="1091E0"/>
            <w:noWrap/>
            <w:vAlign w:val="center"/>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b/>
                <w:noProof/>
                <w:color w:val="FFFFFF" w:themeColor="background1"/>
                <w:sz w:val="20"/>
                <w:lang w:val="fr-BE" w:eastAsia="fr-BE"/>
              </w:rPr>
              <w:t>2019/2005</w:t>
            </w:r>
          </w:p>
        </w:tc>
        <w:tc>
          <w:tcPr>
            <w:tcW w:w="483" w:type="dxa"/>
            <w:shd w:val="clear" w:color="auto" w:fill="1091E0"/>
            <w:noWrap/>
            <w:vAlign w:val="bottom"/>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EU-27</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4912</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4647</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3749</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Austria</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79</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94</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83</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Belgium</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150</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150</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124</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Bulgaria</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103</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65</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57</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-44%</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Croatia</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32</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30</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25</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Cyprus</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63%</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Czechia</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200</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150</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132</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-34%</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Denmark</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73</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69</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48</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-34%</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-31%</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Estonia</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-62%</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Finland</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72</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71</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55</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France</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557</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571</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459</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Germany</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1262</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1016</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835</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-34%</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Greece</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106</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139</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89</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-36%</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Hungary</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94</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76</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64</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-32%</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Ireland</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57</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72</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62</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Italy</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520</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595</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427</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-28%</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Latvia</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27</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-55%</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Lithuania</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48</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21</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-57%</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Luxembourg</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Malta</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Netherlands</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226</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226</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196</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Poland</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476</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405</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394</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Portugal</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60</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88</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69</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Romania</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249</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152</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113</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-55%</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-26%</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Slovakia</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74</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51</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42</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-43%</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Slovenia</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21</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DEEAF6" w:themeFill="accent1" w:themeFillTint="33"/>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Spain</w:t>
            </w:r>
          </w:p>
        </w:tc>
        <w:tc>
          <w:tcPr>
            <w:tcW w:w="1295"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294</w:t>
            </w:r>
          </w:p>
        </w:tc>
        <w:tc>
          <w:tcPr>
            <w:tcW w:w="132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455</w:t>
            </w:r>
          </w:p>
        </w:tc>
        <w:tc>
          <w:tcPr>
            <w:tcW w:w="135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333</w:t>
            </w:r>
          </w:p>
        </w:tc>
        <w:tc>
          <w:tcPr>
            <w:tcW w:w="238"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29" w:type="dxa"/>
            <w:shd w:val="clear" w:color="auto" w:fill="DEEAF6" w:themeFill="accent1" w:themeFillTint="33"/>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-27%</w:t>
            </w:r>
          </w:p>
        </w:tc>
        <w:tc>
          <w:tcPr>
            <w:tcW w:w="483" w:type="dxa"/>
            <w:shd w:val="clear" w:color="auto" w:fill="DEEAF6" w:themeFill="accent1" w:themeFillTint="33"/>
            <w:noWrap/>
            <w:vAlign w:val="bottom"/>
            <w:hideMark/>
          </w:tcPr>
          <w:p>
            <w:pPr>
              <w:spacing w:after="0" w:line="240" w:lineRule="auto"/>
              <w:jc w:val="right"/>
              <w:rPr>
                <w:rFonts w:ascii="Calibri" w:eastAsia="Times New Roman" w:hAnsi="Calibri" w:cs="Calibri"/>
                <w:noProof/>
                <w:color w:val="000000"/>
                <w:sz w:val="20"/>
                <w:lang w:val="fr-BE" w:eastAsia="fr-BE"/>
              </w:rPr>
            </w:pPr>
          </w:p>
        </w:tc>
      </w:tr>
      <w:tr>
        <w:trPr>
          <w:trHeight w:val="290"/>
        </w:trPr>
        <w:tc>
          <w:tcPr>
            <w:tcW w:w="1257" w:type="dxa"/>
            <w:shd w:val="clear" w:color="auto" w:fill="auto"/>
            <w:noWrap/>
            <w:vAlign w:val="center"/>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Sweden</w:t>
            </w:r>
          </w:p>
        </w:tc>
        <w:tc>
          <w:tcPr>
            <w:tcW w:w="1295"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73</w:t>
            </w:r>
          </w:p>
        </w:tc>
        <w:tc>
          <w:tcPr>
            <w:tcW w:w="132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69</w:t>
            </w:r>
          </w:p>
        </w:tc>
        <w:tc>
          <w:tcPr>
            <w:tcW w:w="135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53</w:t>
            </w:r>
          </w:p>
        </w:tc>
        <w:tc>
          <w:tcPr>
            <w:tcW w:w="238"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c>
          <w:tcPr>
            <w:tcW w:w="1417"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-27%</w:t>
            </w:r>
          </w:p>
        </w:tc>
        <w:tc>
          <w:tcPr>
            <w:tcW w:w="1329" w:type="dxa"/>
            <w:shd w:val="clear" w:color="auto" w:fill="auto"/>
            <w:noWrap/>
            <w:vAlign w:val="center"/>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483" w:type="dxa"/>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p>
        </w:tc>
      </w:tr>
    </w:tbl>
    <w:p>
      <w:pPr>
        <w:spacing w:after="0" w:line="240" w:lineRule="auto"/>
        <w:rPr>
          <w:rFonts w:ascii="Calibri" w:eastAsia="Times New Roman" w:hAnsi="Calibri" w:cs="Calibri"/>
          <w:b/>
          <w:bCs/>
          <w:noProof/>
          <w:color w:val="4F81BD"/>
          <w:sz w:val="18"/>
          <w:szCs w:val="18"/>
          <w:lang w:val="en-US" w:eastAsia="fr-BE"/>
        </w:rPr>
      </w:pPr>
    </w:p>
    <w:p>
      <w:pPr>
        <w:rPr>
          <w:rFonts w:ascii="Times New Roman" w:eastAsia="Calibri" w:hAnsi="Times New Roman" w:cs="Times New Roman"/>
          <w:b/>
          <w:bCs/>
          <w:noProof/>
          <w:sz w:val="24"/>
          <w:szCs w:val="24"/>
          <w:lang w:eastAsia="en-GB"/>
        </w:rPr>
      </w:pPr>
      <w:bookmarkStart w:id="20" w:name="_Toc523734013"/>
      <w:bookmarkStart w:id="21" w:name="_Toc527446994"/>
      <w:bookmarkStart w:id="22" w:name="_Toc527447535"/>
      <w:bookmarkStart w:id="23" w:name="_Toc529975184"/>
      <w:r>
        <w:rPr>
          <w:rFonts w:eastAsia="Calibri"/>
          <w:noProof/>
          <w:lang w:eastAsia="en-GB"/>
        </w:rPr>
        <w:br w:type="page"/>
      </w:r>
    </w:p>
    <w:p>
      <w:pPr>
        <w:pStyle w:val="Heading1"/>
        <w:rPr>
          <w:rFonts w:eastAsia="Calibri"/>
          <w:lang w:eastAsia="en-GB"/>
        </w:rPr>
      </w:pPr>
      <w:bookmarkStart w:id="24" w:name="_Toc53992019"/>
      <w:r>
        <w:rPr>
          <w:rFonts w:eastAsia="Calibri"/>
          <w:lang w:eastAsia="en-GB"/>
        </w:rPr>
        <w:t xml:space="preserve">5. </w:t>
      </w:r>
      <w:bookmarkEnd w:id="20"/>
      <w:bookmarkEnd w:id="21"/>
      <w:bookmarkEnd w:id="22"/>
      <w:bookmarkEnd w:id="23"/>
      <w:r>
        <w:rPr>
          <w:rFonts w:eastAsia="Calibri"/>
          <w:lang w:eastAsia="en-GB"/>
        </w:rPr>
        <w:t>GREENHOUSE GAS INTENSITY IN THE EU AND ITS MEMBER STATES</w:t>
      </w:r>
      <w:bookmarkEnd w:id="24"/>
    </w:p>
    <w:p>
      <w:pPr>
        <w:rPr>
          <w:noProof/>
          <w:lang w:eastAsia="en-GB"/>
        </w:rPr>
      </w:pPr>
    </w:p>
    <w:p>
      <w:pPr>
        <w:keepNext/>
        <w:spacing w:after="200" w:line="276" w:lineRule="auto"/>
        <w:rPr>
          <w:rFonts w:ascii="Calibri" w:eastAsia="Calibri" w:hAnsi="Calibri" w:cs="Times New Roman"/>
          <w:b/>
          <w:bCs/>
          <w:noProof/>
          <w:color w:val="4F81BD"/>
          <w:sz w:val="20"/>
          <w:szCs w:val="18"/>
          <w:lang w:val="en-US"/>
        </w:rPr>
      </w:pPr>
      <w:r>
        <w:rPr>
          <w:rFonts w:ascii="Calibri" w:eastAsia="Calibri" w:hAnsi="Calibri" w:cs="Times New Roman"/>
          <w:noProof/>
        </w:rPr>
        <w:object w:dxaOrig="9439" w:dyaOrig="7601">
          <v:shape id="_x0000_i1027" type="#_x0000_t75" style="width:471.75pt;height:380.25pt" o:ole="">
            <v:imagedata r:id="rId32" o:title=""/>
          </v:shape>
          <o:OLEObject Type="Embed" ProgID="Excel.Sheet.12" ShapeID="_x0000_i1027" DrawAspect="Content" ObjectID="_1667814347" r:id="rId33"/>
        </w:object>
      </w:r>
      <w:r>
        <w:rPr>
          <w:rFonts w:ascii="Calibri" w:eastAsia="Calibri" w:hAnsi="Calibri" w:cs="Times New Roman"/>
          <w:noProof/>
        </w:rPr>
        <w:br/>
      </w:r>
      <w:r>
        <w:rPr>
          <w:rFonts w:ascii="Calibri" w:eastAsia="Calibri" w:hAnsi="Calibri" w:cs="Times New Roman"/>
          <w:b/>
          <w:bCs/>
          <w:noProof/>
          <w:color w:val="4F81BD"/>
          <w:sz w:val="20"/>
          <w:szCs w:val="18"/>
          <w:lang w:val="en-US"/>
        </w:rPr>
        <w:t>Figure 3: Greenhouse gas emissions intensity (i.e. the ratio between emissions and GDP) in the EU and its Member States 1990, 2005 and 2019 (g CO</w:t>
      </w:r>
      <w:r>
        <w:rPr>
          <w:rFonts w:ascii="Calibri" w:eastAsia="Calibri" w:hAnsi="Calibri" w:cs="Times New Roman"/>
          <w:b/>
          <w:bCs/>
          <w:noProof/>
          <w:color w:val="4F81BD"/>
          <w:sz w:val="20"/>
          <w:szCs w:val="18"/>
          <w:vertAlign w:val="subscript"/>
          <w:lang w:val="en-US"/>
        </w:rPr>
        <w:t>2</w:t>
      </w:r>
      <w:r>
        <w:rPr>
          <w:rFonts w:ascii="Calibri" w:eastAsia="Calibri" w:hAnsi="Calibri" w:cs="Times New Roman"/>
          <w:b/>
          <w:bCs/>
          <w:noProof/>
          <w:color w:val="4F81BD"/>
          <w:sz w:val="20"/>
          <w:szCs w:val="18"/>
          <w:lang w:val="en-US"/>
        </w:rPr>
        <w:t>-eq./ EUR</w:t>
      </w:r>
      <w:r>
        <w:rPr>
          <w:rFonts w:ascii="Calibri" w:eastAsia="Calibri" w:hAnsi="Calibri" w:cs="Times New Roman"/>
          <w:b/>
          <w:bCs/>
          <w:noProof/>
          <w:color w:val="4F81BD"/>
          <w:sz w:val="20"/>
          <w:szCs w:val="18"/>
          <w:vertAlign w:val="subscript"/>
          <w:lang w:val="en-US"/>
        </w:rPr>
        <w:t>2015</w:t>
      </w:r>
      <w:r>
        <w:rPr>
          <w:rFonts w:ascii="Calibri" w:eastAsia="Calibri" w:hAnsi="Calibri" w:cs="Times New Roman"/>
          <w:b/>
          <w:bCs/>
          <w:noProof/>
          <w:color w:val="4F81BD"/>
          <w:sz w:val="20"/>
          <w:szCs w:val="18"/>
          <w:lang w:val="en-US"/>
        </w:rPr>
        <w:t>).</w:t>
      </w:r>
      <w:r>
        <w:rPr>
          <w:rFonts w:ascii="Calibri" w:eastAsia="Calibri" w:hAnsi="Calibri" w:cs="Times New Roman"/>
          <w:b/>
          <w:bCs/>
          <w:noProof/>
          <w:color w:val="4F81BD"/>
          <w:sz w:val="20"/>
          <w:szCs w:val="18"/>
          <w:vertAlign w:val="superscript"/>
          <w:lang w:val="en-US"/>
        </w:rPr>
        <w:footnoteReference w:id="11"/>
      </w:r>
    </w:p>
    <w:p>
      <w:pPr>
        <w:rPr>
          <w:rFonts w:ascii="Calibri" w:eastAsia="Calibri" w:hAnsi="Calibri" w:cs="Times New Roman"/>
          <w:b/>
          <w:bCs/>
          <w:noProof/>
          <w:color w:val="4F81BD"/>
          <w:sz w:val="18"/>
          <w:szCs w:val="18"/>
          <w:lang w:val="en-US"/>
        </w:rPr>
      </w:pPr>
      <w:r>
        <w:rPr>
          <w:rFonts w:ascii="Calibri" w:eastAsia="Calibri" w:hAnsi="Calibri" w:cs="Times New Roman"/>
          <w:b/>
          <w:bCs/>
          <w:noProof/>
          <w:color w:val="4F81BD"/>
          <w:sz w:val="18"/>
          <w:szCs w:val="18"/>
          <w:lang w:val="en-US"/>
        </w:rPr>
        <w:br w:type="page"/>
      </w:r>
    </w:p>
    <w:p>
      <w:pPr>
        <w:pStyle w:val="Heading1"/>
      </w:pPr>
      <w:bookmarkStart w:id="25" w:name="_Toc523734014"/>
      <w:bookmarkStart w:id="26" w:name="_Toc527446995"/>
      <w:bookmarkStart w:id="27" w:name="_Toc527447536"/>
      <w:bookmarkStart w:id="28" w:name="_Toc529975185"/>
      <w:bookmarkStart w:id="29" w:name="_Toc53992020"/>
      <w:r>
        <w:t>6. GREENHOUSE GAS EMISSIONS PER CAPITA IN THE EU AND ITS MEMBER STATES</w:t>
      </w:r>
      <w:bookmarkEnd w:id="25"/>
      <w:bookmarkEnd w:id="26"/>
      <w:bookmarkEnd w:id="27"/>
      <w:bookmarkEnd w:id="28"/>
      <w:bookmarkEnd w:id="29"/>
    </w:p>
    <w:p>
      <w:pPr>
        <w:rPr>
          <w:noProof/>
        </w:rPr>
      </w:pPr>
    </w:p>
    <w:p>
      <w:pPr>
        <w:spacing w:after="200" w:line="276" w:lineRule="auto"/>
        <w:rPr>
          <w:rFonts w:ascii="Calibri" w:eastAsia="Calibri" w:hAnsi="Calibri" w:cs="Times New Roman"/>
          <w:b/>
          <w:bCs/>
          <w:noProof/>
          <w:color w:val="4F81BD"/>
          <w:sz w:val="20"/>
          <w:szCs w:val="18"/>
          <w:lang w:val="en-US"/>
        </w:rPr>
      </w:pPr>
      <w:r>
        <w:rPr>
          <w:noProof/>
          <w:lang w:val="fr-BE" w:eastAsia="fr-BE"/>
        </w:rPr>
        <w:object w:dxaOrig="9439" w:dyaOrig="7601">
          <v:shape id="_x0000_i1028" type="#_x0000_t75" style="width:471.75pt;height:380.25pt" o:ole="">
            <v:imagedata r:id="rId34" o:title=""/>
          </v:shape>
          <o:OLEObject Type="Embed" ProgID="Excel.Sheet.12" ShapeID="_x0000_i1028" DrawAspect="Content" ObjectID="_1667814348" r:id="rId35"/>
        </w:object>
      </w:r>
      <w:r>
        <w:rPr>
          <w:noProof/>
          <w:lang w:val="en-US" w:eastAsia="fr-BE"/>
        </w:rPr>
        <w:br/>
      </w:r>
      <w:r>
        <w:rPr>
          <w:rFonts w:ascii="Calibri" w:eastAsia="Calibri" w:hAnsi="Calibri" w:cs="Times New Roman"/>
          <w:b/>
          <w:bCs/>
          <w:noProof/>
          <w:color w:val="4F81BD"/>
          <w:sz w:val="20"/>
          <w:szCs w:val="18"/>
          <w:lang w:val="en-US"/>
        </w:rPr>
        <w:t>Figure 4: Greenhouse gas emissions per capita in the EU and its Member States 1990, 2005 and 2019 (tonnes CO2-eq. per capita).</w:t>
      </w:r>
      <w:r>
        <w:rPr>
          <w:rFonts w:ascii="Calibri" w:eastAsia="Calibri" w:hAnsi="Calibri" w:cs="Times New Roman"/>
          <w:b/>
          <w:bCs/>
          <w:noProof/>
          <w:color w:val="4F81BD"/>
          <w:sz w:val="20"/>
          <w:szCs w:val="18"/>
          <w:vertAlign w:val="superscript"/>
          <w:lang w:val="en-US"/>
        </w:rPr>
        <w:footnoteReference w:id="12"/>
      </w:r>
    </w:p>
    <w:p>
      <w:pPr>
        <w:spacing w:after="200" w:line="276" w:lineRule="auto"/>
        <w:rPr>
          <w:rFonts w:ascii="Times New Roman" w:eastAsia="Calibri" w:hAnsi="Times New Roman" w:cs="Times New Roman"/>
          <w:b/>
          <w:bCs/>
          <w:noProof/>
        </w:rPr>
      </w:pPr>
      <w:r>
        <w:rPr>
          <w:rFonts w:ascii="Times New Roman" w:eastAsia="Calibri" w:hAnsi="Times New Roman" w:cs="Times New Roman"/>
          <w:b/>
          <w:bCs/>
          <w:noProof/>
        </w:rPr>
        <w:br w:type="page"/>
      </w:r>
    </w:p>
    <w:p>
      <w:pPr>
        <w:pStyle w:val="Heading1"/>
        <w:rPr>
          <w:rFonts w:eastAsia="Calibri"/>
        </w:rPr>
      </w:pPr>
      <w:bookmarkStart w:id="30" w:name="_Toc523734016"/>
      <w:bookmarkStart w:id="31" w:name="_Toc527446996"/>
      <w:bookmarkStart w:id="32" w:name="_Toc527447537"/>
      <w:bookmarkStart w:id="33" w:name="_Toc529975186"/>
      <w:bookmarkStart w:id="34" w:name="_Toc53992021"/>
      <w:r>
        <w:rPr>
          <w:rFonts w:eastAsia="Calibri"/>
        </w:rPr>
        <w:t xml:space="preserve">7. EU ETS </w:t>
      </w:r>
      <w:bookmarkEnd w:id="30"/>
      <w:bookmarkEnd w:id="31"/>
      <w:bookmarkEnd w:id="32"/>
      <w:bookmarkEnd w:id="33"/>
      <w:r>
        <w:rPr>
          <w:rFonts w:eastAsia="Calibri"/>
        </w:rPr>
        <w:t>EMISSIONS</w:t>
      </w:r>
      <w:bookmarkEnd w:id="34"/>
    </w:p>
    <w:p>
      <w:pPr>
        <w:spacing w:after="200" w:line="240" w:lineRule="auto"/>
        <w:rPr>
          <w:rFonts w:ascii="Calibri" w:eastAsia="Calibri" w:hAnsi="Calibri" w:cs="Times New Roman"/>
          <w:b/>
          <w:bCs/>
          <w:noProof/>
          <w:color w:val="4F81BD"/>
          <w:sz w:val="20"/>
          <w:szCs w:val="18"/>
          <w:lang w:val="en-US"/>
        </w:rPr>
      </w:pPr>
      <w:r>
        <w:rPr>
          <w:rFonts w:ascii="Calibri" w:eastAsia="Calibri" w:hAnsi="Calibri" w:cs="Times New Roman"/>
          <w:b/>
          <w:bCs/>
          <w:noProof/>
          <w:color w:val="4F81BD"/>
          <w:sz w:val="18"/>
          <w:szCs w:val="18"/>
          <w:lang w:val="en-US"/>
        </w:rPr>
        <w:br/>
      </w:r>
      <w:r>
        <w:rPr>
          <w:rFonts w:ascii="Calibri" w:eastAsia="Calibri" w:hAnsi="Calibri" w:cs="Times New Roman"/>
          <w:b/>
          <w:bCs/>
          <w:noProof/>
          <w:color w:val="4F81BD"/>
          <w:sz w:val="20"/>
          <w:szCs w:val="18"/>
          <w:lang w:val="en-US"/>
        </w:rPr>
        <w:t>Table 4: Verified ETS emissions from stationary installations (Mt CO</w:t>
      </w:r>
      <w:r>
        <w:rPr>
          <w:rFonts w:ascii="Calibri" w:eastAsia="Calibri" w:hAnsi="Calibri" w:cs="Times New Roman"/>
          <w:b/>
          <w:bCs/>
          <w:noProof/>
          <w:color w:val="4F81BD"/>
          <w:sz w:val="20"/>
          <w:szCs w:val="18"/>
          <w:vertAlign w:val="subscript"/>
          <w:lang w:val="en-US"/>
        </w:rPr>
        <w:t>2</w:t>
      </w:r>
      <w:r>
        <w:rPr>
          <w:rFonts w:ascii="Calibri" w:eastAsia="Calibri" w:hAnsi="Calibri" w:cs="Times New Roman"/>
          <w:b/>
          <w:bCs/>
          <w:noProof/>
          <w:color w:val="4F81BD"/>
          <w:sz w:val="20"/>
          <w:szCs w:val="18"/>
          <w:lang w:val="en-US"/>
        </w:rPr>
        <w:t xml:space="preserve">-eq. and percentage change from year X-1). </w:t>
      </w:r>
    </w:p>
    <w:p>
      <w:pPr>
        <w:spacing w:after="200" w:line="276" w:lineRule="auto"/>
        <w:rPr>
          <w:rFonts w:ascii="Calibri" w:eastAsia="Calibri" w:hAnsi="Calibri" w:cs="Times New Roman"/>
          <w:noProof/>
        </w:rPr>
      </w:pPr>
      <w:r>
        <w:rPr>
          <w:noProof/>
          <w:lang w:eastAsia="en-GB"/>
        </w:rPr>
        <w:drawing>
          <wp:inline distT="0" distB="0" distL="0" distR="0">
            <wp:extent cx="5731510" cy="17025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702555"/>
                    </a:xfrm>
                    <a:prstGeom prst="rect">
                      <a:avLst/>
                    </a:prstGeom>
                    <a:noFill/>
                    <a:ln>
                      <a:noFill/>
                    </a:ln>
                  </pic:spPr>
                </pic:pic>
              </a:graphicData>
            </a:graphic>
          </wp:inline>
        </w:drawing>
      </w:r>
    </w:p>
    <w:p>
      <w:pPr>
        <w:spacing w:after="200" w:line="276" w:lineRule="auto"/>
        <w:jc w:val="both"/>
        <w:rPr>
          <w:rFonts w:ascii="Times New Roman" w:eastAsia="Times New Roman" w:hAnsi="Times New Roman" w:cs="Times New Roman"/>
          <w:noProof/>
          <w:sz w:val="24"/>
          <w:szCs w:val="24"/>
        </w:rPr>
      </w:pPr>
    </w:p>
    <w:p>
      <w:pPr>
        <w:spacing w:after="200" w:line="276" w:lineRule="auto"/>
        <w:rPr>
          <w:rFonts w:ascii="Calibri" w:eastAsia="Calibri" w:hAnsi="Calibri" w:cs="Times New Roman"/>
          <w:noProof/>
        </w:rPr>
      </w:pPr>
    </w:p>
    <w:p>
      <w:pPr>
        <w:spacing w:after="200" w:line="276" w:lineRule="auto"/>
        <w:rPr>
          <w:rFonts w:ascii="Calibri" w:eastAsia="Calibri" w:hAnsi="Calibri" w:cs="Times New Roman"/>
          <w:noProof/>
        </w:rPr>
      </w:pPr>
    </w:p>
    <w:p>
      <w:pPr>
        <w:rPr>
          <w:rFonts w:ascii="Cambria" w:eastAsia="Times New Roman" w:hAnsi="Cambria" w:cs="Times New Roman"/>
          <w:b/>
          <w:bCs/>
          <w:noProof/>
          <w:color w:val="365F91"/>
          <w:sz w:val="28"/>
        </w:rPr>
      </w:pPr>
      <w:bookmarkStart w:id="35" w:name="_Toc523734017"/>
      <w:bookmarkStart w:id="36" w:name="_Toc527446997"/>
      <w:bookmarkStart w:id="37" w:name="_Toc527447538"/>
      <w:bookmarkStart w:id="38" w:name="_Toc529975187"/>
      <w:r>
        <w:rPr>
          <w:rFonts w:ascii="Cambria" w:eastAsia="Times New Roman" w:hAnsi="Cambria" w:cs="Times New Roman"/>
          <w:b/>
          <w:bCs/>
          <w:noProof/>
          <w:color w:val="365F91"/>
          <w:sz w:val="28"/>
        </w:rPr>
        <w:br w:type="page"/>
      </w:r>
    </w:p>
    <w:p>
      <w:pPr>
        <w:pStyle w:val="Heading1"/>
      </w:pPr>
      <w:bookmarkStart w:id="39" w:name="_Toc53992022"/>
      <w:r>
        <w:t xml:space="preserve">8. </w:t>
      </w:r>
      <w:bookmarkEnd w:id="35"/>
      <w:bookmarkEnd w:id="36"/>
      <w:bookmarkEnd w:id="37"/>
      <w:bookmarkEnd w:id="38"/>
      <w:r>
        <w:t>EMISSIONS COVERED BY THE EFFORT SHARING LEGISLATION</w:t>
      </w:r>
      <w:bookmarkEnd w:id="39"/>
    </w:p>
    <w:p>
      <w:pPr>
        <w:keepNext/>
        <w:spacing w:after="200" w:line="240" w:lineRule="auto"/>
        <w:rPr>
          <w:rFonts w:ascii="Calibri" w:eastAsia="Calibri" w:hAnsi="Calibri" w:cs="Times New Roman"/>
          <w:b/>
          <w:bCs/>
          <w:noProof/>
          <w:color w:val="4F81BD"/>
          <w:sz w:val="18"/>
          <w:szCs w:val="18"/>
          <w:lang w:val="en-US"/>
        </w:rPr>
      </w:pPr>
    </w:p>
    <w:p>
      <w:pPr>
        <w:keepNext/>
        <w:spacing w:after="120" w:line="26" w:lineRule="atLeast"/>
        <w:jc w:val="both"/>
        <w:rPr>
          <w:rFonts w:ascii="Times New Roman" w:hAnsi="Times New Roman" w:cs="Times New Roman"/>
          <w:noProof/>
          <w:sz w:val="24"/>
        </w:rPr>
      </w:pPr>
      <w:r>
        <w:rPr>
          <w:rFonts w:ascii="Times New Roman" w:hAnsi="Times New Roman" w:cs="Times New Roman"/>
          <w:noProof/>
          <w:sz w:val="24"/>
        </w:rPr>
        <w:t xml:space="preserve">In 2019 and 2020, Member States have submitted projections in the context of the NECPs and of the Monitoring Mechanism Regulation (EU) No. 525/2013 (MMR) Effort Sharing legislation. The aggregated “with existing measures” projections for effort sharing sectors are based on the GHG projection submissions under the MMR Monitoring Mechanism Regulation (EU) No. 525/2013 or the NECPs, whichever is more recent. </w:t>
      </w:r>
    </w:p>
    <w:p>
      <w:pPr>
        <w:keepNext/>
        <w:spacing w:after="120" w:line="26" w:lineRule="atLeast"/>
        <w:jc w:val="both"/>
        <w:rPr>
          <w:rFonts w:ascii="Times New Roman" w:hAnsi="Times New Roman" w:cs="Times New Roman"/>
          <w:noProof/>
          <w:sz w:val="24"/>
        </w:rPr>
      </w:pPr>
      <w:r>
        <w:rPr>
          <w:rFonts w:ascii="Times New Roman" w:hAnsi="Times New Roman" w:cs="Times New Roman"/>
          <w:noProof/>
          <w:sz w:val="24"/>
        </w:rPr>
        <w:t xml:space="preserve">13 Member States reported updated GHG projections in 2020 (AT, BE, CY, DK, EE, EL, HU, IE, LV, LT, LU, PL and SI). The aggregated planned measures are based on the 2030 greenhouse gas projections “with additional measures” for effort sharing sectors that were included in the NECPs. If Member States provided projections in March 2020 under the MMR calibrated to more recent inventory data, these were used. </w:t>
      </w:r>
    </w:p>
    <w:p>
      <w:pPr>
        <w:keepNext/>
        <w:spacing w:after="120" w:line="26" w:lineRule="atLeast"/>
        <w:jc w:val="both"/>
        <w:rPr>
          <w:rFonts w:ascii="Times New Roman" w:hAnsi="Times New Roman" w:cs="Times New Roman"/>
          <w:noProof/>
          <w:sz w:val="24"/>
        </w:rPr>
      </w:pPr>
      <w:r>
        <w:rPr>
          <w:rFonts w:ascii="Times New Roman" w:hAnsi="Times New Roman" w:cs="Times New Roman"/>
          <w:noProof/>
          <w:sz w:val="24"/>
        </w:rPr>
        <w:t xml:space="preserve">For the few Member States for which projections of planned measures for effort sharing sectors are not available (DK, NL, PT, RO, SE, SK), the following gap-fillers were applied: ESR targets for DK, NL and RO, as the targets set in the NECPs imply fulfilling the ESR targets domestically, national domestic ESR targets (SK), with additional measures projections submitted under the MMR in 2019 (PT). </w:t>
      </w:r>
    </w:p>
    <w:p>
      <w:pPr>
        <w:keepNext/>
        <w:spacing w:after="120" w:line="26" w:lineRule="atLeast"/>
        <w:jc w:val="both"/>
        <w:rPr>
          <w:rFonts w:ascii="Times New Roman" w:hAnsi="Times New Roman" w:cs="Times New Roman"/>
          <w:noProof/>
          <w:sz w:val="24"/>
        </w:rPr>
      </w:pPr>
      <w:r>
        <w:rPr>
          <w:rFonts w:ascii="Times New Roman" w:hAnsi="Times New Roman" w:cs="Times New Roman"/>
          <w:noProof/>
          <w:sz w:val="24"/>
        </w:rPr>
        <w:t xml:space="preserve">For SE with existing measures projections submitted in March 2019 are presented; certain measures have been implemented or planned to achieve the domestic target for ESR sectors of at least -50% reductions since then which will only be reflected in updated projections in March 2021. </w:t>
      </w:r>
    </w:p>
    <w:p>
      <w:pPr>
        <w:keepNext/>
        <w:spacing w:after="120" w:line="26" w:lineRule="atLeast"/>
        <w:jc w:val="both"/>
        <w:rPr>
          <w:rFonts w:ascii="Times New Roman" w:hAnsi="Times New Roman" w:cs="Times New Roman"/>
          <w:noProof/>
          <w:sz w:val="24"/>
        </w:rPr>
      </w:pPr>
      <w:r>
        <w:rPr>
          <w:rFonts w:ascii="Times New Roman" w:hAnsi="Times New Roman" w:cs="Times New Roman"/>
          <w:noProof/>
          <w:sz w:val="24"/>
        </w:rPr>
        <w:t xml:space="preserve">For Bulgaria it is noted that the WEM projection has lower emissions than the WAM projection. One reason is that they stem from different modelling exercises, WEM from the 2019 MMR submission and WAM from the final NECP. </w:t>
      </w:r>
    </w:p>
    <w:p>
      <w:pPr>
        <w:keepNext/>
        <w:spacing w:after="120" w:line="26" w:lineRule="atLeast"/>
        <w:jc w:val="both"/>
        <w:rPr>
          <w:rFonts w:ascii="Times New Roman" w:hAnsi="Times New Roman" w:cs="Times New Roman"/>
          <w:noProof/>
        </w:rPr>
      </w:pPr>
      <w:r>
        <w:rPr>
          <w:rFonts w:ascii="Times New Roman" w:hAnsi="Times New Roman" w:cs="Times New Roman"/>
          <w:noProof/>
          <w:sz w:val="24"/>
        </w:rPr>
        <w:t>The 2005 base year values as used under the Effort Sharing Decision and published in the accompanying Staff Working Document e.g. in SWD(2018)453 have been used unless Member State updates thereof based on more recent inventories are available from the NECPs.</w:t>
      </w:r>
    </w:p>
    <w:p>
      <w:pPr>
        <w:keepNext/>
        <w:spacing w:after="200" w:line="240" w:lineRule="auto"/>
        <w:rPr>
          <w:rFonts w:ascii="Calibri" w:eastAsia="Calibri" w:hAnsi="Calibri" w:cs="Times New Roman"/>
          <w:b/>
          <w:bCs/>
          <w:noProof/>
          <w:color w:val="4F81BD"/>
          <w:sz w:val="18"/>
          <w:szCs w:val="18"/>
          <w:lang w:val="en-US"/>
        </w:rPr>
      </w:pPr>
      <w:r>
        <w:rPr>
          <w:rFonts w:ascii="Calibri" w:eastAsia="Calibri" w:hAnsi="Calibri" w:cs="Times New Roman"/>
          <w:b/>
          <w:bCs/>
          <w:noProof/>
          <w:color w:val="4F81BD"/>
          <w:sz w:val="18"/>
          <w:szCs w:val="18"/>
          <w:lang w:val="en-US"/>
        </w:rPr>
        <w:br/>
      </w:r>
    </w:p>
    <w:p>
      <w:pPr>
        <w:rPr>
          <w:rFonts w:ascii="Calibri" w:eastAsia="Calibri" w:hAnsi="Calibri" w:cs="Times New Roman"/>
          <w:b/>
          <w:bCs/>
          <w:noProof/>
          <w:color w:val="4F81BD"/>
          <w:sz w:val="18"/>
          <w:szCs w:val="18"/>
          <w:lang w:val="en-US"/>
        </w:rPr>
      </w:pPr>
      <w:r>
        <w:rPr>
          <w:rFonts w:ascii="Calibri" w:eastAsia="Calibri" w:hAnsi="Calibri" w:cs="Times New Roman"/>
          <w:b/>
          <w:bCs/>
          <w:noProof/>
          <w:color w:val="4F81BD"/>
          <w:sz w:val="18"/>
          <w:szCs w:val="18"/>
          <w:lang w:val="en-US"/>
        </w:rPr>
        <w:br w:type="page"/>
      </w:r>
    </w:p>
    <w:p>
      <w:pPr>
        <w:keepNext/>
        <w:spacing w:after="200" w:line="240" w:lineRule="auto"/>
        <w:ind w:right="237"/>
        <w:rPr>
          <w:rFonts w:ascii="Calibri" w:eastAsia="Calibri" w:hAnsi="Calibri" w:cs="Times New Roman"/>
          <w:b/>
          <w:bCs/>
          <w:noProof/>
          <w:color w:val="4F81BD"/>
          <w:sz w:val="20"/>
          <w:szCs w:val="18"/>
          <w:lang w:val="en-US"/>
        </w:rPr>
      </w:pPr>
      <w:r>
        <w:rPr>
          <w:rFonts w:ascii="Calibri" w:eastAsia="Calibri" w:hAnsi="Calibri" w:cs="Times New Roman"/>
          <w:b/>
          <w:bCs/>
          <w:noProof/>
          <w:color w:val="4F81BD"/>
          <w:sz w:val="20"/>
          <w:szCs w:val="18"/>
          <w:lang w:val="en-US"/>
        </w:rPr>
        <w:t xml:space="preserve">Table 5: Member States targets, historical and projected emissions under the effort-sharing legislation and distance to targets in percentage change from 2005 base year emissions. Positive values indicate projected overachievement while negative values indicate projected underachievement. WEM = with existing measures, WAM = with additional measures. </w:t>
      </w:r>
    </w:p>
    <w:tbl>
      <w:tblPr>
        <w:tblW w:w="8506" w:type="dxa"/>
        <w:tblInd w:w="70" w:type="dxa"/>
        <w:tblCellMar>
          <w:left w:w="70" w:type="dxa"/>
          <w:right w:w="70" w:type="dxa"/>
        </w:tblCellMar>
        <w:tblLook w:val="04A0" w:firstRow="1" w:lastRow="0" w:firstColumn="1" w:lastColumn="0" w:noHBand="0" w:noVBand="1"/>
      </w:tblPr>
      <w:tblGrid>
        <w:gridCol w:w="2410"/>
        <w:gridCol w:w="142"/>
        <w:gridCol w:w="850"/>
        <w:gridCol w:w="142"/>
        <w:gridCol w:w="891"/>
        <w:gridCol w:w="287"/>
        <w:gridCol w:w="1053"/>
        <w:gridCol w:w="287"/>
        <w:gridCol w:w="1026"/>
        <w:gridCol w:w="281"/>
        <w:gridCol w:w="1137"/>
      </w:tblGrid>
      <w:tr>
        <w:trPr>
          <w:trHeight w:val="290"/>
          <w:tblHeader/>
        </w:trPr>
        <w:tc>
          <w:tcPr>
            <w:tcW w:w="2552" w:type="dxa"/>
            <w:gridSpan w:val="2"/>
            <w:tcBorders>
              <w:top w:val="single" w:sz="4" w:space="0" w:color="9BC2E6"/>
              <w:left w:val="single" w:sz="4" w:space="0" w:color="9BC2E6"/>
              <w:bottom w:val="single" w:sz="4" w:space="0" w:color="9BC2E6"/>
              <w:right w:val="nil"/>
            </w:tcBorders>
            <w:shd w:val="clear" w:color="DDEBF7" w:fill="1091E0"/>
            <w:noWrap/>
          </w:tcPr>
          <w:p>
            <w:pPr>
              <w:spacing w:after="0" w:line="240" w:lineRule="auto"/>
              <w:rPr>
                <w:rFonts w:ascii="Calibri" w:eastAsia="Calibri" w:hAnsi="Calibri" w:cs="Times New Roman"/>
                <w:b/>
                <w:bCs/>
                <w:noProof/>
                <w:color w:val="FFFFFF" w:themeColor="background1"/>
                <w:sz w:val="20"/>
                <w:szCs w:val="18"/>
                <w:lang w:val="en-US"/>
              </w:rPr>
            </w:pPr>
          </w:p>
          <w:p>
            <w:pPr>
              <w:spacing w:after="0" w:line="240" w:lineRule="auto"/>
              <w:rPr>
                <w:rFonts w:ascii="Calibri" w:eastAsia="Calibri" w:hAnsi="Calibri" w:cs="Times New Roman"/>
                <w:b/>
                <w:bCs/>
                <w:noProof/>
                <w:color w:val="FFFFFF" w:themeColor="background1"/>
                <w:sz w:val="20"/>
                <w:szCs w:val="18"/>
                <w:lang w:val="en-US"/>
              </w:rPr>
            </w:pPr>
          </w:p>
          <w:p>
            <w:pPr>
              <w:spacing w:after="0" w:line="240" w:lineRule="auto"/>
              <w:rPr>
                <w:rFonts w:ascii="Calibri" w:eastAsia="Times New Roman" w:hAnsi="Calibri" w:cs="Calibri"/>
                <w:b/>
                <w:bCs/>
                <w:noProof/>
                <w:color w:val="000000"/>
                <w:sz w:val="20"/>
                <w:lang w:val="fr-BE" w:eastAsia="fr-BE"/>
              </w:rPr>
            </w:pPr>
            <w:r>
              <w:rPr>
                <w:rFonts w:ascii="Calibri" w:eastAsia="Calibri" w:hAnsi="Calibri" w:cs="Times New Roman"/>
                <w:b/>
                <w:bCs/>
                <w:noProof/>
                <w:color w:val="FFFFFF" w:themeColor="background1"/>
                <w:sz w:val="20"/>
                <w:szCs w:val="18"/>
                <w:lang w:val="en-US"/>
              </w:rPr>
              <w:t>Member State</w:t>
            </w:r>
          </w:p>
        </w:tc>
        <w:tc>
          <w:tcPr>
            <w:tcW w:w="992" w:type="dxa"/>
            <w:gridSpan w:val="2"/>
            <w:tcBorders>
              <w:top w:val="single" w:sz="4" w:space="0" w:color="9BC2E6"/>
              <w:left w:val="nil"/>
              <w:bottom w:val="single" w:sz="4" w:space="0" w:color="9BC2E6"/>
              <w:right w:val="nil"/>
            </w:tcBorders>
            <w:shd w:val="clear" w:color="DDEBF7" w:fill="1091E0"/>
            <w:noWrap/>
            <w:vAlign w:val="bottom"/>
          </w:tcPr>
          <w:p>
            <w:pPr>
              <w:spacing w:after="0" w:line="240" w:lineRule="auto"/>
              <w:rPr>
                <w:rFonts w:eastAsia="Times New Roman" w:cstheme="minorHAnsi"/>
                <w:b/>
                <w:bCs/>
                <w:noProof/>
                <w:color w:val="FFFFFF" w:themeColor="background1"/>
                <w:sz w:val="20"/>
                <w:lang w:val="fr-BE" w:eastAsia="fr-BE"/>
              </w:rPr>
            </w:pPr>
            <w:r>
              <w:rPr>
                <w:rFonts w:eastAsia="Times New Roman" w:cstheme="minorHAnsi"/>
                <w:b/>
                <w:bCs/>
                <w:noProof/>
                <w:color w:val="FFFFFF" w:themeColor="background1"/>
                <w:sz w:val="20"/>
                <w:lang w:val="fr-BE" w:eastAsia="fr-BE"/>
              </w:rPr>
              <w:t>2017</w:t>
            </w:r>
          </w:p>
        </w:tc>
        <w:tc>
          <w:tcPr>
            <w:tcW w:w="1178" w:type="dxa"/>
            <w:gridSpan w:val="2"/>
            <w:tcBorders>
              <w:top w:val="single" w:sz="4" w:space="0" w:color="9BC2E6"/>
              <w:left w:val="nil"/>
              <w:bottom w:val="single" w:sz="4" w:space="0" w:color="9BC2E6"/>
              <w:right w:val="nil"/>
            </w:tcBorders>
            <w:shd w:val="clear" w:color="DDEBF7" w:fill="1091E0"/>
            <w:noWrap/>
            <w:vAlign w:val="bottom"/>
          </w:tcPr>
          <w:p>
            <w:pPr>
              <w:spacing w:after="0" w:line="240" w:lineRule="auto"/>
              <w:rPr>
                <w:rFonts w:eastAsia="Times New Roman" w:cstheme="minorHAnsi"/>
                <w:b/>
                <w:noProof/>
                <w:color w:val="FFFFFF" w:themeColor="background1"/>
                <w:sz w:val="20"/>
                <w:szCs w:val="20"/>
                <w:lang w:val="fr-BE" w:eastAsia="fr-BE"/>
              </w:rPr>
            </w:pPr>
            <w:r>
              <w:rPr>
                <w:rFonts w:eastAsia="Times New Roman" w:cstheme="minorHAnsi"/>
                <w:b/>
                <w:noProof/>
                <w:color w:val="FFFFFF" w:themeColor="background1"/>
                <w:sz w:val="20"/>
                <w:szCs w:val="20"/>
                <w:lang w:val="fr-BE" w:eastAsia="fr-BE"/>
              </w:rPr>
              <w:t>2018</w:t>
            </w:r>
          </w:p>
        </w:tc>
        <w:tc>
          <w:tcPr>
            <w:tcW w:w="1340" w:type="dxa"/>
            <w:gridSpan w:val="2"/>
            <w:tcBorders>
              <w:top w:val="single" w:sz="4" w:space="0" w:color="9BC2E6"/>
              <w:left w:val="nil"/>
              <w:bottom w:val="single" w:sz="4" w:space="0" w:color="9BC2E6"/>
              <w:right w:val="nil"/>
            </w:tcBorders>
            <w:shd w:val="clear" w:color="DDEBF7" w:fill="1091E0"/>
            <w:noWrap/>
            <w:vAlign w:val="bottom"/>
          </w:tcPr>
          <w:p>
            <w:pPr>
              <w:spacing w:after="0" w:line="240" w:lineRule="auto"/>
              <w:rPr>
                <w:rFonts w:ascii="Times New Roman" w:eastAsia="Times New Roman" w:hAnsi="Times New Roman" w:cs="Times New Roman"/>
                <w:noProof/>
                <w:sz w:val="20"/>
                <w:szCs w:val="20"/>
                <w:lang w:val="fr-BE" w:eastAsia="fr-BE"/>
              </w:rPr>
            </w:pPr>
            <w:r>
              <w:rPr>
                <w:rFonts w:ascii="Calibri" w:eastAsia="Calibri" w:hAnsi="Calibri" w:cs="Times New Roman"/>
                <w:b/>
                <w:bCs/>
                <w:noProof/>
                <w:color w:val="FFFFFF" w:themeColor="background1"/>
                <w:sz w:val="20"/>
                <w:szCs w:val="18"/>
                <w:lang w:val="en-US"/>
              </w:rPr>
              <w:t>2019 (preliminary)</w:t>
            </w:r>
          </w:p>
        </w:tc>
        <w:tc>
          <w:tcPr>
            <w:tcW w:w="1307" w:type="dxa"/>
            <w:gridSpan w:val="2"/>
            <w:tcBorders>
              <w:top w:val="single" w:sz="4" w:space="0" w:color="9BC2E6"/>
              <w:left w:val="nil"/>
              <w:bottom w:val="single" w:sz="4" w:space="0" w:color="9BC2E6"/>
              <w:right w:val="nil"/>
            </w:tcBorders>
            <w:shd w:val="clear" w:color="DDEBF7" w:fill="1091E0"/>
            <w:noWrap/>
            <w:vAlign w:val="bottom"/>
          </w:tcPr>
          <w:p>
            <w:pPr>
              <w:spacing w:after="0" w:line="240" w:lineRule="auto"/>
              <w:rPr>
                <w:rFonts w:ascii="Times New Roman" w:eastAsia="Times New Roman" w:hAnsi="Times New Roman" w:cs="Times New Roman"/>
                <w:noProof/>
                <w:sz w:val="20"/>
                <w:szCs w:val="20"/>
                <w:lang w:val="fr-BE" w:eastAsia="fr-BE"/>
              </w:rPr>
            </w:pPr>
            <w:r>
              <w:rPr>
                <w:rFonts w:ascii="Calibri" w:eastAsia="Calibri" w:hAnsi="Calibri" w:cs="Times New Roman"/>
                <w:b/>
                <w:bCs/>
                <w:noProof/>
                <w:color w:val="FFFFFF" w:themeColor="background1"/>
                <w:sz w:val="20"/>
                <w:szCs w:val="18"/>
                <w:lang w:val="en-US"/>
              </w:rPr>
              <w:t>2030 (projections WEM)</w:t>
            </w:r>
          </w:p>
        </w:tc>
        <w:tc>
          <w:tcPr>
            <w:tcW w:w="1137" w:type="dxa"/>
            <w:tcBorders>
              <w:top w:val="single" w:sz="4" w:space="0" w:color="9BC2E6"/>
              <w:left w:val="nil"/>
              <w:bottom w:val="single" w:sz="4" w:space="0" w:color="9BC2E6"/>
              <w:right w:val="single" w:sz="4" w:space="0" w:color="9BC2E6"/>
            </w:tcBorders>
            <w:shd w:val="clear" w:color="DDEBF7" w:fill="1091E0"/>
            <w:noWrap/>
            <w:vAlign w:val="bottom"/>
          </w:tcPr>
          <w:p>
            <w:pPr>
              <w:spacing w:after="0" w:line="240" w:lineRule="auto"/>
              <w:rPr>
                <w:rFonts w:ascii="Times New Roman" w:eastAsia="Times New Roman" w:hAnsi="Times New Roman" w:cs="Times New Roman"/>
                <w:noProof/>
                <w:sz w:val="20"/>
                <w:szCs w:val="20"/>
                <w:lang w:val="fr-BE" w:eastAsia="fr-BE"/>
              </w:rPr>
            </w:pPr>
            <w:r>
              <w:rPr>
                <w:rFonts w:ascii="Calibri" w:eastAsia="Calibri" w:hAnsi="Calibri" w:cs="Times New Roman"/>
                <w:b/>
                <w:bCs/>
                <w:noProof/>
                <w:color w:val="FFFFFF" w:themeColor="background1"/>
                <w:sz w:val="20"/>
                <w:szCs w:val="18"/>
                <w:lang w:val="en-US"/>
              </w:rPr>
              <w:t>2030 (projections WMM)</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Austria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-36%</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-36%</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-27%</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Belgium</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-35%</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-35%</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-34%</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-21%</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Bulgaria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Croatia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Cyprus</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-21%</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Czechia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Denmark</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-39%</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-39%</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-39%</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Estonia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Finland</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-39%</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-39%</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-37%</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France</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-37%</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-37%</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-41%</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Germany</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-38%</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-38%</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-35%</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Greece</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-27%</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-29%</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-29%</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-25%</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-34%</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25%</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Hungary</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Ireland</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-30%</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-29%</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Italy</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-33%</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-33%</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-27%</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-35%</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Latvia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Lithuania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Luxembourg</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-53%</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Malta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28%</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24%</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47%</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41%</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-66%</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Netherlands</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-36%</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-36%</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-22%</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-31%</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-36%</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Poland</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-18%</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Portugal</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-47%</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23%</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Romania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Slovakia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-20%</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17%</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Slovenia</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-26%</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11%</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Spain</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-8%</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-26%</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-26%</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-15%</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-21%</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-39%</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-5%</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Sweden</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-16%</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-25%</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-28%</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-30%</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-40%</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12%</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13%</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14%</w:t>
            </w:r>
          </w:p>
        </w:tc>
        <w:tc>
          <w:tcPr>
            <w:tcW w:w="131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0%</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r>
              <w:rPr>
                <w:rFonts w:ascii="Calibri" w:eastAsia="Times New Roman" w:hAnsi="Calibri" w:cs="Calibri"/>
                <w:b/>
                <w:bCs/>
                <w:noProof/>
                <w:color w:val="000000"/>
                <w:sz w:val="20"/>
                <w:lang w:val="fr-BE" w:eastAsia="fr-BE"/>
              </w:rPr>
              <w:t>EU 27</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b/>
                <w:bCs/>
                <w:noProof/>
                <w:color w:val="000000"/>
                <w:sz w:val="20"/>
                <w:lang w:val="fr-BE" w:eastAsia="fr-BE"/>
              </w:rPr>
            </w:pP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rPr>
                <w:rFonts w:ascii="Times New Roman" w:eastAsia="Times New Roman" w:hAnsi="Times New Roman" w:cs="Times New Roman"/>
                <w:noProof/>
                <w:sz w:val="20"/>
                <w:szCs w:val="20"/>
                <w:lang w:val="fr-BE" w:eastAsia="fr-BE"/>
              </w:rPr>
            </w:pP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Target</w:t>
            </w:r>
          </w:p>
        </w:tc>
        <w:tc>
          <w:tcPr>
            <w:tcW w:w="992"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-6%</w:t>
            </w:r>
          </w:p>
        </w:tc>
        <w:tc>
          <w:tcPr>
            <w:tcW w:w="103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40"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-7%</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-29%</w:t>
            </w:r>
          </w:p>
        </w:tc>
        <w:tc>
          <w:tcPr>
            <w:tcW w:w="1418" w:type="dxa"/>
            <w:gridSpan w:val="2"/>
            <w:tcBorders>
              <w:top w:val="single" w:sz="4" w:space="0" w:color="9BC2E6"/>
              <w:left w:val="nil"/>
              <w:bottom w:val="single" w:sz="4" w:space="0" w:color="9BC2E6"/>
              <w:right w:val="single" w:sz="4" w:space="0" w:color="9BC2E6"/>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-29%</w:t>
            </w:r>
          </w:p>
        </w:tc>
      </w:tr>
      <w:tr>
        <w:trPr>
          <w:trHeight w:val="290"/>
        </w:trPr>
        <w:tc>
          <w:tcPr>
            <w:tcW w:w="2410" w:type="dxa"/>
            <w:tcBorders>
              <w:top w:val="single" w:sz="4" w:space="0" w:color="9BC2E6"/>
              <w:left w:val="single" w:sz="4" w:space="0" w:color="9BC2E6"/>
              <w:bottom w:val="single" w:sz="4" w:space="0" w:color="9BC2E6"/>
              <w:right w:val="nil"/>
            </w:tcBorders>
            <w:shd w:val="clear" w:color="DDEBF7" w:fill="DDEBF7"/>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 xml:space="preserve">Emissions </w:t>
            </w:r>
          </w:p>
        </w:tc>
        <w:tc>
          <w:tcPr>
            <w:tcW w:w="992"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-9%</w:t>
            </w:r>
          </w:p>
        </w:tc>
        <w:tc>
          <w:tcPr>
            <w:tcW w:w="103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40"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313" w:type="dxa"/>
            <w:gridSpan w:val="2"/>
            <w:tcBorders>
              <w:top w:val="single" w:sz="4" w:space="0" w:color="9BC2E6"/>
              <w:left w:val="nil"/>
              <w:bottom w:val="single" w:sz="4" w:space="0" w:color="9BC2E6"/>
              <w:right w:val="nil"/>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-19%</w:t>
            </w:r>
          </w:p>
        </w:tc>
        <w:tc>
          <w:tcPr>
            <w:tcW w:w="1418" w:type="dxa"/>
            <w:gridSpan w:val="2"/>
            <w:tcBorders>
              <w:top w:val="single" w:sz="4" w:space="0" w:color="9BC2E6"/>
              <w:left w:val="nil"/>
              <w:bottom w:val="single" w:sz="4" w:space="0" w:color="9BC2E6"/>
              <w:right w:val="single" w:sz="4" w:space="0" w:color="9BC2E6"/>
            </w:tcBorders>
            <w:shd w:val="clear" w:color="DDEBF7" w:fill="DDEBF7"/>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-32%</w:t>
            </w:r>
          </w:p>
        </w:tc>
      </w:tr>
      <w:tr>
        <w:trPr>
          <w:trHeight w:val="290"/>
        </w:trPr>
        <w:tc>
          <w:tcPr>
            <w:tcW w:w="2410"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Distance to target (pp)</w:t>
            </w:r>
          </w:p>
        </w:tc>
        <w:tc>
          <w:tcPr>
            <w:tcW w:w="992"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033"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40" w:type="dxa"/>
            <w:gridSpan w:val="2"/>
            <w:tcBorders>
              <w:top w:val="single" w:sz="4" w:space="0" w:color="9BC2E6"/>
              <w:left w:val="nil"/>
              <w:bottom w:val="single" w:sz="4" w:space="0" w:color="9BC2E6"/>
              <w:right w:val="nil"/>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c>
          <w:tcPr>
            <w:tcW w:w="1313" w:type="dxa"/>
            <w:gridSpan w:val="2"/>
            <w:tcBorders>
              <w:top w:val="single" w:sz="4" w:space="0" w:color="9BC2E6"/>
              <w:left w:val="nil"/>
              <w:bottom w:val="single" w:sz="4" w:space="0" w:color="9BC2E6"/>
              <w:right w:val="nil"/>
            </w:tcBorders>
            <w:shd w:val="clear" w:color="auto" w:fill="auto"/>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-10%</w:t>
            </w:r>
          </w:p>
        </w:tc>
        <w:tc>
          <w:tcPr>
            <w:tcW w:w="1418" w:type="dxa"/>
            <w:gridSpan w:val="2"/>
            <w:tcBorders>
              <w:top w:val="single" w:sz="4" w:space="0" w:color="9BC2E6"/>
              <w:left w:val="nil"/>
              <w:bottom w:val="single" w:sz="4" w:space="0" w:color="9BC2E6"/>
              <w:right w:val="single" w:sz="4" w:space="0" w:color="9BC2E6"/>
            </w:tcBorders>
            <w:shd w:val="clear" w:color="000000" w:fill="92D050"/>
            <w:noWrap/>
            <w:vAlign w:val="bottom"/>
            <w:hideMark/>
          </w:tcPr>
          <w:p>
            <w:pPr>
              <w:spacing w:after="0" w:line="240" w:lineRule="auto"/>
              <w:jc w:val="right"/>
              <w:rPr>
                <w:rFonts w:ascii="Calibri" w:eastAsia="Times New Roman" w:hAnsi="Calibri" w:cs="Calibri"/>
                <w:noProof/>
                <w:color w:val="000000"/>
                <w:sz w:val="20"/>
                <w:lang w:val="fr-BE" w:eastAsia="fr-BE"/>
              </w:rPr>
            </w:pPr>
            <w:r>
              <w:rPr>
                <w:rFonts w:ascii="Calibri" w:eastAsia="Times New Roman" w:hAnsi="Calibri" w:cs="Calibri"/>
                <w:noProof/>
                <w:color w:val="000000"/>
                <w:sz w:val="20"/>
                <w:lang w:val="fr-BE" w:eastAsia="fr-BE"/>
              </w:rPr>
              <w:t>3%</w:t>
            </w:r>
          </w:p>
        </w:tc>
      </w:tr>
    </w:tbl>
    <w:p>
      <w:pPr>
        <w:rPr>
          <w:rFonts w:ascii="Calibri" w:eastAsia="Calibri" w:hAnsi="Calibri" w:cs="Times New Roman"/>
          <w:b/>
          <w:bCs/>
          <w:noProof/>
          <w:color w:val="4F81BD"/>
          <w:sz w:val="18"/>
          <w:szCs w:val="18"/>
          <w:lang w:val="en-US"/>
        </w:rPr>
      </w:pPr>
      <w:r>
        <w:rPr>
          <w:rFonts w:ascii="Calibri" w:eastAsia="Calibri" w:hAnsi="Calibri" w:cs="Times New Roman"/>
          <w:b/>
          <w:bCs/>
          <w:noProof/>
          <w:color w:val="4F81BD"/>
          <w:sz w:val="18"/>
          <w:szCs w:val="18"/>
          <w:lang w:val="en-US"/>
        </w:rPr>
        <w:br w:type="page"/>
      </w:r>
    </w:p>
    <w:p>
      <w:pPr>
        <w:keepNext/>
        <w:spacing w:after="200" w:line="240" w:lineRule="auto"/>
        <w:ind w:right="-330"/>
        <w:rPr>
          <w:rFonts w:ascii="Calibri" w:eastAsia="Calibri" w:hAnsi="Calibri" w:cs="Times New Roman"/>
          <w:b/>
          <w:bCs/>
          <w:noProof/>
          <w:color w:val="4F81BD"/>
          <w:sz w:val="20"/>
          <w:szCs w:val="18"/>
          <w:lang w:val="en-US"/>
        </w:rPr>
      </w:pPr>
      <w:r>
        <w:rPr>
          <w:rFonts w:ascii="Calibri" w:eastAsia="Calibri" w:hAnsi="Calibri" w:cs="Times New Roman"/>
          <w:b/>
          <w:bCs/>
          <w:noProof/>
          <w:color w:val="4F81BD"/>
          <w:sz w:val="20"/>
          <w:szCs w:val="18"/>
          <w:lang w:val="en-US"/>
        </w:rPr>
        <w:t>Table 6: Annual emissions allocations</w:t>
      </w:r>
      <w:r>
        <w:rPr>
          <w:rFonts w:ascii="Calibri" w:eastAsia="Calibri" w:hAnsi="Calibri" w:cs="Times New Roman"/>
          <w:b/>
          <w:bCs/>
          <w:noProof/>
          <w:color w:val="4F81BD"/>
          <w:sz w:val="20"/>
          <w:szCs w:val="18"/>
          <w:vertAlign w:val="superscript"/>
          <w:lang w:val="en-US"/>
        </w:rPr>
        <w:footnoteReference w:id="13"/>
      </w:r>
      <w:r>
        <w:rPr>
          <w:rFonts w:ascii="Calibri" w:eastAsia="Calibri" w:hAnsi="Calibri" w:cs="Times New Roman"/>
          <w:b/>
          <w:bCs/>
          <w:noProof/>
          <w:color w:val="4F81BD"/>
          <w:sz w:val="20"/>
          <w:szCs w:val="18"/>
          <w:lang w:val="en-US"/>
        </w:rPr>
        <w:t>, historical and projected emissions and distance to targets under the Effort Sharing Decision (Mt. CO</w:t>
      </w:r>
      <w:r>
        <w:rPr>
          <w:rFonts w:ascii="Calibri" w:eastAsia="Calibri" w:hAnsi="Calibri" w:cs="Times New Roman"/>
          <w:b/>
          <w:bCs/>
          <w:noProof/>
          <w:color w:val="4F81BD"/>
          <w:sz w:val="20"/>
          <w:szCs w:val="18"/>
          <w:vertAlign w:val="subscript"/>
          <w:lang w:val="en-US"/>
        </w:rPr>
        <w:t>2</w:t>
      </w:r>
      <w:r>
        <w:rPr>
          <w:rFonts w:ascii="Calibri" w:eastAsia="Calibri" w:hAnsi="Calibri" w:cs="Times New Roman"/>
          <w:b/>
          <w:bCs/>
          <w:noProof/>
          <w:color w:val="4F81BD"/>
          <w:sz w:val="20"/>
          <w:szCs w:val="18"/>
          <w:lang w:val="en-US"/>
        </w:rPr>
        <w:t>-eq.). Positive gap to target indicate projected overachievement, negative values indicate projected underachievement. WEM = with existing measures, WAM = with additional measures.</w:t>
      </w:r>
    </w:p>
    <w:tbl>
      <w:tblPr>
        <w:tblW w:w="9494" w:type="dxa"/>
        <w:tblInd w:w="113" w:type="dxa"/>
        <w:tblLayout w:type="fixed"/>
        <w:tblLook w:val="04A0" w:firstRow="1" w:lastRow="0" w:firstColumn="1" w:lastColumn="0" w:noHBand="0" w:noVBand="1"/>
      </w:tblPr>
      <w:tblGrid>
        <w:gridCol w:w="1555"/>
        <w:gridCol w:w="992"/>
        <w:gridCol w:w="142"/>
        <w:gridCol w:w="567"/>
        <w:gridCol w:w="141"/>
        <w:gridCol w:w="851"/>
        <w:gridCol w:w="850"/>
        <w:gridCol w:w="142"/>
        <w:gridCol w:w="714"/>
        <w:gridCol w:w="850"/>
        <w:gridCol w:w="705"/>
        <w:gridCol w:w="993"/>
        <w:gridCol w:w="992"/>
      </w:tblGrid>
      <w:tr>
        <w:trPr>
          <w:trHeight w:val="904"/>
          <w:tblHeader/>
        </w:trPr>
        <w:tc>
          <w:tcPr>
            <w:tcW w:w="1555" w:type="dxa"/>
            <w:tcBorders>
              <w:top w:val="single" w:sz="4" w:space="0" w:color="9BC2E6"/>
              <w:left w:val="single" w:sz="4" w:space="0" w:color="9BC2E6"/>
              <w:bottom w:val="single" w:sz="4" w:space="0" w:color="9BC2E6"/>
              <w:right w:val="nil"/>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Member State</w:t>
            </w:r>
          </w:p>
        </w:tc>
        <w:tc>
          <w:tcPr>
            <w:tcW w:w="1134" w:type="dxa"/>
            <w:gridSpan w:val="2"/>
            <w:tcBorders>
              <w:top w:val="single" w:sz="4" w:space="0" w:color="9BC2E6"/>
              <w:left w:val="nil"/>
              <w:bottom w:val="single" w:sz="4" w:space="0" w:color="9BC2E6"/>
              <w:right w:val="nil"/>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2005 base year emissions</w:t>
            </w:r>
          </w:p>
        </w:tc>
        <w:tc>
          <w:tcPr>
            <w:tcW w:w="708" w:type="dxa"/>
            <w:gridSpan w:val="2"/>
            <w:tcBorders>
              <w:top w:val="single" w:sz="4" w:space="0" w:color="9BC2E6"/>
              <w:left w:val="nil"/>
              <w:bottom w:val="single" w:sz="4" w:space="0" w:color="9BC2E6"/>
              <w:right w:val="nil"/>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2013</w:t>
            </w:r>
          </w:p>
        </w:tc>
        <w:tc>
          <w:tcPr>
            <w:tcW w:w="851" w:type="dxa"/>
            <w:tcBorders>
              <w:top w:val="single" w:sz="4" w:space="0" w:color="9BC2E6"/>
              <w:left w:val="nil"/>
              <w:bottom w:val="single" w:sz="4" w:space="0" w:color="9BC2E6"/>
              <w:right w:val="nil"/>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2014</w:t>
            </w:r>
          </w:p>
        </w:tc>
        <w:tc>
          <w:tcPr>
            <w:tcW w:w="992" w:type="dxa"/>
            <w:gridSpan w:val="2"/>
            <w:tcBorders>
              <w:top w:val="single" w:sz="4" w:space="0" w:color="9BC2E6"/>
              <w:left w:val="nil"/>
              <w:bottom w:val="single" w:sz="4" w:space="0" w:color="9BC2E6"/>
              <w:right w:val="nil"/>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2015</w:t>
            </w:r>
          </w:p>
        </w:tc>
        <w:tc>
          <w:tcPr>
            <w:tcW w:w="710" w:type="dxa"/>
            <w:tcBorders>
              <w:top w:val="single" w:sz="4" w:space="0" w:color="9BC2E6"/>
              <w:left w:val="nil"/>
              <w:bottom w:val="single" w:sz="4" w:space="0" w:color="9BC2E6"/>
              <w:right w:val="nil"/>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2016</w:t>
            </w:r>
          </w:p>
        </w:tc>
        <w:tc>
          <w:tcPr>
            <w:tcW w:w="850" w:type="dxa"/>
            <w:tcBorders>
              <w:top w:val="single" w:sz="4" w:space="0" w:color="9BC2E6"/>
              <w:left w:val="nil"/>
              <w:bottom w:val="single" w:sz="4" w:space="0" w:color="9BC2E6"/>
              <w:right w:val="nil"/>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2017</w:t>
            </w:r>
          </w:p>
        </w:tc>
        <w:tc>
          <w:tcPr>
            <w:tcW w:w="705" w:type="dxa"/>
            <w:tcBorders>
              <w:top w:val="single" w:sz="4" w:space="0" w:color="9BC2E6"/>
              <w:left w:val="nil"/>
              <w:bottom w:val="single" w:sz="4" w:space="0" w:color="9BC2E6"/>
              <w:right w:val="nil"/>
            </w:tcBorders>
            <w:shd w:val="clear" w:color="5B9BD5" w:fill="1091E0"/>
            <w:hideMark/>
          </w:tcPr>
          <w:p>
            <w:pPr>
              <w:spacing w:after="0" w:line="240" w:lineRule="auto"/>
              <w:rPr>
                <w:rFonts w:ascii="Calibri" w:hAnsi="Calibri" w:cs="Calibri"/>
                <w:b/>
                <w:bCs/>
                <w:noProof/>
                <w:color w:val="FFFFFF"/>
                <w:sz w:val="20"/>
                <w:szCs w:val="20"/>
              </w:rPr>
            </w:pPr>
            <w:r>
              <w:rPr>
                <w:rFonts w:ascii="Calibri" w:hAnsi="Calibri" w:cs="Calibri"/>
                <w:b/>
                <w:bCs/>
                <w:noProof/>
                <w:color w:val="FFFFFF"/>
                <w:sz w:val="20"/>
                <w:szCs w:val="20"/>
              </w:rPr>
              <w:t>2018</w:t>
            </w:r>
          </w:p>
          <w:p>
            <w:pPr>
              <w:spacing w:after="0" w:line="240" w:lineRule="auto"/>
              <w:rPr>
                <w:rFonts w:eastAsia="Times New Roman" w:cstheme="minorHAnsi"/>
                <w:b/>
                <w:bCs/>
                <w:noProof/>
                <w:color w:val="FFFFFF"/>
                <w:sz w:val="16"/>
                <w:szCs w:val="16"/>
                <w:lang w:eastAsia="en-GB"/>
              </w:rPr>
            </w:pPr>
            <w:r>
              <w:rPr>
                <w:rFonts w:ascii="Calibri" w:hAnsi="Calibri" w:cs="Calibri"/>
                <w:b/>
                <w:bCs/>
                <w:noProof/>
                <w:color w:val="FFFFFF"/>
                <w:sz w:val="16"/>
                <w:szCs w:val="16"/>
              </w:rPr>
              <w:t>(preliminary)</w:t>
            </w:r>
          </w:p>
        </w:tc>
        <w:tc>
          <w:tcPr>
            <w:tcW w:w="993" w:type="dxa"/>
            <w:tcBorders>
              <w:top w:val="single" w:sz="4" w:space="0" w:color="9BC2E6"/>
              <w:left w:val="nil"/>
              <w:bottom w:val="single" w:sz="4" w:space="0" w:color="9BC2E6"/>
              <w:right w:val="nil"/>
            </w:tcBorders>
            <w:shd w:val="clear" w:color="5B9BD5" w:fill="1091E0"/>
            <w:hideMark/>
          </w:tcPr>
          <w:p>
            <w:pPr>
              <w:spacing w:after="0" w:line="240" w:lineRule="auto"/>
              <w:rPr>
                <w:rFonts w:ascii="Calibri" w:hAnsi="Calibri" w:cs="Calibri"/>
                <w:b/>
                <w:bCs/>
                <w:noProof/>
                <w:color w:val="FFFFFF"/>
                <w:sz w:val="20"/>
                <w:szCs w:val="20"/>
              </w:rPr>
            </w:pPr>
            <w:r>
              <w:rPr>
                <w:rFonts w:ascii="Calibri" w:hAnsi="Calibri" w:cs="Calibri"/>
                <w:b/>
                <w:bCs/>
                <w:noProof/>
                <w:color w:val="FFFFFF"/>
                <w:sz w:val="20"/>
                <w:szCs w:val="20"/>
              </w:rPr>
              <w:t xml:space="preserve">2019 </w:t>
            </w:r>
          </w:p>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16"/>
                <w:szCs w:val="16"/>
              </w:rPr>
              <w:t>(proxy inventory)</w:t>
            </w:r>
          </w:p>
        </w:tc>
        <w:tc>
          <w:tcPr>
            <w:tcW w:w="992" w:type="dxa"/>
            <w:tcBorders>
              <w:top w:val="single" w:sz="4" w:space="0" w:color="9BC2E6"/>
              <w:left w:val="nil"/>
              <w:bottom w:val="single" w:sz="4" w:space="0" w:color="9BC2E6"/>
              <w:right w:val="single" w:sz="4" w:space="0" w:color="9BC2E6"/>
            </w:tcBorders>
            <w:shd w:val="clear" w:color="5B9BD5" w:fill="1091E0"/>
            <w:hideMark/>
          </w:tcPr>
          <w:p>
            <w:pPr>
              <w:spacing w:after="0" w:line="240" w:lineRule="auto"/>
              <w:rPr>
                <w:rFonts w:eastAsia="Times New Roman" w:cstheme="minorHAnsi"/>
                <w:b/>
                <w:bCs/>
                <w:noProof/>
                <w:color w:val="FFFFFF"/>
                <w:sz w:val="20"/>
                <w:szCs w:val="20"/>
                <w:lang w:eastAsia="en-GB"/>
              </w:rPr>
            </w:pPr>
            <w:r>
              <w:rPr>
                <w:rFonts w:ascii="Calibri" w:hAnsi="Calibri" w:cs="Calibri"/>
                <w:b/>
                <w:bCs/>
                <w:noProof/>
                <w:color w:val="FFFFFF"/>
                <w:sz w:val="20"/>
                <w:szCs w:val="20"/>
              </w:rPr>
              <w:t>2020</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Austria</w:t>
            </w:r>
          </w:p>
        </w:tc>
        <w:tc>
          <w:tcPr>
            <w:tcW w:w="992"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1"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52,6</w:t>
            </w:r>
          </w:p>
        </w:tc>
        <w:tc>
          <w:tcPr>
            <w:tcW w:w="851"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52,1</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51,5</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51,0</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49,5</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48,9</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48,3</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47,8</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56,8</w:t>
            </w:r>
          </w:p>
        </w:tc>
        <w:tc>
          <w:tcPr>
            <w:tcW w:w="850" w:type="dxa"/>
            <w:gridSpan w:val="3"/>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50,1</w:t>
            </w:r>
          </w:p>
        </w:tc>
        <w:tc>
          <w:tcPr>
            <w:tcW w:w="851"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48,2</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49,3</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50,6</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51,7</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50,3</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50,7</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w:t>
            </w:r>
          </w:p>
        </w:tc>
        <w:tc>
          <w:tcPr>
            <w:tcW w:w="851"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0,4</w:t>
            </w:r>
          </w:p>
        </w:tc>
        <w:tc>
          <w:tcPr>
            <w:tcW w:w="850"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w:t>
            </w:r>
          </w:p>
        </w:tc>
        <w:tc>
          <w:tcPr>
            <w:tcW w:w="705"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993"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-2,4</w:t>
            </w:r>
          </w:p>
        </w:tc>
        <w:tc>
          <w:tcPr>
            <w:tcW w:w="992" w:type="dxa"/>
            <w:tcBorders>
              <w:top w:val="single" w:sz="4" w:space="0" w:color="9BC2E6"/>
              <w:left w:val="nil"/>
              <w:bottom w:val="nil"/>
              <w:right w:val="single" w:sz="4" w:space="0" w:color="9BC2E6"/>
            </w:tcBorders>
            <w:shd w:val="clear" w:color="000000" w:fill="FFC7CE"/>
            <w:vAlign w:val="bottom"/>
            <w:hideMark/>
          </w:tcPr>
          <w:p>
            <w:pPr>
              <w:spacing w:after="0" w:line="240" w:lineRule="auto"/>
              <w:jc w:val="right"/>
              <w:rPr>
                <w:noProof/>
                <w:color w:val="000000"/>
                <w:sz w:val="18"/>
                <w:szCs w:val="18"/>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w:t>
            </w:r>
          </w:p>
        </w:tc>
        <w:tc>
          <w:tcPr>
            <w:tcW w:w="851"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6,4</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8,7</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9,0</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6,9</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5,5</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w:t>
            </w:r>
          </w:p>
        </w:tc>
        <w:tc>
          <w:tcPr>
            <w:tcW w:w="992" w:type="dxa"/>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jc w:val="right"/>
              <w:rPr>
                <w:noProof/>
                <w:color w:val="000000"/>
                <w:sz w:val="18"/>
                <w:szCs w:val="18"/>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Belgium</w:t>
            </w:r>
          </w:p>
        </w:tc>
        <w:tc>
          <w:tcPr>
            <w:tcW w:w="992"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1"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DDEBF7" w:fill="9CC2E5" w:themeFill="accent1" w:themeFillTint="99"/>
            <w:vAlign w:val="bottom"/>
            <w:hideMark/>
          </w:tcPr>
          <w:p>
            <w:pPr>
              <w:spacing w:after="0" w:line="240" w:lineRule="auto"/>
              <w:jc w:val="right"/>
              <w:rPr>
                <w:noProof/>
                <w:color w:val="000000"/>
                <w:sz w:val="18"/>
                <w:szCs w:val="18"/>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78,4</w:t>
            </w:r>
          </w:p>
        </w:tc>
        <w:tc>
          <w:tcPr>
            <w:tcW w:w="851"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76,9</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75,3</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73,8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72,5</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71,1</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69,7</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68,2</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80,3</w:t>
            </w:r>
          </w:p>
        </w:tc>
        <w:tc>
          <w:tcPr>
            <w:tcW w:w="850" w:type="dxa"/>
            <w:gridSpan w:val="3"/>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74,3</w:t>
            </w:r>
          </w:p>
        </w:tc>
        <w:tc>
          <w:tcPr>
            <w:tcW w:w="851"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70,1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72,7</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74,1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70,8</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74,3</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74,3</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FFFFFF" w:themeFill="background1"/>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FFFFFF" w:themeFill="background1"/>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FFFFFF" w:themeFill="background1"/>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w:t>
            </w:r>
          </w:p>
        </w:tc>
        <w:tc>
          <w:tcPr>
            <w:tcW w:w="851" w:type="dxa"/>
            <w:tcBorders>
              <w:top w:val="single" w:sz="4" w:space="0" w:color="9BC2E6"/>
              <w:left w:val="nil"/>
              <w:bottom w:val="single" w:sz="4" w:space="0" w:color="9BC2E6"/>
              <w:right w:val="nil"/>
            </w:tcBorders>
            <w:shd w:val="clear" w:color="DDEBF7" w:fill="FFFFFF" w:themeFill="background1"/>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6,8</w:t>
            </w:r>
          </w:p>
        </w:tc>
        <w:tc>
          <w:tcPr>
            <w:tcW w:w="850" w:type="dxa"/>
            <w:tcBorders>
              <w:top w:val="single" w:sz="4" w:space="0" w:color="9BC2E6"/>
              <w:left w:val="nil"/>
              <w:bottom w:val="single" w:sz="4" w:space="0" w:color="9BC2E6"/>
              <w:right w:val="nil"/>
            </w:tcBorders>
            <w:shd w:val="clear" w:color="DDEBF7" w:fill="FFFFFF" w:themeFill="background1"/>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w:t>
            </w:r>
          </w:p>
        </w:tc>
        <w:tc>
          <w:tcPr>
            <w:tcW w:w="856" w:type="dxa"/>
            <w:gridSpan w:val="2"/>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850" w:type="dxa"/>
            <w:tcBorders>
              <w:top w:val="single" w:sz="4" w:space="0" w:color="9BC2E6"/>
              <w:left w:val="single" w:sz="4" w:space="0" w:color="9BC2E6"/>
              <w:bottom w:val="single" w:sz="4" w:space="0" w:color="9BC2E6"/>
              <w:right w:val="nil"/>
            </w:tcBorders>
            <w:shd w:val="clear" w:color="DDEBF7" w:fill="FFFFFF" w:themeFill="background1"/>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w:t>
            </w:r>
          </w:p>
        </w:tc>
        <w:tc>
          <w:tcPr>
            <w:tcW w:w="705"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w:t>
            </w:r>
          </w:p>
        </w:tc>
        <w:tc>
          <w:tcPr>
            <w:tcW w:w="993"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-4,6</w:t>
            </w:r>
          </w:p>
        </w:tc>
        <w:tc>
          <w:tcPr>
            <w:tcW w:w="992" w:type="dxa"/>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w:t>
            </w:r>
          </w:p>
        </w:tc>
        <w:tc>
          <w:tcPr>
            <w:tcW w:w="851"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13,5</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13,2</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14,9</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11,7</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7,1</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Bulgaria</w:t>
            </w:r>
          </w:p>
        </w:tc>
        <w:tc>
          <w:tcPr>
            <w:tcW w:w="992"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1"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26,9</w:t>
            </w:r>
          </w:p>
        </w:tc>
        <w:tc>
          <w:tcPr>
            <w:tcW w:w="851"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27,2</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27,5</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27,7</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25,9</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26,1</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26,3</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26,5</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22,1</w:t>
            </w:r>
          </w:p>
        </w:tc>
        <w:tc>
          <w:tcPr>
            <w:tcW w:w="850" w:type="dxa"/>
            <w:gridSpan w:val="3"/>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22,2</w:t>
            </w:r>
          </w:p>
        </w:tc>
        <w:tc>
          <w:tcPr>
            <w:tcW w:w="851"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22,9</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25,4</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25,6</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26,5</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26,3</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27,1</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w:t>
            </w:r>
          </w:p>
        </w:tc>
        <w:tc>
          <w:tcPr>
            <w:tcW w:w="851"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w:t>
            </w:r>
          </w:p>
        </w:tc>
        <w:tc>
          <w:tcPr>
            <w:tcW w:w="850"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w:t>
            </w:r>
          </w:p>
        </w:tc>
        <w:tc>
          <w:tcPr>
            <w:tcW w:w="856" w:type="dxa"/>
            <w:gridSpan w:val="2"/>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w:t>
            </w:r>
          </w:p>
        </w:tc>
        <w:tc>
          <w:tcPr>
            <w:tcW w:w="850" w:type="dxa"/>
            <w:tcBorders>
              <w:top w:val="single" w:sz="4" w:space="0" w:color="9BC2E6"/>
              <w:left w:val="nil"/>
              <w:bottom w:val="single" w:sz="4" w:space="0" w:color="9BC2E6"/>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-0,6</w:t>
            </w:r>
          </w:p>
        </w:tc>
        <w:tc>
          <w:tcPr>
            <w:tcW w:w="705" w:type="dxa"/>
            <w:tcBorders>
              <w:top w:val="single" w:sz="4" w:space="0" w:color="9BC2E6"/>
              <w:left w:val="nil"/>
              <w:bottom w:val="single" w:sz="4" w:space="0" w:color="9BC2E6"/>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3" w:type="dxa"/>
            <w:tcBorders>
              <w:top w:val="single" w:sz="4" w:space="0" w:color="9BC2E6"/>
              <w:left w:val="nil"/>
              <w:bottom w:val="single" w:sz="4" w:space="0" w:color="9BC2E6"/>
              <w:right w:val="nil"/>
            </w:tcBorders>
            <w:shd w:val="clear" w:color="auto" w:fill="FAC6CB"/>
            <w:vAlign w:val="bottom"/>
            <w:hideMark/>
          </w:tcPr>
          <w:p>
            <w:pPr>
              <w:spacing w:after="0" w:line="240" w:lineRule="auto"/>
              <w:jc w:val="right"/>
              <w:rPr>
                <w:noProof/>
                <w:color w:val="000000"/>
                <w:sz w:val="18"/>
                <w:szCs w:val="18"/>
              </w:rPr>
            </w:pPr>
            <w:r>
              <w:rPr>
                <w:noProof/>
                <w:color w:val="000000"/>
                <w:sz w:val="18"/>
                <w:szCs w:val="18"/>
              </w:rPr>
              <w:t>-0,8</w:t>
            </w:r>
          </w:p>
        </w:tc>
        <w:tc>
          <w:tcPr>
            <w:tcW w:w="992" w:type="dxa"/>
            <w:tcBorders>
              <w:top w:val="single" w:sz="4" w:space="0" w:color="9BC2E6"/>
              <w:left w:val="nil"/>
              <w:bottom w:val="single" w:sz="4" w:space="0" w:color="9BC2E6"/>
              <w:right w:val="single" w:sz="4" w:space="0" w:color="9BC2E6"/>
            </w:tcBorders>
            <w:shd w:val="clear" w:color="auto" w:fill="FAC6CB"/>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w:t>
            </w:r>
          </w:p>
        </w:tc>
        <w:tc>
          <w:tcPr>
            <w:tcW w:w="851"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9,0</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11,1</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13,3</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12,6</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12,4</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11,6</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Croatia</w:t>
            </w:r>
          </w:p>
        </w:tc>
        <w:tc>
          <w:tcPr>
            <w:tcW w:w="992"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1"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19,6</w:t>
            </w:r>
          </w:p>
        </w:tc>
        <w:tc>
          <w:tcPr>
            <w:tcW w:w="851"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20,0</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20,2</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18,7</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18,9</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19,1</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19,3</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17,4</w:t>
            </w:r>
          </w:p>
        </w:tc>
        <w:tc>
          <w:tcPr>
            <w:tcW w:w="850" w:type="dxa"/>
            <w:gridSpan w:val="3"/>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15,1</w:t>
            </w:r>
          </w:p>
        </w:tc>
        <w:tc>
          <w:tcPr>
            <w:tcW w:w="851"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14,7</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15,6</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16,0</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16,7</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16,2</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16,8</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w:t>
            </w:r>
          </w:p>
        </w:tc>
        <w:tc>
          <w:tcPr>
            <w:tcW w:w="851"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5,1</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4,2</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2,3</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w:t>
            </w:r>
          </w:p>
        </w:tc>
        <w:tc>
          <w:tcPr>
            <w:tcW w:w="851"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9,6</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14,1</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18,2</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20,3</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22,9</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25,2</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Cyprus</w:t>
            </w:r>
          </w:p>
        </w:tc>
        <w:tc>
          <w:tcPr>
            <w:tcW w:w="992"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1"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w:t>
            </w:r>
          </w:p>
        </w:tc>
        <w:tc>
          <w:tcPr>
            <w:tcW w:w="851"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4,2</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4,2</w:t>
            </w:r>
          </w:p>
        </w:tc>
        <w:tc>
          <w:tcPr>
            <w:tcW w:w="850" w:type="dxa"/>
            <w:gridSpan w:val="3"/>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w:t>
            </w:r>
          </w:p>
        </w:tc>
        <w:tc>
          <w:tcPr>
            <w:tcW w:w="851"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4,2</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w:t>
            </w:r>
          </w:p>
        </w:tc>
        <w:tc>
          <w:tcPr>
            <w:tcW w:w="851"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w:t>
            </w:r>
          </w:p>
        </w:tc>
        <w:tc>
          <w:tcPr>
            <w:tcW w:w="850"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w:t>
            </w:r>
          </w:p>
        </w:tc>
        <w:tc>
          <w:tcPr>
            <w:tcW w:w="856" w:type="dxa"/>
            <w:gridSpan w:val="2"/>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w:t>
            </w:r>
          </w:p>
        </w:tc>
        <w:tc>
          <w:tcPr>
            <w:tcW w:w="850" w:type="dxa"/>
            <w:tcBorders>
              <w:top w:val="single" w:sz="4" w:space="0" w:color="9BC2E6"/>
              <w:left w:val="nil"/>
              <w:bottom w:val="single" w:sz="4" w:space="0" w:color="9BC2E6"/>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-0,1</w:t>
            </w:r>
          </w:p>
        </w:tc>
        <w:tc>
          <w:tcPr>
            <w:tcW w:w="705" w:type="dxa"/>
            <w:tcBorders>
              <w:top w:val="single" w:sz="4" w:space="0" w:color="9BC2E6"/>
              <w:left w:val="nil"/>
              <w:bottom w:val="single" w:sz="4" w:space="0" w:color="9BC2E6"/>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0,0</w:t>
            </w:r>
          </w:p>
        </w:tc>
        <w:tc>
          <w:tcPr>
            <w:tcW w:w="993" w:type="dxa"/>
            <w:tcBorders>
              <w:top w:val="single" w:sz="4" w:space="0" w:color="9BC2E6"/>
              <w:left w:val="nil"/>
              <w:bottom w:val="single" w:sz="4" w:space="0" w:color="9BC2E6"/>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992" w:type="dxa"/>
            <w:tcBorders>
              <w:top w:val="single" w:sz="4" w:space="0" w:color="9BC2E6"/>
              <w:left w:val="nil"/>
              <w:bottom w:val="single" w:sz="4" w:space="0" w:color="9BC2E6"/>
              <w:right w:val="single" w:sz="4" w:space="0" w:color="9BC2E6"/>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gridSpan w:val="3"/>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w:t>
            </w:r>
          </w:p>
        </w:tc>
        <w:tc>
          <w:tcPr>
            <w:tcW w:w="851"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5,8</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7,7</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7,6</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7,3</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Czechia</w:t>
            </w:r>
          </w:p>
        </w:tc>
        <w:tc>
          <w:tcPr>
            <w:tcW w:w="992"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62,5</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63,2</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64,0</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64,7</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65,2</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65,9</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66,5</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67,2</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61,7</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61,5</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57,6</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61,3</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62,4</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60,6</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67,8</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5,6</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2,8</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5,3</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6,6</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9,3</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11,2</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14,0</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19,2</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18,0</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Denmark</w:t>
            </w:r>
          </w:p>
        </w:tc>
        <w:tc>
          <w:tcPr>
            <w:tcW w:w="992"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DDEBF7"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36,8</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35,0</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34,1</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34,8</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33,9</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33,0</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32,1</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40,1</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33,7</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32,6</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32,5</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33,1</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32,7</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33,1</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32,5</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w:t>
            </w:r>
          </w:p>
        </w:tc>
        <w:tc>
          <w:tcPr>
            <w:tcW w:w="992" w:type="dxa"/>
            <w:gridSpan w:val="2"/>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w:t>
            </w:r>
          </w:p>
        </w:tc>
        <w:tc>
          <w:tcPr>
            <w:tcW w:w="850"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w:t>
            </w:r>
          </w:p>
        </w:tc>
        <w:tc>
          <w:tcPr>
            <w:tcW w:w="856" w:type="dxa"/>
            <w:gridSpan w:val="2"/>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w:t>
            </w:r>
          </w:p>
        </w:tc>
        <w:tc>
          <w:tcPr>
            <w:tcW w:w="850"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w:t>
            </w:r>
          </w:p>
        </w:tc>
        <w:tc>
          <w:tcPr>
            <w:tcW w:w="705"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0,7</w:t>
            </w:r>
          </w:p>
        </w:tc>
        <w:tc>
          <w:tcPr>
            <w:tcW w:w="993" w:type="dxa"/>
            <w:tcBorders>
              <w:top w:val="single" w:sz="4" w:space="0" w:color="9BC2E6"/>
              <w:left w:val="nil"/>
              <w:bottom w:val="single" w:sz="4" w:space="0" w:color="9BC2E6"/>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tcBorders>
              <w:top w:val="single" w:sz="4" w:space="0" w:color="9BC2E6"/>
              <w:left w:val="nil"/>
              <w:bottom w:val="single" w:sz="4" w:space="0" w:color="9BC2E6"/>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6,4</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8,9</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12,0</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12,7</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13,2</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Estonia</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6,3</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6,3</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6,3</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6,4</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6,0</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6,0</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6,0</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5,4</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5,8</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6,5</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850"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705"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3" w:type="dxa"/>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tcBorders>
              <w:top w:val="single" w:sz="4" w:space="0" w:color="9BC2E6"/>
              <w:left w:val="single" w:sz="4" w:space="0" w:color="9BC2E6"/>
              <w:bottom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0,9</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0,7</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Finland</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31,8</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31,3</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30,8</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30,3</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30,2</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29,6</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29,1</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28,5</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33,9</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31,6</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30,1</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29,9</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31,4</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30,1</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29,9</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29,3</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0,9</w:t>
            </w:r>
          </w:p>
        </w:tc>
        <w:tc>
          <w:tcPr>
            <w:tcW w:w="856" w:type="dxa"/>
            <w:gridSpan w:val="2"/>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0,1</w:t>
            </w:r>
          </w:p>
        </w:tc>
        <w:tc>
          <w:tcPr>
            <w:tcW w:w="705"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993"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992" w:type="dxa"/>
            <w:tcBorders>
              <w:top w:val="single" w:sz="4" w:space="0" w:color="9BC2E6"/>
              <w:left w:val="nil"/>
              <w:bottom w:val="nil"/>
              <w:right w:val="single" w:sz="4" w:space="0" w:color="9BC2E6"/>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0,8</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France</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394,1</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389,5</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384,4</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379,4</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358,2</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352,9</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347,7</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342,5</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398,2</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366,1</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353,5</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353,0</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351,9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352,8</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342,2</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341,1</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28,0</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35,9</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31,4</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27,5</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5,4</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10,7</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6,6</w:t>
            </w:r>
          </w:p>
        </w:tc>
        <w:tc>
          <w:tcPr>
            <w:tcW w:w="992" w:type="dxa"/>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rPr>
                <w:noProof/>
                <w:color w:val="000000"/>
                <w:sz w:val="18"/>
                <w:szCs w:val="18"/>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28,0</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63,9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95,3</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122,8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128,2</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138,9</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145,5</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Germany</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472,5</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465,8</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459,1</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452,4</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432,3</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425,2</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418,1</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410,9</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477,8</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460,2</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436,8</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444,1</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454,2</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466,9</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434,0</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439,7</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12,3</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29,0</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15,1</w:t>
            </w:r>
          </w:p>
        </w:tc>
        <w:tc>
          <w:tcPr>
            <w:tcW w:w="856" w:type="dxa"/>
            <w:gridSpan w:val="2"/>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w:t>
            </w:r>
          </w:p>
        </w:tc>
        <w:tc>
          <w:tcPr>
            <w:tcW w:w="850"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-34,5</w:t>
            </w:r>
          </w:p>
        </w:tc>
        <w:tc>
          <w:tcPr>
            <w:tcW w:w="705"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-8,8</w:t>
            </w:r>
          </w:p>
        </w:tc>
        <w:tc>
          <w:tcPr>
            <w:tcW w:w="993"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-21,6</w:t>
            </w:r>
          </w:p>
        </w:tc>
        <w:tc>
          <w:tcPr>
            <w:tcW w:w="992" w:type="dxa"/>
            <w:tcBorders>
              <w:top w:val="single" w:sz="4" w:space="0" w:color="9BC2E6"/>
              <w:left w:val="nil"/>
              <w:bottom w:val="nil"/>
              <w:right w:val="single" w:sz="4" w:space="0" w:color="9BC2E6"/>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12,3</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41,4</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56,4</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54,7</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20,2</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11,3</w:t>
            </w:r>
          </w:p>
        </w:tc>
        <w:tc>
          <w:tcPr>
            <w:tcW w:w="993"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-10,3</w:t>
            </w:r>
          </w:p>
        </w:tc>
        <w:tc>
          <w:tcPr>
            <w:tcW w:w="992" w:type="dxa"/>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Greece</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59,0</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59,3</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59,6</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59,9</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59,1</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59,4</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59,7</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60,0</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62,6</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44,2</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44,4</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45,4</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45,4</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44,7</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44,3</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14,8</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14,9</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14,2</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15,0</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13,7</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14,7</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15,5</w:t>
            </w:r>
          </w:p>
        </w:tc>
        <w:tc>
          <w:tcPr>
            <w:tcW w:w="992" w:type="dxa"/>
            <w:tcBorders>
              <w:top w:val="single" w:sz="4" w:space="0" w:color="9BC2E6"/>
              <w:left w:val="nil"/>
              <w:bottom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14,8</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29,6</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43,8</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58,8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72,5</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87,3</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102,7</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Hungary</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50,4</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51,5</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52,6</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53,8</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50,1</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51,0</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51,9</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52,8</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48,0</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38,4</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38,4</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41,4</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42,1</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43,1</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43,2</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43,5</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12,0</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13,1</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11,2</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11,7</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6,9</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7,7</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8,4</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12,0</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25,1</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36,3</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47,9</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54,9</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62,6</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71,0</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Ireland</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46,9</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44,6</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43,5</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40,9</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39,8</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38,7</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37,7</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47,1</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42,2</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41,7</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43,0</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43,8</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45,4</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44,6</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w:t>
            </w:r>
          </w:p>
        </w:tc>
        <w:tc>
          <w:tcPr>
            <w:tcW w:w="856" w:type="dxa"/>
            <w:gridSpan w:val="2"/>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850"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w:t>
            </w:r>
          </w:p>
        </w:tc>
        <w:tc>
          <w:tcPr>
            <w:tcW w:w="705"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-5,6</w:t>
            </w:r>
          </w:p>
        </w:tc>
        <w:tc>
          <w:tcPr>
            <w:tcW w:w="993"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-5,8</w:t>
            </w:r>
          </w:p>
        </w:tc>
        <w:tc>
          <w:tcPr>
            <w:tcW w:w="992" w:type="dxa"/>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10,4</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7,1</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w:t>
            </w:r>
          </w:p>
        </w:tc>
        <w:tc>
          <w:tcPr>
            <w:tcW w:w="993" w:type="dxa"/>
            <w:tcBorders>
              <w:top w:val="single" w:sz="4" w:space="0" w:color="9BC2E6"/>
              <w:left w:val="nil"/>
              <w:bottom w:val="single" w:sz="4" w:space="0" w:color="9BC2E6"/>
              <w:right w:val="nil"/>
            </w:tcBorders>
            <w:shd w:val="clear" w:color="auto" w:fill="F8C8D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w:t>
            </w:r>
          </w:p>
        </w:tc>
        <w:tc>
          <w:tcPr>
            <w:tcW w:w="992" w:type="dxa"/>
            <w:tcBorders>
              <w:top w:val="single" w:sz="4" w:space="0" w:color="9BC2E6"/>
              <w:left w:val="nil"/>
              <w:bottom w:val="single" w:sz="4" w:space="0" w:color="9BC2E6"/>
              <w:right w:val="single" w:sz="4" w:space="0" w:color="9BC2E6"/>
            </w:tcBorders>
            <w:shd w:val="clear" w:color="auto" w:fill="F8C8D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Italy</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308,2</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306,2</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304,2</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302,3</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298,3</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295,8</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293,4</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291,0</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334,5</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273,3</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265,3</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273,3</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270,7</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270,1</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278,7</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272,3</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34,8</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31,0</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31,6</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28,1</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17,1</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21,1</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34,8</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75,7</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106,7</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138,3</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166,4</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183,5</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204,6</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Latvia</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9,3</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9,4</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9,4</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9,5</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9,7</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9,8</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9,9</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10,0</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8,5</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8,8</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9,0</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9,0</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9,2</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9,1</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9,0</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0,4</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0,4</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0,7</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0,9</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Lithuania</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12,9</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13,3</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13,7</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14,0</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14,1</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14,5</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14,9</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15,2</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13,3</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12,4</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12,9</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13,3</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13,9</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14,1</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14,3</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14,4</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0,4</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0,4</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0,1</w:t>
            </w:r>
          </w:p>
        </w:tc>
        <w:tc>
          <w:tcPr>
            <w:tcW w:w="850"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0,0</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0,9</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Luxembourg</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9,5</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9,3</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9,1</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8,9</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8,7</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8,5</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8,3</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8,1</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10,1</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9,4</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8,6</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8,5</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8,7</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9,1</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9,2</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0,4</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0,0</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-0,9</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0,7</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Malta</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-0,1</w:t>
            </w:r>
          </w:p>
        </w:tc>
        <w:tc>
          <w:tcPr>
            <w:tcW w:w="992" w:type="dxa"/>
            <w:gridSpan w:val="2"/>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-0,1</w:t>
            </w:r>
          </w:p>
        </w:tc>
        <w:tc>
          <w:tcPr>
            <w:tcW w:w="850"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-0,1</w:t>
            </w:r>
          </w:p>
        </w:tc>
        <w:tc>
          <w:tcPr>
            <w:tcW w:w="856" w:type="dxa"/>
            <w:gridSpan w:val="2"/>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850"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705"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3"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992" w:type="dxa"/>
            <w:tcBorders>
              <w:top w:val="single" w:sz="4" w:space="0" w:color="9BC2E6"/>
              <w:left w:val="nil"/>
              <w:bottom w:val="nil"/>
              <w:right w:val="single" w:sz="4" w:space="0" w:color="9BC2E6"/>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-0,1</w:t>
            </w:r>
          </w:p>
        </w:tc>
        <w:tc>
          <w:tcPr>
            <w:tcW w:w="992" w:type="dxa"/>
            <w:gridSpan w:val="2"/>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-0,2</w:t>
            </w:r>
          </w:p>
        </w:tc>
        <w:tc>
          <w:tcPr>
            <w:tcW w:w="850"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-0,3</w:t>
            </w:r>
          </w:p>
        </w:tc>
        <w:tc>
          <w:tcPr>
            <w:tcW w:w="856" w:type="dxa"/>
            <w:gridSpan w:val="2"/>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-0,5</w:t>
            </w:r>
          </w:p>
        </w:tc>
        <w:tc>
          <w:tcPr>
            <w:tcW w:w="850"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-0,8</w:t>
            </w:r>
          </w:p>
        </w:tc>
        <w:tc>
          <w:tcPr>
            <w:tcW w:w="705"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w:t>
            </w:r>
          </w:p>
        </w:tc>
        <w:tc>
          <w:tcPr>
            <w:tcW w:w="993" w:type="dxa"/>
            <w:tcBorders>
              <w:top w:val="single" w:sz="4" w:space="0" w:color="9BC2E6"/>
              <w:left w:val="nil"/>
              <w:bottom w:val="single" w:sz="4" w:space="0" w:color="9BC2E6"/>
              <w:right w:val="nil"/>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992" w:type="dxa"/>
            <w:tcBorders>
              <w:top w:val="single" w:sz="4" w:space="0" w:color="9BC2E6"/>
              <w:left w:val="nil"/>
              <w:bottom w:val="single" w:sz="4" w:space="0" w:color="9BC2E6"/>
              <w:right w:val="single" w:sz="4" w:space="0" w:color="9BC2E6"/>
            </w:tcBorders>
            <w:shd w:val="clear" w:color="DDEBF7"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Netherlands</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122,9</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120,7</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118,4</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116,1</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114,1</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111,8</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109,6</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107,4</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127,8</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108,3</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97,9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101,1</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101,3</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102,3</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99,7</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100,2</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14,7</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17,3</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11,7</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12,1</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9,4</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14,7</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37,5</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54,8</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69,6</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81,3</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93,4</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102,8</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Poland</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193,6</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194,9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196,1</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197,4</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200,0</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201,7</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203,4</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205,2</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180,0</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186,1</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181,5</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186,8</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198,7</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211,5</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213,0</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206,9</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13,3</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9,4</w:t>
            </w:r>
          </w:p>
        </w:tc>
        <w:tc>
          <w:tcPr>
            <w:tcW w:w="856" w:type="dxa"/>
            <w:gridSpan w:val="2"/>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850"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-11,5</w:t>
            </w:r>
          </w:p>
        </w:tc>
        <w:tc>
          <w:tcPr>
            <w:tcW w:w="705" w:type="dxa"/>
            <w:tcBorders>
              <w:top w:val="single" w:sz="4" w:space="0" w:color="9BC2E6"/>
              <w:left w:val="nil"/>
              <w:bottom w:val="nil"/>
              <w:right w:val="nil"/>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-11,3</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w:t>
            </w:r>
          </w:p>
        </w:tc>
        <w:tc>
          <w:tcPr>
            <w:tcW w:w="992" w:type="dxa"/>
            <w:tcBorders>
              <w:top w:val="single" w:sz="4" w:space="0" w:color="9BC2E6"/>
              <w:left w:val="nil"/>
              <w:bottom w:val="nil"/>
              <w:right w:val="single" w:sz="4" w:space="0" w:color="9BC2E6"/>
            </w:tcBorders>
            <w:shd w:val="clear" w:color="000000" w:fill="FFC7CE"/>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20,9</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30,2</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29,0</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17,4</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Portugal</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49,3</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49,6</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49,9</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50,1</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47,9</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48,3</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48,7</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49,1</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48,6</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38,6</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40,6</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41,6</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40,2</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40,6</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41,6</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10,7</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9,2</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8,6</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7,7</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7,7</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7,1</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10,7</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21,5</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30,7</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39,3</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47,0</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54,7</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61,8</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Romania</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75,6</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77,5</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79,3</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81,1</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84,1</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86,0</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87,9</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89,8</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75,5</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72,7</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72,5</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74,6</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73,1</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75,4</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77,6</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75,5</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8,0</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8,7</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8,7</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12,4</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7,8</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12,5</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20,5</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29,2</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37,5</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50,0</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Slovakia</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24,0</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24,4</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24,7</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25,1</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25,0</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25,3</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25,6</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25,9</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23,0</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21,1</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20,1</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21,2</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21,1</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21,8</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4,6</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4,7</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5,3</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3,8</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7,5</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12,2</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17,5</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21,3</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25,6</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29,5</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Slovenia</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12,3</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12,4</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12,4</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12,4</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12,2</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12,2</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12,3</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12,3</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11,8</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10,9</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10,5</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10,7</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11,2</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10,9</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11,0</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10,8</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1,5</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6,1</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7,4</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8,6</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10,1</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Spain</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227,6</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225,6</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223,7</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221,8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218,3</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216,3</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214,3</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212,4</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236,0</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200,3</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199,8</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196,2</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198,5</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201,1</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203,0</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200,9</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27,3</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25,9</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27,6</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23,3</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17,2</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13,3</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13,4</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27,3</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53,2</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80,8</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104,1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121,3</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134,5</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148,0</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Sweden</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41,7</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41,0</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40,4</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39,8</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37,8</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37,2</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36,7</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36,1</w:t>
            </w:r>
          </w:p>
        </w:tc>
      </w:tr>
      <w:tr>
        <w:trPr>
          <w:trHeight w:val="301"/>
        </w:trPr>
        <w:tc>
          <w:tcPr>
            <w:tcW w:w="1555" w:type="dxa"/>
            <w:tcBorders>
              <w:top w:val="single" w:sz="4" w:space="0" w:color="9BC2E6"/>
              <w:left w:val="single" w:sz="4" w:space="0" w:color="9BC2E6"/>
              <w:bottom w:val="nil"/>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43,5</w:t>
            </w:r>
          </w:p>
        </w:tc>
        <w:tc>
          <w:tcPr>
            <w:tcW w:w="709"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35,3</w:t>
            </w:r>
          </w:p>
        </w:tc>
        <w:tc>
          <w:tcPr>
            <w:tcW w:w="992"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34,5</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33,9</w:t>
            </w:r>
          </w:p>
        </w:tc>
        <w:tc>
          <w:tcPr>
            <w:tcW w:w="856" w:type="dxa"/>
            <w:gridSpan w:val="2"/>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32,6</w:t>
            </w:r>
          </w:p>
        </w:tc>
        <w:tc>
          <w:tcPr>
            <w:tcW w:w="850"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32,5</w:t>
            </w:r>
          </w:p>
        </w:tc>
        <w:tc>
          <w:tcPr>
            <w:tcW w:w="705"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31,4</w:t>
            </w:r>
          </w:p>
        </w:tc>
        <w:tc>
          <w:tcPr>
            <w:tcW w:w="993" w:type="dxa"/>
            <w:tcBorders>
              <w:top w:val="single" w:sz="4" w:space="0" w:color="9BC2E6"/>
              <w:left w:val="nil"/>
              <w:bottom w:val="nil"/>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30,5</w:t>
            </w:r>
          </w:p>
        </w:tc>
        <w:tc>
          <w:tcPr>
            <w:tcW w:w="992" w:type="dxa"/>
            <w:tcBorders>
              <w:top w:val="single" w:sz="4" w:space="0" w:color="9BC2E6"/>
              <w:left w:val="nil"/>
              <w:bottom w:val="nil"/>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17"/>
        </w:trPr>
        <w:tc>
          <w:tcPr>
            <w:tcW w:w="1555" w:type="dxa"/>
            <w:tcBorders>
              <w:top w:val="single" w:sz="4" w:space="0" w:color="9BC2E6"/>
              <w:left w:val="single" w:sz="4" w:space="0" w:color="9BC2E6"/>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nil"/>
              <w:right w:val="nil"/>
            </w:tcBorders>
            <w:shd w:val="clear" w:color="auto"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6,4</w:t>
            </w:r>
          </w:p>
        </w:tc>
        <w:tc>
          <w:tcPr>
            <w:tcW w:w="992"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6,5</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6,5</w:t>
            </w:r>
          </w:p>
        </w:tc>
        <w:tc>
          <w:tcPr>
            <w:tcW w:w="856" w:type="dxa"/>
            <w:gridSpan w:val="2"/>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7,2</w:t>
            </w:r>
          </w:p>
        </w:tc>
        <w:tc>
          <w:tcPr>
            <w:tcW w:w="850"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5,3</w:t>
            </w:r>
          </w:p>
        </w:tc>
        <w:tc>
          <w:tcPr>
            <w:tcW w:w="705"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5,8</w:t>
            </w:r>
          </w:p>
        </w:tc>
        <w:tc>
          <w:tcPr>
            <w:tcW w:w="993" w:type="dxa"/>
            <w:tcBorders>
              <w:top w:val="single" w:sz="4" w:space="0" w:color="9BC2E6"/>
              <w:left w:val="nil"/>
              <w:bottom w:val="nil"/>
              <w:right w:val="nil"/>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6,2</w:t>
            </w:r>
          </w:p>
        </w:tc>
        <w:tc>
          <w:tcPr>
            <w:tcW w:w="992" w:type="dxa"/>
            <w:tcBorders>
              <w:top w:val="single" w:sz="4" w:space="0" w:color="9BC2E6"/>
              <w:left w:val="nil"/>
              <w:bottom w:val="nil"/>
              <w:right w:val="single" w:sz="4" w:space="0" w:color="9BC2E6"/>
            </w:tcBorders>
            <w:shd w:val="clear" w:color="auto"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DDEBF7" w:fill="DDEBF7"/>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6,4</w:t>
            </w:r>
          </w:p>
        </w:tc>
        <w:tc>
          <w:tcPr>
            <w:tcW w:w="992"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12,9</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19,4</w:t>
            </w:r>
          </w:p>
        </w:tc>
        <w:tc>
          <w:tcPr>
            <w:tcW w:w="856" w:type="dxa"/>
            <w:gridSpan w:val="2"/>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26,6</w:t>
            </w:r>
          </w:p>
        </w:tc>
        <w:tc>
          <w:tcPr>
            <w:tcW w:w="850"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31,9</w:t>
            </w:r>
          </w:p>
        </w:tc>
        <w:tc>
          <w:tcPr>
            <w:tcW w:w="705"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37,7</w:t>
            </w:r>
          </w:p>
        </w:tc>
        <w:tc>
          <w:tcPr>
            <w:tcW w:w="993" w:type="dxa"/>
            <w:tcBorders>
              <w:top w:val="single" w:sz="4" w:space="0" w:color="9BC2E6"/>
              <w:left w:val="nil"/>
              <w:bottom w:val="single" w:sz="4" w:space="0" w:color="9BC2E6"/>
              <w:right w:val="nil"/>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43,8</w:t>
            </w:r>
          </w:p>
        </w:tc>
        <w:tc>
          <w:tcPr>
            <w:tcW w:w="992" w:type="dxa"/>
            <w:tcBorders>
              <w:top w:val="single" w:sz="4" w:space="0" w:color="9BC2E6"/>
              <w:left w:val="nil"/>
              <w:bottom w:val="single" w:sz="4" w:space="0" w:color="9BC2E6"/>
              <w:right w:val="single" w:sz="4" w:space="0" w:color="9BC2E6"/>
            </w:tcBorders>
            <w:shd w:val="clear" w:color="DDEBF7" w:fill="DDEBF7"/>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b/>
                <w:bCs/>
                <w:noProof/>
                <w:color w:val="000000"/>
                <w:sz w:val="18"/>
                <w:szCs w:val="18"/>
                <w:lang w:eastAsia="en-GB"/>
              </w:rPr>
            </w:pPr>
            <w:r>
              <w:rPr>
                <w:b/>
                <w:bCs/>
                <w:noProof/>
                <w:color w:val="000000"/>
                <w:sz w:val="18"/>
                <w:szCs w:val="18"/>
              </w:rPr>
              <w:t>United Kingdom</w:t>
            </w:r>
          </w:p>
        </w:tc>
        <w:tc>
          <w:tcPr>
            <w:tcW w:w="992"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6" w:type="dxa"/>
            <w:gridSpan w:val="2"/>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850"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5"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3" w:type="dxa"/>
            <w:tcBorders>
              <w:top w:val="single" w:sz="4" w:space="0" w:color="9BC2E6"/>
              <w:left w:val="nil"/>
              <w:bottom w:val="single" w:sz="4" w:space="0" w:color="9BC2E6"/>
              <w:right w:val="nil"/>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992" w:type="dxa"/>
            <w:tcBorders>
              <w:top w:val="single" w:sz="4" w:space="0" w:color="9BC2E6"/>
              <w:left w:val="nil"/>
              <w:bottom w:val="single" w:sz="4" w:space="0" w:color="9BC2E6"/>
              <w:right w:val="single" w:sz="4" w:space="0" w:color="9BC2E6"/>
            </w:tcBorders>
            <w:shd w:val="clear" w:color="auto" w:fill="9CC2E5" w:themeFill="accent1" w:themeFillTint="99"/>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AEA</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358,7</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354,2</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349,7</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345,2</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360,4</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357,2</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354,1</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350,9</w:t>
            </w:r>
          </w:p>
        </w:tc>
      </w:tr>
      <w:tr>
        <w:trPr>
          <w:trHeight w:val="301"/>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Emissions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417,8</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339,5</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324,4</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326,0</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333,9</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332,1</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329,9</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326,8</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301"/>
        </w:trPr>
        <w:tc>
          <w:tcPr>
            <w:tcW w:w="1555" w:type="dxa"/>
            <w:tcBorders>
              <w:top w:val="single" w:sz="4" w:space="0" w:color="9BC2E6"/>
              <w:left w:val="single" w:sz="4" w:space="0" w:color="9BC2E6"/>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Distance to target</w:t>
            </w:r>
          </w:p>
        </w:tc>
        <w:tc>
          <w:tcPr>
            <w:tcW w:w="992" w:type="dxa"/>
            <w:tcBorders>
              <w:top w:val="single" w:sz="4" w:space="0" w:color="9BC2E6"/>
              <w:left w:val="nil"/>
              <w:bottom w:val="single" w:sz="4" w:space="0" w:color="9BC2E6"/>
              <w:right w:val="nil"/>
            </w:tcBorders>
            <w:shd w:val="clear" w:color="DDEBF7" w:fill="auto"/>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19,3</w:t>
            </w:r>
          </w:p>
        </w:tc>
        <w:tc>
          <w:tcPr>
            <w:tcW w:w="992"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29,8</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23,7</w:t>
            </w:r>
          </w:p>
        </w:tc>
        <w:tc>
          <w:tcPr>
            <w:tcW w:w="856" w:type="dxa"/>
            <w:gridSpan w:val="2"/>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11,3</w:t>
            </w:r>
          </w:p>
        </w:tc>
        <w:tc>
          <w:tcPr>
            <w:tcW w:w="850"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28,4</w:t>
            </w:r>
          </w:p>
        </w:tc>
        <w:tc>
          <w:tcPr>
            <w:tcW w:w="705"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27,4</w:t>
            </w:r>
          </w:p>
        </w:tc>
        <w:tc>
          <w:tcPr>
            <w:tcW w:w="993" w:type="dxa"/>
            <w:tcBorders>
              <w:top w:val="single" w:sz="4" w:space="0" w:color="9BC2E6"/>
              <w:left w:val="nil"/>
              <w:bottom w:val="single" w:sz="4" w:space="0" w:color="9BC2E6"/>
              <w:right w:val="nil"/>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27,3</w:t>
            </w:r>
          </w:p>
        </w:tc>
        <w:tc>
          <w:tcPr>
            <w:tcW w:w="992" w:type="dxa"/>
            <w:tcBorders>
              <w:top w:val="single" w:sz="4" w:space="0" w:color="9BC2E6"/>
              <w:left w:val="nil"/>
              <w:bottom w:val="single" w:sz="4" w:space="0" w:color="9BC2E6"/>
              <w:right w:val="single" w:sz="4" w:space="0" w:color="9BC2E6"/>
            </w:tcBorders>
            <w:shd w:val="clear" w:color="DDEBF7" w:fill="auto"/>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r>
        <w:trPr>
          <w:trHeight w:val="510"/>
        </w:trPr>
        <w:tc>
          <w:tcPr>
            <w:tcW w:w="1555" w:type="dxa"/>
            <w:tcBorders>
              <w:top w:val="single" w:sz="4" w:space="0" w:color="9BC2E6"/>
              <w:left w:val="single" w:sz="4" w:space="0" w:color="9BC2E6"/>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Cumulative surplus of AEAs</w:t>
            </w:r>
          </w:p>
        </w:tc>
        <w:tc>
          <w:tcPr>
            <w:tcW w:w="992"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rPr>
                <w:rFonts w:eastAsia="Times New Roman" w:cstheme="minorHAnsi"/>
                <w:noProof/>
                <w:color w:val="000000"/>
                <w:sz w:val="18"/>
                <w:szCs w:val="18"/>
                <w:lang w:eastAsia="en-GB"/>
              </w:rPr>
            </w:pPr>
            <w:r>
              <w:rPr>
                <w:noProof/>
                <w:color w:val="000000"/>
                <w:sz w:val="18"/>
                <w:szCs w:val="18"/>
              </w:rPr>
              <w:t> </w:t>
            </w:r>
          </w:p>
        </w:tc>
        <w:tc>
          <w:tcPr>
            <w:tcW w:w="709"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19,3</w:t>
            </w:r>
          </w:p>
        </w:tc>
        <w:tc>
          <w:tcPr>
            <w:tcW w:w="992"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49,1</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72,7</w:t>
            </w:r>
          </w:p>
        </w:tc>
        <w:tc>
          <w:tcPr>
            <w:tcW w:w="856" w:type="dxa"/>
            <w:gridSpan w:val="2"/>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84,0</w:t>
            </w:r>
          </w:p>
        </w:tc>
        <w:tc>
          <w:tcPr>
            <w:tcW w:w="850"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112,4</w:t>
            </w:r>
          </w:p>
        </w:tc>
        <w:tc>
          <w:tcPr>
            <w:tcW w:w="705"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139,7</w:t>
            </w:r>
          </w:p>
        </w:tc>
        <w:tc>
          <w:tcPr>
            <w:tcW w:w="993" w:type="dxa"/>
            <w:tcBorders>
              <w:top w:val="single" w:sz="4" w:space="0" w:color="9BC2E6"/>
              <w:left w:val="nil"/>
              <w:bottom w:val="single" w:sz="4" w:space="0" w:color="9BC2E6"/>
              <w:right w:val="nil"/>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167,0</w:t>
            </w:r>
          </w:p>
        </w:tc>
        <w:tc>
          <w:tcPr>
            <w:tcW w:w="992" w:type="dxa"/>
            <w:tcBorders>
              <w:top w:val="single" w:sz="4" w:space="0" w:color="9BC2E6"/>
              <w:left w:val="nil"/>
              <w:bottom w:val="single" w:sz="4" w:space="0" w:color="9BC2E6"/>
              <w:right w:val="single" w:sz="4" w:space="0" w:color="9BC2E6"/>
            </w:tcBorders>
            <w:shd w:val="clear" w:color="auto" w:fill="DEEAF6" w:themeFill="accent1" w:themeFillTint="33"/>
            <w:vAlign w:val="bottom"/>
            <w:hideMark/>
          </w:tcPr>
          <w:p>
            <w:pPr>
              <w:spacing w:after="0" w:line="240" w:lineRule="auto"/>
              <w:jc w:val="right"/>
              <w:rPr>
                <w:rFonts w:eastAsia="Times New Roman" w:cstheme="minorHAnsi"/>
                <w:noProof/>
                <w:color w:val="000000"/>
                <w:sz w:val="18"/>
                <w:szCs w:val="18"/>
                <w:lang w:eastAsia="en-GB"/>
              </w:rPr>
            </w:pPr>
            <w:r>
              <w:rPr>
                <w:noProof/>
                <w:color w:val="000000"/>
                <w:sz w:val="18"/>
                <w:szCs w:val="18"/>
              </w:rPr>
              <w:t> </w:t>
            </w:r>
          </w:p>
        </w:tc>
      </w:tr>
    </w:tbl>
    <w:p>
      <w:pPr>
        <w:pStyle w:val="Heading1"/>
        <w:rPr>
          <w:rFonts w:eastAsia="Calibri"/>
          <w:lang w:val="en-US"/>
        </w:rPr>
      </w:pPr>
      <w:r>
        <w:rPr>
          <w:rFonts w:eastAsia="Calibri"/>
          <w:lang w:val="en-US"/>
        </w:rPr>
        <w:br w:type="page"/>
      </w:r>
      <w:bookmarkStart w:id="40" w:name="_Toc53992023"/>
      <w:r>
        <w:rPr>
          <w:rFonts w:eastAsia="Calibri"/>
          <w:lang w:val="en-US"/>
        </w:rPr>
        <w:t>9. USE OF REVENUES FROM AUCTIONING OF ETS ALLOWANCES</w:t>
      </w:r>
      <w:bookmarkEnd w:id="40"/>
    </w:p>
    <w:p>
      <w:pPr>
        <w:pStyle w:val="Caption"/>
        <w:rPr>
          <w:noProof/>
          <w:color w:val="2E74B5" w:themeColor="accent1" w:themeShade="BF"/>
        </w:rPr>
      </w:pPr>
      <w:r>
        <w:rPr>
          <w:noProof/>
          <w:color w:val="2E74B5" w:themeColor="accent1" w:themeShade="BF"/>
          <w:sz w:val="18"/>
        </w:rPr>
        <w:br/>
      </w:r>
      <w:r>
        <w:rPr>
          <w:noProof/>
          <w:color w:val="2E74B5" w:themeColor="accent1" w:themeShade="BF"/>
        </w:rPr>
        <w:t>Table 7: Member States' revenues from auctioning of ETS allowances (EUR million), amounts spent on climate and energy purposes (EUR million) and share of the revenues spent on climate and energy purposes (%), 2013-2019.</w:t>
      </w:r>
      <w:r>
        <w:rPr>
          <w:rStyle w:val="FootnoteReference"/>
          <w:noProof/>
          <w:color w:val="2E74B5" w:themeColor="accent1" w:themeShade="BF"/>
        </w:rPr>
        <w:footnoteReference w:id="14"/>
      </w:r>
    </w:p>
    <w:tbl>
      <w:tblPr>
        <w:tblW w:w="9824" w:type="dxa"/>
        <w:jc w:val="center"/>
        <w:tblLayout w:type="fixed"/>
        <w:tblLook w:val="04A0" w:firstRow="1" w:lastRow="0" w:firstColumn="1" w:lastColumn="0" w:noHBand="0" w:noVBand="1"/>
      </w:tblPr>
      <w:tblGrid>
        <w:gridCol w:w="3539"/>
        <w:gridCol w:w="897"/>
        <w:gridCol w:w="898"/>
        <w:gridCol w:w="898"/>
        <w:gridCol w:w="898"/>
        <w:gridCol w:w="898"/>
        <w:gridCol w:w="898"/>
        <w:gridCol w:w="898"/>
      </w:tblGrid>
      <w:tr>
        <w:trPr>
          <w:trHeight w:val="301"/>
          <w:tblHeader/>
          <w:jc w:val="center"/>
        </w:trPr>
        <w:tc>
          <w:tcPr>
            <w:tcW w:w="3539" w:type="dxa"/>
            <w:tcBorders>
              <w:top w:val="single" w:sz="4" w:space="0" w:color="9BC2E6"/>
              <w:left w:val="single" w:sz="4" w:space="0" w:color="9BC2E6"/>
              <w:bottom w:val="single" w:sz="4" w:space="0" w:color="9BC2E6"/>
              <w:right w:val="nil"/>
            </w:tcBorders>
            <w:shd w:val="clear" w:color="DDEBF7" w:fill="1091E0"/>
            <w:noWrap/>
            <w:vAlign w:val="bottom"/>
            <w:hideMark/>
          </w:tcPr>
          <w:p>
            <w:pPr>
              <w:spacing w:after="0" w:line="240" w:lineRule="auto"/>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Member State</w:t>
            </w:r>
          </w:p>
        </w:tc>
        <w:tc>
          <w:tcPr>
            <w:tcW w:w="897" w:type="dxa"/>
            <w:tcBorders>
              <w:top w:val="single" w:sz="4" w:space="0" w:color="9BC2E6"/>
              <w:left w:val="nil"/>
              <w:bottom w:val="single" w:sz="4" w:space="0" w:color="9BC2E6"/>
              <w:right w:val="nil"/>
            </w:tcBorders>
            <w:shd w:val="clear" w:color="DDEBF7" w:fill="1091E0"/>
            <w:noWrap/>
            <w:vAlign w:val="center"/>
            <w:hideMark/>
          </w:tcPr>
          <w:p>
            <w:pPr>
              <w:spacing w:after="0" w:line="240" w:lineRule="auto"/>
              <w:jc w:val="right"/>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2013</w:t>
            </w:r>
          </w:p>
        </w:tc>
        <w:tc>
          <w:tcPr>
            <w:tcW w:w="898" w:type="dxa"/>
            <w:tcBorders>
              <w:top w:val="single" w:sz="4" w:space="0" w:color="9BC2E6"/>
              <w:left w:val="nil"/>
              <w:bottom w:val="single" w:sz="4" w:space="0" w:color="9BC2E6"/>
              <w:right w:val="nil"/>
            </w:tcBorders>
            <w:shd w:val="clear" w:color="DDEBF7" w:fill="1091E0"/>
            <w:noWrap/>
            <w:vAlign w:val="center"/>
            <w:hideMark/>
          </w:tcPr>
          <w:p>
            <w:pPr>
              <w:spacing w:after="0" w:line="240" w:lineRule="auto"/>
              <w:jc w:val="right"/>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2014</w:t>
            </w:r>
          </w:p>
        </w:tc>
        <w:tc>
          <w:tcPr>
            <w:tcW w:w="898" w:type="dxa"/>
            <w:tcBorders>
              <w:top w:val="single" w:sz="4" w:space="0" w:color="9BC2E6"/>
              <w:left w:val="nil"/>
              <w:bottom w:val="single" w:sz="4" w:space="0" w:color="9BC2E6"/>
              <w:right w:val="nil"/>
            </w:tcBorders>
            <w:shd w:val="clear" w:color="DDEBF7" w:fill="1091E0"/>
            <w:noWrap/>
            <w:vAlign w:val="center"/>
            <w:hideMark/>
          </w:tcPr>
          <w:p>
            <w:pPr>
              <w:spacing w:after="0" w:line="240" w:lineRule="auto"/>
              <w:jc w:val="right"/>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2015</w:t>
            </w:r>
          </w:p>
        </w:tc>
        <w:tc>
          <w:tcPr>
            <w:tcW w:w="898" w:type="dxa"/>
            <w:tcBorders>
              <w:top w:val="single" w:sz="4" w:space="0" w:color="9BC2E6"/>
              <w:left w:val="nil"/>
              <w:bottom w:val="single" w:sz="4" w:space="0" w:color="9BC2E6"/>
              <w:right w:val="nil"/>
            </w:tcBorders>
            <w:shd w:val="clear" w:color="DDEBF7" w:fill="1091E0"/>
            <w:noWrap/>
            <w:vAlign w:val="center"/>
            <w:hideMark/>
          </w:tcPr>
          <w:p>
            <w:pPr>
              <w:spacing w:after="0" w:line="240" w:lineRule="auto"/>
              <w:jc w:val="right"/>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2016</w:t>
            </w:r>
          </w:p>
        </w:tc>
        <w:tc>
          <w:tcPr>
            <w:tcW w:w="898" w:type="dxa"/>
            <w:tcBorders>
              <w:top w:val="single" w:sz="4" w:space="0" w:color="9BC2E6"/>
              <w:left w:val="nil"/>
              <w:bottom w:val="single" w:sz="4" w:space="0" w:color="9BC2E6"/>
              <w:right w:val="nil"/>
            </w:tcBorders>
            <w:shd w:val="clear" w:color="DDEBF7" w:fill="1091E0"/>
            <w:noWrap/>
            <w:vAlign w:val="center"/>
            <w:hideMark/>
          </w:tcPr>
          <w:p>
            <w:pPr>
              <w:spacing w:after="0" w:line="240" w:lineRule="auto"/>
              <w:jc w:val="right"/>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2017</w:t>
            </w:r>
          </w:p>
        </w:tc>
        <w:tc>
          <w:tcPr>
            <w:tcW w:w="898" w:type="dxa"/>
            <w:tcBorders>
              <w:top w:val="single" w:sz="4" w:space="0" w:color="9BC2E6"/>
              <w:left w:val="nil"/>
              <w:bottom w:val="single" w:sz="4" w:space="0" w:color="9BC2E6"/>
              <w:right w:val="single" w:sz="4" w:space="0" w:color="9BC2E6"/>
            </w:tcBorders>
            <w:shd w:val="clear" w:color="DDEBF7" w:fill="1091E0"/>
            <w:noWrap/>
            <w:vAlign w:val="center"/>
            <w:hideMark/>
          </w:tcPr>
          <w:p>
            <w:pPr>
              <w:spacing w:after="0" w:line="240" w:lineRule="auto"/>
              <w:jc w:val="right"/>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2018</w:t>
            </w:r>
          </w:p>
        </w:tc>
        <w:tc>
          <w:tcPr>
            <w:tcW w:w="898" w:type="dxa"/>
            <w:tcBorders>
              <w:top w:val="single" w:sz="4" w:space="0" w:color="9BC2E6"/>
              <w:left w:val="nil"/>
              <w:bottom w:val="single" w:sz="4" w:space="0" w:color="9BC2E6"/>
              <w:right w:val="single" w:sz="4" w:space="0" w:color="9BC2E6"/>
            </w:tcBorders>
            <w:shd w:val="clear" w:color="DDEBF7" w:fill="1091E0"/>
            <w:vAlign w:val="center"/>
          </w:tcPr>
          <w:p>
            <w:pPr>
              <w:spacing w:after="0" w:line="240" w:lineRule="auto"/>
              <w:jc w:val="right"/>
              <w:rPr>
                <w:rFonts w:ascii="Calibri" w:eastAsia="Times New Roman" w:hAnsi="Calibri" w:cs="Calibri"/>
                <w:b/>
                <w:bCs/>
                <w:noProof/>
                <w:color w:val="FFFFFF" w:themeColor="background1"/>
                <w:sz w:val="20"/>
                <w:lang w:eastAsia="en-GB"/>
              </w:rPr>
            </w:pPr>
            <w:r>
              <w:rPr>
                <w:rFonts w:ascii="Calibri" w:eastAsia="Times New Roman" w:hAnsi="Calibri" w:cs="Calibri"/>
                <w:b/>
                <w:bCs/>
                <w:noProof/>
                <w:color w:val="FFFFFF" w:themeColor="background1"/>
                <w:sz w:val="20"/>
                <w:lang w:eastAsia="en-GB"/>
              </w:rPr>
              <w:t>2019</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Austria*</w:t>
            </w:r>
            <w:r>
              <w:rPr>
                <w:rStyle w:val="FootnoteReference"/>
                <w:rFonts w:eastAsia="Times New Roman" w:cstheme="minorHAnsi"/>
                <w:b/>
                <w:bCs/>
                <w:noProof/>
                <w:color w:val="000000"/>
                <w:sz w:val="20"/>
                <w:szCs w:val="20"/>
                <w:lang w:eastAsia="en-GB"/>
              </w:rPr>
              <w:footnoteReference w:id="15"/>
            </w:r>
          </w:p>
        </w:tc>
        <w:tc>
          <w:tcPr>
            <w:tcW w:w="897" w:type="dxa"/>
            <w:tcBorders>
              <w:top w:val="single" w:sz="4" w:space="0" w:color="9BC2E6"/>
              <w:left w:val="nil"/>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 </w:t>
            </w:r>
          </w:p>
        </w:tc>
        <w:tc>
          <w:tcPr>
            <w:tcW w:w="898" w:type="dxa"/>
            <w:tcBorders>
              <w:top w:val="single" w:sz="4" w:space="0" w:color="9BC2E6"/>
              <w:left w:val="nil"/>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 </w:t>
            </w:r>
          </w:p>
        </w:tc>
        <w:tc>
          <w:tcPr>
            <w:tcW w:w="898" w:type="dxa"/>
            <w:tcBorders>
              <w:top w:val="single" w:sz="4" w:space="0" w:color="9BC2E6"/>
              <w:left w:val="nil"/>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 </w:t>
            </w:r>
          </w:p>
        </w:tc>
        <w:tc>
          <w:tcPr>
            <w:tcW w:w="898" w:type="dxa"/>
            <w:tcBorders>
              <w:top w:val="single" w:sz="4" w:space="0" w:color="9BC2E6"/>
              <w:left w:val="nil"/>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 </w:t>
            </w:r>
          </w:p>
        </w:tc>
        <w:tc>
          <w:tcPr>
            <w:tcW w:w="898" w:type="dxa"/>
            <w:tcBorders>
              <w:top w:val="single" w:sz="4" w:space="0" w:color="9BC2E6"/>
              <w:left w:val="nil"/>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 </w:t>
            </w:r>
          </w:p>
        </w:tc>
        <w:tc>
          <w:tcPr>
            <w:tcW w:w="898" w:type="dxa"/>
            <w:tcBorders>
              <w:top w:val="single" w:sz="4" w:space="0" w:color="9BC2E6"/>
              <w:left w:val="nil"/>
              <w:bottom w:val="nil"/>
              <w:right w:val="single" w:sz="4" w:space="0" w:color="9BC2E6"/>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 </w:t>
            </w: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55,8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53,6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78,6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59,5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157,4</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210,4</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183,8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37,0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54,8</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79,8</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59,9</w:t>
            </w: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101%</w:t>
            </w:r>
          </w:p>
        </w:tc>
        <w:tc>
          <w:tcPr>
            <w:tcW w:w="898" w:type="dxa"/>
            <w:tcBorders>
              <w:top w:val="single" w:sz="4" w:space="0" w:color="9BC2E6"/>
              <w:left w:val="nil"/>
              <w:bottom w:val="nil"/>
              <w:right w:val="nil"/>
            </w:tcBorders>
            <w:shd w:val="clear" w:color="auto" w:fill="auto"/>
            <w:noWrap/>
            <w:hideMark/>
          </w:tcPr>
          <w:p>
            <w:pPr>
              <w:spacing w:after="0" w:line="240" w:lineRule="auto"/>
              <w:rPr>
                <w:rFonts w:eastAsia="Times New Roman" w:cstheme="minorHAnsi"/>
                <w:noProof/>
                <w:color w:val="000000"/>
                <w:sz w:val="20"/>
                <w:szCs w:val="20"/>
                <w:lang w:eastAsia="en-GB"/>
              </w:rPr>
            </w:pP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rPr>
                <w:rFonts w:eastAsia="Times New Roman" w:cstheme="minorHAnsi"/>
                <w:noProof/>
                <w:color w:val="000000"/>
                <w:sz w:val="20"/>
                <w:szCs w:val="20"/>
                <w:lang w:eastAsia="en-GB"/>
              </w:rPr>
            </w:pPr>
          </w:p>
        </w:tc>
        <w:tc>
          <w:tcPr>
            <w:tcW w:w="898" w:type="dxa"/>
            <w:tcBorders>
              <w:top w:val="single" w:sz="4" w:space="0" w:color="9BC2E6"/>
              <w:left w:val="nil"/>
              <w:bottom w:val="nil"/>
              <w:right w:val="single" w:sz="4" w:space="0" w:color="9BC2E6"/>
            </w:tcBorders>
          </w:tcPr>
          <w:p>
            <w:pPr>
              <w:spacing w:after="0" w:line="240" w:lineRule="auto"/>
              <w:rPr>
                <w:rFonts w:eastAsia="Times New Roman" w:cstheme="minorHAnsi"/>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Belgium</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97,1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141,6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107,9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145,1</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381,5</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356,8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37,5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133,1</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213,7</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357,8</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92%</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Bulgaria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121,8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85,3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130,4</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368,2</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440,3</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51,3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103,5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94,1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138,2</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368,2</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440,3</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106%</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Croatia</w:t>
            </w:r>
            <w:r>
              <w:rPr>
                <w:rStyle w:val="FootnoteReference"/>
                <w:rFonts w:eastAsia="Times New Roman" w:cstheme="minorHAnsi"/>
                <w:b/>
                <w:bCs/>
                <w:noProof/>
                <w:color w:val="000000"/>
                <w:sz w:val="20"/>
                <w:szCs w:val="20"/>
                <w:lang w:eastAsia="en-GB"/>
              </w:rPr>
              <w:footnoteReference w:id="16"/>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N/A</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N/A</w:t>
            </w:r>
          </w:p>
        </w:tc>
        <w:tc>
          <w:tcPr>
            <w:tcW w:w="898" w:type="dxa"/>
            <w:tcBorders>
              <w:top w:val="single" w:sz="4" w:space="0" w:color="9BC2E6"/>
              <w:left w:val="nil"/>
              <w:bottom w:val="nil"/>
              <w:right w:val="nil"/>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87.0</w:t>
            </w:r>
          </w:p>
        </w:tc>
        <w:tc>
          <w:tcPr>
            <w:tcW w:w="898" w:type="dxa"/>
            <w:tcBorders>
              <w:top w:val="single" w:sz="4" w:space="0" w:color="9BC2E6"/>
              <w:left w:val="nil"/>
              <w:bottom w:val="nil"/>
              <w:right w:val="nil"/>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20.3</w:t>
            </w:r>
          </w:p>
        </w:tc>
        <w:tc>
          <w:tcPr>
            <w:tcW w:w="898" w:type="dxa"/>
            <w:tcBorders>
              <w:top w:val="single" w:sz="4" w:space="0" w:color="9BC2E6"/>
              <w:left w:val="nil"/>
              <w:bottom w:val="nil"/>
              <w:right w:val="nil"/>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27.2</w:t>
            </w:r>
          </w:p>
        </w:tc>
        <w:tc>
          <w:tcPr>
            <w:tcW w:w="898" w:type="dxa"/>
            <w:tcBorders>
              <w:top w:val="single" w:sz="4" w:space="0" w:color="9BC2E6"/>
              <w:left w:val="nil"/>
              <w:bottom w:val="nil"/>
              <w:right w:val="single" w:sz="4" w:space="0" w:color="9BC2E6"/>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71.5</w:t>
            </w:r>
          </w:p>
        </w:tc>
        <w:tc>
          <w:tcPr>
            <w:tcW w:w="898" w:type="dxa"/>
            <w:tcBorders>
              <w:top w:val="single" w:sz="4" w:space="0" w:color="9BC2E6"/>
              <w:left w:val="nil"/>
              <w:bottom w:val="nil"/>
              <w:right w:val="single" w:sz="4" w:space="0" w:color="9BC2E6"/>
            </w:tcBorders>
            <w:vAlign w:val="center"/>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72.7</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N/A</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N/A</w:t>
            </w:r>
          </w:p>
        </w:tc>
        <w:tc>
          <w:tcPr>
            <w:tcW w:w="898" w:type="dxa"/>
            <w:tcBorders>
              <w:top w:val="single" w:sz="4" w:space="0" w:color="9BC2E6"/>
              <w:left w:val="nil"/>
              <w:bottom w:val="nil"/>
              <w:right w:val="nil"/>
            </w:tcBorders>
            <w:shd w:val="clear" w:color="DDEBF7" w:fill="DDEBF7"/>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50.8</w:t>
            </w:r>
          </w:p>
        </w:tc>
        <w:tc>
          <w:tcPr>
            <w:tcW w:w="898" w:type="dxa"/>
            <w:tcBorders>
              <w:top w:val="single" w:sz="4" w:space="0" w:color="9BC2E6"/>
              <w:left w:val="nil"/>
              <w:bottom w:val="nil"/>
              <w:right w:val="nil"/>
            </w:tcBorders>
            <w:shd w:val="clear" w:color="DDEBF7" w:fill="DDEBF7"/>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46.1</w:t>
            </w:r>
          </w:p>
        </w:tc>
        <w:tc>
          <w:tcPr>
            <w:tcW w:w="898" w:type="dxa"/>
            <w:tcBorders>
              <w:top w:val="single" w:sz="4" w:space="0" w:color="9BC2E6"/>
              <w:left w:val="nil"/>
              <w:bottom w:val="nil"/>
              <w:right w:val="nil"/>
            </w:tcBorders>
            <w:shd w:val="clear" w:color="DDEBF7" w:fill="DDEBF7"/>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18.9</w:t>
            </w:r>
          </w:p>
        </w:tc>
        <w:tc>
          <w:tcPr>
            <w:tcW w:w="898" w:type="dxa"/>
            <w:tcBorders>
              <w:top w:val="single" w:sz="4" w:space="0" w:color="9BC2E6"/>
              <w:left w:val="nil"/>
              <w:bottom w:val="nil"/>
              <w:right w:val="single" w:sz="4" w:space="0" w:color="9BC2E6"/>
            </w:tcBorders>
            <w:shd w:val="clear" w:color="DDEBF7" w:fill="DDEBF7"/>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29.0</w:t>
            </w:r>
          </w:p>
        </w:tc>
        <w:tc>
          <w:tcPr>
            <w:tcW w:w="898" w:type="dxa"/>
            <w:tcBorders>
              <w:top w:val="single" w:sz="4" w:space="0" w:color="9BC2E6"/>
              <w:left w:val="nil"/>
              <w:bottom w:val="nil"/>
              <w:right w:val="single" w:sz="4" w:space="0" w:color="9BC2E6"/>
            </w:tcBorders>
            <w:shd w:val="clear" w:color="DDEBF7" w:fill="DDEBF7"/>
            <w:vAlign w:val="center"/>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13.4</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N/A</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N/A</w:t>
            </w:r>
          </w:p>
        </w:tc>
        <w:tc>
          <w:tcPr>
            <w:tcW w:w="898" w:type="dxa"/>
            <w:tcBorders>
              <w:top w:val="single" w:sz="4" w:space="0" w:color="9BC2E6"/>
              <w:left w:val="nil"/>
              <w:bottom w:val="nil"/>
              <w:right w:val="nil"/>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100%</w:t>
            </w:r>
          </w:p>
        </w:tc>
        <w:tc>
          <w:tcPr>
            <w:tcW w:w="898" w:type="dxa"/>
            <w:tcBorders>
              <w:top w:val="single" w:sz="4" w:space="0" w:color="9BC2E6"/>
              <w:left w:val="nil"/>
              <w:bottom w:val="nil"/>
              <w:right w:val="nil"/>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100%</w:t>
            </w:r>
          </w:p>
        </w:tc>
        <w:tc>
          <w:tcPr>
            <w:tcW w:w="898" w:type="dxa"/>
            <w:tcBorders>
              <w:top w:val="single" w:sz="4" w:space="0" w:color="9BC2E6"/>
              <w:left w:val="nil"/>
              <w:bottom w:val="nil"/>
              <w:right w:val="nil"/>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100%</w:t>
            </w:r>
          </w:p>
        </w:tc>
        <w:tc>
          <w:tcPr>
            <w:tcW w:w="898" w:type="dxa"/>
            <w:tcBorders>
              <w:top w:val="single" w:sz="4" w:space="0" w:color="9BC2E6"/>
              <w:left w:val="nil"/>
              <w:bottom w:val="nil"/>
              <w:right w:val="single" w:sz="4" w:space="0" w:color="9BC2E6"/>
            </w:tcBorders>
            <w:shd w:val="clear" w:color="auto" w:fill="auto"/>
            <w:noWrap/>
            <w:vAlign w:val="center"/>
            <w:hideMark/>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100%</w:t>
            </w:r>
          </w:p>
        </w:tc>
        <w:tc>
          <w:tcPr>
            <w:tcW w:w="898" w:type="dxa"/>
            <w:tcBorders>
              <w:top w:val="single" w:sz="4" w:space="0" w:color="9BC2E6"/>
              <w:left w:val="nil"/>
              <w:bottom w:val="nil"/>
              <w:right w:val="single" w:sz="4" w:space="0" w:color="9BC2E6"/>
            </w:tcBorders>
            <w:vAlign w:val="center"/>
          </w:tcPr>
          <w:p>
            <w:pPr>
              <w:spacing w:after="0" w:line="240" w:lineRule="auto"/>
              <w:jc w:val="right"/>
              <w:rPr>
                <w:rFonts w:eastAsia="Times New Roman" w:cstheme="minorHAnsi"/>
                <w:noProof/>
                <w:color w:val="000000"/>
                <w:sz w:val="20"/>
                <w:szCs w:val="20"/>
                <w:lang w:eastAsia="en-GB"/>
              </w:rPr>
            </w:pPr>
            <w:r>
              <w:rPr>
                <w:rFonts w:cstheme="minorHAnsi"/>
                <w:noProof/>
                <w:sz w:val="20"/>
                <w:szCs w:val="20"/>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Cyprus</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6,4</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26,0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26,1</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2,8</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0,8</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6,4</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Czechia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80,7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55,7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111,5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118,0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199,8</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584,4</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630,4</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73,2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26,9</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110,9</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117,4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199,8</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367,3</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408,4</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63%</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65%</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Denmark*</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48,1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53,7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71,7</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189,8</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166,1</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48,1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53,7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71,7</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189,8</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166,1</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Estonia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23,6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39,4</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141,3</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142,8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15,9</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53,3</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64,5</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38%</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45%</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Finland*</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67,0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63,5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93,8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95,3</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251,8</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219,9</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93,8</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9,5</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251,8</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219,9</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France</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219,2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215,3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312,1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234,7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313,4</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829,6</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726,5</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219,2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215,3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312,1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313,4</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550,0</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420,0</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66%</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Germany</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790,9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750,0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1110,2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850,4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1146,8</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2581,7</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3164,0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790,9</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750,0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1110,2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845,6</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1130,8</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2563,0</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3147,2</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Greece</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147,6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131,1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195,2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148,1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198,0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523,5</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509,5</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142,5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116,7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177,2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148,1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198,0</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523,5</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509,5</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Hungary</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49,4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83,3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63,4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85,1</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226,5</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228,0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17,3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32,8</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22,4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68,1</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65,9</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74,0</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29%</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32%</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Ireland*</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41,7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41,7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53,6</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142,1</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124,3</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41,7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41,7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53,6</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142,1</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124,3</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Italy</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427,9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408,6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543,4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411,2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549,8</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1453,4</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1289,0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214,7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207,5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118,1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383,7</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148,4</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148,1</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Latvia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15,4</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40,7</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42,6</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3,8</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12,3</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11,4</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27%</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Lithuania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17,3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28,4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20,8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31,5</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80,4</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84,0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20,0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17,3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28,4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20,8</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31,5</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80,4</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83,7</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Luxembourg*</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6,9</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18,3</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17,1</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2,9</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2,6</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9,2</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17,1</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51%</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Malta*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15,7</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15,9</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3,9</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6,9</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4,9</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9,1</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116%</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31%</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57%</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Netherlands*</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134,2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131,1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187,3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142,6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190,7</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504,2</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440,1</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134,2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131,1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187,3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141,6</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190,7</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504,2</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440,1</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Poland*</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244,0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78,0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132,8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136,1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506,0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1202,3</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2548,8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128,7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39,0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68,5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68,1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290,4</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609,9</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1274,4</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57%</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51%</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Portugal</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72,8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67,1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75,1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100,3</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265,6</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257,1</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65,0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83,7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82,5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95,1</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201,2</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235,3</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95%</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76%</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92%</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Romania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122,7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97,9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195,2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194,0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260,8</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719,1</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749,8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91,2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67,7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42,5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160,0</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42,7</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22%</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Slovakia</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61,7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57,6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84,5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87,1</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229,8</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244,7</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15,1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40,9</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55,6</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44,6</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47%</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24%</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Slovenia</w:t>
            </w:r>
            <w:r>
              <w:rPr>
                <w:rStyle w:val="FootnoteReference"/>
                <w:rFonts w:eastAsia="Times New Roman" w:cstheme="minorHAnsi"/>
                <w:b/>
                <w:bCs/>
                <w:noProof/>
                <w:color w:val="000000"/>
                <w:sz w:val="20"/>
                <w:szCs w:val="20"/>
                <w:lang w:eastAsia="en-GB"/>
              </w:rPr>
              <w:footnoteReference w:id="17"/>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17,7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16,6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24,4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25,1</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66,3</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65,3</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8,9</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24,4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25,1</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65,3</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rPr>
                <w:rFonts w:eastAsia="Times New Roman" w:cstheme="minorHAnsi"/>
                <w:noProof/>
                <w:color w:val="000000"/>
                <w:sz w:val="20"/>
                <w:szCs w:val="20"/>
                <w:lang w:eastAsia="en-GB"/>
              </w:rPr>
            </w:pP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Spain</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346,1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330,1</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489,5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364,5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493,6</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1306,0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1245,2</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346,1</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370,2</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387,8</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343,6</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445,5</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788,6</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1054,1</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112%</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79%</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90%</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60%</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85%</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Sweden*</w:t>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35,7</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33,6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38,6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52,6</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136,3</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128,5</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35,7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18,9</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30,5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21,7</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28,8</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76,5</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73,9</w:t>
            </w: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58%</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55%</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56%</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58%</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rPr>
                <w:rFonts w:eastAsia="Times New Roman" w:cstheme="minorHAnsi"/>
                <w:b/>
                <w:bCs/>
                <w:noProof/>
                <w:color w:val="000000"/>
                <w:sz w:val="20"/>
                <w:szCs w:val="20"/>
                <w:lang w:eastAsia="en-GB"/>
              </w:rPr>
            </w:pPr>
            <w:r>
              <w:rPr>
                <w:rFonts w:eastAsia="Times New Roman" w:cstheme="minorHAnsi"/>
                <w:b/>
                <w:bCs/>
                <w:noProof/>
                <w:color w:val="000000"/>
                <w:sz w:val="20"/>
                <w:szCs w:val="20"/>
                <w:lang w:eastAsia="en-GB"/>
              </w:rPr>
              <w:t>United Kingdom*</w:t>
            </w:r>
            <w:r>
              <w:rPr>
                <w:rStyle w:val="FootnoteReference"/>
                <w:rFonts w:eastAsia="Times New Roman" w:cstheme="minorHAnsi"/>
                <w:b/>
                <w:bCs/>
                <w:noProof/>
                <w:color w:val="000000"/>
                <w:sz w:val="20"/>
                <w:szCs w:val="20"/>
                <w:lang w:eastAsia="en-GB"/>
              </w:rPr>
              <w:footnoteReference w:id="18"/>
            </w:r>
          </w:p>
        </w:tc>
        <w:tc>
          <w:tcPr>
            <w:tcW w:w="897"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nil"/>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rPr>
                <w:rFonts w:eastAsia="Times New Roman" w:cstheme="minorHAnsi"/>
                <w:b/>
                <w:bCs/>
                <w:noProof/>
                <w:color w:val="000000"/>
                <w:sz w:val="20"/>
                <w:szCs w:val="20"/>
                <w:lang w:eastAsia="en-GB"/>
              </w:rPr>
            </w:pPr>
          </w:p>
        </w:tc>
        <w:tc>
          <w:tcPr>
            <w:tcW w:w="898" w:type="dxa"/>
            <w:tcBorders>
              <w:top w:val="single" w:sz="4" w:space="0" w:color="9BC2E6"/>
              <w:left w:val="nil"/>
              <w:bottom w:val="nil"/>
              <w:right w:val="single" w:sz="4" w:space="0" w:color="9BC2E6"/>
            </w:tcBorders>
            <w:shd w:val="clear" w:color="DDEBF7" w:fill="DDEBF7"/>
          </w:tcPr>
          <w:p>
            <w:pPr>
              <w:spacing w:after="0" w:line="240" w:lineRule="auto"/>
              <w:rPr>
                <w:rFonts w:eastAsia="Times New Roman" w:cstheme="minorHAnsi"/>
                <w:b/>
                <w:bCs/>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nil"/>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Total revenues</w:t>
            </w:r>
          </w:p>
        </w:tc>
        <w:tc>
          <w:tcPr>
            <w:tcW w:w="897"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485,4</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401,5</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586,3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424,3</w:t>
            </w:r>
          </w:p>
        </w:tc>
        <w:tc>
          <w:tcPr>
            <w:tcW w:w="898" w:type="dxa"/>
            <w:tcBorders>
              <w:top w:val="single" w:sz="4" w:space="0" w:color="9BC2E6"/>
              <w:left w:val="nil"/>
              <w:bottom w:val="nil"/>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614,8</w:t>
            </w:r>
          </w:p>
        </w:tc>
        <w:tc>
          <w:tcPr>
            <w:tcW w:w="898" w:type="dxa"/>
            <w:tcBorders>
              <w:top w:val="single" w:sz="4" w:space="0" w:color="9BC2E6"/>
              <w:left w:val="nil"/>
              <w:bottom w:val="nil"/>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1620,7</w:t>
            </w:r>
          </w:p>
        </w:tc>
        <w:tc>
          <w:tcPr>
            <w:tcW w:w="898" w:type="dxa"/>
            <w:tcBorders>
              <w:top w:val="single" w:sz="4" w:space="0" w:color="9BC2E6"/>
              <w:left w:val="nil"/>
              <w:bottom w:val="nil"/>
              <w:right w:val="single" w:sz="4" w:space="0" w:color="9BC2E6"/>
            </w:tcBorders>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0,0</w:t>
            </w:r>
          </w:p>
        </w:tc>
      </w:tr>
      <w:tr>
        <w:trPr>
          <w:trHeight w:val="301"/>
          <w:jc w:val="center"/>
        </w:trPr>
        <w:tc>
          <w:tcPr>
            <w:tcW w:w="3539" w:type="dxa"/>
            <w:tcBorders>
              <w:top w:val="single" w:sz="4" w:space="0" w:color="9BC2E6"/>
              <w:left w:val="single" w:sz="4" w:space="0" w:color="9BC2E6"/>
              <w:bottom w:val="nil"/>
              <w:right w:val="nil"/>
            </w:tcBorders>
            <w:shd w:val="clear" w:color="DDEBF7" w:fill="DDEBF7"/>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Amount spent on climate and energy</w:t>
            </w:r>
          </w:p>
        </w:tc>
        <w:tc>
          <w:tcPr>
            <w:tcW w:w="897"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485,4</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401,5</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586,3</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419,0</w:t>
            </w:r>
          </w:p>
        </w:tc>
        <w:tc>
          <w:tcPr>
            <w:tcW w:w="898" w:type="dxa"/>
            <w:tcBorders>
              <w:top w:val="single" w:sz="4" w:space="0" w:color="9BC2E6"/>
              <w:left w:val="nil"/>
              <w:bottom w:val="nil"/>
              <w:right w:val="nil"/>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614,8</w:t>
            </w:r>
          </w:p>
        </w:tc>
        <w:tc>
          <w:tcPr>
            <w:tcW w:w="898" w:type="dxa"/>
            <w:tcBorders>
              <w:top w:val="single" w:sz="4" w:space="0" w:color="9BC2E6"/>
              <w:left w:val="nil"/>
              <w:bottom w:val="nil"/>
              <w:right w:val="single" w:sz="4" w:space="0" w:color="9BC2E6"/>
            </w:tcBorders>
            <w:shd w:val="clear" w:color="DDEBF7" w:fill="DDEBF7"/>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1334,2</w:t>
            </w:r>
          </w:p>
        </w:tc>
        <w:tc>
          <w:tcPr>
            <w:tcW w:w="898" w:type="dxa"/>
            <w:tcBorders>
              <w:top w:val="single" w:sz="4" w:space="0" w:color="9BC2E6"/>
              <w:left w:val="nil"/>
              <w:bottom w:val="nil"/>
              <w:right w:val="single" w:sz="4" w:space="0" w:color="9BC2E6"/>
            </w:tcBorders>
            <w:shd w:val="clear" w:color="DDEBF7" w:fill="DDEBF7"/>
          </w:tcPr>
          <w:p>
            <w:pPr>
              <w:spacing w:after="0" w:line="240" w:lineRule="auto"/>
              <w:jc w:val="right"/>
              <w:rPr>
                <w:rFonts w:eastAsia="Times New Roman" w:cstheme="minorHAnsi"/>
                <w:noProof/>
                <w:color w:val="000000"/>
                <w:sz w:val="20"/>
                <w:szCs w:val="20"/>
                <w:lang w:eastAsia="en-GB"/>
              </w:rPr>
            </w:pPr>
          </w:p>
        </w:tc>
      </w:tr>
      <w:tr>
        <w:trPr>
          <w:trHeight w:val="301"/>
          <w:jc w:val="center"/>
        </w:trPr>
        <w:tc>
          <w:tcPr>
            <w:tcW w:w="3539" w:type="dxa"/>
            <w:tcBorders>
              <w:top w:val="single" w:sz="4" w:space="0" w:color="9BC2E6"/>
              <w:left w:val="single" w:sz="4" w:space="0" w:color="9BC2E6"/>
              <w:bottom w:val="single" w:sz="4" w:space="0" w:color="9BC2E6"/>
              <w:right w:val="nil"/>
            </w:tcBorders>
            <w:shd w:val="clear" w:color="auto" w:fill="auto"/>
            <w:noWrap/>
            <w:vAlign w:val="bottom"/>
            <w:hideMark/>
          </w:tcPr>
          <w:p>
            <w:pPr>
              <w:spacing w:after="0" w:line="240" w:lineRule="auto"/>
              <w:ind w:firstLineChars="100" w:firstLine="200"/>
              <w:rPr>
                <w:rFonts w:eastAsia="Times New Roman" w:cstheme="minorHAnsi"/>
                <w:noProof/>
                <w:color w:val="000000"/>
                <w:sz w:val="20"/>
                <w:szCs w:val="20"/>
                <w:lang w:eastAsia="en-GB"/>
              </w:rPr>
            </w:pPr>
            <w:r>
              <w:rPr>
                <w:rFonts w:eastAsia="Times New Roman" w:cstheme="minorHAnsi"/>
                <w:noProof/>
                <w:color w:val="000000"/>
                <w:sz w:val="20"/>
                <w:szCs w:val="20"/>
                <w:lang w:eastAsia="en-GB"/>
              </w:rPr>
              <w:t>Share spent on climate and energy</w:t>
            </w:r>
          </w:p>
        </w:tc>
        <w:tc>
          <w:tcPr>
            <w:tcW w:w="897" w:type="dxa"/>
            <w:tcBorders>
              <w:top w:val="single" w:sz="4" w:space="0" w:color="9BC2E6"/>
              <w:left w:val="nil"/>
              <w:bottom w:val="single" w:sz="4" w:space="0" w:color="9BC2E6"/>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single" w:sz="4" w:space="0" w:color="9BC2E6"/>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single" w:sz="4" w:space="0" w:color="9BC2E6"/>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single" w:sz="4" w:space="0" w:color="9BC2E6"/>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99%</w:t>
            </w:r>
          </w:p>
        </w:tc>
        <w:tc>
          <w:tcPr>
            <w:tcW w:w="898" w:type="dxa"/>
            <w:tcBorders>
              <w:top w:val="single" w:sz="4" w:space="0" w:color="9BC2E6"/>
              <w:left w:val="nil"/>
              <w:bottom w:val="single" w:sz="4" w:space="0" w:color="9BC2E6"/>
              <w:right w:val="nil"/>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100%</w:t>
            </w:r>
          </w:p>
        </w:tc>
        <w:tc>
          <w:tcPr>
            <w:tcW w:w="898" w:type="dxa"/>
            <w:tcBorders>
              <w:top w:val="single" w:sz="4" w:space="0" w:color="9BC2E6"/>
              <w:left w:val="nil"/>
              <w:bottom w:val="single" w:sz="4" w:space="0" w:color="9BC2E6"/>
              <w:right w:val="single" w:sz="4" w:space="0" w:color="9BC2E6"/>
            </w:tcBorders>
            <w:shd w:val="clear" w:color="auto" w:fill="auto"/>
            <w:noWrap/>
            <w:hideMark/>
          </w:tcPr>
          <w:p>
            <w:pPr>
              <w:spacing w:after="0" w:line="240" w:lineRule="auto"/>
              <w:jc w:val="right"/>
              <w:rPr>
                <w:rFonts w:eastAsia="Times New Roman" w:cstheme="minorHAnsi"/>
                <w:noProof/>
                <w:color w:val="000000"/>
                <w:sz w:val="20"/>
                <w:szCs w:val="20"/>
                <w:lang w:eastAsia="en-GB"/>
              </w:rPr>
            </w:pPr>
            <w:r>
              <w:rPr>
                <w:rFonts w:cstheme="minorHAnsi"/>
                <w:noProof/>
                <w:color w:val="000000"/>
                <w:sz w:val="20"/>
                <w:szCs w:val="20"/>
                <w:lang w:val="fr-BE"/>
              </w:rPr>
              <w:t>82%</w:t>
            </w:r>
          </w:p>
        </w:tc>
        <w:tc>
          <w:tcPr>
            <w:tcW w:w="898" w:type="dxa"/>
            <w:tcBorders>
              <w:top w:val="single" w:sz="4" w:space="0" w:color="9BC2E6"/>
              <w:left w:val="nil"/>
              <w:bottom w:val="single" w:sz="4" w:space="0" w:color="9BC2E6"/>
              <w:right w:val="single" w:sz="4" w:space="0" w:color="9BC2E6"/>
            </w:tcBorders>
          </w:tcPr>
          <w:p>
            <w:pPr>
              <w:spacing w:after="0" w:line="240" w:lineRule="auto"/>
              <w:jc w:val="right"/>
              <w:rPr>
                <w:rFonts w:eastAsia="Times New Roman" w:cstheme="minorHAnsi"/>
                <w:noProof/>
                <w:color w:val="000000"/>
                <w:sz w:val="20"/>
                <w:szCs w:val="20"/>
                <w:lang w:eastAsia="en-GB"/>
              </w:rPr>
            </w:pPr>
          </w:p>
        </w:tc>
      </w:tr>
    </w:tbl>
    <w:p>
      <w:pPr>
        <w:rPr>
          <w:noProof/>
          <w:lang w:val="en-US"/>
        </w:rPr>
      </w:pPr>
    </w:p>
    <w:p>
      <w:pPr>
        <w:rPr>
          <w:noProof/>
          <w:lang w:val="en-US"/>
        </w:rPr>
      </w:pPr>
      <w:r>
        <w:rPr>
          <w:noProof/>
          <w:lang w:val="en-US"/>
        </w:rPr>
        <w:t xml:space="preserve">*Member States that do not earmark auction revenues. </w:t>
      </w:r>
    </w:p>
    <w:p>
      <w:pPr>
        <w:pStyle w:val="Heading1"/>
        <w:rPr>
          <w:rFonts w:eastAsia="Calibri"/>
          <w:lang w:val="en-US"/>
        </w:rPr>
      </w:pPr>
      <w:bookmarkStart w:id="41" w:name="_Toc53992024"/>
      <w:r>
        <w:rPr>
          <w:rFonts w:eastAsia="Calibri"/>
          <w:lang w:val="en-US"/>
        </w:rPr>
        <w:t>10. NER 300 PROJECTS</w:t>
      </w:r>
      <w:bookmarkEnd w:id="41"/>
    </w:p>
    <w:p>
      <w:pPr>
        <w:rPr>
          <w:rFonts w:ascii="Calibri" w:eastAsia="Calibri" w:hAnsi="Calibri" w:cs="Times New Roman"/>
          <w:b/>
          <w:bCs/>
          <w:noProof/>
          <w:color w:val="4F81BD"/>
          <w:sz w:val="20"/>
          <w:szCs w:val="18"/>
          <w:lang w:val="en-US"/>
        </w:rPr>
      </w:pPr>
      <w:r>
        <w:rPr>
          <w:rFonts w:ascii="Calibri" w:eastAsia="Calibri" w:hAnsi="Calibri" w:cs="Times New Roman"/>
          <w:b/>
          <w:bCs/>
          <w:noProof/>
          <w:color w:val="4F81BD"/>
          <w:sz w:val="18"/>
          <w:szCs w:val="18"/>
          <w:lang w:val="en-US"/>
        </w:rPr>
        <w:br/>
      </w:r>
      <w:r>
        <w:rPr>
          <w:rFonts w:ascii="Calibri" w:eastAsia="Calibri" w:hAnsi="Calibri" w:cs="Times New Roman"/>
          <w:b/>
          <w:bCs/>
          <w:noProof/>
          <w:color w:val="4F81BD"/>
          <w:sz w:val="20"/>
          <w:szCs w:val="18"/>
          <w:lang w:val="en-US"/>
        </w:rPr>
        <w:t>Table 8: NER 300 commitments for projects under operation or development from first and second call</w:t>
      </w:r>
    </w:p>
    <w:tbl>
      <w:tblPr>
        <w:tblStyle w:val="TableGrid"/>
        <w:tblW w:w="0" w:type="auto"/>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none" w:sz="0" w:space="0" w:color="auto"/>
        </w:tblBorders>
        <w:tblLook w:val="04A0" w:firstRow="1" w:lastRow="0" w:firstColumn="1" w:lastColumn="0" w:noHBand="0" w:noVBand="1"/>
      </w:tblPr>
      <w:tblGrid>
        <w:gridCol w:w="867"/>
        <w:gridCol w:w="965"/>
        <w:gridCol w:w="513"/>
        <w:gridCol w:w="2920"/>
        <w:gridCol w:w="3260"/>
      </w:tblGrid>
      <w:tr>
        <w:trPr>
          <w:trHeight w:val="330"/>
        </w:trPr>
        <w:tc>
          <w:tcPr>
            <w:tcW w:w="867" w:type="dxa"/>
            <w:shd w:val="clear" w:color="auto" w:fill="9CC2E5" w:themeFill="accent1" w:themeFillTint="99"/>
            <w:hideMark/>
          </w:tcPr>
          <w:p>
            <w:pPr>
              <w:rPr>
                <w:b/>
                <w:noProof/>
                <w:sz w:val="20"/>
                <w:szCs w:val="20"/>
              </w:rPr>
            </w:pPr>
            <w:r>
              <w:rPr>
                <w:b/>
                <w:noProof/>
                <w:sz w:val="20"/>
                <w:szCs w:val="20"/>
              </w:rPr>
              <w:t>Call</w:t>
            </w:r>
          </w:p>
        </w:tc>
        <w:tc>
          <w:tcPr>
            <w:tcW w:w="965" w:type="dxa"/>
            <w:shd w:val="clear" w:color="auto" w:fill="9CC2E5" w:themeFill="accent1" w:themeFillTint="99"/>
            <w:hideMark/>
          </w:tcPr>
          <w:p>
            <w:pPr>
              <w:rPr>
                <w:b/>
                <w:noProof/>
                <w:sz w:val="20"/>
                <w:szCs w:val="20"/>
              </w:rPr>
            </w:pPr>
            <w:r>
              <w:rPr>
                <w:b/>
                <w:noProof/>
                <w:sz w:val="20"/>
                <w:szCs w:val="20"/>
              </w:rPr>
              <w:t>Number</w:t>
            </w:r>
          </w:p>
        </w:tc>
        <w:tc>
          <w:tcPr>
            <w:tcW w:w="513" w:type="dxa"/>
            <w:shd w:val="clear" w:color="auto" w:fill="9CC2E5" w:themeFill="accent1" w:themeFillTint="99"/>
            <w:hideMark/>
          </w:tcPr>
          <w:p>
            <w:pPr>
              <w:rPr>
                <w:b/>
                <w:noProof/>
                <w:sz w:val="20"/>
                <w:szCs w:val="20"/>
              </w:rPr>
            </w:pPr>
            <w:r>
              <w:rPr>
                <w:b/>
                <w:noProof/>
                <w:sz w:val="20"/>
                <w:szCs w:val="20"/>
              </w:rPr>
              <w:t>MS</w:t>
            </w:r>
          </w:p>
        </w:tc>
        <w:tc>
          <w:tcPr>
            <w:tcW w:w="2920" w:type="dxa"/>
            <w:shd w:val="clear" w:color="auto" w:fill="9CC2E5" w:themeFill="accent1" w:themeFillTint="99"/>
            <w:hideMark/>
          </w:tcPr>
          <w:p>
            <w:pPr>
              <w:rPr>
                <w:b/>
                <w:noProof/>
                <w:sz w:val="20"/>
                <w:szCs w:val="20"/>
              </w:rPr>
            </w:pPr>
            <w:r>
              <w:rPr>
                <w:b/>
                <w:noProof/>
                <w:sz w:val="20"/>
                <w:szCs w:val="20"/>
              </w:rPr>
              <w:t>Project name</w:t>
            </w:r>
          </w:p>
        </w:tc>
        <w:tc>
          <w:tcPr>
            <w:tcW w:w="3260" w:type="dxa"/>
            <w:shd w:val="clear" w:color="auto" w:fill="9CC2E5" w:themeFill="accent1" w:themeFillTint="99"/>
            <w:hideMark/>
          </w:tcPr>
          <w:p>
            <w:pPr>
              <w:rPr>
                <w:b/>
                <w:noProof/>
                <w:sz w:val="20"/>
                <w:szCs w:val="20"/>
              </w:rPr>
            </w:pPr>
            <w:r>
              <w:rPr>
                <w:b/>
                <w:noProof/>
                <w:sz w:val="20"/>
                <w:szCs w:val="20"/>
              </w:rPr>
              <w:t>Maximum funding amount (EUR)</w:t>
            </w:r>
          </w:p>
        </w:tc>
      </w:tr>
      <w:tr>
        <w:trPr>
          <w:trHeight w:val="300"/>
        </w:trPr>
        <w:tc>
          <w:tcPr>
            <w:tcW w:w="867" w:type="dxa"/>
            <w:tcBorders>
              <w:bottom w:val="single" w:sz="4" w:space="0" w:color="BDD6EE" w:themeColor="accent1" w:themeTint="66"/>
            </w:tcBorders>
            <w:hideMark/>
          </w:tcPr>
          <w:p>
            <w:pPr>
              <w:rPr>
                <w:noProof/>
                <w:sz w:val="20"/>
                <w:szCs w:val="20"/>
              </w:rPr>
            </w:pPr>
            <w:r>
              <w:rPr>
                <w:noProof/>
                <w:sz w:val="20"/>
                <w:szCs w:val="20"/>
              </w:rPr>
              <w:t>First</w:t>
            </w:r>
          </w:p>
        </w:tc>
        <w:tc>
          <w:tcPr>
            <w:tcW w:w="965" w:type="dxa"/>
            <w:tcBorders>
              <w:bottom w:val="single" w:sz="4" w:space="0" w:color="BDD6EE" w:themeColor="accent1" w:themeTint="66"/>
            </w:tcBorders>
            <w:noWrap/>
            <w:hideMark/>
          </w:tcPr>
          <w:p>
            <w:pPr>
              <w:rPr>
                <w:noProof/>
                <w:sz w:val="20"/>
                <w:szCs w:val="20"/>
              </w:rPr>
            </w:pPr>
            <w:r>
              <w:rPr>
                <w:noProof/>
                <w:sz w:val="20"/>
                <w:szCs w:val="20"/>
              </w:rPr>
              <w:t>1</w:t>
            </w:r>
          </w:p>
        </w:tc>
        <w:tc>
          <w:tcPr>
            <w:tcW w:w="513" w:type="dxa"/>
            <w:tcBorders>
              <w:bottom w:val="single" w:sz="4" w:space="0" w:color="BDD6EE" w:themeColor="accent1" w:themeTint="66"/>
            </w:tcBorders>
            <w:noWrap/>
            <w:hideMark/>
          </w:tcPr>
          <w:p>
            <w:pPr>
              <w:rPr>
                <w:noProof/>
                <w:sz w:val="20"/>
                <w:szCs w:val="20"/>
              </w:rPr>
            </w:pPr>
            <w:r>
              <w:rPr>
                <w:noProof/>
                <w:sz w:val="20"/>
                <w:szCs w:val="20"/>
              </w:rPr>
              <w:t>AT</w:t>
            </w:r>
          </w:p>
        </w:tc>
        <w:tc>
          <w:tcPr>
            <w:tcW w:w="2920" w:type="dxa"/>
            <w:tcBorders>
              <w:bottom w:val="single" w:sz="4" w:space="0" w:color="BDD6EE" w:themeColor="accent1" w:themeTint="66"/>
            </w:tcBorders>
            <w:noWrap/>
            <w:hideMark/>
          </w:tcPr>
          <w:p>
            <w:pPr>
              <w:rPr>
                <w:noProof/>
                <w:sz w:val="20"/>
                <w:szCs w:val="20"/>
              </w:rPr>
            </w:pPr>
            <w:r>
              <w:rPr>
                <w:noProof/>
                <w:sz w:val="20"/>
                <w:szCs w:val="20"/>
              </w:rPr>
              <w:t>Windpark Handalm</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11.259.564</w:t>
            </w:r>
          </w:p>
        </w:tc>
      </w:tr>
      <w:tr>
        <w:trPr>
          <w:trHeight w:val="300"/>
        </w:trPr>
        <w:tc>
          <w:tcPr>
            <w:tcW w:w="867" w:type="dxa"/>
            <w:shd w:val="clear" w:color="auto" w:fill="DEEAF6" w:themeFill="accent1" w:themeFillTint="33"/>
            <w:hideMark/>
          </w:tcPr>
          <w:p>
            <w:pPr>
              <w:rPr>
                <w:noProof/>
                <w:sz w:val="20"/>
                <w:szCs w:val="20"/>
              </w:rPr>
            </w:pPr>
            <w:r>
              <w:rPr>
                <w:noProof/>
                <w:sz w:val="20"/>
                <w:szCs w:val="20"/>
              </w:rPr>
              <w:t>First</w:t>
            </w:r>
          </w:p>
        </w:tc>
        <w:tc>
          <w:tcPr>
            <w:tcW w:w="965" w:type="dxa"/>
            <w:shd w:val="clear" w:color="auto" w:fill="DEEAF6" w:themeFill="accent1" w:themeFillTint="33"/>
            <w:noWrap/>
            <w:hideMark/>
          </w:tcPr>
          <w:p>
            <w:pPr>
              <w:rPr>
                <w:noProof/>
                <w:sz w:val="20"/>
                <w:szCs w:val="20"/>
              </w:rPr>
            </w:pPr>
            <w:r>
              <w:rPr>
                <w:noProof/>
                <w:sz w:val="20"/>
                <w:szCs w:val="20"/>
              </w:rPr>
              <w:t>2</w:t>
            </w:r>
          </w:p>
        </w:tc>
        <w:tc>
          <w:tcPr>
            <w:tcW w:w="513" w:type="dxa"/>
            <w:shd w:val="clear" w:color="auto" w:fill="DEEAF6" w:themeFill="accent1" w:themeFillTint="33"/>
            <w:noWrap/>
            <w:hideMark/>
          </w:tcPr>
          <w:p>
            <w:pPr>
              <w:rPr>
                <w:noProof/>
                <w:sz w:val="20"/>
                <w:szCs w:val="20"/>
              </w:rPr>
            </w:pPr>
            <w:r>
              <w:rPr>
                <w:noProof/>
                <w:sz w:val="20"/>
                <w:szCs w:val="20"/>
              </w:rPr>
              <w:t>DE</w:t>
            </w:r>
          </w:p>
        </w:tc>
        <w:tc>
          <w:tcPr>
            <w:tcW w:w="2920" w:type="dxa"/>
            <w:shd w:val="clear" w:color="auto" w:fill="DEEAF6" w:themeFill="accent1" w:themeFillTint="33"/>
            <w:noWrap/>
            <w:hideMark/>
          </w:tcPr>
          <w:p>
            <w:pPr>
              <w:rPr>
                <w:noProof/>
                <w:sz w:val="20"/>
                <w:szCs w:val="20"/>
              </w:rPr>
            </w:pPr>
            <w:r>
              <w:rPr>
                <w:noProof/>
                <w:sz w:val="20"/>
                <w:szCs w:val="20"/>
              </w:rPr>
              <w:t>Verbiostraw</w:t>
            </w:r>
          </w:p>
        </w:tc>
        <w:tc>
          <w:tcPr>
            <w:tcW w:w="3260" w:type="dxa"/>
            <w:shd w:val="clear" w:color="auto" w:fill="DEEAF6" w:themeFill="accent1" w:themeFillTint="33"/>
            <w:noWrap/>
            <w:hideMark/>
          </w:tcPr>
          <w:p>
            <w:pPr>
              <w:jc w:val="center"/>
              <w:rPr>
                <w:noProof/>
                <w:sz w:val="20"/>
                <w:szCs w:val="20"/>
              </w:rPr>
            </w:pPr>
            <w:r>
              <w:rPr>
                <w:noProof/>
                <w:sz w:val="20"/>
                <w:szCs w:val="20"/>
              </w:rPr>
              <w:t>22.272.049</w:t>
            </w:r>
          </w:p>
        </w:tc>
      </w:tr>
      <w:tr>
        <w:trPr>
          <w:trHeight w:val="300"/>
        </w:trPr>
        <w:tc>
          <w:tcPr>
            <w:tcW w:w="867" w:type="dxa"/>
            <w:tcBorders>
              <w:bottom w:val="single" w:sz="4" w:space="0" w:color="BDD6EE" w:themeColor="accent1" w:themeTint="66"/>
            </w:tcBorders>
            <w:hideMark/>
          </w:tcPr>
          <w:p>
            <w:pPr>
              <w:rPr>
                <w:noProof/>
                <w:sz w:val="20"/>
                <w:szCs w:val="20"/>
              </w:rPr>
            </w:pPr>
            <w:r>
              <w:rPr>
                <w:noProof/>
                <w:sz w:val="20"/>
                <w:szCs w:val="20"/>
              </w:rPr>
              <w:t>First</w:t>
            </w:r>
          </w:p>
        </w:tc>
        <w:tc>
          <w:tcPr>
            <w:tcW w:w="965" w:type="dxa"/>
            <w:tcBorders>
              <w:bottom w:val="single" w:sz="4" w:space="0" w:color="BDD6EE" w:themeColor="accent1" w:themeTint="66"/>
            </w:tcBorders>
            <w:noWrap/>
            <w:hideMark/>
          </w:tcPr>
          <w:p>
            <w:pPr>
              <w:rPr>
                <w:noProof/>
                <w:sz w:val="20"/>
                <w:szCs w:val="20"/>
              </w:rPr>
            </w:pPr>
            <w:r>
              <w:rPr>
                <w:noProof/>
                <w:sz w:val="20"/>
                <w:szCs w:val="20"/>
              </w:rPr>
              <w:t>3</w:t>
            </w:r>
          </w:p>
        </w:tc>
        <w:tc>
          <w:tcPr>
            <w:tcW w:w="513" w:type="dxa"/>
            <w:tcBorders>
              <w:bottom w:val="single" w:sz="4" w:space="0" w:color="BDD6EE" w:themeColor="accent1" w:themeTint="66"/>
            </w:tcBorders>
            <w:noWrap/>
            <w:hideMark/>
          </w:tcPr>
          <w:p>
            <w:pPr>
              <w:rPr>
                <w:noProof/>
                <w:sz w:val="20"/>
                <w:szCs w:val="20"/>
              </w:rPr>
            </w:pPr>
            <w:r>
              <w:rPr>
                <w:noProof/>
                <w:sz w:val="20"/>
                <w:szCs w:val="20"/>
              </w:rPr>
              <w:t>DE</w:t>
            </w:r>
          </w:p>
        </w:tc>
        <w:tc>
          <w:tcPr>
            <w:tcW w:w="2920" w:type="dxa"/>
            <w:tcBorders>
              <w:bottom w:val="single" w:sz="4" w:space="0" w:color="BDD6EE" w:themeColor="accent1" w:themeTint="66"/>
            </w:tcBorders>
            <w:noWrap/>
            <w:hideMark/>
          </w:tcPr>
          <w:p>
            <w:pPr>
              <w:rPr>
                <w:noProof/>
                <w:sz w:val="20"/>
                <w:szCs w:val="20"/>
              </w:rPr>
            </w:pPr>
            <w:r>
              <w:rPr>
                <w:noProof/>
                <w:sz w:val="20"/>
                <w:szCs w:val="20"/>
              </w:rPr>
              <w:t>Nordsee One</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70.000.000</w:t>
            </w:r>
          </w:p>
        </w:tc>
      </w:tr>
      <w:tr>
        <w:trPr>
          <w:trHeight w:val="300"/>
        </w:trPr>
        <w:tc>
          <w:tcPr>
            <w:tcW w:w="867" w:type="dxa"/>
            <w:shd w:val="clear" w:color="auto" w:fill="DEEAF6" w:themeFill="accent1" w:themeFillTint="33"/>
            <w:hideMark/>
          </w:tcPr>
          <w:p>
            <w:pPr>
              <w:rPr>
                <w:noProof/>
                <w:sz w:val="20"/>
                <w:szCs w:val="20"/>
              </w:rPr>
            </w:pPr>
            <w:r>
              <w:rPr>
                <w:noProof/>
                <w:sz w:val="20"/>
                <w:szCs w:val="20"/>
              </w:rPr>
              <w:t>First</w:t>
            </w:r>
          </w:p>
        </w:tc>
        <w:tc>
          <w:tcPr>
            <w:tcW w:w="965" w:type="dxa"/>
            <w:shd w:val="clear" w:color="auto" w:fill="DEEAF6" w:themeFill="accent1" w:themeFillTint="33"/>
            <w:noWrap/>
            <w:hideMark/>
          </w:tcPr>
          <w:p>
            <w:pPr>
              <w:rPr>
                <w:noProof/>
                <w:sz w:val="20"/>
                <w:szCs w:val="20"/>
              </w:rPr>
            </w:pPr>
            <w:r>
              <w:rPr>
                <w:noProof/>
                <w:sz w:val="20"/>
                <w:szCs w:val="20"/>
              </w:rPr>
              <w:t>4</w:t>
            </w:r>
          </w:p>
        </w:tc>
        <w:tc>
          <w:tcPr>
            <w:tcW w:w="513" w:type="dxa"/>
            <w:shd w:val="clear" w:color="auto" w:fill="DEEAF6" w:themeFill="accent1" w:themeFillTint="33"/>
            <w:noWrap/>
            <w:hideMark/>
          </w:tcPr>
          <w:p>
            <w:pPr>
              <w:rPr>
                <w:noProof/>
                <w:sz w:val="20"/>
                <w:szCs w:val="20"/>
              </w:rPr>
            </w:pPr>
            <w:r>
              <w:rPr>
                <w:noProof/>
                <w:sz w:val="20"/>
                <w:szCs w:val="20"/>
              </w:rPr>
              <w:t>DE</w:t>
            </w:r>
          </w:p>
        </w:tc>
        <w:tc>
          <w:tcPr>
            <w:tcW w:w="2920" w:type="dxa"/>
            <w:shd w:val="clear" w:color="auto" w:fill="DEEAF6" w:themeFill="accent1" w:themeFillTint="33"/>
            <w:noWrap/>
            <w:hideMark/>
          </w:tcPr>
          <w:p>
            <w:pPr>
              <w:rPr>
                <w:noProof/>
                <w:sz w:val="20"/>
                <w:szCs w:val="20"/>
              </w:rPr>
            </w:pPr>
            <w:r>
              <w:rPr>
                <w:noProof/>
                <w:sz w:val="20"/>
                <w:szCs w:val="20"/>
              </w:rPr>
              <w:t>Veja Mate</w:t>
            </w:r>
          </w:p>
        </w:tc>
        <w:tc>
          <w:tcPr>
            <w:tcW w:w="3260" w:type="dxa"/>
            <w:shd w:val="clear" w:color="auto" w:fill="DEEAF6" w:themeFill="accent1" w:themeFillTint="33"/>
            <w:noWrap/>
            <w:hideMark/>
          </w:tcPr>
          <w:p>
            <w:pPr>
              <w:jc w:val="center"/>
              <w:rPr>
                <w:noProof/>
                <w:sz w:val="20"/>
                <w:szCs w:val="20"/>
              </w:rPr>
            </w:pPr>
            <w:r>
              <w:rPr>
                <w:noProof/>
                <w:sz w:val="20"/>
                <w:szCs w:val="20"/>
              </w:rPr>
              <w:t>112.603.636</w:t>
            </w:r>
          </w:p>
        </w:tc>
      </w:tr>
      <w:tr>
        <w:trPr>
          <w:trHeight w:val="300"/>
        </w:trPr>
        <w:tc>
          <w:tcPr>
            <w:tcW w:w="867" w:type="dxa"/>
            <w:tcBorders>
              <w:bottom w:val="single" w:sz="4" w:space="0" w:color="BDD6EE" w:themeColor="accent1" w:themeTint="66"/>
            </w:tcBorders>
            <w:hideMark/>
          </w:tcPr>
          <w:p>
            <w:pPr>
              <w:rPr>
                <w:noProof/>
                <w:sz w:val="20"/>
                <w:szCs w:val="20"/>
              </w:rPr>
            </w:pPr>
            <w:r>
              <w:rPr>
                <w:noProof/>
                <w:sz w:val="20"/>
                <w:szCs w:val="20"/>
              </w:rPr>
              <w:t>First</w:t>
            </w:r>
          </w:p>
        </w:tc>
        <w:tc>
          <w:tcPr>
            <w:tcW w:w="965" w:type="dxa"/>
            <w:tcBorders>
              <w:bottom w:val="single" w:sz="4" w:space="0" w:color="BDD6EE" w:themeColor="accent1" w:themeTint="66"/>
            </w:tcBorders>
            <w:noWrap/>
            <w:hideMark/>
          </w:tcPr>
          <w:p>
            <w:pPr>
              <w:rPr>
                <w:noProof/>
                <w:sz w:val="20"/>
                <w:szCs w:val="20"/>
              </w:rPr>
            </w:pPr>
            <w:r>
              <w:rPr>
                <w:noProof/>
                <w:sz w:val="20"/>
                <w:szCs w:val="20"/>
              </w:rPr>
              <w:t>5</w:t>
            </w:r>
          </w:p>
        </w:tc>
        <w:tc>
          <w:tcPr>
            <w:tcW w:w="513" w:type="dxa"/>
            <w:tcBorders>
              <w:bottom w:val="single" w:sz="4" w:space="0" w:color="BDD6EE" w:themeColor="accent1" w:themeTint="66"/>
            </w:tcBorders>
            <w:noWrap/>
            <w:hideMark/>
          </w:tcPr>
          <w:p>
            <w:pPr>
              <w:rPr>
                <w:noProof/>
                <w:sz w:val="20"/>
                <w:szCs w:val="20"/>
              </w:rPr>
            </w:pPr>
            <w:r>
              <w:rPr>
                <w:noProof/>
                <w:sz w:val="20"/>
                <w:szCs w:val="20"/>
              </w:rPr>
              <w:t>EL</w:t>
            </w:r>
          </w:p>
        </w:tc>
        <w:tc>
          <w:tcPr>
            <w:tcW w:w="2920" w:type="dxa"/>
            <w:tcBorders>
              <w:bottom w:val="single" w:sz="4" w:space="0" w:color="BDD6EE" w:themeColor="accent1" w:themeTint="66"/>
            </w:tcBorders>
            <w:noWrap/>
            <w:hideMark/>
          </w:tcPr>
          <w:p>
            <w:pPr>
              <w:rPr>
                <w:noProof/>
                <w:sz w:val="20"/>
                <w:szCs w:val="20"/>
              </w:rPr>
            </w:pPr>
            <w:r>
              <w:rPr>
                <w:noProof/>
                <w:sz w:val="20"/>
                <w:szCs w:val="20"/>
              </w:rPr>
              <w:t>Minos</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42.041.991</w:t>
            </w:r>
          </w:p>
        </w:tc>
      </w:tr>
      <w:tr>
        <w:trPr>
          <w:trHeight w:val="300"/>
        </w:trPr>
        <w:tc>
          <w:tcPr>
            <w:tcW w:w="867" w:type="dxa"/>
            <w:shd w:val="clear" w:color="auto" w:fill="DEEAF6" w:themeFill="accent1" w:themeFillTint="33"/>
            <w:hideMark/>
          </w:tcPr>
          <w:p>
            <w:pPr>
              <w:rPr>
                <w:noProof/>
                <w:sz w:val="20"/>
                <w:szCs w:val="20"/>
              </w:rPr>
            </w:pPr>
            <w:r>
              <w:rPr>
                <w:noProof/>
                <w:sz w:val="20"/>
                <w:szCs w:val="20"/>
              </w:rPr>
              <w:t>First</w:t>
            </w:r>
          </w:p>
        </w:tc>
        <w:tc>
          <w:tcPr>
            <w:tcW w:w="965" w:type="dxa"/>
            <w:shd w:val="clear" w:color="auto" w:fill="DEEAF6" w:themeFill="accent1" w:themeFillTint="33"/>
            <w:noWrap/>
            <w:hideMark/>
          </w:tcPr>
          <w:p>
            <w:pPr>
              <w:rPr>
                <w:noProof/>
                <w:sz w:val="20"/>
                <w:szCs w:val="20"/>
              </w:rPr>
            </w:pPr>
            <w:r>
              <w:rPr>
                <w:noProof/>
                <w:sz w:val="20"/>
                <w:szCs w:val="20"/>
              </w:rPr>
              <w:t>6</w:t>
            </w:r>
          </w:p>
        </w:tc>
        <w:tc>
          <w:tcPr>
            <w:tcW w:w="513" w:type="dxa"/>
            <w:shd w:val="clear" w:color="auto" w:fill="DEEAF6" w:themeFill="accent1" w:themeFillTint="33"/>
            <w:noWrap/>
            <w:hideMark/>
          </w:tcPr>
          <w:p>
            <w:pPr>
              <w:rPr>
                <w:noProof/>
                <w:sz w:val="20"/>
                <w:szCs w:val="20"/>
              </w:rPr>
            </w:pPr>
            <w:r>
              <w:rPr>
                <w:noProof/>
                <w:sz w:val="20"/>
                <w:szCs w:val="20"/>
              </w:rPr>
              <w:t>FR</w:t>
            </w:r>
          </w:p>
        </w:tc>
        <w:tc>
          <w:tcPr>
            <w:tcW w:w="2920" w:type="dxa"/>
            <w:shd w:val="clear" w:color="auto" w:fill="DEEAF6" w:themeFill="accent1" w:themeFillTint="33"/>
            <w:noWrap/>
            <w:hideMark/>
          </w:tcPr>
          <w:p>
            <w:pPr>
              <w:rPr>
                <w:noProof/>
                <w:sz w:val="20"/>
                <w:szCs w:val="20"/>
              </w:rPr>
            </w:pPr>
            <w:r>
              <w:rPr>
                <w:noProof/>
                <w:sz w:val="20"/>
                <w:szCs w:val="20"/>
              </w:rPr>
              <w:t>Vertimed</w:t>
            </w:r>
          </w:p>
        </w:tc>
        <w:tc>
          <w:tcPr>
            <w:tcW w:w="3260" w:type="dxa"/>
            <w:shd w:val="clear" w:color="auto" w:fill="DEEAF6" w:themeFill="accent1" w:themeFillTint="33"/>
            <w:noWrap/>
            <w:hideMark/>
          </w:tcPr>
          <w:p>
            <w:pPr>
              <w:jc w:val="center"/>
              <w:rPr>
                <w:noProof/>
                <w:sz w:val="20"/>
                <w:szCs w:val="20"/>
              </w:rPr>
            </w:pPr>
            <w:r>
              <w:rPr>
                <w:noProof/>
                <w:sz w:val="20"/>
                <w:szCs w:val="20"/>
              </w:rPr>
              <w:t>34.316.460</w:t>
            </w:r>
          </w:p>
        </w:tc>
      </w:tr>
      <w:tr>
        <w:trPr>
          <w:trHeight w:val="300"/>
        </w:trPr>
        <w:tc>
          <w:tcPr>
            <w:tcW w:w="867" w:type="dxa"/>
            <w:tcBorders>
              <w:bottom w:val="single" w:sz="4" w:space="0" w:color="BDD6EE" w:themeColor="accent1" w:themeTint="66"/>
            </w:tcBorders>
            <w:hideMark/>
          </w:tcPr>
          <w:p>
            <w:pPr>
              <w:rPr>
                <w:noProof/>
                <w:sz w:val="20"/>
                <w:szCs w:val="20"/>
              </w:rPr>
            </w:pPr>
            <w:r>
              <w:rPr>
                <w:noProof/>
                <w:sz w:val="20"/>
                <w:szCs w:val="20"/>
              </w:rPr>
              <w:t>First</w:t>
            </w:r>
          </w:p>
        </w:tc>
        <w:tc>
          <w:tcPr>
            <w:tcW w:w="965" w:type="dxa"/>
            <w:tcBorders>
              <w:bottom w:val="single" w:sz="4" w:space="0" w:color="BDD6EE" w:themeColor="accent1" w:themeTint="66"/>
            </w:tcBorders>
            <w:noWrap/>
            <w:hideMark/>
          </w:tcPr>
          <w:p>
            <w:pPr>
              <w:rPr>
                <w:noProof/>
                <w:sz w:val="20"/>
                <w:szCs w:val="20"/>
              </w:rPr>
            </w:pPr>
            <w:r>
              <w:rPr>
                <w:noProof/>
                <w:sz w:val="20"/>
                <w:szCs w:val="20"/>
              </w:rPr>
              <w:t>7</w:t>
            </w:r>
          </w:p>
        </w:tc>
        <w:tc>
          <w:tcPr>
            <w:tcW w:w="513" w:type="dxa"/>
            <w:tcBorders>
              <w:bottom w:val="single" w:sz="4" w:space="0" w:color="BDD6EE" w:themeColor="accent1" w:themeTint="66"/>
            </w:tcBorders>
            <w:noWrap/>
            <w:hideMark/>
          </w:tcPr>
          <w:p>
            <w:pPr>
              <w:rPr>
                <w:noProof/>
                <w:sz w:val="20"/>
                <w:szCs w:val="20"/>
              </w:rPr>
            </w:pPr>
            <w:r>
              <w:rPr>
                <w:noProof/>
                <w:sz w:val="20"/>
                <w:szCs w:val="20"/>
              </w:rPr>
              <w:t>HU</w:t>
            </w:r>
          </w:p>
        </w:tc>
        <w:tc>
          <w:tcPr>
            <w:tcW w:w="2920" w:type="dxa"/>
            <w:tcBorders>
              <w:bottom w:val="single" w:sz="4" w:space="0" w:color="BDD6EE" w:themeColor="accent1" w:themeTint="66"/>
            </w:tcBorders>
            <w:noWrap/>
            <w:hideMark/>
          </w:tcPr>
          <w:p>
            <w:pPr>
              <w:rPr>
                <w:noProof/>
                <w:sz w:val="20"/>
                <w:szCs w:val="20"/>
              </w:rPr>
            </w:pPr>
            <w:r>
              <w:rPr>
                <w:noProof/>
                <w:sz w:val="20"/>
                <w:szCs w:val="20"/>
              </w:rPr>
              <w:t>South Hungarian Enhanced Geothermal System (EGS) Demonstration</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39.295.008</w:t>
            </w:r>
          </w:p>
        </w:tc>
      </w:tr>
      <w:tr>
        <w:trPr>
          <w:trHeight w:val="300"/>
        </w:trPr>
        <w:tc>
          <w:tcPr>
            <w:tcW w:w="867" w:type="dxa"/>
            <w:shd w:val="clear" w:color="auto" w:fill="DEEAF6" w:themeFill="accent1" w:themeFillTint="33"/>
            <w:hideMark/>
          </w:tcPr>
          <w:p>
            <w:pPr>
              <w:rPr>
                <w:noProof/>
                <w:sz w:val="20"/>
                <w:szCs w:val="20"/>
              </w:rPr>
            </w:pPr>
            <w:r>
              <w:rPr>
                <w:noProof/>
                <w:sz w:val="20"/>
                <w:szCs w:val="20"/>
              </w:rPr>
              <w:t>First</w:t>
            </w:r>
          </w:p>
        </w:tc>
        <w:tc>
          <w:tcPr>
            <w:tcW w:w="965" w:type="dxa"/>
            <w:shd w:val="clear" w:color="auto" w:fill="DEEAF6" w:themeFill="accent1" w:themeFillTint="33"/>
            <w:noWrap/>
            <w:hideMark/>
          </w:tcPr>
          <w:p>
            <w:pPr>
              <w:rPr>
                <w:noProof/>
                <w:sz w:val="20"/>
                <w:szCs w:val="20"/>
              </w:rPr>
            </w:pPr>
            <w:r>
              <w:rPr>
                <w:noProof/>
                <w:sz w:val="20"/>
                <w:szCs w:val="20"/>
              </w:rPr>
              <w:t>8</w:t>
            </w:r>
          </w:p>
        </w:tc>
        <w:tc>
          <w:tcPr>
            <w:tcW w:w="513" w:type="dxa"/>
            <w:shd w:val="clear" w:color="auto" w:fill="DEEAF6" w:themeFill="accent1" w:themeFillTint="33"/>
            <w:noWrap/>
            <w:hideMark/>
          </w:tcPr>
          <w:p>
            <w:pPr>
              <w:rPr>
                <w:noProof/>
                <w:sz w:val="20"/>
                <w:szCs w:val="20"/>
              </w:rPr>
            </w:pPr>
            <w:r>
              <w:rPr>
                <w:noProof/>
                <w:sz w:val="20"/>
                <w:szCs w:val="20"/>
              </w:rPr>
              <w:t>PT</w:t>
            </w:r>
          </w:p>
        </w:tc>
        <w:tc>
          <w:tcPr>
            <w:tcW w:w="2920" w:type="dxa"/>
            <w:shd w:val="clear" w:color="auto" w:fill="DEEAF6" w:themeFill="accent1" w:themeFillTint="33"/>
            <w:noWrap/>
            <w:hideMark/>
          </w:tcPr>
          <w:p>
            <w:pPr>
              <w:rPr>
                <w:noProof/>
                <w:sz w:val="20"/>
                <w:szCs w:val="20"/>
              </w:rPr>
            </w:pPr>
            <w:r>
              <w:rPr>
                <w:noProof/>
                <w:sz w:val="20"/>
                <w:szCs w:val="20"/>
              </w:rPr>
              <w:t>Windfloat</w:t>
            </w:r>
          </w:p>
        </w:tc>
        <w:tc>
          <w:tcPr>
            <w:tcW w:w="3260" w:type="dxa"/>
            <w:shd w:val="clear" w:color="auto" w:fill="DEEAF6" w:themeFill="accent1" w:themeFillTint="33"/>
            <w:noWrap/>
            <w:hideMark/>
          </w:tcPr>
          <w:p>
            <w:pPr>
              <w:jc w:val="center"/>
              <w:rPr>
                <w:noProof/>
                <w:sz w:val="20"/>
                <w:szCs w:val="20"/>
              </w:rPr>
            </w:pPr>
            <w:r>
              <w:rPr>
                <w:noProof/>
                <w:sz w:val="20"/>
                <w:szCs w:val="20"/>
              </w:rPr>
              <w:t>29.990.526</w:t>
            </w:r>
          </w:p>
        </w:tc>
      </w:tr>
      <w:tr>
        <w:trPr>
          <w:trHeight w:val="300"/>
        </w:trPr>
        <w:tc>
          <w:tcPr>
            <w:tcW w:w="867" w:type="dxa"/>
            <w:tcBorders>
              <w:bottom w:val="single" w:sz="4" w:space="0" w:color="BDD6EE" w:themeColor="accent1" w:themeTint="66"/>
            </w:tcBorders>
            <w:hideMark/>
          </w:tcPr>
          <w:p>
            <w:pPr>
              <w:rPr>
                <w:noProof/>
                <w:sz w:val="20"/>
                <w:szCs w:val="20"/>
              </w:rPr>
            </w:pPr>
            <w:r>
              <w:rPr>
                <w:noProof/>
                <w:sz w:val="20"/>
                <w:szCs w:val="20"/>
              </w:rPr>
              <w:t>First</w:t>
            </w:r>
          </w:p>
        </w:tc>
        <w:tc>
          <w:tcPr>
            <w:tcW w:w="965" w:type="dxa"/>
            <w:tcBorders>
              <w:bottom w:val="single" w:sz="4" w:space="0" w:color="BDD6EE" w:themeColor="accent1" w:themeTint="66"/>
            </w:tcBorders>
            <w:noWrap/>
            <w:hideMark/>
          </w:tcPr>
          <w:p>
            <w:pPr>
              <w:rPr>
                <w:noProof/>
                <w:sz w:val="20"/>
                <w:szCs w:val="20"/>
              </w:rPr>
            </w:pPr>
            <w:r>
              <w:rPr>
                <w:noProof/>
                <w:sz w:val="20"/>
                <w:szCs w:val="20"/>
              </w:rPr>
              <w:t>9</w:t>
            </w:r>
          </w:p>
        </w:tc>
        <w:tc>
          <w:tcPr>
            <w:tcW w:w="513" w:type="dxa"/>
            <w:tcBorders>
              <w:bottom w:val="single" w:sz="4" w:space="0" w:color="BDD6EE" w:themeColor="accent1" w:themeTint="66"/>
            </w:tcBorders>
            <w:noWrap/>
            <w:hideMark/>
          </w:tcPr>
          <w:p>
            <w:pPr>
              <w:rPr>
                <w:noProof/>
                <w:sz w:val="20"/>
                <w:szCs w:val="20"/>
              </w:rPr>
            </w:pPr>
            <w:r>
              <w:rPr>
                <w:noProof/>
                <w:sz w:val="20"/>
                <w:szCs w:val="20"/>
              </w:rPr>
              <w:t>SE</w:t>
            </w:r>
          </w:p>
        </w:tc>
        <w:tc>
          <w:tcPr>
            <w:tcW w:w="2920" w:type="dxa"/>
            <w:tcBorders>
              <w:bottom w:val="single" w:sz="4" w:space="0" w:color="BDD6EE" w:themeColor="accent1" w:themeTint="66"/>
            </w:tcBorders>
            <w:noWrap/>
            <w:hideMark/>
          </w:tcPr>
          <w:p>
            <w:pPr>
              <w:rPr>
                <w:noProof/>
                <w:sz w:val="20"/>
                <w:szCs w:val="20"/>
              </w:rPr>
            </w:pPr>
            <w:r>
              <w:rPr>
                <w:noProof/>
                <w:sz w:val="20"/>
                <w:szCs w:val="20"/>
              </w:rPr>
              <w:t>Windpark Blaiken</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15.000.000</w:t>
            </w:r>
          </w:p>
        </w:tc>
      </w:tr>
      <w:tr>
        <w:trPr>
          <w:trHeight w:val="300"/>
        </w:trPr>
        <w:tc>
          <w:tcPr>
            <w:tcW w:w="867" w:type="dxa"/>
            <w:shd w:val="clear" w:color="auto" w:fill="DEEAF6" w:themeFill="accent1" w:themeFillTint="33"/>
            <w:noWrap/>
            <w:hideMark/>
          </w:tcPr>
          <w:p>
            <w:pPr>
              <w:rPr>
                <w:noProof/>
                <w:sz w:val="20"/>
                <w:szCs w:val="20"/>
              </w:rPr>
            </w:pPr>
            <w:r>
              <w:rPr>
                <w:noProof/>
                <w:sz w:val="20"/>
                <w:szCs w:val="20"/>
              </w:rPr>
              <w:t>Second</w:t>
            </w:r>
          </w:p>
        </w:tc>
        <w:tc>
          <w:tcPr>
            <w:tcW w:w="965" w:type="dxa"/>
            <w:shd w:val="clear" w:color="auto" w:fill="DEEAF6" w:themeFill="accent1" w:themeFillTint="33"/>
            <w:noWrap/>
            <w:hideMark/>
          </w:tcPr>
          <w:p>
            <w:pPr>
              <w:rPr>
                <w:noProof/>
                <w:sz w:val="20"/>
                <w:szCs w:val="20"/>
              </w:rPr>
            </w:pPr>
            <w:r>
              <w:rPr>
                <w:noProof/>
                <w:sz w:val="20"/>
                <w:szCs w:val="20"/>
              </w:rPr>
              <w:t>1</w:t>
            </w:r>
          </w:p>
        </w:tc>
        <w:tc>
          <w:tcPr>
            <w:tcW w:w="513" w:type="dxa"/>
            <w:shd w:val="clear" w:color="auto" w:fill="DEEAF6" w:themeFill="accent1" w:themeFillTint="33"/>
            <w:noWrap/>
            <w:hideMark/>
          </w:tcPr>
          <w:p>
            <w:pPr>
              <w:rPr>
                <w:noProof/>
                <w:sz w:val="20"/>
                <w:szCs w:val="20"/>
              </w:rPr>
            </w:pPr>
            <w:r>
              <w:rPr>
                <w:noProof/>
                <w:sz w:val="20"/>
                <w:szCs w:val="20"/>
              </w:rPr>
              <w:t>CY</w:t>
            </w:r>
          </w:p>
        </w:tc>
        <w:tc>
          <w:tcPr>
            <w:tcW w:w="2920" w:type="dxa"/>
            <w:shd w:val="clear" w:color="auto" w:fill="DEEAF6" w:themeFill="accent1" w:themeFillTint="33"/>
            <w:noWrap/>
            <w:hideMark/>
          </w:tcPr>
          <w:p>
            <w:pPr>
              <w:rPr>
                <w:noProof/>
                <w:sz w:val="20"/>
                <w:szCs w:val="20"/>
              </w:rPr>
            </w:pPr>
            <w:r>
              <w:rPr>
                <w:noProof/>
                <w:sz w:val="20"/>
                <w:szCs w:val="20"/>
              </w:rPr>
              <w:t>EOS GREEN ENERGY</w:t>
            </w:r>
          </w:p>
        </w:tc>
        <w:tc>
          <w:tcPr>
            <w:tcW w:w="3260" w:type="dxa"/>
            <w:shd w:val="clear" w:color="auto" w:fill="DEEAF6" w:themeFill="accent1" w:themeFillTint="33"/>
            <w:noWrap/>
            <w:hideMark/>
          </w:tcPr>
          <w:p>
            <w:pPr>
              <w:jc w:val="center"/>
              <w:rPr>
                <w:noProof/>
                <w:sz w:val="20"/>
                <w:szCs w:val="20"/>
              </w:rPr>
            </w:pPr>
            <w:r>
              <w:rPr>
                <w:noProof/>
                <w:sz w:val="20"/>
                <w:szCs w:val="20"/>
              </w:rPr>
              <w:t>60.185.628</w:t>
            </w:r>
          </w:p>
        </w:tc>
      </w:tr>
      <w:tr>
        <w:trPr>
          <w:trHeight w:val="300"/>
        </w:trPr>
        <w:tc>
          <w:tcPr>
            <w:tcW w:w="867" w:type="dxa"/>
            <w:tcBorders>
              <w:bottom w:val="single" w:sz="4" w:space="0" w:color="BDD6EE" w:themeColor="accent1" w:themeTint="66"/>
            </w:tcBorders>
            <w:noWrap/>
            <w:hideMark/>
          </w:tcPr>
          <w:p>
            <w:pPr>
              <w:rPr>
                <w:noProof/>
                <w:sz w:val="20"/>
                <w:szCs w:val="20"/>
              </w:rPr>
            </w:pPr>
            <w:r>
              <w:rPr>
                <w:noProof/>
                <w:sz w:val="20"/>
                <w:szCs w:val="20"/>
              </w:rPr>
              <w:t>Second</w:t>
            </w:r>
          </w:p>
        </w:tc>
        <w:tc>
          <w:tcPr>
            <w:tcW w:w="965" w:type="dxa"/>
            <w:tcBorders>
              <w:bottom w:val="single" w:sz="4" w:space="0" w:color="BDD6EE" w:themeColor="accent1" w:themeTint="66"/>
            </w:tcBorders>
            <w:noWrap/>
            <w:hideMark/>
          </w:tcPr>
          <w:p>
            <w:pPr>
              <w:rPr>
                <w:noProof/>
                <w:sz w:val="20"/>
                <w:szCs w:val="20"/>
              </w:rPr>
            </w:pPr>
            <w:r>
              <w:rPr>
                <w:noProof/>
                <w:sz w:val="20"/>
                <w:szCs w:val="20"/>
              </w:rPr>
              <w:t>2</w:t>
            </w:r>
          </w:p>
        </w:tc>
        <w:tc>
          <w:tcPr>
            <w:tcW w:w="513" w:type="dxa"/>
            <w:tcBorders>
              <w:bottom w:val="single" w:sz="4" w:space="0" w:color="BDD6EE" w:themeColor="accent1" w:themeTint="66"/>
            </w:tcBorders>
            <w:noWrap/>
            <w:hideMark/>
          </w:tcPr>
          <w:p>
            <w:pPr>
              <w:rPr>
                <w:noProof/>
                <w:sz w:val="20"/>
                <w:szCs w:val="20"/>
              </w:rPr>
            </w:pPr>
            <w:r>
              <w:rPr>
                <w:noProof/>
                <w:sz w:val="20"/>
                <w:szCs w:val="20"/>
              </w:rPr>
              <w:t>EE</w:t>
            </w:r>
          </w:p>
        </w:tc>
        <w:tc>
          <w:tcPr>
            <w:tcW w:w="2920" w:type="dxa"/>
            <w:tcBorders>
              <w:bottom w:val="single" w:sz="4" w:space="0" w:color="BDD6EE" w:themeColor="accent1" w:themeTint="66"/>
            </w:tcBorders>
            <w:noWrap/>
            <w:hideMark/>
          </w:tcPr>
          <w:p>
            <w:pPr>
              <w:rPr>
                <w:noProof/>
                <w:sz w:val="20"/>
                <w:szCs w:val="20"/>
              </w:rPr>
            </w:pPr>
            <w:r>
              <w:rPr>
                <w:noProof/>
                <w:sz w:val="20"/>
                <w:szCs w:val="20"/>
              </w:rPr>
              <w:t>TORR</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25.005.728</w:t>
            </w:r>
          </w:p>
        </w:tc>
      </w:tr>
      <w:tr>
        <w:trPr>
          <w:trHeight w:val="300"/>
        </w:trPr>
        <w:tc>
          <w:tcPr>
            <w:tcW w:w="867" w:type="dxa"/>
            <w:shd w:val="clear" w:color="auto" w:fill="DEEAF6" w:themeFill="accent1" w:themeFillTint="33"/>
            <w:noWrap/>
            <w:hideMark/>
          </w:tcPr>
          <w:p>
            <w:pPr>
              <w:rPr>
                <w:noProof/>
                <w:sz w:val="20"/>
                <w:szCs w:val="20"/>
              </w:rPr>
            </w:pPr>
            <w:r>
              <w:rPr>
                <w:noProof/>
                <w:sz w:val="20"/>
                <w:szCs w:val="20"/>
              </w:rPr>
              <w:t>Second</w:t>
            </w:r>
          </w:p>
        </w:tc>
        <w:tc>
          <w:tcPr>
            <w:tcW w:w="965" w:type="dxa"/>
            <w:shd w:val="clear" w:color="auto" w:fill="DEEAF6" w:themeFill="accent1" w:themeFillTint="33"/>
            <w:noWrap/>
            <w:hideMark/>
          </w:tcPr>
          <w:p>
            <w:pPr>
              <w:rPr>
                <w:noProof/>
                <w:sz w:val="20"/>
                <w:szCs w:val="20"/>
              </w:rPr>
            </w:pPr>
            <w:r>
              <w:rPr>
                <w:noProof/>
                <w:sz w:val="20"/>
                <w:szCs w:val="20"/>
              </w:rPr>
              <w:t>3</w:t>
            </w:r>
          </w:p>
        </w:tc>
        <w:tc>
          <w:tcPr>
            <w:tcW w:w="513" w:type="dxa"/>
            <w:shd w:val="clear" w:color="auto" w:fill="DEEAF6" w:themeFill="accent1" w:themeFillTint="33"/>
            <w:noWrap/>
            <w:hideMark/>
          </w:tcPr>
          <w:p>
            <w:pPr>
              <w:rPr>
                <w:noProof/>
                <w:sz w:val="20"/>
                <w:szCs w:val="20"/>
              </w:rPr>
            </w:pPr>
            <w:r>
              <w:rPr>
                <w:noProof/>
                <w:sz w:val="20"/>
                <w:szCs w:val="20"/>
              </w:rPr>
              <w:t>ES</w:t>
            </w:r>
          </w:p>
        </w:tc>
        <w:tc>
          <w:tcPr>
            <w:tcW w:w="2920" w:type="dxa"/>
            <w:shd w:val="clear" w:color="auto" w:fill="DEEAF6" w:themeFill="accent1" w:themeFillTint="33"/>
            <w:noWrap/>
            <w:hideMark/>
          </w:tcPr>
          <w:p>
            <w:pPr>
              <w:rPr>
                <w:noProof/>
                <w:sz w:val="20"/>
                <w:szCs w:val="20"/>
              </w:rPr>
            </w:pPr>
            <w:r>
              <w:rPr>
                <w:noProof/>
                <w:sz w:val="20"/>
                <w:szCs w:val="20"/>
              </w:rPr>
              <w:t>BALEA</w:t>
            </w:r>
          </w:p>
        </w:tc>
        <w:tc>
          <w:tcPr>
            <w:tcW w:w="3260" w:type="dxa"/>
            <w:shd w:val="clear" w:color="auto" w:fill="DEEAF6" w:themeFill="accent1" w:themeFillTint="33"/>
            <w:noWrap/>
            <w:hideMark/>
          </w:tcPr>
          <w:p>
            <w:pPr>
              <w:jc w:val="center"/>
              <w:rPr>
                <w:noProof/>
                <w:sz w:val="20"/>
                <w:szCs w:val="20"/>
              </w:rPr>
            </w:pPr>
            <w:r>
              <w:rPr>
                <w:noProof/>
                <w:sz w:val="20"/>
                <w:szCs w:val="20"/>
              </w:rPr>
              <w:t>33.365.908</w:t>
            </w:r>
          </w:p>
        </w:tc>
      </w:tr>
      <w:tr>
        <w:trPr>
          <w:trHeight w:val="300"/>
        </w:trPr>
        <w:tc>
          <w:tcPr>
            <w:tcW w:w="867" w:type="dxa"/>
            <w:tcBorders>
              <w:bottom w:val="single" w:sz="4" w:space="0" w:color="BDD6EE" w:themeColor="accent1" w:themeTint="66"/>
            </w:tcBorders>
            <w:noWrap/>
            <w:hideMark/>
          </w:tcPr>
          <w:p>
            <w:pPr>
              <w:rPr>
                <w:noProof/>
                <w:sz w:val="20"/>
                <w:szCs w:val="20"/>
              </w:rPr>
            </w:pPr>
            <w:r>
              <w:rPr>
                <w:noProof/>
                <w:sz w:val="20"/>
                <w:szCs w:val="20"/>
              </w:rPr>
              <w:t>Second</w:t>
            </w:r>
          </w:p>
        </w:tc>
        <w:tc>
          <w:tcPr>
            <w:tcW w:w="965" w:type="dxa"/>
            <w:tcBorders>
              <w:bottom w:val="single" w:sz="4" w:space="0" w:color="BDD6EE" w:themeColor="accent1" w:themeTint="66"/>
            </w:tcBorders>
            <w:noWrap/>
            <w:hideMark/>
          </w:tcPr>
          <w:p>
            <w:pPr>
              <w:rPr>
                <w:noProof/>
                <w:sz w:val="20"/>
                <w:szCs w:val="20"/>
              </w:rPr>
            </w:pPr>
            <w:r>
              <w:rPr>
                <w:noProof/>
                <w:sz w:val="20"/>
                <w:szCs w:val="20"/>
              </w:rPr>
              <w:t>4</w:t>
            </w:r>
          </w:p>
        </w:tc>
        <w:tc>
          <w:tcPr>
            <w:tcW w:w="513" w:type="dxa"/>
            <w:tcBorders>
              <w:bottom w:val="single" w:sz="4" w:space="0" w:color="BDD6EE" w:themeColor="accent1" w:themeTint="66"/>
            </w:tcBorders>
            <w:noWrap/>
            <w:hideMark/>
          </w:tcPr>
          <w:p>
            <w:pPr>
              <w:rPr>
                <w:noProof/>
                <w:sz w:val="20"/>
                <w:szCs w:val="20"/>
              </w:rPr>
            </w:pPr>
            <w:r>
              <w:rPr>
                <w:noProof/>
                <w:sz w:val="20"/>
                <w:szCs w:val="20"/>
              </w:rPr>
              <w:t>ES</w:t>
            </w:r>
          </w:p>
        </w:tc>
        <w:tc>
          <w:tcPr>
            <w:tcW w:w="2920" w:type="dxa"/>
            <w:tcBorders>
              <w:bottom w:val="single" w:sz="4" w:space="0" w:color="BDD6EE" w:themeColor="accent1" w:themeTint="66"/>
            </w:tcBorders>
            <w:noWrap/>
            <w:hideMark/>
          </w:tcPr>
          <w:p>
            <w:pPr>
              <w:rPr>
                <w:noProof/>
                <w:sz w:val="20"/>
                <w:szCs w:val="20"/>
              </w:rPr>
            </w:pPr>
            <w:r>
              <w:rPr>
                <w:noProof/>
                <w:sz w:val="20"/>
                <w:szCs w:val="20"/>
              </w:rPr>
              <w:t>FloCan5</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34.000.000</w:t>
            </w:r>
          </w:p>
        </w:tc>
      </w:tr>
      <w:tr>
        <w:trPr>
          <w:trHeight w:val="300"/>
        </w:trPr>
        <w:tc>
          <w:tcPr>
            <w:tcW w:w="867" w:type="dxa"/>
            <w:shd w:val="clear" w:color="auto" w:fill="DEEAF6" w:themeFill="accent1" w:themeFillTint="33"/>
            <w:noWrap/>
            <w:hideMark/>
          </w:tcPr>
          <w:p>
            <w:pPr>
              <w:rPr>
                <w:noProof/>
                <w:sz w:val="20"/>
                <w:szCs w:val="20"/>
              </w:rPr>
            </w:pPr>
            <w:r>
              <w:rPr>
                <w:noProof/>
                <w:sz w:val="20"/>
                <w:szCs w:val="20"/>
              </w:rPr>
              <w:t>Second</w:t>
            </w:r>
          </w:p>
        </w:tc>
        <w:tc>
          <w:tcPr>
            <w:tcW w:w="965" w:type="dxa"/>
            <w:shd w:val="clear" w:color="auto" w:fill="DEEAF6" w:themeFill="accent1" w:themeFillTint="33"/>
            <w:noWrap/>
            <w:hideMark/>
          </w:tcPr>
          <w:p>
            <w:pPr>
              <w:rPr>
                <w:noProof/>
                <w:sz w:val="20"/>
                <w:szCs w:val="20"/>
              </w:rPr>
            </w:pPr>
            <w:r>
              <w:rPr>
                <w:noProof/>
                <w:sz w:val="20"/>
                <w:szCs w:val="20"/>
              </w:rPr>
              <w:t>5</w:t>
            </w:r>
          </w:p>
        </w:tc>
        <w:tc>
          <w:tcPr>
            <w:tcW w:w="513" w:type="dxa"/>
            <w:shd w:val="clear" w:color="auto" w:fill="DEEAF6" w:themeFill="accent1" w:themeFillTint="33"/>
            <w:noWrap/>
            <w:hideMark/>
          </w:tcPr>
          <w:p>
            <w:pPr>
              <w:rPr>
                <w:noProof/>
                <w:sz w:val="20"/>
                <w:szCs w:val="20"/>
              </w:rPr>
            </w:pPr>
            <w:r>
              <w:rPr>
                <w:noProof/>
                <w:sz w:val="20"/>
                <w:szCs w:val="20"/>
              </w:rPr>
              <w:t>FR</w:t>
            </w:r>
          </w:p>
        </w:tc>
        <w:tc>
          <w:tcPr>
            <w:tcW w:w="2920" w:type="dxa"/>
            <w:shd w:val="clear" w:color="auto" w:fill="DEEAF6" w:themeFill="accent1" w:themeFillTint="33"/>
            <w:noWrap/>
            <w:hideMark/>
          </w:tcPr>
          <w:p>
            <w:pPr>
              <w:rPr>
                <w:noProof/>
                <w:sz w:val="20"/>
                <w:szCs w:val="20"/>
              </w:rPr>
            </w:pPr>
            <w:r>
              <w:rPr>
                <w:noProof/>
                <w:sz w:val="20"/>
                <w:szCs w:val="20"/>
              </w:rPr>
              <w:t>GEOSTRAS</w:t>
            </w:r>
          </w:p>
        </w:tc>
        <w:tc>
          <w:tcPr>
            <w:tcW w:w="3260" w:type="dxa"/>
            <w:shd w:val="clear" w:color="auto" w:fill="DEEAF6" w:themeFill="accent1" w:themeFillTint="33"/>
            <w:noWrap/>
            <w:hideMark/>
          </w:tcPr>
          <w:p>
            <w:pPr>
              <w:jc w:val="center"/>
              <w:rPr>
                <w:noProof/>
                <w:sz w:val="20"/>
                <w:szCs w:val="20"/>
              </w:rPr>
            </w:pPr>
            <w:r>
              <w:rPr>
                <w:noProof/>
                <w:sz w:val="20"/>
                <w:szCs w:val="20"/>
              </w:rPr>
              <w:t>16.839.180</w:t>
            </w:r>
          </w:p>
        </w:tc>
      </w:tr>
      <w:tr>
        <w:trPr>
          <w:trHeight w:val="300"/>
        </w:trPr>
        <w:tc>
          <w:tcPr>
            <w:tcW w:w="867" w:type="dxa"/>
            <w:tcBorders>
              <w:bottom w:val="single" w:sz="4" w:space="0" w:color="BDD6EE" w:themeColor="accent1" w:themeTint="66"/>
            </w:tcBorders>
            <w:noWrap/>
            <w:hideMark/>
          </w:tcPr>
          <w:p>
            <w:pPr>
              <w:rPr>
                <w:noProof/>
                <w:sz w:val="20"/>
                <w:szCs w:val="20"/>
              </w:rPr>
            </w:pPr>
            <w:r>
              <w:rPr>
                <w:noProof/>
                <w:sz w:val="20"/>
                <w:szCs w:val="20"/>
              </w:rPr>
              <w:t>Second</w:t>
            </w:r>
          </w:p>
        </w:tc>
        <w:tc>
          <w:tcPr>
            <w:tcW w:w="965" w:type="dxa"/>
            <w:tcBorders>
              <w:bottom w:val="single" w:sz="4" w:space="0" w:color="BDD6EE" w:themeColor="accent1" w:themeTint="66"/>
            </w:tcBorders>
            <w:noWrap/>
            <w:hideMark/>
          </w:tcPr>
          <w:p>
            <w:pPr>
              <w:rPr>
                <w:noProof/>
                <w:sz w:val="20"/>
                <w:szCs w:val="20"/>
              </w:rPr>
            </w:pPr>
            <w:r>
              <w:rPr>
                <w:noProof/>
                <w:sz w:val="20"/>
                <w:szCs w:val="20"/>
              </w:rPr>
              <w:t>6</w:t>
            </w:r>
          </w:p>
        </w:tc>
        <w:tc>
          <w:tcPr>
            <w:tcW w:w="513" w:type="dxa"/>
            <w:tcBorders>
              <w:bottom w:val="single" w:sz="4" w:space="0" w:color="BDD6EE" w:themeColor="accent1" w:themeTint="66"/>
            </w:tcBorders>
            <w:noWrap/>
            <w:hideMark/>
          </w:tcPr>
          <w:p>
            <w:pPr>
              <w:rPr>
                <w:noProof/>
                <w:sz w:val="20"/>
                <w:szCs w:val="20"/>
              </w:rPr>
            </w:pPr>
            <w:r>
              <w:rPr>
                <w:noProof/>
                <w:sz w:val="20"/>
                <w:szCs w:val="20"/>
              </w:rPr>
              <w:t>HR</w:t>
            </w:r>
          </w:p>
        </w:tc>
        <w:tc>
          <w:tcPr>
            <w:tcW w:w="2920" w:type="dxa"/>
            <w:tcBorders>
              <w:bottom w:val="single" w:sz="4" w:space="0" w:color="BDD6EE" w:themeColor="accent1" w:themeTint="66"/>
            </w:tcBorders>
            <w:noWrap/>
            <w:hideMark/>
          </w:tcPr>
          <w:p>
            <w:pPr>
              <w:rPr>
                <w:noProof/>
                <w:sz w:val="20"/>
                <w:szCs w:val="20"/>
              </w:rPr>
            </w:pPr>
            <w:r>
              <w:rPr>
                <w:noProof/>
                <w:sz w:val="20"/>
                <w:szCs w:val="20"/>
              </w:rPr>
              <w:t>Geothermae</w:t>
            </w:r>
          </w:p>
        </w:tc>
        <w:tc>
          <w:tcPr>
            <w:tcW w:w="3260" w:type="dxa"/>
            <w:tcBorders>
              <w:bottom w:val="single" w:sz="4" w:space="0" w:color="BDD6EE" w:themeColor="accent1" w:themeTint="66"/>
            </w:tcBorders>
            <w:noWrap/>
            <w:hideMark/>
          </w:tcPr>
          <w:p>
            <w:pPr>
              <w:jc w:val="center"/>
              <w:rPr>
                <w:noProof/>
                <w:sz w:val="20"/>
                <w:szCs w:val="20"/>
              </w:rPr>
            </w:pPr>
            <w:r>
              <w:rPr>
                <w:noProof/>
                <w:sz w:val="20"/>
                <w:szCs w:val="20"/>
              </w:rPr>
              <w:t>14.740.181</w:t>
            </w:r>
          </w:p>
        </w:tc>
      </w:tr>
      <w:tr>
        <w:trPr>
          <w:trHeight w:val="300"/>
        </w:trPr>
        <w:tc>
          <w:tcPr>
            <w:tcW w:w="867" w:type="dxa"/>
            <w:shd w:val="clear" w:color="auto" w:fill="DEEAF6" w:themeFill="accent1" w:themeFillTint="33"/>
            <w:noWrap/>
            <w:hideMark/>
          </w:tcPr>
          <w:p>
            <w:pPr>
              <w:rPr>
                <w:noProof/>
                <w:sz w:val="20"/>
                <w:szCs w:val="20"/>
              </w:rPr>
            </w:pPr>
            <w:r>
              <w:rPr>
                <w:noProof/>
                <w:sz w:val="20"/>
                <w:szCs w:val="20"/>
              </w:rPr>
              <w:t>Second</w:t>
            </w:r>
          </w:p>
        </w:tc>
        <w:tc>
          <w:tcPr>
            <w:tcW w:w="965" w:type="dxa"/>
            <w:shd w:val="clear" w:color="auto" w:fill="DEEAF6" w:themeFill="accent1" w:themeFillTint="33"/>
            <w:noWrap/>
            <w:hideMark/>
          </w:tcPr>
          <w:p>
            <w:pPr>
              <w:rPr>
                <w:noProof/>
                <w:sz w:val="20"/>
                <w:szCs w:val="20"/>
              </w:rPr>
            </w:pPr>
            <w:r>
              <w:rPr>
                <w:noProof/>
                <w:sz w:val="20"/>
                <w:szCs w:val="20"/>
              </w:rPr>
              <w:t>7</w:t>
            </w:r>
          </w:p>
        </w:tc>
        <w:tc>
          <w:tcPr>
            <w:tcW w:w="513" w:type="dxa"/>
            <w:shd w:val="clear" w:color="auto" w:fill="DEEAF6" w:themeFill="accent1" w:themeFillTint="33"/>
            <w:noWrap/>
            <w:hideMark/>
          </w:tcPr>
          <w:p>
            <w:pPr>
              <w:rPr>
                <w:noProof/>
                <w:sz w:val="20"/>
                <w:szCs w:val="20"/>
              </w:rPr>
            </w:pPr>
            <w:r>
              <w:rPr>
                <w:noProof/>
                <w:sz w:val="20"/>
                <w:szCs w:val="20"/>
              </w:rPr>
              <w:t>IT</w:t>
            </w:r>
          </w:p>
        </w:tc>
        <w:tc>
          <w:tcPr>
            <w:tcW w:w="2920" w:type="dxa"/>
            <w:shd w:val="clear" w:color="auto" w:fill="DEEAF6" w:themeFill="accent1" w:themeFillTint="33"/>
            <w:noWrap/>
            <w:hideMark/>
          </w:tcPr>
          <w:p>
            <w:pPr>
              <w:rPr>
                <w:noProof/>
                <w:sz w:val="20"/>
                <w:szCs w:val="20"/>
              </w:rPr>
            </w:pPr>
            <w:r>
              <w:rPr>
                <w:noProof/>
                <w:sz w:val="20"/>
                <w:szCs w:val="20"/>
              </w:rPr>
              <w:t>Puglia Active Network</w:t>
            </w:r>
          </w:p>
        </w:tc>
        <w:tc>
          <w:tcPr>
            <w:tcW w:w="3260" w:type="dxa"/>
            <w:shd w:val="clear" w:color="auto" w:fill="DEEAF6" w:themeFill="accent1" w:themeFillTint="33"/>
            <w:noWrap/>
            <w:hideMark/>
          </w:tcPr>
          <w:p>
            <w:pPr>
              <w:jc w:val="center"/>
              <w:rPr>
                <w:noProof/>
                <w:sz w:val="20"/>
                <w:szCs w:val="20"/>
              </w:rPr>
            </w:pPr>
            <w:r>
              <w:rPr>
                <w:noProof/>
                <w:sz w:val="20"/>
                <w:szCs w:val="20"/>
              </w:rPr>
              <w:t>84.976.708</w:t>
            </w:r>
          </w:p>
        </w:tc>
      </w:tr>
      <w:tr>
        <w:trPr>
          <w:trHeight w:val="300"/>
        </w:trPr>
        <w:tc>
          <w:tcPr>
            <w:tcW w:w="867" w:type="dxa"/>
            <w:tcBorders>
              <w:bottom w:val="single" w:sz="4" w:space="0" w:color="BDD6EE" w:themeColor="accent1" w:themeTint="66"/>
            </w:tcBorders>
            <w:noWrap/>
          </w:tcPr>
          <w:p>
            <w:pPr>
              <w:rPr>
                <w:noProof/>
                <w:sz w:val="20"/>
                <w:szCs w:val="20"/>
              </w:rPr>
            </w:pPr>
          </w:p>
        </w:tc>
        <w:tc>
          <w:tcPr>
            <w:tcW w:w="965" w:type="dxa"/>
            <w:tcBorders>
              <w:bottom w:val="single" w:sz="4" w:space="0" w:color="BDD6EE" w:themeColor="accent1" w:themeTint="66"/>
            </w:tcBorders>
            <w:noWrap/>
          </w:tcPr>
          <w:p>
            <w:pPr>
              <w:rPr>
                <w:noProof/>
                <w:sz w:val="20"/>
                <w:szCs w:val="20"/>
              </w:rPr>
            </w:pPr>
          </w:p>
        </w:tc>
        <w:tc>
          <w:tcPr>
            <w:tcW w:w="513" w:type="dxa"/>
            <w:tcBorders>
              <w:bottom w:val="single" w:sz="4" w:space="0" w:color="BDD6EE" w:themeColor="accent1" w:themeTint="66"/>
            </w:tcBorders>
            <w:noWrap/>
          </w:tcPr>
          <w:p>
            <w:pPr>
              <w:rPr>
                <w:noProof/>
                <w:sz w:val="20"/>
                <w:szCs w:val="20"/>
              </w:rPr>
            </w:pPr>
          </w:p>
        </w:tc>
        <w:tc>
          <w:tcPr>
            <w:tcW w:w="2920" w:type="dxa"/>
            <w:tcBorders>
              <w:bottom w:val="single" w:sz="4" w:space="0" w:color="BDD6EE" w:themeColor="accent1" w:themeTint="66"/>
            </w:tcBorders>
            <w:noWrap/>
          </w:tcPr>
          <w:p>
            <w:pPr>
              <w:rPr>
                <w:noProof/>
                <w:sz w:val="20"/>
                <w:szCs w:val="20"/>
              </w:rPr>
            </w:pPr>
          </w:p>
        </w:tc>
        <w:tc>
          <w:tcPr>
            <w:tcW w:w="3260" w:type="dxa"/>
            <w:tcBorders>
              <w:bottom w:val="single" w:sz="4" w:space="0" w:color="BDD6EE" w:themeColor="accent1" w:themeTint="66"/>
            </w:tcBorders>
            <w:noWrap/>
          </w:tcPr>
          <w:p>
            <w:pPr>
              <w:jc w:val="center"/>
              <w:rPr>
                <w:noProof/>
                <w:sz w:val="20"/>
                <w:szCs w:val="20"/>
              </w:rPr>
            </w:pPr>
          </w:p>
        </w:tc>
      </w:tr>
      <w:tr>
        <w:trPr>
          <w:trHeight w:val="300"/>
        </w:trPr>
        <w:tc>
          <w:tcPr>
            <w:tcW w:w="867" w:type="dxa"/>
            <w:shd w:val="clear" w:color="auto" w:fill="9CC2E5" w:themeFill="accent1" w:themeFillTint="99"/>
            <w:noWrap/>
            <w:hideMark/>
          </w:tcPr>
          <w:p>
            <w:pPr>
              <w:rPr>
                <w:b/>
                <w:bCs/>
                <w:noProof/>
                <w:sz w:val="20"/>
                <w:szCs w:val="20"/>
              </w:rPr>
            </w:pPr>
            <w:r>
              <w:rPr>
                <w:b/>
                <w:bCs/>
                <w:noProof/>
                <w:sz w:val="20"/>
                <w:szCs w:val="20"/>
              </w:rPr>
              <w:t> Total</w:t>
            </w:r>
          </w:p>
        </w:tc>
        <w:tc>
          <w:tcPr>
            <w:tcW w:w="965" w:type="dxa"/>
            <w:shd w:val="clear" w:color="auto" w:fill="9CC2E5" w:themeFill="accent1" w:themeFillTint="99"/>
            <w:noWrap/>
            <w:hideMark/>
          </w:tcPr>
          <w:p>
            <w:pPr>
              <w:rPr>
                <w:b/>
                <w:bCs/>
                <w:noProof/>
                <w:sz w:val="20"/>
                <w:szCs w:val="20"/>
              </w:rPr>
            </w:pPr>
            <w:r>
              <w:rPr>
                <w:b/>
                <w:bCs/>
                <w:noProof/>
                <w:sz w:val="20"/>
                <w:szCs w:val="20"/>
              </w:rPr>
              <w:t> </w:t>
            </w:r>
          </w:p>
        </w:tc>
        <w:tc>
          <w:tcPr>
            <w:tcW w:w="513" w:type="dxa"/>
            <w:shd w:val="clear" w:color="auto" w:fill="9CC2E5" w:themeFill="accent1" w:themeFillTint="99"/>
            <w:noWrap/>
            <w:hideMark/>
          </w:tcPr>
          <w:p>
            <w:pPr>
              <w:rPr>
                <w:b/>
                <w:bCs/>
                <w:noProof/>
                <w:sz w:val="20"/>
                <w:szCs w:val="20"/>
              </w:rPr>
            </w:pPr>
            <w:r>
              <w:rPr>
                <w:b/>
                <w:bCs/>
                <w:noProof/>
                <w:sz w:val="20"/>
                <w:szCs w:val="20"/>
              </w:rPr>
              <w:t> </w:t>
            </w:r>
          </w:p>
        </w:tc>
        <w:tc>
          <w:tcPr>
            <w:tcW w:w="2920" w:type="dxa"/>
            <w:shd w:val="clear" w:color="auto" w:fill="9CC2E5" w:themeFill="accent1" w:themeFillTint="99"/>
            <w:noWrap/>
            <w:hideMark/>
          </w:tcPr>
          <w:p>
            <w:pPr>
              <w:rPr>
                <w:b/>
                <w:bCs/>
                <w:noProof/>
                <w:sz w:val="20"/>
                <w:szCs w:val="20"/>
              </w:rPr>
            </w:pPr>
            <w:r>
              <w:rPr>
                <w:b/>
                <w:bCs/>
                <w:noProof/>
                <w:sz w:val="20"/>
                <w:szCs w:val="20"/>
              </w:rPr>
              <w:t> </w:t>
            </w:r>
          </w:p>
        </w:tc>
        <w:tc>
          <w:tcPr>
            <w:tcW w:w="3260" w:type="dxa"/>
            <w:shd w:val="clear" w:color="auto" w:fill="9CC2E5" w:themeFill="accent1" w:themeFillTint="99"/>
            <w:noWrap/>
            <w:hideMark/>
          </w:tcPr>
          <w:p>
            <w:pPr>
              <w:jc w:val="center"/>
              <w:rPr>
                <w:b/>
                <w:bCs/>
                <w:noProof/>
                <w:sz w:val="20"/>
                <w:szCs w:val="20"/>
              </w:rPr>
            </w:pPr>
            <w:r>
              <w:rPr>
                <w:b/>
                <w:bCs/>
                <w:noProof/>
                <w:sz w:val="20"/>
                <w:szCs w:val="20"/>
              </w:rPr>
              <w:t>645.892.567</w:t>
            </w:r>
          </w:p>
        </w:tc>
      </w:tr>
      <w:tr>
        <w:trPr>
          <w:trHeight w:val="300"/>
        </w:trPr>
        <w:tc>
          <w:tcPr>
            <w:tcW w:w="867" w:type="dxa"/>
            <w:tcBorders>
              <w:bottom w:val="single" w:sz="4" w:space="0" w:color="BDD6EE" w:themeColor="accent1" w:themeTint="66"/>
            </w:tcBorders>
            <w:noWrap/>
          </w:tcPr>
          <w:p>
            <w:pPr>
              <w:rPr>
                <w:bCs/>
                <w:noProof/>
                <w:sz w:val="20"/>
                <w:szCs w:val="20"/>
              </w:rPr>
            </w:pPr>
            <w:r>
              <w:rPr>
                <w:bCs/>
                <w:noProof/>
                <w:sz w:val="20"/>
                <w:szCs w:val="20"/>
              </w:rPr>
              <w:t>1</w:t>
            </w:r>
            <w:r>
              <w:rPr>
                <w:bCs/>
                <w:noProof/>
                <w:sz w:val="20"/>
                <w:szCs w:val="20"/>
                <w:vertAlign w:val="superscript"/>
              </w:rPr>
              <w:t>st</w:t>
            </w:r>
            <w:r>
              <w:rPr>
                <w:bCs/>
                <w:noProof/>
                <w:sz w:val="20"/>
                <w:szCs w:val="20"/>
              </w:rPr>
              <w:t xml:space="preserve"> call</w:t>
            </w:r>
          </w:p>
        </w:tc>
        <w:tc>
          <w:tcPr>
            <w:tcW w:w="965" w:type="dxa"/>
            <w:tcBorders>
              <w:bottom w:val="single" w:sz="4" w:space="0" w:color="BDD6EE" w:themeColor="accent1" w:themeTint="66"/>
            </w:tcBorders>
            <w:noWrap/>
          </w:tcPr>
          <w:p>
            <w:pPr>
              <w:rPr>
                <w:bCs/>
                <w:noProof/>
                <w:sz w:val="20"/>
                <w:szCs w:val="20"/>
              </w:rPr>
            </w:pPr>
          </w:p>
        </w:tc>
        <w:tc>
          <w:tcPr>
            <w:tcW w:w="513" w:type="dxa"/>
            <w:tcBorders>
              <w:bottom w:val="single" w:sz="4" w:space="0" w:color="BDD6EE" w:themeColor="accent1" w:themeTint="66"/>
            </w:tcBorders>
            <w:noWrap/>
          </w:tcPr>
          <w:p>
            <w:pPr>
              <w:rPr>
                <w:bCs/>
                <w:noProof/>
                <w:sz w:val="20"/>
                <w:szCs w:val="20"/>
              </w:rPr>
            </w:pPr>
          </w:p>
        </w:tc>
        <w:tc>
          <w:tcPr>
            <w:tcW w:w="2920" w:type="dxa"/>
            <w:tcBorders>
              <w:bottom w:val="single" w:sz="4" w:space="0" w:color="BDD6EE" w:themeColor="accent1" w:themeTint="66"/>
            </w:tcBorders>
            <w:noWrap/>
          </w:tcPr>
          <w:p>
            <w:pPr>
              <w:rPr>
                <w:bCs/>
                <w:noProof/>
                <w:sz w:val="20"/>
                <w:szCs w:val="20"/>
              </w:rPr>
            </w:pPr>
          </w:p>
        </w:tc>
        <w:tc>
          <w:tcPr>
            <w:tcW w:w="3260" w:type="dxa"/>
            <w:tcBorders>
              <w:bottom w:val="single" w:sz="4" w:space="0" w:color="BDD6EE" w:themeColor="accent1" w:themeTint="66"/>
            </w:tcBorders>
            <w:noWrap/>
          </w:tcPr>
          <w:p>
            <w:pPr>
              <w:jc w:val="center"/>
              <w:rPr>
                <w:bCs/>
                <w:noProof/>
                <w:sz w:val="20"/>
                <w:szCs w:val="20"/>
              </w:rPr>
            </w:pPr>
            <w:r>
              <w:rPr>
                <w:bCs/>
                <w:noProof/>
                <w:sz w:val="20"/>
                <w:szCs w:val="20"/>
              </w:rPr>
              <w:t>376.779.234</w:t>
            </w:r>
          </w:p>
        </w:tc>
      </w:tr>
      <w:tr>
        <w:trPr>
          <w:trHeight w:val="300"/>
        </w:trPr>
        <w:tc>
          <w:tcPr>
            <w:tcW w:w="867" w:type="dxa"/>
            <w:shd w:val="clear" w:color="auto" w:fill="DEEAF6" w:themeFill="accent1" w:themeFillTint="33"/>
            <w:noWrap/>
          </w:tcPr>
          <w:p>
            <w:pPr>
              <w:rPr>
                <w:bCs/>
                <w:noProof/>
                <w:sz w:val="20"/>
                <w:szCs w:val="20"/>
              </w:rPr>
            </w:pPr>
            <w:r>
              <w:rPr>
                <w:bCs/>
                <w:noProof/>
                <w:sz w:val="20"/>
                <w:szCs w:val="20"/>
              </w:rPr>
              <w:t>2</w:t>
            </w:r>
            <w:r>
              <w:rPr>
                <w:bCs/>
                <w:noProof/>
                <w:sz w:val="20"/>
                <w:szCs w:val="20"/>
                <w:vertAlign w:val="superscript"/>
              </w:rPr>
              <w:t>nd</w:t>
            </w:r>
            <w:r>
              <w:rPr>
                <w:bCs/>
                <w:noProof/>
                <w:sz w:val="20"/>
                <w:szCs w:val="20"/>
              </w:rPr>
              <w:t xml:space="preserve"> call</w:t>
            </w:r>
          </w:p>
        </w:tc>
        <w:tc>
          <w:tcPr>
            <w:tcW w:w="965" w:type="dxa"/>
            <w:shd w:val="clear" w:color="auto" w:fill="DEEAF6" w:themeFill="accent1" w:themeFillTint="33"/>
            <w:noWrap/>
          </w:tcPr>
          <w:p>
            <w:pPr>
              <w:rPr>
                <w:bCs/>
                <w:noProof/>
                <w:sz w:val="20"/>
                <w:szCs w:val="20"/>
              </w:rPr>
            </w:pPr>
          </w:p>
        </w:tc>
        <w:tc>
          <w:tcPr>
            <w:tcW w:w="513" w:type="dxa"/>
            <w:shd w:val="clear" w:color="auto" w:fill="DEEAF6" w:themeFill="accent1" w:themeFillTint="33"/>
            <w:noWrap/>
          </w:tcPr>
          <w:p>
            <w:pPr>
              <w:rPr>
                <w:bCs/>
                <w:noProof/>
                <w:sz w:val="20"/>
                <w:szCs w:val="20"/>
              </w:rPr>
            </w:pPr>
          </w:p>
        </w:tc>
        <w:tc>
          <w:tcPr>
            <w:tcW w:w="2920" w:type="dxa"/>
            <w:shd w:val="clear" w:color="auto" w:fill="DEEAF6" w:themeFill="accent1" w:themeFillTint="33"/>
            <w:noWrap/>
          </w:tcPr>
          <w:p>
            <w:pPr>
              <w:rPr>
                <w:bCs/>
                <w:noProof/>
                <w:sz w:val="20"/>
                <w:szCs w:val="20"/>
              </w:rPr>
            </w:pPr>
          </w:p>
        </w:tc>
        <w:tc>
          <w:tcPr>
            <w:tcW w:w="3260" w:type="dxa"/>
            <w:shd w:val="clear" w:color="auto" w:fill="DEEAF6" w:themeFill="accent1" w:themeFillTint="33"/>
            <w:noWrap/>
          </w:tcPr>
          <w:p>
            <w:pPr>
              <w:jc w:val="center"/>
              <w:rPr>
                <w:bCs/>
                <w:noProof/>
                <w:sz w:val="20"/>
                <w:szCs w:val="20"/>
              </w:rPr>
            </w:pPr>
            <w:r>
              <w:rPr>
                <w:bCs/>
                <w:noProof/>
                <w:sz w:val="20"/>
                <w:szCs w:val="20"/>
              </w:rPr>
              <w:t>269.113.333</w:t>
            </w:r>
          </w:p>
        </w:tc>
      </w:tr>
    </w:tbl>
    <w:p>
      <w:pPr>
        <w:rPr>
          <w:noProof/>
          <w:lang w:val="en-US"/>
        </w:rPr>
      </w:pPr>
    </w:p>
    <w:sectPr>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3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946577"/>
      <w:docPartObj>
        <w:docPartGallery w:val="Page Numbers (Bottom of Page)"/>
        <w:docPartUnique/>
      </w:docPartObj>
    </w:sdtPr>
    <w:sdtEndPr>
      <w:rPr>
        <w:noProof/>
      </w:rPr>
    </w:sdtEndPr>
    <w:sdtContent>
      <w:p>
        <w:pPr>
          <w:pStyle w:val="Footer"/>
          <w:ind w:firstLine="240"/>
          <w:jc w:val="center"/>
        </w:pPr>
        <w:r>
          <w:fldChar w:fldCharType="begin"/>
        </w:r>
        <w:r>
          <w:instrText xml:space="preserve"> PAGE   \* MERGEFORMAT </w:instrText>
        </w:r>
        <w:r>
          <w:fldChar w:fldCharType="separate"/>
        </w:r>
        <w:r>
          <w:rPr>
            <w:noProof/>
          </w:rPr>
          <w:t>8</w:t>
        </w:r>
        <w:r>
          <w:rPr>
            <w:noProof/>
          </w:rPr>
          <w:fldChar w:fldCharType="end"/>
        </w:r>
      </w:p>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269102"/>
      <w:docPartObj>
        <w:docPartGallery w:val="Page Numbers (Bottom of Page)"/>
        <w:docPartUnique/>
      </w:docPartObj>
    </w:sdtPr>
    <w:sdtEndPr>
      <w:rPr>
        <w:noProof/>
      </w:rPr>
    </w:sdtEndPr>
    <w:sdtContent>
      <w:p>
        <w:pPr>
          <w:pStyle w:val="Footer"/>
          <w:ind w:firstLine="240"/>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828209"/>
      <w:docPartObj>
        <w:docPartGallery w:val="Page Numbers (Bottom of Page)"/>
        <w:docPartUnique/>
      </w:docPartObj>
    </w:sdtPr>
    <w:sdtEndPr>
      <w:rPr>
        <w:noProof/>
      </w:rPr>
    </w:sdtEndPr>
    <w:sdtContent>
      <w:p>
        <w:pPr>
          <w:pStyle w:val="Footer"/>
          <w:ind w:firstLine="240"/>
          <w:jc w:val="center"/>
        </w:pPr>
        <w:r>
          <w:fldChar w:fldCharType="begin"/>
        </w:r>
        <w:r>
          <w:instrText xml:space="preserve"> PAGE   \* MERGEFORMAT </w:instrText>
        </w:r>
        <w:r>
          <w:fldChar w:fldCharType="separate"/>
        </w:r>
        <w:r>
          <w:rPr>
            <w:noProof/>
          </w:rPr>
          <w:t>6</w:t>
        </w:r>
        <w:r>
          <w:rPr>
            <w:noProof/>
          </w:rPr>
          <w:fldChar w:fldCharType="end"/>
        </w:r>
      </w:p>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vertAlign w:val="superscript"/>
        </w:rPr>
        <w:footnoteRef/>
      </w:r>
      <w:r>
        <w:t xml:space="preserve"> </w:t>
      </w:r>
      <w:r>
        <w:rPr>
          <w:noProof/>
          <w:color w:val="000000"/>
          <w:lang w:eastAsia="de-DE"/>
        </w:rPr>
        <w:t xml:space="preserve">May be reviewed in the light of the implementation of ICAO's global measure.  </w:t>
      </w:r>
    </w:p>
  </w:footnote>
  <w:footnote w:id="2">
    <w:p>
      <w:pPr>
        <w:pStyle w:val="FootnoteText"/>
      </w:pPr>
      <w:r>
        <w:rPr>
          <w:vertAlign w:val="superscript"/>
        </w:rPr>
        <w:footnoteRef/>
      </w:r>
      <w:r>
        <w:t xml:space="preserve"> Member States that do not use their 3 % limit for the use of international credits in any specific year can transfer the unused part of their limit to another Member State or bank it for their own use until 2020. Member States fulfilling additional criteria (Austria, Belgium, Cyprus, Denmark, Finland, Ireland, Italy, Luxembourg, Portugal, Slovenia, Spain and Sweden) may use credits from projects in Least Developed Countries (LDCs) and Small Island Developing States (SIDS) up to an additional 1 % of their verified emissions in 2005. These credits are not bankable and transferable. A maximum of approximately 750 Mt of international credits can be used during the period from 2013 to 2020 in the ESD.</w:t>
      </w:r>
    </w:p>
  </w:footnote>
  <w:footnote w:id="3">
    <w:p>
      <w:pPr>
        <w:pStyle w:val="FootnoteText"/>
      </w:pPr>
      <w:r>
        <w:rPr>
          <w:rStyle w:val="FootnoteReference"/>
        </w:rPr>
        <w:footnoteRef/>
      </w:r>
      <w:r>
        <w:t xml:space="preserve"> A link with the permit system in Switzerland has been ratified.</w:t>
      </w:r>
    </w:p>
  </w:footnote>
  <w:footnote w:id="4">
    <w:p>
      <w:pPr>
        <w:pStyle w:val="FootnoteText"/>
      </w:pPr>
      <w:r>
        <w:rPr>
          <w:vertAlign w:val="superscript"/>
        </w:rPr>
        <w:footnoteRef/>
      </w:r>
      <w:r>
        <w:t xml:space="preserve"> </w:t>
      </w:r>
      <w:r>
        <w:rPr>
          <w:noProof/>
        </w:rPr>
        <w:t xml:space="preserve">For the CP2 it refers to carry over from CP1. For the ETS it refers to carry-over from previous trading period under the scheme itself. </w:t>
      </w:r>
    </w:p>
  </w:footnote>
  <w:footnote w:id="5">
    <w:p>
      <w:pPr>
        <w:pStyle w:val="FootnoteText"/>
      </w:pPr>
      <w:r>
        <w:rPr>
          <w:rStyle w:val="FootnoteReference"/>
        </w:rPr>
        <w:footnoteRef/>
      </w:r>
      <w:r>
        <w:t xml:space="preserve"> HFCs are also covered by the Kigali Amendment to the Montreal Protocol, which entered into force on the 1</w:t>
      </w:r>
      <w:r>
        <w:rPr>
          <w:vertAlign w:val="superscript"/>
        </w:rPr>
        <w:t>st</w:t>
      </w:r>
      <w:r>
        <w:t xml:space="preserve"> of January 2019.</w:t>
      </w:r>
    </w:p>
  </w:footnote>
  <w:footnote w:id="6">
    <w:p>
      <w:pPr>
        <w:pStyle w:val="FootnoteText"/>
      </w:pPr>
      <w:r>
        <w:rPr>
          <w:rStyle w:val="FootnoteReference"/>
        </w:rPr>
        <w:footnoteRef/>
      </w:r>
      <w:r>
        <w:t xml:space="preserve"> EU-28 until 31 January 2020</w:t>
      </w:r>
    </w:p>
  </w:footnote>
  <w:footnote w:id="7">
    <w:p>
      <w:pPr>
        <w:pStyle w:val="FootnoteText"/>
      </w:pPr>
      <w:r>
        <w:rPr>
          <w:rStyle w:val="FootnoteReference"/>
        </w:rPr>
        <w:footnoteRef/>
      </w:r>
      <w:r>
        <w:t xml:space="preserve"> In addition to the 27 MS and UK, </w:t>
      </w:r>
      <w:r>
        <w:rPr>
          <w:noProof/>
          <w:color w:val="000000"/>
          <w:lang w:eastAsia="de-DE"/>
        </w:rPr>
        <w:t>Iceland, Liechtenstein, and Norway are also covered under the EU-ETS.</w:t>
      </w:r>
    </w:p>
  </w:footnote>
  <w:footnote w:id="8">
    <w:p>
      <w:pPr>
        <w:pStyle w:val="FootnoteText"/>
      </w:pPr>
      <w:r>
        <w:rPr>
          <w:rStyle w:val="FootnoteReference"/>
        </w:rPr>
        <w:footnoteRef/>
      </w:r>
      <w:r>
        <w:t xml:space="preserve"> Within the Agreement on the European Economic Area, Iceland and Norway cooperate with the EU-27 towards achieving the 2030 targets in the LULUCF and Effort Sharing sectors.</w:t>
      </w:r>
    </w:p>
  </w:footnote>
  <w:footnote w:id="9">
    <w:p>
      <w:pPr>
        <w:pStyle w:val="FootnoteText"/>
        <w:rPr>
          <w:highlight w:val="yellow"/>
        </w:rPr>
      </w:pPr>
      <w:r>
        <w:rPr>
          <w:vertAlign w:val="superscript"/>
        </w:rPr>
        <w:footnoteRef/>
      </w:r>
      <w:r>
        <w:t xml:space="preserve"> Sources: EU greenhouse gas inventory 1990-2018. EU approximated greenhouse gas inventory 2019 (EEA). Member States projections with ‘existing measures’ reviewed by EEA (2020).</w:t>
      </w:r>
    </w:p>
  </w:footnote>
  <w:footnote w:id="10">
    <w:p>
      <w:pPr>
        <w:pStyle w:val="FootnoteText"/>
      </w:pPr>
      <w:r>
        <w:rPr>
          <w:vertAlign w:val="superscript"/>
        </w:rPr>
        <w:footnoteRef/>
      </w:r>
      <w:r>
        <w:t xml:space="preserve"> EU greenhouse gas inventory 1990-2018.</w:t>
      </w:r>
    </w:p>
  </w:footnote>
  <w:footnote w:id="11">
    <w:p>
      <w:pPr>
        <w:pStyle w:val="FootnoteText"/>
      </w:pPr>
      <w:r>
        <w:rPr>
          <w:vertAlign w:val="superscript"/>
        </w:rPr>
        <w:footnoteRef/>
      </w:r>
      <w:r>
        <w:t xml:space="preserve"> Sources: EU greenhouse gas inventory 1990-2018, EU approximated greenhouse gas inventory 2019 (EEA). GDP in 2015-prices, data from Ameco database (European Commission, DG ECFIN) gap-filled by EEA. </w:t>
      </w:r>
    </w:p>
  </w:footnote>
  <w:footnote w:id="12">
    <w:p>
      <w:pPr>
        <w:pStyle w:val="FootnoteText"/>
      </w:pPr>
      <w:r>
        <w:rPr>
          <w:vertAlign w:val="superscript"/>
        </w:rPr>
        <w:footnoteRef/>
      </w:r>
      <w:r>
        <w:t xml:space="preserve"> Sources: EU greenhouse gas inventory 1990-2018, EU approximated greenhouse gas inventory 2019 (EEA). Average population (total) (Eurostat). </w:t>
      </w:r>
    </w:p>
  </w:footnote>
  <w:footnote w:id="13">
    <w:p>
      <w:pPr>
        <w:pStyle w:val="FootnoteText"/>
      </w:pPr>
      <w:r>
        <w:rPr>
          <w:rStyle w:val="FootnoteReference"/>
        </w:rPr>
        <w:footnoteRef/>
      </w:r>
      <w:r>
        <w:t xml:space="preserve"> </w:t>
      </w:r>
      <w:r>
        <w:rPr>
          <w:sz w:val="18"/>
        </w:rPr>
        <w:t>AEAs for the years 2017-2020 have been recalculated for all Member States to reflect updates in methodologies for reporting of GHG inventories. This recalculation ensures maintaining of the originally intended effort of each Member State (in % of 2005 emissions).</w:t>
      </w:r>
    </w:p>
  </w:footnote>
  <w:footnote w:id="14">
    <w:p>
      <w:r>
        <w:rPr>
          <w:rStyle w:val="FootnoteReference"/>
        </w:rPr>
        <w:footnoteRef/>
      </w:r>
      <w:r>
        <w:t xml:space="preserve"> </w:t>
      </w:r>
      <w:r>
        <w:rPr>
          <w:sz w:val="20"/>
        </w:rPr>
        <w:t>Values for 2013-2015 are based on the study “</w:t>
      </w:r>
      <w:r>
        <w:rPr>
          <w:i/>
          <w:sz w:val="20"/>
        </w:rPr>
        <w:t>Analysis of the use of Auction Revenues by the Member States</w:t>
      </w:r>
      <w:r>
        <w:rPr>
          <w:sz w:val="20"/>
        </w:rPr>
        <w:t xml:space="preserve">” by Rambøll for the European Commission (2017). Values for 2016-2019 are presented as reported by the Member States. </w:t>
      </w:r>
    </w:p>
  </w:footnote>
  <w:footnote w:id="15">
    <w:p>
      <w:pPr>
        <w:pStyle w:val="FootnoteText"/>
      </w:pPr>
      <w:r>
        <w:rPr>
          <w:rStyle w:val="FootnoteReference"/>
        </w:rPr>
        <w:footnoteRef/>
      </w:r>
      <w:r>
        <w:t xml:space="preserve"> For 2017 - 2019, Austria has not reported amounts spent on climate and energy purposes. Austria has reported that the total spending on such purposes was larger than the auction revenues in these years. </w:t>
      </w:r>
    </w:p>
  </w:footnote>
  <w:footnote w:id="16">
    <w:p>
      <w:pPr>
        <w:pStyle w:val="FootnoteText"/>
      </w:pPr>
      <w:r>
        <w:rPr>
          <w:rStyle w:val="FootnoteReference"/>
        </w:rPr>
        <w:footnoteRef/>
      </w:r>
      <w:r>
        <w:t xml:space="preserve"> </w:t>
      </w:r>
      <w:r>
        <w:rPr>
          <w:lang w:val="en-US"/>
        </w:rPr>
        <w:t>By Croatian law, 100% of the auctioning revenues are spent on climate and energy. This table lists the amount spent during the same year as the revenue was earnt, the remainder is carried over to the next years</w:t>
      </w:r>
    </w:p>
  </w:footnote>
  <w:footnote w:id="17">
    <w:p>
      <w:pPr>
        <w:pStyle w:val="FootnoteText"/>
      </w:pPr>
      <w:r>
        <w:rPr>
          <w:rStyle w:val="FootnoteReference"/>
        </w:rPr>
        <w:footnoteRef/>
      </w:r>
      <w:r>
        <w:t xml:space="preserve"> Slovenia has not reported on the use of auctioning revenues in 2018 (by 15.10.2019). </w:t>
      </w:r>
    </w:p>
  </w:footnote>
  <w:footnote w:id="18">
    <w:p>
      <w:pPr>
        <w:pStyle w:val="FootnoteText"/>
        <w:rPr>
          <w:lang w:val="en-IE"/>
        </w:rPr>
      </w:pPr>
      <w:r>
        <w:rPr>
          <w:rStyle w:val="FootnoteReference"/>
        </w:rPr>
        <w:footnoteRef/>
      </w:r>
      <w:r>
        <w:t xml:space="preserve"> </w:t>
      </w:r>
      <w:r>
        <w:rPr>
          <w:lang w:val="en-IE"/>
        </w:rPr>
        <w:t>There was no auctioning in the UK in 2019 due safeguard measures. Auctioning resumed in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5531"/>
    <w:multiLevelType w:val="hybridMultilevel"/>
    <w:tmpl w:val="0C5697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nsid w:val="054B3D0B"/>
    <w:multiLevelType w:val="hybridMultilevel"/>
    <w:tmpl w:val="265E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AA4A5C"/>
    <w:multiLevelType w:val="hybridMultilevel"/>
    <w:tmpl w:val="F30E04F8"/>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0548BB"/>
    <w:multiLevelType w:val="hybridMultilevel"/>
    <w:tmpl w:val="FFA02EE0"/>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nsid w:val="39C46132"/>
    <w:multiLevelType w:val="hybridMultilevel"/>
    <w:tmpl w:val="06AAF9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9C47BA"/>
    <w:multiLevelType w:val="hybridMultilevel"/>
    <w:tmpl w:val="E38E5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0356FD"/>
    <w:multiLevelType w:val="hybridMultilevel"/>
    <w:tmpl w:val="03C290FA"/>
    <w:lvl w:ilvl="0" w:tplc="69B6E9E0">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B215FD"/>
    <w:multiLevelType w:val="hybridMultilevel"/>
    <w:tmpl w:val="9DE276EC"/>
    <w:lvl w:ilvl="0" w:tplc="F3EC41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857D0E"/>
    <w:multiLevelType w:val="hybridMultilevel"/>
    <w:tmpl w:val="86F26510"/>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nsid w:val="47FA0611"/>
    <w:multiLevelType w:val="hybridMultilevel"/>
    <w:tmpl w:val="E47602B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nsid w:val="54D77289"/>
    <w:multiLevelType w:val="hybridMultilevel"/>
    <w:tmpl w:val="68BA00C6"/>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nsid w:val="5A4B4B85"/>
    <w:multiLevelType w:val="hybridMultilevel"/>
    <w:tmpl w:val="FE48C908"/>
    <w:lvl w:ilvl="0" w:tplc="3DF2C38E">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
    <w:nsid w:val="5D3E6656"/>
    <w:multiLevelType w:val="multilevel"/>
    <w:tmpl w:val="08090025"/>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48E3D8F"/>
    <w:multiLevelType w:val="hybridMultilevel"/>
    <w:tmpl w:val="97DC7870"/>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5">
    <w:nsid w:val="7ECC3B67"/>
    <w:multiLevelType w:val="hybridMultilevel"/>
    <w:tmpl w:val="47642624"/>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13"/>
  </w:num>
  <w:num w:numId="2">
    <w:abstractNumId w:val="1"/>
  </w:num>
  <w:num w:numId="3">
    <w:abstractNumId w:val="3"/>
  </w:num>
  <w:num w:numId="4">
    <w:abstractNumId w:val="2"/>
  </w:num>
  <w:num w:numId="5">
    <w:abstractNumId w:val="12"/>
  </w:num>
  <w:num w:numId="6">
    <w:abstractNumId w:val="14"/>
  </w:num>
  <w:num w:numId="7">
    <w:abstractNumId w:val="8"/>
  </w:num>
  <w:num w:numId="8">
    <w:abstractNumId w:val="11"/>
  </w:num>
  <w:num w:numId="9">
    <w:abstractNumId w:val="9"/>
  </w:num>
  <w:num w:numId="10">
    <w:abstractNumId w:val="4"/>
  </w:num>
  <w:num w:numId="11">
    <w:abstractNumId w:val="15"/>
  </w:num>
  <w:num w:numId="12">
    <w:abstractNumId w:val="7"/>
  </w:num>
  <w:num w:numId="13">
    <w:abstractNumId w:val="6"/>
  </w:num>
  <w:num w:numId="14">
    <w:abstractNumId w:val="5"/>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B9C8A84-B372-4CA0-898A-272251AE8069"/>
    <w:docVar w:name="LW_COVERPAGE_TYPE" w:val="1"/>
    <w:docVar w:name="LW_CROSSREFERENCE" w:val="{COM(2020) 777 final}"/>
    <w:docVar w:name="LW_DocType" w:val="NORMAL"/>
    <w:docVar w:name="LW_EMISSION" w:val="30.11.2020"/>
    <w:docVar w:name="LW_EMISSION_ISODATE" w:val="2020-11-3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 Kick-starting the journey towards a climate-neutral Europe by 2050_x000d__x000d__x000d__x000d__x000d__x000d__x000b__x000d__x000d__x000d__x000d__x000d__x000d__x000b_EU Climate Action Progress Report 2020"/>
    <w:docVar w:name="LW_PART_NBR" w:val="1"/>
    <w:docVar w:name="LW_PART_NBR_TOTAL" w:val="1"/>
    <w:docVar w:name="LW_REF.INST.NEW" w:val="SWD"/>
    <w:docVar w:name="LW_REF.INST.NEW_ADOPTED" w:val="final"/>
    <w:docVar w:name="LW_REF.INST.NEW_TEXT" w:val="(2020) 2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echnical information"/>
    <w:docVar w:name="LW_TYPE.DOC.CP" w:val="COMMISSION STAFF WORKING DOCUMENT"/>
    <w:docVar w:name="LW_TYPEACTEPRINCIPAL.CP" w:val="Report from the Commission to the European Parliament, the Council, the European Economic and Social Committee, the Committee of the Regions and the European Investment Bank"/>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imes New Roman" w:eastAsia="Times New Roman" w:hAnsi="Times New Roman" w:cs="Times New Roman"/>
      <w:b/>
      <w:bCs/>
      <w:noProof/>
      <w:sz w:val="24"/>
      <w:szCs w:val="24"/>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imes New Roman" w:eastAsia="Times New Roman" w:hAnsi="Times New Roman" w:cs="Times New Roman"/>
      <w:b/>
      <w:bCs/>
      <w:noProof/>
      <w:sz w:val="24"/>
      <w:szCs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customStyle="1" w:styleId="Heading41">
    <w:name w:val="Heading 41"/>
    <w:basedOn w:val="Normal"/>
    <w:next w:val="Normal"/>
    <w:uiPriority w:val="9"/>
    <w:semiHidden/>
    <w:unhideWhenUsed/>
    <w:qFormat/>
    <w:pPr>
      <w:keepNext/>
      <w:keepLines/>
      <w:spacing w:before="200" w:after="0" w:line="276" w:lineRule="auto"/>
      <w:ind w:left="864" w:hanging="864"/>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pPr>
      <w:keepNext/>
      <w:keepLines/>
      <w:spacing w:before="200" w:after="0" w:line="276" w:lineRule="auto"/>
      <w:ind w:left="1008" w:hanging="1008"/>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pPr>
      <w:keepNext/>
      <w:keepLines/>
      <w:spacing w:before="200" w:after="0" w:line="276" w:lineRule="auto"/>
      <w:ind w:left="1152" w:hanging="1152"/>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pPr>
      <w:keepNext/>
      <w:keepLines/>
      <w:spacing w:before="200" w:after="0" w:line="276" w:lineRule="auto"/>
      <w:ind w:left="1296" w:hanging="1296"/>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spacing w:after="200" w:line="276" w:lineRule="auto"/>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line="276" w:lineRule="auto"/>
    </w:pPr>
  </w:style>
  <w:style w:type="character" w:customStyle="1" w:styleId="Hyperlink1">
    <w:name w:val="Hyperlink1"/>
    <w:basedOn w:val="DefaultParagraphFont"/>
    <w:uiPriority w:val="99"/>
    <w:unhideWhenUsed/>
    <w:rPr>
      <w:color w:val="0000FF"/>
      <w:u w:val="single"/>
    </w:rPr>
  </w:style>
  <w:style w:type="paragraph" w:styleId="TOC2">
    <w:name w:val="toc 2"/>
    <w:basedOn w:val="Normal"/>
    <w:next w:val="Normal"/>
    <w:autoRedefine/>
    <w:uiPriority w:val="39"/>
    <w:unhideWhenUsed/>
    <w:pPr>
      <w:spacing w:after="100" w:line="276" w:lineRule="auto"/>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customStyle="1" w:styleId="IntenseEmphasis1">
    <w:name w:val="Intense Emphasis1"/>
    <w:basedOn w:val="DefaultParagraphFont"/>
    <w:uiPriority w:val="21"/>
    <w:qFormat/>
    <w:rPr>
      <w:b/>
      <w:bCs/>
      <w:i/>
      <w:iCs/>
      <w:color w:val="4F81BD"/>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Subtitle1">
    <w:name w:val="Subtitle1"/>
    <w:basedOn w:val="Normal"/>
    <w:next w:val="Normal"/>
    <w:uiPriority w:val="11"/>
    <w:qFormat/>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FollowedHyperlink1">
    <w:name w:val="FollowedHyperlink1"/>
    <w:basedOn w:val="DefaultParagraphFont"/>
    <w:uiPriority w:val="99"/>
    <w:semiHidden/>
    <w:unhideWhenUsed/>
    <w:rPr>
      <w:color w:val="800080"/>
      <w:u w:val="single"/>
    </w:rPr>
  </w:style>
  <w:style w:type="character" w:styleId="Strong">
    <w:name w:val="Strong"/>
    <w:uiPriority w:val="22"/>
    <w:qFormat/>
    <w:rPr>
      <w:rFonts w:cs="Times New Roman"/>
      <w:b/>
      <w:bCs/>
      <w:shd w:val="clear" w:color="auto" w:fill="auto"/>
    </w:rPr>
  </w:style>
  <w:style w:type="paragraph" w:customStyle="1" w:styleId="Tableheading">
    <w:name w:val="Table heading"/>
    <w:basedOn w:val="Caption"/>
    <w:link w:val="TableheadingChar"/>
    <w:qFormat/>
    <w:pPr>
      <w:keepNext/>
      <w:spacing w:line="240" w:lineRule="auto"/>
    </w:pPr>
    <w:rPr>
      <w:sz w:val="22"/>
      <w:szCs w:val="22"/>
    </w:rPr>
  </w:style>
  <w:style w:type="character" w:customStyle="1" w:styleId="TableheadingChar">
    <w:name w:val="Table heading Char"/>
    <w:basedOn w:val="DefaultParagraphFont"/>
    <w:link w:val="Tableheading"/>
    <w:rPr>
      <w:rFonts w:ascii="Calibri" w:eastAsia="Calibri" w:hAnsi="Calibri" w:cs="Times New Roman"/>
      <w:b/>
      <w:bCs/>
    </w:rPr>
  </w:style>
  <w:style w:type="paragraph" w:styleId="TOCHeading">
    <w:name w:val="TOC Heading"/>
    <w:basedOn w:val="Heading1"/>
    <w:next w:val="Normal"/>
    <w:uiPriority w:val="39"/>
    <w:unhideWhenUsed/>
    <w:qFormat/>
    <w:pPr>
      <w:spacing w:before="480" w:line="276" w:lineRule="auto"/>
      <w:outlineLvl w:val="9"/>
    </w:pPr>
    <w:rPr>
      <w:b w:val="0"/>
      <w:bCs w:val="0"/>
      <w:sz w:val="28"/>
      <w:szCs w:val="28"/>
      <w:lang w:val="en-US" w:eastAsia="ja-JP"/>
    </w:rPr>
  </w:style>
  <w:style w:type="character" w:customStyle="1" w:styleId="TitleChar1">
    <w:name w:val="Title Char1"/>
    <w:basedOn w:val="DefaultParagraphFont"/>
    <w:uiPriority w:val="10"/>
    <w:rPr>
      <w:rFonts w:ascii="Cambria" w:eastAsia="Times New Roman" w:hAnsi="Cambria" w:cs="Times New Roman"/>
      <w:color w:val="17365D"/>
      <w:spacing w:val="5"/>
      <w:kern w:val="28"/>
      <w:sz w:val="52"/>
      <w:szCs w:val="52"/>
    </w:rPr>
  </w:style>
  <w:style w:type="character" w:customStyle="1" w:styleId="IntenseQuoteChar">
    <w:name w:val="Intense Quote Char"/>
    <w:basedOn w:val="DefaultParagraphFont"/>
    <w:link w:val="IntenseQuote"/>
    <w:uiPriority w:val="30"/>
    <w:rPr>
      <w:b/>
      <w:bCs/>
      <w:i/>
      <w:iCs/>
      <w:color w:val="4F81BD"/>
    </w:rPr>
  </w:style>
  <w:style w:type="paragraph" w:customStyle="1" w:styleId="IntenseQuote1">
    <w:name w:val="Intense Quote1"/>
    <w:basedOn w:val="Normal"/>
    <w:next w:val="Normal"/>
    <w:uiPriority w:val="30"/>
    <w:qFormat/>
    <w:pPr>
      <w:pBdr>
        <w:bottom w:val="single" w:sz="4" w:space="4" w:color="4F81BD"/>
      </w:pBdr>
      <w:spacing w:before="200" w:after="280" w:line="276" w:lineRule="auto"/>
      <w:ind w:left="936" w:right="936"/>
    </w:pPr>
    <w:rPr>
      <w:b/>
      <w:bCs/>
      <w:i/>
      <w:iCs/>
      <w:color w:val="4F81BD"/>
    </w:rPr>
  </w:style>
  <w:style w:type="character" w:customStyle="1" w:styleId="IntenseQuoteChar1">
    <w:name w:val="Intense Quote Char1"/>
    <w:basedOn w:val="DefaultParagraphFont"/>
    <w:uiPriority w:val="30"/>
    <w:rPr>
      <w:b/>
      <w:bCs/>
      <w:i/>
      <w:iCs/>
      <w:color w:val="4F81BD"/>
    </w:rPr>
  </w:style>
  <w:style w:type="paragraph" w:customStyle="1" w:styleId="xl6694">
    <w:name w:val="xl6694"/>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5">
    <w:name w:val="xl6695"/>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6">
    <w:name w:val="xl669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7">
    <w:name w:val="xl669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8">
    <w:name w:val="xl669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9">
    <w:name w:val="xl6699"/>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0">
    <w:name w:val="xl6700"/>
    <w:basedOn w:val="Normal"/>
    <w:pPr>
      <w:pBdr>
        <w:top w:val="single" w:sz="4" w:space="0" w:color="95B3D7"/>
        <w:left w:val="single" w:sz="4" w:space="7" w:color="95B3D7"/>
        <w:bottom w:val="single" w:sz="4" w:space="0" w:color="95B3D7"/>
        <w:right w:val="single" w:sz="4" w:space="0" w:color="95B3D7"/>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1">
    <w:name w:val="xl6701"/>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2">
    <w:name w:val="xl6702"/>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3">
    <w:name w:val="xl6703"/>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4">
    <w:name w:val="xl6704"/>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5">
    <w:name w:val="xl6705"/>
    <w:basedOn w:val="Normal"/>
    <w:pPr>
      <w:pBdr>
        <w:top w:val="single" w:sz="4" w:space="0" w:color="95B3D7"/>
        <w:left w:val="single" w:sz="4" w:space="0" w:color="95B3D7"/>
        <w:bottom w:val="single" w:sz="4" w:space="0" w:color="95B3D7"/>
        <w:right w:val="single" w:sz="4" w:space="7" w:color="95B3D7"/>
      </w:pBdr>
      <w:shd w:val="clear" w:color="DCE6F1" w:fill="DCE6F1"/>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6">
    <w:name w:val="xl670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7">
    <w:name w:val="xl670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8">
    <w:name w:val="xl6708"/>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9">
    <w:name w:val="xl6709"/>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6710">
    <w:name w:val="xl6710"/>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1">
    <w:name w:val="xl6711"/>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2">
    <w:name w:val="xl6712"/>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3">
    <w:name w:val="xl6713"/>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4">
    <w:name w:val="xl6714"/>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15">
    <w:name w:val="xl6715"/>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6">
    <w:name w:val="xl6716"/>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7">
    <w:name w:val="xl6717"/>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718">
    <w:name w:val="xl671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TOC31">
    <w:name w:val="TOC 31"/>
    <w:basedOn w:val="Normal"/>
    <w:next w:val="Normal"/>
    <w:autoRedefine/>
    <w:uiPriority w:val="39"/>
    <w:unhideWhenUsed/>
    <w:pPr>
      <w:spacing w:after="100" w:line="276" w:lineRule="auto"/>
      <w:ind w:left="440"/>
    </w:pPr>
    <w:rPr>
      <w:rFonts w:eastAsia="Times New Roman"/>
      <w:lang w:eastAsia="en-GB"/>
    </w:rPr>
  </w:style>
  <w:style w:type="paragraph" w:customStyle="1" w:styleId="TOC41">
    <w:name w:val="TOC 41"/>
    <w:basedOn w:val="Normal"/>
    <w:next w:val="Normal"/>
    <w:autoRedefine/>
    <w:uiPriority w:val="39"/>
    <w:unhideWhenUsed/>
    <w:pPr>
      <w:spacing w:after="100" w:line="276" w:lineRule="auto"/>
      <w:ind w:left="660"/>
    </w:pPr>
    <w:rPr>
      <w:rFonts w:eastAsia="Times New Roman"/>
      <w:lang w:eastAsia="en-GB"/>
    </w:rPr>
  </w:style>
  <w:style w:type="paragraph" w:customStyle="1" w:styleId="TOC51">
    <w:name w:val="TOC 51"/>
    <w:basedOn w:val="Normal"/>
    <w:next w:val="Normal"/>
    <w:autoRedefine/>
    <w:uiPriority w:val="39"/>
    <w:unhideWhenUsed/>
    <w:pPr>
      <w:spacing w:after="100" w:line="276" w:lineRule="auto"/>
      <w:ind w:left="880"/>
    </w:pPr>
    <w:rPr>
      <w:rFonts w:eastAsia="Times New Roman"/>
      <w:lang w:eastAsia="en-GB"/>
    </w:rPr>
  </w:style>
  <w:style w:type="paragraph" w:customStyle="1" w:styleId="TOC61">
    <w:name w:val="TOC 61"/>
    <w:basedOn w:val="Normal"/>
    <w:next w:val="Normal"/>
    <w:autoRedefine/>
    <w:uiPriority w:val="39"/>
    <w:unhideWhenUsed/>
    <w:pPr>
      <w:spacing w:after="100" w:line="276" w:lineRule="auto"/>
      <w:ind w:left="1100"/>
    </w:pPr>
    <w:rPr>
      <w:rFonts w:eastAsia="Times New Roman"/>
      <w:lang w:eastAsia="en-GB"/>
    </w:rPr>
  </w:style>
  <w:style w:type="paragraph" w:customStyle="1" w:styleId="TOC71">
    <w:name w:val="TOC 71"/>
    <w:basedOn w:val="Normal"/>
    <w:next w:val="Normal"/>
    <w:autoRedefine/>
    <w:uiPriority w:val="39"/>
    <w:unhideWhenUsed/>
    <w:pPr>
      <w:spacing w:after="100" w:line="276" w:lineRule="auto"/>
      <w:ind w:left="1320"/>
    </w:pPr>
    <w:rPr>
      <w:rFonts w:eastAsia="Times New Roman"/>
      <w:lang w:eastAsia="en-GB"/>
    </w:rPr>
  </w:style>
  <w:style w:type="paragraph" w:customStyle="1" w:styleId="TOC81">
    <w:name w:val="TOC 81"/>
    <w:basedOn w:val="Normal"/>
    <w:next w:val="Normal"/>
    <w:autoRedefine/>
    <w:uiPriority w:val="39"/>
    <w:unhideWhenUsed/>
    <w:pPr>
      <w:spacing w:after="100" w:line="276" w:lineRule="auto"/>
      <w:ind w:left="1540"/>
    </w:pPr>
    <w:rPr>
      <w:rFonts w:eastAsia="Times New Roman"/>
      <w:lang w:eastAsia="en-GB"/>
    </w:rPr>
  </w:style>
  <w:style w:type="paragraph" w:customStyle="1" w:styleId="TOC91">
    <w:name w:val="TOC 91"/>
    <w:basedOn w:val="Normal"/>
    <w:next w:val="Normal"/>
    <w:autoRedefine/>
    <w:uiPriority w:val="39"/>
    <w:unhideWhenUsed/>
    <w:pPr>
      <w:spacing w:after="100" w:line="276" w:lineRule="auto"/>
      <w:ind w:left="1760"/>
    </w:pPr>
    <w:rPr>
      <w:rFonts w:eastAsia="Times New Roman"/>
      <w:lang w:eastAsia="en-GB"/>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Pr>
      <w:color w:val="0563C1" w:themeColor="hyperlink"/>
      <w:u w:val="single"/>
    </w:rPr>
  </w:style>
  <w:style w:type="character" w:styleId="IntenseEmphasis">
    <w:name w:val="Intense Emphasis"/>
    <w:basedOn w:val="DefaultParagraphFont"/>
    <w:uiPriority w:val="21"/>
    <w:qFormat/>
    <w:rPr>
      <w:i/>
      <w:iCs/>
      <w:color w:val="5B9BD5" w:themeColor="accent1"/>
    </w:rPr>
  </w:style>
  <w:style w:type="paragraph" w:styleId="Subtitle">
    <w:name w:val="Subtitle"/>
    <w:basedOn w:val="Normal"/>
    <w:next w:val="Normal"/>
    <w:link w:val="SubtitleChar"/>
    <w:uiPriority w:val="11"/>
    <w:qFormat/>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character" w:styleId="FollowedHyperlink">
    <w:name w:val="FollowedHyperlink"/>
    <w:basedOn w:val="DefaultParagraphFont"/>
    <w:uiPriority w:val="99"/>
    <w:semiHidden/>
    <w:unhideWhenUsed/>
    <w:rPr>
      <w:color w:val="954F72" w:themeColor="followedHyperlink"/>
      <w:u w:val="single"/>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IntenseQuoteChar2">
    <w:name w:val="Intense Quote Char2"/>
    <w:basedOn w:val="DefaultParagraphFont"/>
    <w:uiPriority w:val="30"/>
    <w:rPr>
      <w:i/>
      <w:iCs/>
      <w:color w:val="5B9BD5" w:themeColor="accent1"/>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pPr>
      <w:pBdr>
        <w:top w:val="single" w:sz="4" w:space="0" w:color="9BC2E6"/>
        <w:left w:val="single" w:sz="4" w:space="0" w:color="9BC2E6"/>
      </w:pBdr>
      <w:shd w:val="clear" w:color="5B9BD5" w:fill="5B9B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4">
    <w:name w:val="xl64"/>
    <w:basedOn w:val="Normal"/>
    <w:pPr>
      <w:pBdr>
        <w:top w:val="single" w:sz="4" w:space="0" w:color="9BC2E6"/>
        <w:left w:val="single" w:sz="4" w:space="0" w:color="9BC2E6"/>
        <w:right w:val="single" w:sz="4" w:space="0" w:color="9BC2E6"/>
      </w:pBdr>
      <w:shd w:val="clear" w:color="DDEBF7" w:fill="DDEBF7"/>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65">
    <w:name w:val="xl65"/>
    <w:basedOn w:val="Normal"/>
    <w:pPr>
      <w:pBdr>
        <w:top w:val="single" w:sz="4" w:space="0" w:color="9BC2E6"/>
        <w:left w:val="single" w:sz="4" w:space="0" w:color="9BC2E6"/>
      </w:pBdr>
      <w:shd w:val="clear" w:color="5B9BD5" w:fill="5B9B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
    <w:name w:val="xl66"/>
    <w:basedOn w:val="Normal"/>
    <w:pPr>
      <w:pBdr>
        <w:top w:val="single" w:sz="4" w:space="0" w:color="9BC2E6"/>
        <w:left w:val="single" w:sz="4" w:space="0" w:color="9BC2E6"/>
        <w:right w:val="single" w:sz="4" w:space="0" w:color="9BC2E6"/>
      </w:pBdr>
      <w:shd w:val="clear" w:color="5B9BD5" w:fill="5B9B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7">
    <w:name w:val="xl67"/>
    <w:basedOn w:val="Normal"/>
    <w:pPr>
      <w:pBdr>
        <w:top w:val="single" w:sz="4" w:space="0" w:color="9BC2E6"/>
        <w:left w:val="single" w:sz="4" w:space="0" w:color="9BC2E6"/>
      </w:pBdr>
      <w:shd w:val="clear" w:color="DDEBF7" w:fill="DDEBF7"/>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68">
    <w:name w:val="xl68"/>
    <w:basedOn w:val="Normal"/>
    <w:pPr>
      <w:pBdr>
        <w:top w:val="single" w:sz="4" w:space="0" w:color="9BC2E6"/>
        <w:left w:val="single" w:sz="4" w:space="0" w:color="9BC2E6"/>
      </w:pBdr>
      <w:shd w:val="clear" w:color="DDEBF7" w:fill="DDEBF7"/>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69">
    <w:name w:val="xl69"/>
    <w:basedOn w:val="Normal"/>
    <w:pPr>
      <w:pBdr>
        <w:top w:val="single" w:sz="4" w:space="0" w:color="9BC2E6"/>
        <w:left w:val="single" w:sz="4" w:space="0" w:color="9BC2E6"/>
      </w:pBdr>
      <w:shd w:val="clear" w:color="DDEBF7" w:fill="DDEBF7"/>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0">
    <w:name w:val="xl70"/>
    <w:basedOn w:val="Normal"/>
    <w:pPr>
      <w:pBdr>
        <w:top w:val="single" w:sz="4" w:space="0" w:color="9BC2E6"/>
        <w:left w:val="single" w:sz="4" w:space="0" w:color="9BC2E6"/>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1">
    <w:name w:val="xl71"/>
    <w:basedOn w:val="Normal"/>
    <w:pPr>
      <w:pBdr>
        <w:top w:val="single" w:sz="4" w:space="0" w:color="9BC2E6"/>
        <w:left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2">
    <w:name w:val="xl72"/>
    <w:basedOn w:val="Normal"/>
    <w:pPr>
      <w:pBdr>
        <w:top w:val="single" w:sz="4" w:space="0" w:color="9BC2E6"/>
        <w:left w:val="single" w:sz="4" w:space="0" w:color="9BC2E6"/>
        <w:right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3">
    <w:name w:val="xl73"/>
    <w:basedOn w:val="Normal"/>
    <w:pPr>
      <w:pBdr>
        <w:top w:val="single" w:sz="4" w:space="0" w:color="9BC2E6"/>
        <w:left w:val="single" w:sz="4" w:space="0" w:color="9BC2E6"/>
        <w:bottom w:val="single" w:sz="4" w:space="0" w:color="9BC2E6"/>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4">
    <w:name w:val="xl74"/>
    <w:basedOn w:val="Normal"/>
    <w:pPr>
      <w:pBdr>
        <w:top w:val="single" w:sz="4" w:space="0" w:color="9BC2E6"/>
        <w:left w:val="single" w:sz="4" w:space="0" w:color="9BC2E6"/>
        <w:bottom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5">
    <w:name w:val="xl75"/>
    <w:basedOn w:val="Normal"/>
    <w:pPr>
      <w:pBdr>
        <w:top w:val="single" w:sz="4" w:space="0" w:color="9BC2E6"/>
        <w:left w:val="single" w:sz="4" w:space="0" w:color="9BC2E6"/>
        <w:bottom w:val="single" w:sz="4" w:space="0" w:color="9BC2E6"/>
        <w:right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6">
    <w:name w:val="xl76"/>
    <w:basedOn w:val="Normal"/>
    <w:pPr>
      <w:pBdr>
        <w:top w:val="single" w:sz="4" w:space="0" w:color="9BC2E6"/>
        <w:left w:val="single" w:sz="4" w:space="0" w:color="9BC2E6"/>
        <w:bottom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77">
    <w:name w:val="xl77"/>
    <w:basedOn w:val="Normal"/>
    <w:pPr>
      <w:pBdr>
        <w:top w:val="single" w:sz="4" w:space="0" w:color="9BC2E6"/>
        <w:bottom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78">
    <w:name w:val="xl78"/>
    <w:basedOn w:val="Normal"/>
    <w:pPr>
      <w:pBdr>
        <w:top w:val="single" w:sz="4" w:space="0" w:color="9BC2E6"/>
        <w:bottom w:val="single" w:sz="4" w:space="0" w:color="9BC2E6"/>
        <w:righ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HeaderSensitivityRight">
    <w:name w:val="Header Sensitivity Right"/>
    <w:basedOn w:val="Normal"/>
    <w:link w:val="HeaderSensitivityRightChar"/>
    <w:pPr>
      <w:keepNext/>
      <w:keepLines/>
      <w:spacing w:after="120" w:line="240" w:lineRule="auto"/>
      <w:jc w:val="right"/>
      <w:outlineLvl w:val="1"/>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xl79">
    <w:name w:val="xl79"/>
    <w:basedOn w:val="Normal"/>
    <w:pPr>
      <w:pBdr>
        <w:top w:val="single" w:sz="4" w:space="0" w:color="9BC2E6"/>
        <w:bottom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80">
    <w:name w:val="xl80"/>
    <w:basedOn w:val="Normal"/>
    <w:pPr>
      <w:pBdr>
        <w:top w:val="single" w:sz="4" w:space="0" w:color="9BC2E6"/>
        <w:bottom w:val="single" w:sz="4" w:space="0" w:color="9BC2E6"/>
        <w:righ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81">
    <w:name w:val="xl81"/>
    <w:basedOn w:val="Normal"/>
    <w:pPr>
      <w:pBdr>
        <w:top w:val="single" w:sz="4" w:space="0" w:color="9BC2E6"/>
        <w:lef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82">
    <w:name w:val="xl82"/>
    <w:basedOn w:val="Normal"/>
    <w:pPr>
      <w:pBdr>
        <w:top w:val="single" w:sz="4" w:space="0" w:color="9BC2E6"/>
        <w:left w:val="single" w:sz="4" w:space="0" w:color="9BC2E6"/>
        <w:righ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table" w:customStyle="1"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imes New Roman" w:eastAsia="Times New Roman" w:hAnsi="Times New Roman" w:cs="Times New Roman"/>
      <w:b/>
      <w:bCs/>
      <w:noProof/>
      <w:sz w:val="24"/>
      <w:szCs w:val="24"/>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imes New Roman" w:eastAsia="Times New Roman" w:hAnsi="Times New Roman" w:cs="Times New Roman"/>
      <w:b/>
      <w:bCs/>
      <w:noProof/>
      <w:sz w:val="24"/>
      <w:szCs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customStyle="1" w:styleId="Heading41">
    <w:name w:val="Heading 41"/>
    <w:basedOn w:val="Normal"/>
    <w:next w:val="Normal"/>
    <w:uiPriority w:val="9"/>
    <w:semiHidden/>
    <w:unhideWhenUsed/>
    <w:qFormat/>
    <w:pPr>
      <w:keepNext/>
      <w:keepLines/>
      <w:spacing w:before="200" w:after="0" w:line="276" w:lineRule="auto"/>
      <w:ind w:left="864" w:hanging="864"/>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pPr>
      <w:keepNext/>
      <w:keepLines/>
      <w:spacing w:before="200" w:after="0" w:line="276" w:lineRule="auto"/>
      <w:ind w:left="1008" w:hanging="1008"/>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pPr>
      <w:keepNext/>
      <w:keepLines/>
      <w:spacing w:before="200" w:after="0" w:line="276" w:lineRule="auto"/>
      <w:ind w:left="1152" w:hanging="1152"/>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pPr>
      <w:keepNext/>
      <w:keepLines/>
      <w:spacing w:before="200" w:after="0" w:line="276" w:lineRule="auto"/>
      <w:ind w:left="1296" w:hanging="1296"/>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spacing w:after="200" w:line="276" w:lineRule="auto"/>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line="276" w:lineRule="auto"/>
    </w:pPr>
  </w:style>
  <w:style w:type="character" w:customStyle="1" w:styleId="Hyperlink1">
    <w:name w:val="Hyperlink1"/>
    <w:basedOn w:val="DefaultParagraphFont"/>
    <w:uiPriority w:val="99"/>
    <w:unhideWhenUsed/>
    <w:rPr>
      <w:color w:val="0000FF"/>
      <w:u w:val="single"/>
    </w:rPr>
  </w:style>
  <w:style w:type="paragraph" w:styleId="TOC2">
    <w:name w:val="toc 2"/>
    <w:basedOn w:val="Normal"/>
    <w:next w:val="Normal"/>
    <w:autoRedefine/>
    <w:uiPriority w:val="39"/>
    <w:unhideWhenUsed/>
    <w:pPr>
      <w:spacing w:after="100" w:line="276" w:lineRule="auto"/>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customStyle="1" w:styleId="IntenseEmphasis1">
    <w:name w:val="Intense Emphasis1"/>
    <w:basedOn w:val="DefaultParagraphFont"/>
    <w:uiPriority w:val="21"/>
    <w:qFormat/>
    <w:rPr>
      <w:b/>
      <w:bCs/>
      <w:i/>
      <w:iCs/>
      <w:color w:val="4F81BD"/>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Subtitle1">
    <w:name w:val="Subtitle1"/>
    <w:basedOn w:val="Normal"/>
    <w:next w:val="Normal"/>
    <w:uiPriority w:val="11"/>
    <w:qFormat/>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FollowedHyperlink1">
    <w:name w:val="FollowedHyperlink1"/>
    <w:basedOn w:val="DefaultParagraphFont"/>
    <w:uiPriority w:val="99"/>
    <w:semiHidden/>
    <w:unhideWhenUsed/>
    <w:rPr>
      <w:color w:val="800080"/>
      <w:u w:val="single"/>
    </w:rPr>
  </w:style>
  <w:style w:type="character" w:styleId="Strong">
    <w:name w:val="Strong"/>
    <w:uiPriority w:val="22"/>
    <w:qFormat/>
    <w:rPr>
      <w:rFonts w:cs="Times New Roman"/>
      <w:b/>
      <w:bCs/>
      <w:shd w:val="clear" w:color="auto" w:fill="auto"/>
    </w:rPr>
  </w:style>
  <w:style w:type="paragraph" w:customStyle="1" w:styleId="Tableheading">
    <w:name w:val="Table heading"/>
    <w:basedOn w:val="Caption"/>
    <w:link w:val="TableheadingChar"/>
    <w:qFormat/>
    <w:pPr>
      <w:keepNext/>
      <w:spacing w:line="240" w:lineRule="auto"/>
    </w:pPr>
    <w:rPr>
      <w:sz w:val="22"/>
      <w:szCs w:val="22"/>
    </w:rPr>
  </w:style>
  <w:style w:type="character" w:customStyle="1" w:styleId="TableheadingChar">
    <w:name w:val="Table heading Char"/>
    <w:basedOn w:val="DefaultParagraphFont"/>
    <w:link w:val="Tableheading"/>
    <w:rPr>
      <w:rFonts w:ascii="Calibri" w:eastAsia="Calibri" w:hAnsi="Calibri" w:cs="Times New Roman"/>
      <w:b/>
      <w:bCs/>
    </w:rPr>
  </w:style>
  <w:style w:type="paragraph" w:styleId="TOCHeading">
    <w:name w:val="TOC Heading"/>
    <w:basedOn w:val="Heading1"/>
    <w:next w:val="Normal"/>
    <w:uiPriority w:val="39"/>
    <w:unhideWhenUsed/>
    <w:qFormat/>
    <w:pPr>
      <w:spacing w:before="480" w:line="276" w:lineRule="auto"/>
      <w:outlineLvl w:val="9"/>
    </w:pPr>
    <w:rPr>
      <w:b w:val="0"/>
      <w:bCs w:val="0"/>
      <w:sz w:val="28"/>
      <w:szCs w:val="28"/>
      <w:lang w:val="en-US" w:eastAsia="ja-JP"/>
    </w:rPr>
  </w:style>
  <w:style w:type="character" w:customStyle="1" w:styleId="TitleChar1">
    <w:name w:val="Title Char1"/>
    <w:basedOn w:val="DefaultParagraphFont"/>
    <w:uiPriority w:val="10"/>
    <w:rPr>
      <w:rFonts w:ascii="Cambria" w:eastAsia="Times New Roman" w:hAnsi="Cambria" w:cs="Times New Roman"/>
      <w:color w:val="17365D"/>
      <w:spacing w:val="5"/>
      <w:kern w:val="28"/>
      <w:sz w:val="52"/>
      <w:szCs w:val="52"/>
    </w:rPr>
  </w:style>
  <w:style w:type="character" w:customStyle="1" w:styleId="IntenseQuoteChar">
    <w:name w:val="Intense Quote Char"/>
    <w:basedOn w:val="DefaultParagraphFont"/>
    <w:link w:val="IntenseQuote"/>
    <w:uiPriority w:val="30"/>
    <w:rPr>
      <w:b/>
      <w:bCs/>
      <w:i/>
      <w:iCs/>
      <w:color w:val="4F81BD"/>
    </w:rPr>
  </w:style>
  <w:style w:type="paragraph" w:customStyle="1" w:styleId="IntenseQuote1">
    <w:name w:val="Intense Quote1"/>
    <w:basedOn w:val="Normal"/>
    <w:next w:val="Normal"/>
    <w:uiPriority w:val="30"/>
    <w:qFormat/>
    <w:pPr>
      <w:pBdr>
        <w:bottom w:val="single" w:sz="4" w:space="4" w:color="4F81BD"/>
      </w:pBdr>
      <w:spacing w:before="200" w:after="280" w:line="276" w:lineRule="auto"/>
      <w:ind w:left="936" w:right="936"/>
    </w:pPr>
    <w:rPr>
      <w:b/>
      <w:bCs/>
      <w:i/>
      <w:iCs/>
      <w:color w:val="4F81BD"/>
    </w:rPr>
  </w:style>
  <w:style w:type="character" w:customStyle="1" w:styleId="IntenseQuoteChar1">
    <w:name w:val="Intense Quote Char1"/>
    <w:basedOn w:val="DefaultParagraphFont"/>
    <w:uiPriority w:val="30"/>
    <w:rPr>
      <w:b/>
      <w:bCs/>
      <w:i/>
      <w:iCs/>
      <w:color w:val="4F81BD"/>
    </w:rPr>
  </w:style>
  <w:style w:type="paragraph" w:customStyle="1" w:styleId="xl6694">
    <w:name w:val="xl6694"/>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5">
    <w:name w:val="xl6695"/>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96">
    <w:name w:val="xl669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7">
    <w:name w:val="xl669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8">
    <w:name w:val="xl669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99">
    <w:name w:val="xl6699"/>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0">
    <w:name w:val="xl6700"/>
    <w:basedOn w:val="Normal"/>
    <w:pPr>
      <w:pBdr>
        <w:top w:val="single" w:sz="4" w:space="0" w:color="95B3D7"/>
        <w:left w:val="single" w:sz="4" w:space="7" w:color="95B3D7"/>
        <w:bottom w:val="single" w:sz="4" w:space="0" w:color="95B3D7"/>
        <w:right w:val="single" w:sz="4" w:space="0" w:color="95B3D7"/>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1">
    <w:name w:val="xl6701"/>
    <w:basedOn w:val="Normal"/>
    <w:pPr>
      <w:pBdr>
        <w:top w:val="single" w:sz="4" w:space="0" w:color="95B3D7"/>
        <w:left w:val="single" w:sz="4" w:space="7" w:color="95B3D7"/>
        <w:bottom w:val="single" w:sz="4" w:space="0" w:color="95B3D7"/>
        <w:right w:val="single" w:sz="4" w:space="0" w:color="95B3D7"/>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702">
    <w:name w:val="xl6702"/>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3">
    <w:name w:val="xl6703"/>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4">
    <w:name w:val="xl6704"/>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5">
    <w:name w:val="xl6705"/>
    <w:basedOn w:val="Normal"/>
    <w:pPr>
      <w:pBdr>
        <w:top w:val="single" w:sz="4" w:space="0" w:color="95B3D7"/>
        <w:left w:val="single" w:sz="4" w:space="0" w:color="95B3D7"/>
        <w:bottom w:val="single" w:sz="4" w:space="0" w:color="95B3D7"/>
        <w:right w:val="single" w:sz="4" w:space="7" w:color="95B3D7"/>
      </w:pBdr>
      <w:shd w:val="clear" w:color="DCE6F1" w:fill="DCE6F1"/>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6">
    <w:name w:val="xl6706"/>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7">
    <w:name w:val="xl6707"/>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08">
    <w:name w:val="xl6708"/>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09">
    <w:name w:val="xl6709"/>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6710">
    <w:name w:val="xl6710"/>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1">
    <w:name w:val="xl6711"/>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12">
    <w:name w:val="xl6712"/>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3">
    <w:name w:val="xl6713"/>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14">
    <w:name w:val="xl6714"/>
    <w:basedOn w:val="Normal"/>
    <w:pPr>
      <w:pBdr>
        <w:top w:val="single" w:sz="4" w:space="0" w:color="95B3D7"/>
        <w:left w:val="single" w:sz="4" w:space="0" w:color="95B3D7"/>
        <w:bottom w:val="single" w:sz="4" w:space="0" w:color="95B3D7"/>
        <w:right w:val="single" w:sz="4" w:space="7" w:color="95B3D7"/>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lang w:eastAsia="en-GB"/>
    </w:rPr>
  </w:style>
  <w:style w:type="paragraph" w:customStyle="1" w:styleId="xl6715">
    <w:name w:val="xl6715"/>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6">
    <w:name w:val="xl6716"/>
    <w:basedOn w:val="Normal"/>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17">
    <w:name w:val="xl6717"/>
    <w:basedOn w:val="Normal"/>
    <w:pPr>
      <w:pBdr>
        <w:top w:val="single" w:sz="4" w:space="0" w:color="95B3D7"/>
        <w:left w:val="single" w:sz="4" w:space="0" w:color="95B3D7"/>
        <w:bottom w:val="single" w:sz="4" w:space="0" w:color="95B3D7"/>
        <w:right w:val="single" w:sz="4" w:space="0" w:color="95B3D7"/>
      </w:pBdr>
      <w:shd w:val="clear" w:color="4F81BD" w:fill="4F81BD"/>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718">
    <w:name w:val="xl6718"/>
    <w:basedOn w:val="Normal"/>
    <w:pPr>
      <w:pBdr>
        <w:top w:val="single" w:sz="4" w:space="0" w:color="95B3D7"/>
        <w:left w:val="single" w:sz="4" w:space="0" w:color="95B3D7"/>
        <w:bottom w:val="single" w:sz="4" w:space="0" w:color="95B3D7"/>
        <w:right w:val="single" w:sz="4" w:space="0" w:color="95B3D7"/>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TOC31">
    <w:name w:val="TOC 31"/>
    <w:basedOn w:val="Normal"/>
    <w:next w:val="Normal"/>
    <w:autoRedefine/>
    <w:uiPriority w:val="39"/>
    <w:unhideWhenUsed/>
    <w:pPr>
      <w:spacing w:after="100" w:line="276" w:lineRule="auto"/>
      <w:ind w:left="440"/>
    </w:pPr>
    <w:rPr>
      <w:rFonts w:eastAsia="Times New Roman"/>
      <w:lang w:eastAsia="en-GB"/>
    </w:rPr>
  </w:style>
  <w:style w:type="paragraph" w:customStyle="1" w:styleId="TOC41">
    <w:name w:val="TOC 41"/>
    <w:basedOn w:val="Normal"/>
    <w:next w:val="Normal"/>
    <w:autoRedefine/>
    <w:uiPriority w:val="39"/>
    <w:unhideWhenUsed/>
    <w:pPr>
      <w:spacing w:after="100" w:line="276" w:lineRule="auto"/>
      <w:ind w:left="660"/>
    </w:pPr>
    <w:rPr>
      <w:rFonts w:eastAsia="Times New Roman"/>
      <w:lang w:eastAsia="en-GB"/>
    </w:rPr>
  </w:style>
  <w:style w:type="paragraph" w:customStyle="1" w:styleId="TOC51">
    <w:name w:val="TOC 51"/>
    <w:basedOn w:val="Normal"/>
    <w:next w:val="Normal"/>
    <w:autoRedefine/>
    <w:uiPriority w:val="39"/>
    <w:unhideWhenUsed/>
    <w:pPr>
      <w:spacing w:after="100" w:line="276" w:lineRule="auto"/>
      <w:ind w:left="880"/>
    </w:pPr>
    <w:rPr>
      <w:rFonts w:eastAsia="Times New Roman"/>
      <w:lang w:eastAsia="en-GB"/>
    </w:rPr>
  </w:style>
  <w:style w:type="paragraph" w:customStyle="1" w:styleId="TOC61">
    <w:name w:val="TOC 61"/>
    <w:basedOn w:val="Normal"/>
    <w:next w:val="Normal"/>
    <w:autoRedefine/>
    <w:uiPriority w:val="39"/>
    <w:unhideWhenUsed/>
    <w:pPr>
      <w:spacing w:after="100" w:line="276" w:lineRule="auto"/>
      <w:ind w:left="1100"/>
    </w:pPr>
    <w:rPr>
      <w:rFonts w:eastAsia="Times New Roman"/>
      <w:lang w:eastAsia="en-GB"/>
    </w:rPr>
  </w:style>
  <w:style w:type="paragraph" w:customStyle="1" w:styleId="TOC71">
    <w:name w:val="TOC 71"/>
    <w:basedOn w:val="Normal"/>
    <w:next w:val="Normal"/>
    <w:autoRedefine/>
    <w:uiPriority w:val="39"/>
    <w:unhideWhenUsed/>
    <w:pPr>
      <w:spacing w:after="100" w:line="276" w:lineRule="auto"/>
      <w:ind w:left="1320"/>
    </w:pPr>
    <w:rPr>
      <w:rFonts w:eastAsia="Times New Roman"/>
      <w:lang w:eastAsia="en-GB"/>
    </w:rPr>
  </w:style>
  <w:style w:type="paragraph" w:customStyle="1" w:styleId="TOC81">
    <w:name w:val="TOC 81"/>
    <w:basedOn w:val="Normal"/>
    <w:next w:val="Normal"/>
    <w:autoRedefine/>
    <w:uiPriority w:val="39"/>
    <w:unhideWhenUsed/>
    <w:pPr>
      <w:spacing w:after="100" w:line="276" w:lineRule="auto"/>
      <w:ind w:left="1540"/>
    </w:pPr>
    <w:rPr>
      <w:rFonts w:eastAsia="Times New Roman"/>
      <w:lang w:eastAsia="en-GB"/>
    </w:rPr>
  </w:style>
  <w:style w:type="paragraph" w:customStyle="1" w:styleId="TOC91">
    <w:name w:val="TOC 91"/>
    <w:basedOn w:val="Normal"/>
    <w:next w:val="Normal"/>
    <w:autoRedefine/>
    <w:uiPriority w:val="39"/>
    <w:unhideWhenUsed/>
    <w:pPr>
      <w:spacing w:after="100" w:line="276" w:lineRule="auto"/>
      <w:ind w:left="1760"/>
    </w:pPr>
    <w:rPr>
      <w:rFonts w:eastAsia="Times New Roman"/>
      <w:lang w:eastAsia="en-GB"/>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Pr>
      <w:color w:val="0563C1" w:themeColor="hyperlink"/>
      <w:u w:val="single"/>
    </w:rPr>
  </w:style>
  <w:style w:type="character" w:styleId="IntenseEmphasis">
    <w:name w:val="Intense Emphasis"/>
    <w:basedOn w:val="DefaultParagraphFont"/>
    <w:uiPriority w:val="21"/>
    <w:qFormat/>
    <w:rPr>
      <w:i/>
      <w:iCs/>
      <w:color w:val="5B9BD5" w:themeColor="accent1"/>
    </w:rPr>
  </w:style>
  <w:style w:type="paragraph" w:styleId="Subtitle">
    <w:name w:val="Subtitle"/>
    <w:basedOn w:val="Normal"/>
    <w:next w:val="Normal"/>
    <w:link w:val="SubtitleChar"/>
    <w:uiPriority w:val="11"/>
    <w:qFormat/>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character" w:styleId="FollowedHyperlink">
    <w:name w:val="FollowedHyperlink"/>
    <w:basedOn w:val="DefaultParagraphFont"/>
    <w:uiPriority w:val="99"/>
    <w:semiHidden/>
    <w:unhideWhenUsed/>
    <w:rPr>
      <w:color w:val="954F72" w:themeColor="followedHyperlink"/>
      <w:u w:val="single"/>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IntenseQuoteChar2">
    <w:name w:val="Intense Quote Char2"/>
    <w:basedOn w:val="DefaultParagraphFont"/>
    <w:uiPriority w:val="30"/>
    <w:rPr>
      <w:i/>
      <w:iCs/>
      <w:color w:val="5B9BD5" w:themeColor="accent1"/>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pPr>
      <w:pBdr>
        <w:top w:val="single" w:sz="4" w:space="0" w:color="9BC2E6"/>
        <w:left w:val="single" w:sz="4" w:space="0" w:color="9BC2E6"/>
      </w:pBdr>
      <w:shd w:val="clear" w:color="5B9BD5" w:fill="5B9B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4">
    <w:name w:val="xl64"/>
    <w:basedOn w:val="Normal"/>
    <w:pPr>
      <w:pBdr>
        <w:top w:val="single" w:sz="4" w:space="0" w:color="9BC2E6"/>
        <w:left w:val="single" w:sz="4" w:space="0" w:color="9BC2E6"/>
        <w:right w:val="single" w:sz="4" w:space="0" w:color="9BC2E6"/>
      </w:pBdr>
      <w:shd w:val="clear" w:color="DDEBF7" w:fill="DDEBF7"/>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65">
    <w:name w:val="xl65"/>
    <w:basedOn w:val="Normal"/>
    <w:pPr>
      <w:pBdr>
        <w:top w:val="single" w:sz="4" w:space="0" w:color="9BC2E6"/>
        <w:left w:val="single" w:sz="4" w:space="0" w:color="9BC2E6"/>
      </w:pBdr>
      <w:shd w:val="clear" w:color="5B9BD5" w:fill="5B9B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
    <w:name w:val="xl66"/>
    <w:basedOn w:val="Normal"/>
    <w:pPr>
      <w:pBdr>
        <w:top w:val="single" w:sz="4" w:space="0" w:color="9BC2E6"/>
        <w:left w:val="single" w:sz="4" w:space="0" w:color="9BC2E6"/>
        <w:right w:val="single" w:sz="4" w:space="0" w:color="9BC2E6"/>
      </w:pBdr>
      <w:shd w:val="clear" w:color="5B9BD5" w:fill="5B9B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7">
    <w:name w:val="xl67"/>
    <w:basedOn w:val="Normal"/>
    <w:pPr>
      <w:pBdr>
        <w:top w:val="single" w:sz="4" w:space="0" w:color="9BC2E6"/>
        <w:left w:val="single" w:sz="4" w:space="0" w:color="9BC2E6"/>
      </w:pBdr>
      <w:shd w:val="clear" w:color="DDEBF7" w:fill="DDEBF7"/>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68">
    <w:name w:val="xl68"/>
    <w:basedOn w:val="Normal"/>
    <w:pPr>
      <w:pBdr>
        <w:top w:val="single" w:sz="4" w:space="0" w:color="9BC2E6"/>
        <w:left w:val="single" w:sz="4" w:space="0" w:color="9BC2E6"/>
      </w:pBdr>
      <w:shd w:val="clear" w:color="DDEBF7" w:fill="DDEBF7"/>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69">
    <w:name w:val="xl69"/>
    <w:basedOn w:val="Normal"/>
    <w:pPr>
      <w:pBdr>
        <w:top w:val="single" w:sz="4" w:space="0" w:color="9BC2E6"/>
        <w:left w:val="single" w:sz="4" w:space="0" w:color="9BC2E6"/>
      </w:pBdr>
      <w:shd w:val="clear" w:color="DDEBF7" w:fill="DDEBF7"/>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0">
    <w:name w:val="xl70"/>
    <w:basedOn w:val="Normal"/>
    <w:pPr>
      <w:pBdr>
        <w:top w:val="single" w:sz="4" w:space="0" w:color="9BC2E6"/>
        <w:left w:val="single" w:sz="4" w:space="0" w:color="9BC2E6"/>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1">
    <w:name w:val="xl71"/>
    <w:basedOn w:val="Normal"/>
    <w:pPr>
      <w:pBdr>
        <w:top w:val="single" w:sz="4" w:space="0" w:color="9BC2E6"/>
        <w:left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2">
    <w:name w:val="xl72"/>
    <w:basedOn w:val="Normal"/>
    <w:pPr>
      <w:pBdr>
        <w:top w:val="single" w:sz="4" w:space="0" w:color="9BC2E6"/>
        <w:left w:val="single" w:sz="4" w:space="0" w:color="9BC2E6"/>
        <w:right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3">
    <w:name w:val="xl73"/>
    <w:basedOn w:val="Normal"/>
    <w:pPr>
      <w:pBdr>
        <w:top w:val="single" w:sz="4" w:space="0" w:color="9BC2E6"/>
        <w:left w:val="single" w:sz="4" w:space="0" w:color="9BC2E6"/>
        <w:bottom w:val="single" w:sz="4" w:space="0" w:color="9BC2E6"/>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4">
    <w:name w:val="xl74"/>
    <w:basedOn w:val="Normal"/>
    <w:pPr>
      <w:pBdr>
        <w:top w:val="single" w:sz="4" w:space="0" w:color="9BC2E6"/>
        <w:left w:val="single" w:sz="4" w:space="0" w:color="9BC2E6"/>
        <w:bottom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5">
    <w:name w:val="xl75"/>
    <w:basedOn w:val="Normal"/>
    <w:pPr>
      <w:pBdr>
        <w:top w:val="single" w:sz="4" w:space="0" w:color="9BC2E6"/>
        <w:left w:val="single" w:sz="4" w:space="0" w:color="9BC2E6"/>
        <w:bottom w:val="single" w:sz="4" w:space="0" w:color="9BC2E6"/>
        <w:right w:val="single" w:sz="4" w:space="0" w:color="9BC2E6"/>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6">
    <w:name w:val="xl76"/>
    <w:basedOn w:val="Normal"/>
    <w:pPr>
      <w:pBdr>
        <w:top w:val="single" w:sz="4" w:space="0" w:color="9BC2E6"/>
        <w:left w:val="single" w:sz="4" w:space="0" w:color="9BC2E6"/>
        <w:bottom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77">
    <w:name w:val="xl77"/>
    <w:basedOn w:val="Normal"/>
    <w:pPr>
      <w:pBdr>
        <w:top w:val="single" w:sz="4" w:space="0" w:color="9BC2E6"/>
        <w:bottom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78">
    <w:name w:val="xl78"/>
    <w:basedOn w:val="Normal"/>
    <w:pPr>
      <w:pBdr>
        <w:top w:val="single" w:sz="4" w:space="0" w:color="9BC2E6"/>
        <w:bottom w:val="single" w:sz="4" w:space="0" w:color="9BC2E6"/>
        <w:righ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HeaderSensitivityRight">
    <w:name w:val="Header Sensitivity Right"/>
    <w:basedOn w:val="Normal"/>
    <w:link w:val="HeaderSensitivityRightChar"/>
    <w:pPr>
      <w:keepNext/>
      <w:keepLines/>
      <w:spacing w:after="120" w:line="240" w:lineRule="auto"/>
      <w:jc w:val="right"/>
      <w:outlineLvl w:val="1"/>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xl79">
    <w:name w:val="xl79"/>
    <w:basedOn w:val="Normal"/>
    <w:pPr>
      <w:pBdr>
        <w:top w:val="single" w:sz="4" w:space="0" w:color="9BC2E6"/>
        <w:bottom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80">
    <w:name w:val="xl80"/>
    <w:basedOn w:val="Normal"/>
    <w:pPr>
      <w:pBdr>
        <w:top w:val="single" w:sz="4" w:space="0" w:color="9BC2E6"/>
        <w:bottom w:val="single" w:sz="4" w:space="0" w:color="9BC2E6"/>
        <w:righ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81">
    <w:name w:val="xl81"/>
    <w:basedOn w:val="Normal"/>
    <w:pPr>
      <w:pBdr>
        <w:top w:val="single" w:sz="4" w:space="0" w:color="9BC2E6"/>
        <w:lef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82">
    <w:name w:val="xl82"/>
    <w:basedOn w:val="Normal"/>
    <w:pPr>
      <w:pBdr>
        <w:top w:val="single" w:sz="4" w:space="0" w:color="9BC2E6"/>
        <w:left w:val="single" w:sz="4" w:space="0" w:color="9BC2E6"/>
        <w:right w:val="single" w:sz="4" w:space="0" w:color="9BC2E6"/>
      </w:pBdr>
      <w:shd w:val="clear" w:color="5B9BD5" w:fill="5B9B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table" w:customStyle="1"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3796">
      <w:bodyDiv w:val="1"/>
      <w:marLeft w:val="0"/>
      <w:marRight w:val="0"/>
      <w:marTop w:val="0"/>
      <w:marBottom w:val="0"/>
      <w:divBdr>
        <w:top w:val="none" w:sz="0" w:space="0" w:color="auto"/>
        <w:left w:val="none" w:sz="0" w:space="0" w:color="auto"/>
        <w:bottom w:val="none" w:sz="0" w:space="0" w:color="auto"/>
        <w:right w:val="none" w:sz="0" w:space="0" w:color="auto"/>
      </w:divBdr>
    </w:div>
    <w:div w:id="53897462">
      <w:bodyDiv w:val="1"/>
      <w:marLeft w:val="0"/>
      <w:marRight w:val="0"/>
      <w:marTop w:val="0"/>
      <w:marBottom w:val="0"/>
      <w:divBdr>
        <w:top w:val="none" w:sz="0" w:space="0" w:color="auto"/>
        <w:left w:val="none" w:sz="0" w:space="0" w:color="auto"/>
        <w:bottom w:val="none" w:sz="0" w:space="0" w:color="auto"/>
        <w:right w:val="none" w:sz="0" w:space="0" w:color="auto"/>
      </w:divBdr>
    </w:div>
    <w:div w:id="64030154">
      <w:bodyDiv w:val="1"/>
      <w:marLeft w:val="0"/>
      <w:marRight w:val="0"/>
      <w:marTop w:val="0"/>
      <w:marBottom w:val="0"/>
      <w:divBdr>
        <w:top w:val="none" w:sz="0" w:space="0" w:color="auto"/>
        <w:left w:val="none" w:sz="0" w:space="0" w:color="auto"/>
        <w:bottom w:val="none" w:sz="0" w:space="0" w:color="auto"/>
        <w:right w:val="none" w:sz="0" w:space="0" w:color="auto"/>
      </w:divBdr>
    </w:div>
    <w:div w:id="255677988">
      <w:bodyDiv w:val="1"/>
      <w:marLeft w:val="0"/>
      <w:marRight w:val="0"/>
      <w:marTop w:val="0"/>
      <w:marBottom w:val="0"/>
      <w:divBdr>
        <w:top w:val="none" w:sz="0" w:space="0" w:color="auto"/>
        <w:left w:val="none" w:sz="0" w:space="0" w:color="auto"/>
        <w:bottom w:val="none" w:sz="0" w:space="0" w:color="auto"/>
        <w:right w:val="none" w:sz="0" w:space="0" w:color="auto"/>
      </w:divBdr>
    </w:div>
    <w:div w:id="409697923">
      <w:bodyDiv w:val="1"/>
      <w:marLeft w:val="0"/>
      <w:marRight w:val="0"/>
      <w:marTop w:val="0"/>
      <w:marBottom w:val="0"/>
      <w:divBdr>
        <w:top w:val="none" w:sz="0" w:space="0" w:color="auto"/>
        <w:left w:val="none" w:sz="0" w:space="0" w:color="auto"/>
        <w:bottom w:val="none" w:sz="0" w:space="0" w:color="auto"/>
        <w:right w:val="none" w:sz="0" w:space="0" w:color="auto"/>
      </w:divBdr>
    </w:div>
    <w:div w:id="483661201">
      <w:bodyDiv w:val="1"/>
      <w:marLeft w:val="0"/>
      <w:marRight w:val="0"/>
      <w:marTop w:val="0"/>
      <w:marBottom w:val="0"/>
      <w:divBdr>
        <w:top w:val="none" w:sz="0" w:space="0" w:color="auto"/>
        <w:left w:val="none" w:sz="0" w:space="0" w:color="auto"/>
        <w:bottom w:val="none" w:sz="0" w:space="0" w:color="auto"/>
        <w:right w:val="none" w:sz="0" w:space="0" w:color="auto"/>
      </w:divBdr>
    </w:div>
    <w:div w:id="630400845">
      <w:bodyDiv w:val="1"/>
      <w:marLeft w:val="0"/>
      <w:marRight w:val="0"/>
      <w:marTop w:val="0"/>
      <w:marBottom w:val="0"/>
      <w:divBdr>
        <w:top w:val="none" w:sz="0" w:space="0" w:color="auto"/>
        <w:left w:val="none" w:sz="0" w:space="0" w:color="auto"/>
        <w:bottom w:val="none" w:sz="0" w:space="0" w:color="auto"/>
        <w:right w:val="none" w:sz="0" w:space="0" w:color="auto"/>
      </w:divBdr>
    </w:div>
    <w:div w:id="791484837">
      <w:bodyDiv w:val="1"/>
      <w:marLeft w:val="0"/>
      <w:marRight w:val="0"/>
      <w:marTop w:val="0"/>
      <w:marBottom w:val="0"/>
      <w:divBdr>
        <w:top w:val="none" w:sz="0" w:space="0" w:color="auto"/>
        <w:left w:val="none" w:sz="0" w:space="0" w:color="auto"/>
        <w:bottom w:val="none" w:sz="0" w:space="0" w:color="auto"/>
        <w:right w:val="none" w:sz="0" w:space="0" w:color="auto"/>
      </w:divBdr>
    </w:div>
    <w:div w:id="896014774">
      <w:bodyDiv w:val="1"/>
      <w:marLeft w:val="0"/>
      <w:marRight w:val="0"/>
      <w:marTop w:val="0"/>
      <w:marBottom w:val="0"/>
      <w:divBdr>
        <w:top w:val="none" w:sz="0" w:space="0" w:color="auto"/>
        <w:left w:val="none" w:sz="0" w:space="0" w:color="auto"/>
        <w:bottom w:val="none" w:sz="0" w:space="0" w:color="auto"/>
        <w:right w:val="none" w:sz="0" w:space="0" w:color="auto"/>
      </w:divBdr>
    </w:div>
    <w:div w:id="912817237">
      <w:bodyDiv w:val="1"/>
      <w:marLeft w:val="0"/>
      <w:marRight w:val="0"/>
      <w:marTop w:val="0"/>
      <w:marBottom w:val="0"/>
      <w:divBdr>
        <w:top w:val="none" w:sz="0" w:space="0" w:color="auto"/>
        <w:left w:val="none" w:sz="0" w:space="0" w:color="auto"/>
        <w:bottom w:val="none" w:sz="0" w:space="0" w:color="auto"/>
        <w:right w:val="none" w:sz="0" w:space="0" w:color="auto"/>
      </w:divBdr>
    </w:div>
    <w:div w:id="947926632">
      <w:bodyDiv w:val="1"/>
      <w:marLeft w:val="0"/>
      <w:marRight w:val="0"/>
      <w:marTop w:val="0"/>
      <w:marBottom w:val="0"/>
      <w:divBdr>
        <w:top w:val="none" w:sz="0" w:space="0" w:color="auto"/>
        <w:left w:val="none" w:sz="0" w:space="0" w:color="auto"/>
        <w:bottom w:val="none" w:sz="0" w:space="0" w:color="auto"/>
        <w:right w:val="none" w:sz="0" w:space="0" w:color="auto"/>
      </w:divBdr>
    </w:div>
    <w:div w:id="956303007">
      <w:bodyDiv w:val="1"/>
      <w:marLeft w:val="0"/>
      <w:marRight w:val="0"/>
      <w:marTop w:val="0"/>
      <w:marBottom w:val="0"/>
      <w:divBdr>
        <w:top w:val="none" w:sz="0" w:space="0" w:color="auto"/>
        <w:left w:val="none" w:sz="0" w:space="0" w:color="auto"/>
        <w:bottom w:val="none" w:sz="0" w:space="0" w:color="auto"/>
        <w:right w:val="none" w:sz="0" w:space="0" w:color="auto"/>
      </w:divBdr>
    </w:div>
    <w:div w:id="963118088">
      <w:bodyDiv w:val="1"/>
      <w:marLeft w:val="0"/>
      <w:marRight w:val="0"/>
      <w:marTop w:val="0"/>
      <w:marBottom w:val="0"/>
      <w:divBdr>
        <w:top w:val="none" w:sz="0" w:space="0" w:color="auto"/>
        <w:left w:val="none" w:sz="0" w:space="0" w:color="auto"/>
        <w:bottom w:val="none" w:sz="0" w:space="0" w:color="auto"/>
        <w:right w:val="none" w:sz="0" w:space="0" w:color="auto"/>
      </w:divBdr>
    </w:div>
    <w:div w:id="1013844699">
      <w:bodyDiv w:val="1"/>
      <w:marLeft w:val="0"/>
      <w:marRight w:val="0"/>
      <w:marTop w:val="0"/>
      <w:marBottom w:val="0"/>
      <w:divBdr>
        <w:top w:val="none" w:sz="0" w:space="0" w:color="auto"/>
        <w:left w:val="none" w:sz="0" w:space="0" w:color="auto"/>
        <w:bottom w:val="none" w:sz="0" w:space="0" w:color="auto"/>
        <w:right w:val="none" w:sz="0" w:space="0" w:color="auto"/>
      </w:divBdr>
    </w:div>
    <w:div w:id="1033266625">
      <w:bodyDiv w:val="1"/>
      <w:marLeft w:val="0"/>
      <w:marRight w:val="0"/>
      <w:marTop w:val="0"/>
      <w:marBottom w:val="0"/>
      <w:divBdr>
        <w:top w:val="none" w:sz="0" w:space="0" w:color="auto"/>
        <w:left w:val="none" w:sz="0" w:space="0" w:color="auto"/>
        <w:bottom w:val="none" w:sz="0" w:space="0" w:color="auto"/>
        <w:right w:val="none" w:sz="0" w:space="0" w:color="auto"/>
      </w:divBdr>
    </w:div>
    <w:div w:id="1053114034">
      <w:bodyDiv w:val="1"/>
      <w:marLeft w:val="0"/>
      <w:marRight w:val="0"/>
      <w:marTop w:val="0"/>
      <w:marBottom w:val="0"/>
      <w:divBdr>
        <w:top w:val="none" w:sz="0" w:space="0" w:color="auto"/>
        <w:left w:val="none" w:sz="0" w:space="0" w:color="auto"/>
        <w:bottom w:val="none" w:sz="0" w:space="0" w:color="auto"/>
        <w:right w:val="none" w:sz="0" w:space="0" w:color="auto"/>
      </w:divBdr>
    </w:div>
    <w:div w:id="1062172945">
      <w:bodyDiv w:val="1"/>
      <w:marLeft w:val="0"/>
      <w:marRight w:val="0"/>
      <w:marTop w:val="0"/>
      <w:marBottom w:val="0"/>
      <w:divBdr>
        <w:top w:val="none" w:sz="0" w:space="0" w:color="auto"/>
        <w:left w:val="none" w:sz="0" w:space="0" w:color="auto"/>
        <w:bottom w:val="none" w:sz="0" w:space="0" w:color="auto"/>
        <w:right w:val="none" w:sz="0" w:space="0" w:color="auto"/>
      </w:divBdr>
    </w:div>
    <w:div w:id="1233470529">
      <w:bodyDiv w:val="1"/>
      <w:marLeft w:val="0"/>
      <w:marRight w:val="0"/>
      <w:marTop w:val="0"/>
      <w:marBottom w:val="0"/>
      <w:divBdr>
        <w:top w:val="none" w:sz="0" w:space="0" w:color="auto"/>
        <w:left w:val="none" w:sz="0" w:space="0" w:color="auto"/>
        <w:bottom w:val="none" w:sz="0" w:space="0" w:color="auto"/>
        <w:right w:val="none" w:sz="0" w:space="0" w:color="auto"/>
      </w:divBdr>
    </w:div>
    <w:div w:id="1279021328">
      <w:bodyDiv w:val="1"/>
      <w:marLeft w:val="0"/>
      <w:marRight w:val="0"/>
      <w:marTop w:val="0"/>
      <w:marBottom w:val="0"/>
      <w:divBdr>
        <w:top w:val="none" w:sz="0" w:space="0" w:color="auto"/>
        <w:left w:val="none" w:sz="0" w:space="0" w:color="auto"/>
        <w:bottom w:val="none" w:sz="0" w:space="0" w:color="auto"/>
        <w:right w:val="none" w:sz="0" w:space="0" w:color="auto"/>
      </w:divBdr>
    </w:div>
    <w:div w:id="1317416069">
      <w:bodyDiv w:val="1"/>
      <w:marLeft w:val="0"/>
      <w:marRight w:val="0"/>
      <w:marTop w:val="0"/>
      <w:marBottom w:val="0"/>
      <w:divBdr>
        <w:top w:val="none" w:sz="0" w:space="0" w:color="auto"/>
        <w:left w:val="none" w:sz="0" w:space="0" w:color="auto"/>
        <w:bottom w:val="none" w:sz="0" w:space="0" w:color="auto"/>
        <w:right w:val="none" w:sz="0" w:space="0" w:color="auto"/>
      </w:divBdr>
    </w:div>
    <w:div w:id="1356998122">
      <w:bodyDiv w:val="1"/>
      <w:marLeft w:val="0"/>
      <w:marRight w:val="0"/>
      <w:marTop w:val="0"/>
      <w:marBottom w:val="0"/>
      <w:divBdr>
        <w:top w:val="none" w:sz="0" w:space="0" w:color="auto"/>
        <w:left w:val="none" w:sz="0" w:space="0" w:color="auto"/>
        <w:bottom w:val="none" w:sz="0" w:space="0" w:color="auto"/>
        <w:right w:val="none" w:sz="0" w:space="0" w:color="auto"/>
      </w:divBdr>
    </w:div>
    <w:div w:id="1389647501">
      <w:bodyDiv w:val="1"/>
      <w:marLeft w:val="0"/>
      <w:marRight w:val="0"/>
      <w:marTop w:val="0"/>
      <w:marBottom w:val="0"/>
      <w:divBdr>
        <w:top w:val="none" w:sz="0" w:space="0" w:color="auto"/>
        <w:left w:val="none" w:sz="0" w:space="0" w:color="auto"/>
        <w:bottom w:val="none" w:sz="0" w:space="0" w:color="auto"/>
        <w:right w:val="none" w:sz="0" w:space="0" w:color="auto"/>
      </w:divBdr>
    </w:div>
    <w:div w:id="1461532881">
      <w:bodyDiv w:val="1"/>
      <w:marLeft w:val="0"/>
      <w:marRight w:val="0"/>
      <w:marTop w:val="0"/>
      <w:marBottom w:val="0"/>
      <w:divBdr>
        <w:top w:val="none" w:sz="0" w:space="0" w:color="auto"/>
        <w:left w:val="none" w:sz="0" w:space="0" w:color="auto"/>
        <w:bottom w:val="none" w:sz="0" w:space="0" w:color="auto"/>
        <w:right w:val="none" w:sz="0" w:space="0" w:color="auto"/>
      </w:divBdr>
    </w:div>
    <w:div w:id="1515457847">
      <w:bodyDiv w:val="1"/>
      <w:marLeft w:val="0"/>
      <w:marRight w:val="0"/>
      <w:marTop w:val="0"/>
      <w:marBottom w:val="0"/>
      <w:divBdr>
        <w:top w:val="none" w:sz="0" w:space="0" w:color="auto"/>
        <w:left w:val="none" w:sz="0" w:space="0" w:color="auto"/>
        <w:bottom w:val="none" w:sz="0" w:space="0" w:color="auto"/>
        <w:right w:val="none" w:sz="0" w:space="0" w:color="auto"/>
      </w:divBdr>
    </w:div>
    <w:div w:id="1537740160">
      <w:bodyDiv w:val="1"/>
      <w:marLeft w:val="0"/>
      <w:marRight w:val="0"/>
      <w:marTop w:val="0"/>
      <w:marBottom w:val="0"/>
      <w:divBdr>
        <w:top w:val="none" w:sz="0" w:space="0" w:color="auto"/>
        <w:left w:val="none" w:sz="0" w:space="0" w:color="auto"/>
        <w:bottom w:val="none" w:sz="0" w:space="0" w:color="auto"/>
        <w:right w:val="none" w:sz="0" w:space="0" w:color="auto"/>
      </w:divBdr>
    </w:div>
    <w:div w:id="1555196198">
      <w:bodyDiv w:val="1"/>
      <w:marLeft w:val="0"/>
      <w:marRight w:val="0"/>
      <w:marTop w:val="0"/>
      <w:marBottom w:val="0"/>
      <w:divBdr>
        <w:top w:val="none" w:sz="0" w:space="0" w:color="auto"/>
        <w:left w:val="none" w:sz="0" w:space="0" w:color="auto"/>
        <w:bottom w:val="none" w:sz="0" w:space="0" w:color="auto"/>
        <w:right w:val="none" w:sz="0" w:space="0" w:color="auto"/>
      </w:divBdr>
    </w:div>
    <w:div w:id="1626962819">
      <w:bodyDiv w:val="1"/>
      <w:marLeft w:val="0"/>
      <w:marRight w:val="0"/>
      <w:marTop w:val="0"/>
      <w:marBottom w:val="0"/>
      <w:divBdr>
        <w:top w:val="none" w:sz="0" w:space="0" w:color="auto"/>
        <w:left w:val="none" w:sz="0" w:space="0" w:color="auto"/>
        <w:bottom w:val="none" w:sz="0" w:space="0" w:color="auto"/>
        <w:right w:val="none" w:sz="0" w:space="0" w:color="auto"/>
      </w:divBdr>
    </w:div>
    <w:div w:id="1804078720">
      <w:bodyDiv w:val="1"/>
      <w:marLeft w:val="0"/>
      <w:marRight w:val="0"/>
      <w:marTop w:val="0"/>
      <w:marBottom w:val="0"/>
      <w:divBdr>
        <w:top w:val="none" w:sz="0" w:space="0" w:color="auto"/>
        <w:left w:val="none" w:sz="0" w:space="0" w:color="auto"/>
        <w:bottom w:val="none" w:sz="0" w:space="0" w:color="auto"/>
        <w:right w:val="none" w:sz="0" w:space="0" w:color="auto"/>
      </w:divBdr>
    </w:div>
    <w:div w:id="1817912458">
      <w:bodyDiv w:val="1"/>
      <w:marLeft w:val="0"/>
      <w:marRight w:val="0"/>
      <w:marTop w:val="0"/>
      <w:marBottom w:val="0"/>
      <w:divBdr>
        <w:top w:val="none" w:sz="0" w:space="0" w:color="auto"/>
        <w:left w:val="none" w:sz="0" w:space="0" w:color="auto"/>
        <w:bottom w:val="none" w:sz="0" w:space="0" w:color="auto"/>
        <w:right w:val="none" w:sz="0" w:space="0" w:color="auto"/>
      </w:divBdr>
    </w:div>
    <w:div w:id="1835685869">
      <w:bodyDiv w:val="1"/>
      <w:marLeft w:val="0"/>
      <w:marRight w:val="0"/>
      <w:marTop w:val="0"/>
      <w:marBottom w:val="0"/>
      <w:divBdr>
        <w:top w:val="none" w:sz="0" w:space="0" w:color="auto"/>
        <w:left w:val="none" w:sz="0" w:space="0" w:color="auto"/>
        <w:bottom w:val="none" w:sz="0" w:space="0" w:color="auto"/>
        <w:right w:val="none" w:sz="0" w:space="0" w:color="auto"/>
      </w:divBdr>
    </w:div>
    <w:div w:id="1847860614">
      <w:bodyDiv w:val="1"/>
      <w:marLeft w:val="0"/>
      <w:marRight w:val="0"/>
      <w:marTop w:val="0"/>
      <w:marBottom w:val="0"/>
      <w:divBdr>
        <w:top w:val="none" w:sz="0" w:space="0" w:color="auto"/>
        <w:left w:val="none" w:sz="0" w:space="0" w:color="auto"/>
        <w:bottom w:val="none" w:sz="0" w:space="0" w:color="auto"/>
        <w:right w:val="none" w:sz="0" w:space="0" w:color="auto"/>
      </w:divBdr>
    </w:div>
    <w:div w:id="1905679108">
      <w:bodyDiv w:val="1"/>
      <w:marLeft w:val="0"/>
      <w:marRight w:val="0"/>
      <w:marTop w:val="0"/>
      <w:marBottom w:val="0"/>
      <w:divBdr>
        <w:top w:val="none" w:sz="0" w:space="0" w:color="auto"/>
        <w:left w:val="none" w:sz="0" w:space="0" w:color="auto"/>
        <w:bottom w:val="none" w:sz="0" w:space="0" w:color="auto"/>
        <w:right w:val="none" w:sz="0" w:space="0" w:color="auto"/>
      </w:divBdr>
    </w:div>
    <w:div w:id="1980455465">
      <w:bodyDiv w:val="1"/>
      <w:marLeft w:val="0"/>
      <w:marRight w:val="0"/>
      <w:marTop w:val="0"/>
      <w:marBottom w:val="0"/>
      <w:divBdr>
        <w:top w:val="none" w:sz="0" w:space="0" w:color="auto"/>
        <w:left w:val="none" w:sz="0" w:space="0" w:color="auto"/>
        <w:bottom w:val="none" w:sz="0" w:space="0" w:color="auto"/>
        <w:right w:val="none" w:sz="0" w:space="0" w:color="auto"/>
      </w:divBdr>
    </w:div>
    <w:div w:id="1989045938">
      <w:bodyDiv w:val="1"/>
      <w:marLeft w:val="0"/>
      <w:marRight w:val="0"/>
      <w:marTop w:val="0"/>
      <w:marBottom w:val="0"/>
      <w:divBdr>
        <w:top w:val="none" w:sz="0" w:space="0" w:color="auto"/>
        <w:left w:val="none" w:sz="0" w:space="0" w:color="auto"/>
        <w:bottom w:val="none" w:sz="0" w:space="0" w:color="auto"/>
        <w:right w:val="none" w:sz="0" w:space="0" w:color="auto"/>
      </w:divBdr>
    </w:div>
    <w:div w:id="1991518885">
      <w:bodyDiv w:val="1"/>
      <w:marLeft w:val="0"/>
      <w:marRight w:val="0"/>
      <w:marTop w:val="0"/>
      <w:marBottom w:val="0"/>
      <w:divBdr>
        <w:top w:val="none" w:sz="0" w:space="0" w:color="auto"/>
        <w:left w:val="none" w:sz="0" w:space="0" w:color="auto"/>
        <w:bottom w:val="none" w:sz="0" w:space="0" w:color="auto"/>
        <w:right w:val="none" w:sz="0" w:space="0" w:color="auto"/>
      </w:divBdr>
    </w:div>
    <w:div w:id="206008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4.emf"/><Relationship Id="rId42"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package" Target="embeddings/Microsoft_Excel_Worksheet2.xlsx"/><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emf"/><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3.emf"/><Relationship Id="rId37" Type="http://schemas.openxmlformats.org/officeDocument/2006/relationships/header" Target="header10.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file:///C:/Users/veragsi/AppData/Local/Microsoft/Windows/Temporary%20Internet%20Files/Content.MSO/E0DB9A89.xlsx" TargetMode="External"/><Relationship Id="rId27" Type="http://schemas.openxmlformats.org/officeDocument/2006/relationships/header" Target="header9.xml"/><Relationship Id="rId30" Type="http://schemas.openxmlformats.org/officeDocument/2006/relationships/package" Target="embeddings/Microsoft_Excel_Worksheet1.xlsx"/><Relationship Id="rId35" Type="http://schemas.openxmlformats.org/officeDocument/2006/relationships/package" Target="embeddings/Microsoft_Excel_Worksheet3.xlsx"/><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HOMES\130\pilzean\My%20Documents\CAPR%202020\20080913%20SWD%202020%20all%20figures%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2"/>
            <c:bubble3D val="0"/>
            <c:spPr>
              <a:solidFill>
                <a:srgbClr val="C00000"/>
              </a:solidFill>
            </c:spPr>
            <c:extLst xmlns:c16r2="http://schemas.microsoft.com/office/drawing/2015/06/chart">
              <c:ext xmlns:c16="http://schemas.microsoft.com/office/drawing/2014/chart" uri="{C3380CC4-5D6E-409C-BE32-E72D297353CC}">
                <c16:uniqueId val="{00000001-A61E-49FF-961A-3EACCC137A6E}"/>
              </c:ext>
            </c:extLst>
          </c:dPt>
          <c:dPt>
            <c:idx val="6"/>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3-A61E-49FF-961A-3EACCC137A6E}"/>
              </c:ext>
            </c:extLst>
          </c:dPt>
          <c:dPt>
            <c:idx val="7"/>
            <c:bubble3D val="0"/>
            <c:spPr>
              <a:solidFill>
                <a:schemeClr val="bg1">
                  <a:lumMod val="50000"/>
                </a:schemeClr>
              </a:solidFill>
            </c:spPr>
            <c:extLst xmlns:c16r2="http://schemas.microsoft.com/office/drawing/2015/06/chart">
              <c:ext xmlns:c16="http://schemas.microsoft.com/office/drawing/2014/chart" uri="{C3380CC4-5D6E-409C-BE32-E72D297353CC}">
                <c16:uniqueId val="{00000005-A61E-49FF-961A-3EACCC137A6E}"/>
              </c:ext>
            </c:extLst>
          </c:dPt>
          <c:dLbls>
            <c:dLbl>
              <c:idx val="6"/>
              <c:layout>
                <c:manualLayout>
                  <c:x val="3.9148184601924763E-2"/>
                  <c:y val="9.604658792650919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61E-49FF-961A-3EACCC137A6E}"/>
                </c:ext>
              </c:extLst>
            </c:dLbl>
            <c:dLbl>
              <c:idx val="7"/>
              <c:layout>
                <c:manualLayout>
                  <c:x val="2.1450021872265967E-2"/>
                  <c:y val="0.1901060804899387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61E-49FF-961A-3EACCC137A6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'EU GHG emissions by sector'!$A$41:$A$48</c:f>
              <c:strCache>
                <c:ptCount val="8"/>
                <c:pt idx="0">
                  <c:v>Energy supply</c:v>
                </c:pt>
                <c:pt idx="1">
                  <c:v>Energy use in manufacturing industries</c:v>
                </c:pt>
                <c:pt idx="2">
                  <c:v>Industrial processes and product use</c:v>
                </c:pt>
                <c:pt idx="3">
                  <c:v>Transport</c:v>
                </c:pt>
                <c:pt idx="4">
                  <c:v>Other energy use</c:v>
                </c:pt>
                <c:pt idx="5">
                  <c:v>Agriculture</c:v>
                </c:pt>
                <c:pt idx="6">
                  <c:v>Waste</c:v>
                </c:pt>
                <c:pt idx="7">
                  <c:v>International aviation</c:v>
                </c:pt>
              </c:strCache>
            </c:strRef>
          </c:cat>
          <c:val>
            <c:numRef>
              <c:f>'EU GHG emissions by sector'!$AD$41:$AD$48</c:f>
              <c:numCache>
                <c:formatCode>0</c:formatCode>
                <c:ptCount val="8"/>
                <c:pt idx="0">
                  <c:v>1154.1959930790422</c:v>
                </c:pt>
                <c:pt idx="1">
                  <c:v>445.756743307661</c:v>
                </c:pt>
                <c:pt idx="2">
                  <c:v>349.42074203367901</c:v>
                </c:pt>
                <c:pt idx="3">
                  <c:v>825.60854622129295</c:v>
                </c:pt>
                <c:pt idx="4">
                  <c:v>557.78206458611521</c:v>
                </c:pt>
                <c:pt idx="5">
                  <c:v>399.54099575911602</c:v>
                </c:pt>
                <c:pt idx="6">
                  <c:v>119.282292357681</c:v>
                </c:pt>
                <c:pt idx="7">
                  <c:v>123.42761505666</c:v>
                </c:pt>
              </c:numCache>
            </c:numRef>
          </c:val>
          <c:extLst xmlns:c16r2="http://schemas.microsoft.com/office/drawing/2015/06/chart">
            <c:ext xmlns:c16="http://schemas.microsoft.com/office/drawing/2014/chart" uri="{C3380CC4-5D6E-409C-BE32-E72D297353CC}">
              <c16:uniqueId val="{00000006-A61E-49FF-961A-3EACCC137A6E}"/>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3F1E2-2F90-4CD7-9DC0-E9A758A6A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5302</Words>
  <Characters>24925</Characters>
  <Application>Microsoft Office Word</Application>
  <DocSecurity>0</DocSecurity>
  <Lines>4985</Lines>
  <Paragraphs>3358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15</cp:revision>
  <dcterms:created xsi:type="dcterms:W3CDTF">2020-11-25T07:58:00Z</dcterms:created>
  <dcterms:modified xsi:type="dcterms:W3CDTF">2020-11-25T11:59:00Z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