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94" w:rsidRDefault="00D20261" w:rsidP="00D2026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C9A01D7-2AE0-451F-95FA-6751EC3BEC15" style="width:450.75pt;height:414pt">
            <v:imagedata r:id="rId8" o:title=""/>
          </v:shape>
        </w:pict>
      </w:r>
    </w:p>
    <w:bookmarkEnd w:id="0"/>
    <w:p w:rsidR="00B37294" w:rsidRDefault="00B37294">
      <w:pPr>
        <w:rPr>
          <w:noProof/>
        </w:rPr>
        <w:sectPr w:rsidR="00B37294" w:rsidSect="00D20261">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rsidR="00B37294" w:rsidRDefault="00D20261">
      <w:pPr>
        <w:pStyle w:val="TOCHeading"/>
        <w:rPr>
          <w:rFonts w:ascii="Times New Roman" w:hAnsi="Times New Roman"/>
        </w:rPr>
      </w:pPr>
      <w:bookmarkStart w:id="1" w:name="_GoBack"/>
      <w:bookmarkEnd w:id="1"/>
      <w:r>
        <w:rPr>
          <w:rFonts w:ascii="Times New Roman" w:hAnsi="Times New Roman"/>
        </w:rPr>
        <w:lastRenderedPageBreak/>
        <w:t>Table des matières</w:t>
      </w:r>
    </w:p>
    <w:p w:rsidR="00B37294" w:rsidRDefault="00D20261">
      <w:pPr>
        <w:pStyle w:val="TOC1"/>
        <w:rPr>
          <w:rFonts w:asciiTheme="minorHAnsi" w:eastAsiaTheme="minorEastAsia" w:hAnsiTheme="minorHAnsi" w:cstheme="minorBidi"/>
          <w:noProof/>
          <w:lang w:val="en-US"/>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56767524" w:history="1">
        <w:r>
          <w:rPr>
            <w:rStyle w:val="Hyperlink"/>
            <w:rFonts w:ascii="Times New Roman" w:hAnsi="Times New Roman"/>
            <w:noProof/>
          </w:rPr>
          <w:t>1.</w:t>
        </w:r>
        <w:r>
          <w:rPr>
            <w:rFonts w:asciiTheme="minorHAnsi" w:eastAsiaTheme="minorEastAsia" w:hAnsiTheme="minorHAnsi" w:cstheme="minorBidi"/>
            <w:noProof/>
            <w:lang w:val="en-US"/>
          </w:rPr>
          <w:tab/>
        </w:r>
        <w:r>
          <w:rPr>
            <w:rStyle w:val="Hyperlink"/>
            <w:rFonts w:ascii="Times New Roman" w:hAnsi="Times New Roman"/>
            <w:noProof/>
          </w:rPr>
          <w:t>INTRODUCTION</w:t>
        </w:r>
        <w:r>
          <w:rPr>
            <w:noProof/>
            <w:webHidden/>
          </w:rPr>
          <w:tab/>
        </w:r>
        <w:r>
          <w:rPr>
            <w:noProof/>
            <w:webHidden/>
          </w:rPr>
          <w:fldChar w:fldCharType="begin"/>
        </w:r>
        <w:r>
          <w:rPr>
            <w:noProof/>
            <w:webHidden/>
          </w:rPr>
          <w:instrText xml:space="preserve"> PAGEREF _Toc56767524 \h </w:instrText>
        </w:r>
        <w:r>
          <w:rPr>
            <w:noProof/>
            <w:webHidden/>
          </w:rPr>
        </w:r>
        <w:r>
          <w:rPr>
            <w:noProof/>
            <w:webHidden/>
          </w:rPr>
          <w:fldChar w:fldCharType="separate"/>
        </w:r>
        <w:r>
          <w:rPr>
            <w:noProof/>
            <w:webHidden/>
          </w:rPr>
          <w:t>2</w:t>
        </w:r>
        <w:r>
          <w:rPr>
            <w:noProof/>
            <w:webHidden/>
          </w:rPr>
          <w:fldChar w:fldCharType="end"/>
        </w:r>
      </w:hyperlink>
    </w:p>
    <w:p w:rsidR="00B37294" w:rsidRDefault="00D20261">
      <w:pPr>
        <w:pStyle w:val="TOC1"/>
        <w:rPr>
          <w:rFonts w:asciiTheme="minorHAnsi" w:eastAsiaTheme="minorEastAsia" w:hAnsiTheme="minorHAnsi" w:cstheme="minorBidi"/>
          <w:noProof/>
          <w:lang w:val="en-US"/>
        </w:rPr>
      </w:pPr>
      <w:hyperlink w:anchor="_Toc56767525" w:history="1">
        <w:r>
          <w:rPr>
            <w:rStyle w:val="Hyperlink"/>
            <w:rFonts w:ascii="Times New Roman" w:hAnsi="Times New Roman"/>
            <w:noProof/>
          </w:rPr>
          <w:t>2.</w:t>
        </w:r>
        <w:r>
          <w:rPr>
            <w:rFonts w:asciiTheme="minorHAnsi" w:eastAsiaTheme="minorEastAsia" w:hAnsiTheme="minorHAnsi" w:cstheme="minorBidi"/>
            <w:noProof/>
            <w:lang w:val="en-US"/>
          </w:rPr>
          <w:tab/>
        </w:r>
        <w:r>
          <w:rPr>
            <w:rStyle w:val="Hyperlink"/>
            <w:rFonts w:ascii="Times New Roman" w:hAnsi="Times New Roman"/>
            <w:noProof/>
          </w:rPr>
          <w:t>BASE JURIDIQUE</w:t>
        </w:r>
        <w:r>
          <w:rPr>
            <w:noProof/>
            <w:webHidden/>
          </w:rPr>
          <w:tab/>
        </w:r>
        <w:r>
          <w:rPr>
            <w:noProof/>
            <w:webHidden/>
          </w:rPr>
          <w:fldChar w:fldCharType="begin"/>
        </w:r>
        <w:r>
          <w:rPr>
            <w:noProof/>
            <w:webHidden/>
          </w:rPr>
          <w:instrText xml:space="preserve"> PAGEREF _Toc56767525 \h </w:instrText>
        </w:r>
        <w:r>
          <w:rPr>
            <w:noProof/>
            <w:webHidden/>
          </w:rPr>
        </w:r>
        <w:r>
          <w:rPr>
            <w:noProof/>
            <w:webHidden/>
          </w:rPr>
          <w:fldChar w:fldCharType="separate"/>
        </w:r>
        <w:r>
          <w:rPr>
            <w:noProof/>
            <w:webHidden/>
          </w:rPr>
          <w:t>3</w:t>
        </w:r>
        <w:r>
          <w:rPr>
            <w:noProof/>
            <w:webHidden/>
          </w:rPr>
          <w:fldChar w:fldCharType="end"/>
        </w:r>
      </w:hyperlink>
    </w:p>
    <w:p w:rsidR="00B37294" w:rsidRDefault="00D20261">
      <w:pPr>
        <w:pStyle w:val="TOC1"/>
        <w:rPr>
          <w:rFonts w:asciiTheme="minorHAnsi" w:eastAsiaTheme="minorEastAsia" w:hAnsiTheme="minorHAnsi" w:cstheme="minorBidi"/>
          <w:noProof/>
          <w:lang w:val="en-US"/>
        </w:rPr>
      </w:pPr>
      <w:hyperlink w:anchor="_Toc56767526" w:history="1">
        <w:r>
          <w:rPr>
            <w:rStyle w:val="Hyperlink"/>
            <w:rFonts w:ascii="Times New Roman" w:hAnsi="Times New Roman"/>
            <w:noProof/>
          </w:rPr>
          <w:t>3.</w:t>
        </w:r>
        <w:r>
          <w:rPr>
            <w:rFonts w:asciiTheme="minorHAnsi" w:eastAsiaTheme="minorEastAsia" w:hAnsiTheme="minorHAnsi" w:cstheme="minorBidi"/>
            <w:noProof/>
            <w:lang w:val="en-US"/>
          </w:rPr>
          <w:tab/>
        </w:r>
        <w:r>
          <w:rPr>
            <w:rStyle w:val="Hyperlink"/>
            <w:rFonts w:ascii="Times New Roman" w:hAnsi="Times New Roman"/>
            <w:noProof/>
          </w:rPr>
          <w:t xml:space="preserve">MÉTHODOLOGIE </w:t>
        </w:r>
        <w:r>
          <w:rPr>
            <w:rStyle w:val="Hyperlink"/>
            <w:rFonts w:ascii="Times New Roman" w:hAnsi="Times New Roman"/>
            <w:noProof/>
          </w:rPr>
          <w:t>ET INFORMATIONS REÇUES D’ÉTATS MEMBRES</w:t>
        </w:r>
        <w:r>
          <w:rPr>
            <w:noProof/>
            <w:webHidden/>
          </w:rPr>
          <w:tab/>
        </w:r>
        <w:r>
          <w:rPr>
            <w:noProof/>
            <w:webHidden/>
          </w:rPr>
          <w:fldChar w:fldCharType="begin"/>
        </w:r>
        <w:r>
          <w:rPr>
            <w:noProof/>
            <w:webHidden/>
          </w:rPr>
          <w:instrText xml:space="preserve"> PAGEREF _Toc56767526 \h </w:instrText>
        </w:r>
        <w:r>
          <w:rPr>
            <w:noProof/>
            <w:webHidden/>
          </w:rPr>
        </w:r>
        <w:r>
          <w:rPr>
            <w:noProof/>
            <w:webHidden/>
          </w:rPr>
          <w:fldChar w:fldCharType="separate"/>
        </w:r>
        <w:r>
          <w:rPr>
            <w:noProof/>
            <w:webHidden/>
          </w:rPr>
          <w:t>4</w:t>
        </w:r>
        <w:r>
          <w:rPr>
            <w:noProof/>
            <w:webHidden/>
          </w:rPr>
          <w:fldChar w:fldCharType="end"/>
        </w:r>
      </w:hyperlink>
    </w:p>
    <w:p w:rsidR="00B37294" w:rsidRDefault="00D20261">
      <w:pPr>
        <w:pStyle w:val="TOC1"/>
        <w:rPr>
          <w:rFonts w:asciiTheme="minorHAnsi" w:eastAsiaTheme="minorEastAsia" w:hAnsiTheme="minorHAnsi" w:cstheme="minorBidi"/>
          <w:noProof/>
          <w:lang w:val="en-US"/>
        </w:rPr>
      </w:pPr>
      <w:hyperlink w:anchor="_Toc56767527" w:history="1">
        <w:r>
          <w:rPr>
            <w:rStyle w:val="Hyperlink"/>
            <w:rFonts w:ascii="Times New Roman" w:hAnsi="Times New Roman"/>
            <w:noProof/>
          </w:rPr>
          <w:t>4.</w:t>
        </w:r>
        <w:r>
          <w:rPr>
            <w:rFonts w:asciiTheme="minorHAnsi" w:eastAsiaTheme="minorEastAsia" w:hAnsiTheme="minorHAnsi" w:cstheme="minorBidi"/>
            <w:noProof/>
            <w:lang w:val="en-US"/>
          </w:rPr>
          <w:tab/>
        </w:r>
        <w:r>
          <w:rPr>
            <w:rStyle w:val="Hyperlink"/>
            <w:rFonts w:ascii="Times New Roman" w:hAnsi="Times New Roman"/>
            <w:noProof/>
          </w:rPr>
          <w:t>LE SECTEUR DES OPÉRATIONS PÉTROLIÈRES ET GAZIÈRES EN MER DANS L’UNION EUROPÉENNE</w:t>
        </w:r>
        <w:r>
          <w:rPr>
            <w:noProof/>
            <w:webHidden/>
          </w:rPr>
          <w:tab/>
        </w:r>
        <w:r>
          <w:rPr>
            <w:noProof/>
            <w:webHidden/>
          </w:rPr>
          <w:fldChar w:fldCharType="begin"/>
        </w:r>
        <w:r>
          <w:rPr>
            <w:noProof/>
            <w:webHidden/>
          </w:rPr>
          <w:instrText xml:space="preserve"> PAGEREF</w:instrText>
        </w:r>
        <w:r>
          <w:rPr>
            <w:noProof/>
            <w:webHidden/>
          </w:rPr>
          <w:instrText xml:space="preserve"> _Toc56767527 \h </w:instrText>
        </w:r>
        <w:r>
          <w:rPr>
            <w:noProof/>
            <w:webHidden/>
          </w:rPr>
        </w:r>
        <w:r>
          <w:rPr>
            <w:noProof/>
            <w:webHidden/>
          </w:rPr>
          <w:fldChar w:fldCharType="separate"/>
        </w:r>
        <w:r>
          <w:rPr>
            <w:noProof/>
            <w:webHidden/>
          </w:rPr>
          <w:t>5</w:t>
        </w:r>
        <w:r>
          <w:rPr>
            <w:noProof/>
            <w:webHidden/>
          </w:rPr>
          <w:fldChar w:fldCharType="end"/>
        </w:r>
      </w:hyperlink>
    </w:p>
    <w:p w:rsidR="00B37294" w:rsidRDefault="00D20261">
      <w:pPr>
        <w:pStyle w:val="TOC2"/>
        <w:tabs>
          <w:tab w:val="right" w:leader="dot" w:pos="9736"/>
        </w:tabs>
        <w:rPr>
          <w:rFonts w:asciiTheme="minorHAnsi" w:eastAsiaTheme="minorEastAsia" w:hAnsiTheme="minorHAnsi" w:cstheme="minorBidi"/>
          <w:noProof/>
          <w:lang w:val="en-US"/>
        </w:rPr>
      </w:pPr>
      <w:hyperlink w:anchor="_Toc56767528" w:history="1">
        <w:r>
          <w:rPr>
            <w:rStyle w:val="Hyperlink"/>
            <w:rFonts w:ascii="Times New Roman" w:hAnsi="Times New Roman"/>
            <w:noProof/>
          </w:rPr>
          <w:t>4.1 Installations et production</w:t>
        </w:r>
        <w:r>
          <w:rPr>
            <w:noProof/>
            <w:webHidden/>
          </w:rPr>
          <w:tab/>
        </w:r>
        <w:r>
          <w:rPr>
            <w:noProof/>
            <w:webHidden/>
          </w:rPr>
          <w:fldChar w:fldCharType="begin"/>
        </w:r>
        <w:r>
          <w:rPr>
            <w:noProof/>
            <w:webHidden/>
          </w:rPr>
          <w:instrText xml:space="preserve"> PAGEREF _Toc56767528 \h </w:instrText>
        </w:r>
        <w:r>
          <w:rPr>
            <w:noProof/>
            <w:webHidden/>
          </w:rPr>
        </w:r>
        <w:r>
          <w:rPr>
            <w:noProof/>
            <w:webHidden/>
          </w:rPr>
          <w:fldChar w:fldCharType="separate"/>
        </w:r>
        <w:r>
          <w:rPr>
            <w:noProof/>
            <w:webHidden/>
          </w:rPr>
          <w:t>5</w:t>
        </w:r>
        <w:r>
          <w:rPr>
            <w:noProof/>
            <w:webHidden/>
          </w:rPr>
          <w:fldChar w:fldCharType="end"/>
        </w:r>
      </w:hyperlink>
    </w:p>
    <w:p w:rsidR="00B37294" w:rsidRDefault="00D20261">
      <w:pPr>
        <w:pStyle w:val="TOC2"/>
        <w:tabs>
          <w:tab w:val="right" w:leader="dot" w:pos="9736"/>
        </w:tabs>
        <w:rPr>
          <w:rFonts w:asciiTheme="minorHAnsi" w:eastAsiaTheme="minorEastAsia" w:hAnsiTheme="minorHAnsi" w:cstheme="minorBidi"/>
          <w:noProof/>
          <w:lang w:val="en-US"/>
        </w:rPr>
      </w:pPr>
      <w:hyperlink w:anchor="_Toc56767529" w:history="1">
        <w:r>
          <w:rPr>
            <w:rStyle w:val="Hyperlink"/>
            <w:rFonts w:ascii="Times New Roman" w:hAnsi="Times New Roman"/>
            <w:noProof/>
          </w:rPr>
          <w:t>4.2 Inspections en mer, enquêtes, mesures d’exécution et cadre réglementaire</w:t>
        </w:r>
        <w:r>
          <w:rPr>
            <w:noProof/>
            <w:webHidden/>
          </w:rPr>
          <w:tab/>
        </w:r>
        <w:r>
          <w:rPr>
            <w:noProof/>
            <w:webHidden/>
          </w:rPr>
          <w:fldChar w:fldCharType="begin"/>
        </w:r>
        <w:r>
          <w:rPr>
            <w:noProof/>
            <w:webHidden/>
          </w:rPr>
          <w:instrText xml:space="preserve"> PAGEREF _Toc56767529 \h </w:instrText>
        </w:r>
        <w:r>
          <w:rPr>
            <w:noProof/>
            <w:webHidden/>
          </w:rPr>
        </w:r>
        <w:r>
          <w:rPr>
            <w:noProof/>
            <w:webHidden/>
          </w:rPr>
          <w:fldChar w:fldCharType="separate"/>
        </w:r>
        <w:r>
          <w:rPr>
            <w:noProof/>
            <w:webHidden/>
          </w:rPr>
          <w:t>9</w:t>
        </w:r>
        <w:r>
          <w:rPr>
            <w:noProof/>
            <w:webHidden/>
          </w:rPr>
          <w:fldChar w:fldCharType="end"/>
        </w:r>
      </w:hyperlink>
    </w:p>
    <w:p w:rsidR="00B37294" w:rsidRDefault="00D20261">
      <w:pPr>
        <w:pStyle w:val="TOC1"/>
        <w:rPr>
          <w:rFonts w:asciiTheme="minorHAnsi" w:eastAsiaTheme="minorEastAsia" w:hAnsiTheme="minorHAnsi" w:cstheme="minorBidi"/>
          <w:noProof/>
          <w:lang w:val="en-US"/>
        </w:rPr>
      </w:pPr>
      <w:hyperlink w:anchor="_Toc56767530" w:history="1">
        <w:r>
          <w:rPr>
            <w:rStyle w:val="Hyperlink"/>
            <w:rFonts w:ascii="Times New Roman" w:hAnsi="Times New Roman"/>
            <w:noProof/>
          </w:rPr>
          <w:t>5.</w:t>
        </w:r>
        <w:r>
          <w:rPr>
            <w:rFonts w:asciiTheme="minorHAnsi" w:eastAsiaTheme="minorEastAsia" w:hAnsiTheme="minorHAnsi" w:cstheme="minorBidi"/>
            <w:noProof/>
            <w:lang w:val="en-US"/>
          </w:rPr>
          <w:tab/>
        </w:r>
        <w:r>
          <w:rPr>
            <w:rStyle w:val="Hyperlink"/>
            <w:rFonts w:ascii="Times New Roman" w:hAnsi="Times New Roman"/>
            <w:noProof/>
          </w:rPr>
          <w:t>DONNÉES RELATIVES AUX INCIDENTS</w:t>
        </w:r>
        <w:r>
          <w:rPr>
            <w:rStyle w:val="Hyperlink"/>
            <w:rFonts w:ascii="Times New Roman" w:hAnsi="Times New Roman"/>
            <w:noProof/>
          </w:rPr>
          <w:t xml:space="preserve"> ET PERFORMANCES DES OPÉRATIONS EN MER EN MATIÈRE DE SÉCURITÉ</w:t>
        </w:r>
        <w:r>
          <w:rPr>
            <w:noProof/>
            <w:webHidden/>
          </w:rPr>
          <w:tab/>
        </w:r>
        <w:r>
          <w:rPr>
            <w:noProof/>
            <w:webHidden/>
          </w:rPr>
          <w:fldChar w:fldCharType="begin"/>
        </w:r>
        <w:r>
          <w:rPr>
            <w:noProof/>
            <w:webHidden/>
          </w:rPr>
          <w:instrText xml:space="preserve"> PAGEREF _Toc56767530 \h </w:instrText>
        </w:r>
        <w:r>
          <w:rPr>
            <w:noProof/>
            <w:webHidden/>
          </w:rPr>
        </w:r>
        <w:r>
          <w:rPr>
            <w:noProof/>
            <w:webHidden/>
          </w:rPr>
          <w:fldChar w:fldCharType="separate"/>
        </w:r>
        <w:r>
          <w:rPr>
            <w:noProof/>
            <w:webHidden/>
          </w:rPr>
          <w:t>10</w:t>
        </w:r>
        <w:r>
          <w:rPr>
            <w:noProof/>
            <w:webHidden/>
          </w:rPr>
          <w:fldChar w:fldCharType="end"/>
        </w:r>
      </w:hyperlink>
    </w:p>
    <w:p w:rsidR="00B37294" w:rsidRDefault="00D20261">
      <w:pPr>
        <w:pStyle w:val="TOC1"/>
        <w:rPr>
          <w:rFonts w:asciiTheme="minorHAnsi" w:eastAsiaTheme="minorEastAsia" w:hAnsiTheme="minorHAnsi" w:cstheme="minorBidi"/>
          <w:noProof/>
          <w:lang w:val="en-US"/>
        </w:rPr>
      </w:pPr>
      <w:hyperlink w:anchor="_Toc56767531" w:history="1">
        <w:r>
          <w:rPr>
            <w:rStyle w:val="Hyperlink"/>
            <w:rFonts w:ascii="Times New Roman" w:hAnsi="Times New Roman"/>
            <w:noProof/>
          </w:rPr>
          <w:t>6.</w:t>
        </w:r>
        <w:r>
          <w:rPr>
            <w:rFonts w:asciiTheme="minorHAnsi" w:eastAsiaTheme="minorEastAsia" w:hAnsiTheme="minorHAnsi" w:cstheme="minorBidi"/>
            <w:noProof/>
            <w:lang w:val="en-US"/>
          </w:rPr>
          <w:tab/>
        </w:r>
        <w:r>
          <w:rPr>
            <w:rStyle w:val="Hyperlink"/>
            <w:rFonts w:ascii="Times New Roman" w:hAnsi="Times New Roman"/>
            <w:noProof/>
          </w:rPr>
          <w:t>CONCLUSION</w:t>
        </w:r>
        <w:r>
          <w:rPr>
            <w:noProof/>
            <w:webHidden/>
          </w:rPr>
          <w:tab/>
        </w:r>
        <w:r>
          <w:rPr>
            <w:noProof/>
            <w:webHidden/>
          </w:rPr>
          <w:fldChar w:fldCharType="begin"/>
        </w:r>
        <w:r>
          <w:rPr>
            <w:noProof/>
            <w:webHidden/>
          </w:rPr>
          <w:instrText xml:space="preserve"> PAGEREF _Toc56767531 \h </w:instrText>
        </w:r>
        <w:r>
          <w:rPr>
            <w:noProof/>
            <w:webHidden/>
          </w:rPr>
        </w:r>
        <w:r>
          <w:rPr>
            <w:noProof/>
            <w:webHidden/>
          </w:rPr>
          <w:fldChar w:fldCharType="separate"/>
        </w:r>
        <w:r>
          <w:rPr>
            <w:noProof/>
            <w:webHidden/>
          </w:rPr>
          <w:t>13</w:t>
        </w:r>
        <w:r>
          <w:rPr>
            <w:noProof/>
            <w:webHidden/>
          </w:rPr>
          <w:fldChar w:fldCharType="end"/>
        </w:r>
      </w:hyperlink>
    </w:p>
    <w:p w:rsidR="00B37294" w:rsidRDefault="00D20261">
      <w:pPr>
        <w:pStyle w:val="TOC1"/>
        <w:rPr>
          <w:rFonts w:ascii="Times New Roman" w:hAnsi="Times New Roman"/>
          <w:noProof/>
        </w:rPr>
        <w:sectPr w:rsidR="00B37294">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720" w:footer="720" w:gutter="0"/>
          <w:cols w:space="720"/>
          <w:docGrid w:linePitch="360"/>
        </w:sectPr>
      </w:pPr>
      <w:r>
        <w:rPr>
          <w:rFonts w:ascii="Times New Roman" w:hAnsi="Times New Roman"/>
          <w:b/>
          <w:bCs/>
          <w:noProof/>
        </w:rPr>
        <w:fldChar w:fldCharType="end"/>
      </w:r>
    </w:p>
    <w:p w:rsidR="00B37294" w:rsidRDefault="00D20261">
      <w:pPr>
        <w:pStyle w:val="Heading1"/>
        <w:rPr>
          <w:rFonts w:ascii="Times New Roman" w:hAnsi="Times New Roman"/>
        </w:rPr>
      </w:pPr>
      <w:bookmarkStart w:id="2" w:name="_Toc56767524"/>
      <w:r>
        <w:rPr>
          <w:rFonts w:ascii="Times New Roman" w:hAnsi="Times New Roman"/>
        </w:rPr>
        <w:t>1.</w:t>
      </w:r>
      <w:r>
        <w:tab/>
      </w:r>
      <w:r>
        <w:rPr>
          <w:rFonts w:ascii="Times New Roman" w:hAnsi="Times New Roman"/>
        </w:rPr>
        <w:t>INTRODUCTION</w:t>
      </w:r>
      <w:bookmarkEnd w:id="2"/>
    </w:p>
    <w:p w:rsidR="00B37294" w:rsidRDefault="00D20261">
      <w:pPr>
        <w:jc w:val="both"/>
        <w:rPr>
          <w:rFonts w:ascii="Times New Roman" w:hAnsi="Times New Roman"/>
          <w:noProof/>
          <w:sz w:val="24"/>
          <w:szCs w:val="24"/>
        </w:rPr>
      </w:pPr>
      <w:r>
        <w:rPr>
          <w:rFonts w:ascii="Times New Roman" w:hAnsi="Times New Roman"/>
          <w:noProof/>
          <w:sz w:val="24"/>
          <w:szCs w:val="24"/>
        </w:rPr>
        <w:t xml:space="preserve">Faisant suite aux rapports précédents pour les années 2016 et 2017, le présent rapport de la Commission européenne porte sur </w:t>
      </w:r>
      <w:r>
        <w:rPr>
          <w:rFonts w:ascii="Times New Roman" w:hAnsi="Times New Roman"/>
          <w:noProof/>
          <w:sz w:val="24"/>
          <w:szCs w:val="24"/>
        </w:rPr>
        <w:t>les opérations pétrolières et gazières en mer dans l’Union européenne pendant l’année 2018.</w:t>
      </w:r>
    </w:p>
    <w:p w:rsidR="00B37294" w:rsidRDefault="00D20261">
      <w:pPr>
        <w:jc w:val="both"/>
        <w:rPr>
          <w:rFonts w:ascii="Times New Roman" w:hAnsi="Times New Roman"/>
          <w:noProof/>
          <w:sz w:val="24"/>
          <w:szCs w:val="24"/>
        </w:rPr>
      </w:pPr>
      <w:r>
        <w:rPr>
          <w:rFonts w:ascii="Times New Roman" w:hAnsi="Times New Roman"/>
          <w:noProof/>
        </w:rPr>
        <w:t>La base juridique de ce rapport est la directive 2013/30/UE</w:t>
      </w:r>
      <w:r>
        <w:rPr>
          <w:rStyle w:val="FootnoteReference"/>
          <w:rFonts w:ascii="Times New Roman" w:hAnsi="Times New Roman"/>
          <w:noProof/>
          <w:sz w:val="24"/>
          <w:szCs w:val="24"/>
        </w:rPr>
        <w:footnoteReference w:id="1"/>
      </w:r>
      <w:r>
        <w:rPr>
          <w:rFonts w:ascii="Times New Roman" w:hAnsi="Times New Roman"/>
          <w:noProof/>
        </w:rPr>
        <w:t xml:space="preserve"> du Parlement européen et du Conseil du 12 juin 2013 relative à la sécurité des opérations pétrolières e</w:t>
      </w:r>
      <w:r>
        <w:rPr>
          <w:rFonts w:ascii="Times New Roman" w:hAnsi="Times New Roman"/>
          <w:noProof/>
        </w:rPr>
        <w:t>t gazières en mer et modifiant la directive 2004/35/CE (ci-après la «directive sur la sécurité en mer»).</w:t>
      </w:r>
      <w:r>
        <w:rPr>
          <w:rFonts w:ascii="Times New Roman" w:hAnsi="Times New Roman"/>
          <w:noProof/>
          <w:sz w:val="24"/>
          <w:szCs w:val="24"/>
        </w:rPr>
        <w:t xml:space="preserve"> Cet acte législatif vise à atteindre un niveau élevé de sécurité pour les opérations pétrolières et gazières en mer, dans l’intérêt: des travailleurs; </w:t>
      </w:r>
      <w:r>
        <w:rPr>
          <w:rFonts w:ascii="Times New Roman" w:hAnsi="Times New Roman"/>
          <w:noProof/>
          <w:sz w:val="24"/>
          <w:szCs w:val="24"/>
        </w:rPr>
        <w:t>de l’environnement; des plateformes et équipements en mer; et des activités économiques telles que la pêche et le tourisme. Les dispositions de la directive, telles que mises en œuvre par les États membres, contribueront à: i) prévenir les accidents majeur</w:t>
      </w:r>
      <w:r>
        <w:rPr>
          <w:rFonts w:ascii="Times New Roman" w:hAnsi="Times New Roman"/>
          <w:noProof/>
          <w:sz w:val="24"/>
          <w:szCs w:val="24"/>
        </w:rPr>
        <w:t>s; ii) réduire le nombre d’incidents; et iii) assurer un suivi efficace des accidents et des incidents afin d’en atténuer les conséquences.</w:t>
      </w:r>
    </w:p>
    <w:p w:rsidR="00B37294" w:rsidRDefault="00D20261">
      <w:pPr>
        <w:jc w:val="both"/>
        <w:rPr>
          <w:rFonts w:ascii="Times New Roman" w:hAnsi="Times New Roman"/>
          <w:noProof/>
          <w:sz w:val="24"/>
          <w:szCs w:val="24"/>
        </w:rPr>
      </w:pPr>
      <w:r>
        <w:rPr>
          <w:rFonts w:ascii="Times New Roman" w:hAnsi="Times New Roman"/>
          <w:noProof/>
          <w:sz w:val="24"/>
          <w:szCs w:val="24"/>
        </w:rPr>
        <w:t>Comme dans le cas des précédents rapports, l’objet du présent rapport annuel est: i) de fournir des données sur le n</w:t>
      </w:r>
      <w:r>
        <w:rPr>
          <w:rFonts w:ascii="Times New Roman" w:hAnsi="Times New Roman"/>
          <w:noProof/>
          <w:sz w:val="24"/>
          <w:szCs w:val="24"/>
        </w:rPr>
        <w:t>ombre et le type d’installations dans l’UE; ii) de communiquer, en ce qui concerne les incidents ayant affecté les opérations pétrolières et gazières en mer et la performance en matière de sécurité desdites opérations, des informations et une évaluation. À</w:t>
      </w:r>
      <w:r>
        <w:rPr>
          <w:rFonts w:ascii="Times New Roman" w:hAnsi="Times New Roman"/>
          <w:noProof/>
          <w:sz w:val="24"/>
          <w:szCs w:val="24"/>
        </w:rPr>
        <w:t xml:space="preserve"> chaque nouveau rapport, l’analyse des tendances va gagner en importance. En outre, les rapports annuels successifs documenteront l’évolution des performances en matière de sécurité des activités pétrolières et gazières en mer des États membres.</w:t>
      </w:r>
    </w:p>
    <w:p w:rsidR="00B37294" w:rsidRDefault="00D20261">
      <w:pPr>
        <w:jc w:val="both"/>
        <w:rPr>
          <w:rFonts w:ascii="Times New Roman" w:hAnsi="Times New Roman"/>
          <w:noProof/>
          <w:sz w:val="24"/>
          <w:szCs w:val="24"/>
        </w:rPr>
      </w:pPr>
      <w:r>
        <w:rPr>
          <w:rFonts w:ascii="Times New Roman" w:hAnsi="Times New Roman"/>
          <w:noProof/>
          <w:sz w:val="24"/>
          <w:szCs w:val="24"/>
        </w:rPr>
        <w:t>Le présent</w:t>
      </w:r>
      <w:r>
        <w:rPr>
          <w:rFonts w:ascii="Times New Roman" w:hAnsi="Times New Roman"/>
          <w:noProof/>
          <w:sz w:val="24"/>
          <w:szCs w:val="24"/>
        </w:rPr>
        <w:t xml:space="preserve"> rapport se fonde sur les rapports annuels et les données communiqués par les États membres conformément à la directive sur la sécurité en mer. La Commission a reçu des données de la Bulgarie, de la Croatie, de Chypre, du Danemark, de l’Allemagne, de la Fr</w:t>
      </w:r>
      <w:r>
        <w:rPr>
          <w:rFonts w:ascii="Times New Roman" w:hAnsi="Times New Roman"/>
          <w:noProof/>
          <w:sz w:val="24"/>
          <w:szCs w:val="24"/>
        </w:rPr>
        <w:t>ance, de la Grèce, de l’Irlande, de l’Italie, des Pays-Bas, de la Pologne, de la Roumanie, de l’Espagne et du Royaume-Uni, qui était encore un État membre en 2018. La plupart des installations sont situées en mer du Nord et dans l’océan Atlantique (380 ins</w:t>
      </w:r>
      <w:r>
        <w:rPr>
          <w:rFonts w:ascii="Times New Roman" w:hAnsi="Times New Roman"/>
          <w:noProof/>
          <w:sz w:val="24"/>
          <w:szCs w:val="24"/>
        </w:rPr>
        <w:t>tallations), tandis que 166 installations se trouvent en mer Méditerranée, 8 en mer Noire et 2 en mer Baltique.</w:t>
      </w:r>
    </w:p>
    <w:p w:rsidR="00B37294" w:rsidRDefault="00D20261">
      <w:pPr>
        <w:jc w:val="both"/>
        <w:rPr>
          <w:rFonts w:ascii="Times New Roman" w:hAnsi="Times New Roman"/>
          <w:noProof/>
          <w:sz w:val="24"/>
          <w:szCs w:val="24"/>
        </w:rPr>
      </w:pPr>
      <w:r>
        <w:rPr>
          <w:rFonts w:ascii="Times New Roman" w:hAnsi="Times New Roman"/>
          <w:noProof/>
          <w:sz w:val="24"/>
          <w:szCs w:val="24"/>
        </w:rPr>
        <w:t>Les autorités compétentes de ces États membres ont inspecté 318 installations en mer relevant de leur juridiction en 2018. À la suite de certain</w:t>
      </w:r>
      <w:r>
        <w:rPr>
          <w:rFonts w:ascii="Times New Roman" w:hAnsi="Times New Roman"/>
          <w:noProof/>
          <w:sz w:val="24"/>
          <w:szCs w:val="24"/>
        </w:rPr>
        <w:t>s incidents, trois États membres (le Royaume-Uni, le Danemark et les Pays-Bas) ont mené des enquêtes au cours de la période de référence. Le Royaume-Uni a mené 41 enquêtes concernant des problèmes touchant à la sécurité et à l’environnement et 5 enquêtes c</w:t>
      </w:r>
      <w:r>
        <w:rPr>
          <w:rFonts w:ascii="Times New Roman" w:hAnsi="Times New Roman"/>
          <w:noProof/>
          <w:sz w:val="24"/>
          <w:szCs w:val="24"/>
        </w:rPr>
        <w:t>oncernant des accidents majeurs. Le Danemark a mené 3 enquêtes concernant des problèmes touchant à la sécurité et à l’environnement (pas d’enquête sur les accidents majeurs) et les Pays-Bas une enquête sur un accident majeur (pas d’enquête sur les problème</w:t>
      </w:r>
      <w:r>
        <w:rPr>
          <w:rFonts w:ascii="Times New Roman" w:hAnsi="Times New Roman"/>
          <w:noProof/>
          <w:sz w:val="24"/>
          <w:szCs w:val="24"/>
        </w:rPr>
        <w:t>s touchant à la sécurité et à l’environnement).</w:t>
      </w:r>
    </w:p>
    <w:p w:rsidR="00B37294" w:rsidRDefault="00D20261">
      <w:pPr>
        <w:jc w:val="both"/>
        <w:rPr>
          <w:rFonts w:ascii="Times New Roman" w:hAnsi="Times New Roman"/>
          <w:noProof/>
          <w:sz w:val="24"/>
          <w:szCs w:val="24"/>
        </w:rPr>
      </w:pPr>
      <w:r>
        <w:rPr>
          <w:rFonts w:ascii="Times New Roman" w:hAnsi="Times New Roman"/>
          <w:noProof/>
          <w:sz w:val="24"/>
          <w:szCs w:val="24"/>
        </w:rPr>
        <w:t>Les chiffres fournis par les États membres, en particulier le nombre et la gravité des accidents signalés par rapport au nombre d’installations, dénotent un niveau de sécurité notablement moindre dans le sect</w:t>
      </w:r>
      <w:r>
        <w:rPr>
          <w:rFonts w:ascii="Times New Roman" w:hAnsi="Times New Roman"/>
          <w:noProof/>
          <w:sz w:val="24"/>
          <w:szCs w:val="24"/>
        </w:rPr>
        <w:t>eur européen des opérations en mer par rapport aux deux années précédentes, ce qui nécessite un suivi par les autorités compétentes des États membres.</w:t>
      </w:r>
    </w:p>
    <w:p w:rsidR="00B37294" w:rsidRDefault="00B37294">
      <w:pPr>
        <w:jc w:val="both"/>
        <w:rPr>
          <w:rFonts w:ascii="Times New Roman" w:hAnsi="Times New Roman"/>
          <w:noProof/>
          <w:sz w:val="24"/>
          <w:szCs w:val="24"/>
        </w:rPr>
      </w:pPr>
    </w:p>
    <w:p w:rsidR="00B37294" w:rsidRDefault="00D20261">
      <w:pPr>
        <w:pStyle w:val="Heading1"/>
        <w:rPr>
          <w:rFonts w:ascii="Times New Roman" w:hAnsi="Times New Roman"/>
        </w:rPr>
      </w:pPr>
      <w:bookmarkStart w:id="3" w:name="_Toc56767525"/>
      <w:r>
        <w:rPr>
          <w:rFonts w:ascii="Times New Roman" w:hAnsi="Times New Roman"/>
        </w:rPr>
        <w:t>2.</w:t>
      </w:r>
      <w:r>
        <w:tab/>
      </w:r>
      <w:r>
        <w:rPr>
          <w:rFonts w:ascii="Times New Roman" w:hAnsi="Times New Roman"/>
        </w:rPr>
        <w:t>BASE JURIDIQUE</w:t>
      </w:r>
      <w:bookmarkEnd w:id="3"/>
    </w:p>
    <w:p w:rsidR="00B37294" w:rsidRDefault="00D20261">
      <w:pPr>
        <w:jc w:val="both"/>
        <w:rPr>
          <w:rFonts w:ascii="Times New Roman" w:hAnsi="Times New Roman"/>
          <w:noProof/>
          <w:sz w:val="24"/>
          <w:szCs w:val="24"/>
        </w:rPr>
      </w:pPr>
      <w:r>
        <w:rPr>
          <w:rFonts w:ascii="Times New Roman" w:hAnsi="Times New Roman"/>
          <w:noProof/>
          <w:sz w:val="24"/>
          <w:szCs w:val="24"/>
        </w:rPr>
        <w:t>Conformément à l’article 25 de la directive sur la sécurité en mer, la Commission doit</w:t>
      </w:r>
      <w:r>
        <w:rPr>
          <w:rFonts w:ascii="Times New Roman" w:hAnsi="Times New Roman"/>
          <w:noProof/>
          <w:sz w:val="24"/>
          <w:szCs w:val="24"/>
        </w:rPr>
        <w:t xml:space="preserve"> publier un rapport annuel sur les incidences en matière de sécurité et d’environnement des opérations pétrolières et gazières en mer, sur la base des informations que les États membres lui ont communiquées. Les États membres sont tenus de soumettre à la C</w:t>
      </w:r>
      <w:r>
        <w:rPr>
          <w:rFonts w:ascii="Times New Roman" w:hAnsi="Times New Roman"/>
          <w:noProof/>
          <w:sz w:val="24"/>
          <w:szCs w:val="24"/>
        </w:rPr>
        <w:t>ommission, avant le 1er juin de chaque année, un rapport annuel contenant les informations énoncées à l’annexe IX, point 3, de ladite directive.</w:t>
      </w:r>
    </w:p>
    <w:p w:rsidR="00B37294" w:rsidRDefault="00D20261">
      <w:pPr>
        <w:jc w:val="both"/>
        <w:rPr>
          <w:rFonts w:ascii="Times New Roman" w:hAnsi="Times New Roman"/>
          <w:noProof/>
          <w:sz w:val="24"/>
          <w:szCs w:val="24"/>
        </w:rPr>
      </w:pPr>
      <w:r>
        <w:rPr>
          <w:rFonts w:ascii="Times New Roman" w:hAnsi="Times New Roman"/>
          <w:noProof/>
          <w:sz w:val="24"/>
          <w:szCs w:val="24"/>
        </w:rPr>
        <w:t>Les rapports annuels devant être communiqués par les États membres conformément à l’article 25 contiennent au m</w:t>
      </w:r>
      <w:r>
        <w:rPr>
          <w:rFonts w:ascii="Times New Roman" w:hAnsi="Times New Roman"/>
          <w:noProof/>
          <w:sz w:val="24"/>
          <w:szCs w:val="24"/>
        </w:rPr>
        <w:t>oins les informations suivantes:</w:t>
      </w:r>
    </w:p>
    <w:p w:rsidR="00B37294" w:rsidRDefault="00D20261">
      <w:pPr>
        <w:spacing w:after="0"/>
        <w:jc w:val="both"/>
        <w:rPr>
          <w:rFonts w:ascii="Times New Roman" w:hAnsi="Times New Roman"/>
          <w:noProof/>
          <w:sz w:val="24"/>
          <w:szCs w:val="24"/>
        </w:rPr>
      </w:pPr>
      <w:r>
        <w:rPr>
          <w:rFonts w:ascii="Times New Roman" w:hAnsi="Times New Roman"/>
          <w:noProof/>
          <w:sz w:val="24"/>
          <w:szCs w:val="24"/>
        </w:rPr>
        <w:t>a) le nombre, l’ancienneté et l’implantation des installations;</w:t>
      </w:r>
    </w:p>
    <w:p w:rsidR="00B37294" w:rsidRDefault="00D20261">
      <w:pPr>
        <w:spacing w:after="0"/>
        <w:jc w:val="both"/>
        <w:rPr>
          <w:rFonts w:ascii="Times New Roman" w:hAnsi="Times New Roman"/>
          <w:noProof/>
          <w:sz w:val="24"/>
          <w:szCs w:val="24"/>
        </w:rPr>
      </w:pPr>
      <w:r>
        <w:rPr>
          <w:rFonts w:ascii="Times New Roman" w:hAnsi="Times New Roman"/>
          <w:noProof/>
          <w:sz w:val="24"/>
          <w:szCs w:val="24"/>
        </w:rPr>
        <w:t>b) le nombre et le type d’inspections et d’enquêtes réalisées, les mesures d’exécution éventuellement prises ou les condamnations éventuelles;</w:t>
      </w:r>
    </w:p>
    <w:p w:rsidR="00B37294" w:rsidRDefault="00D20261">
      <w:pPr>
        <w:spacing w:after="0"/>
        <w:jc w:val="both"/>
        <w:rPr>
          <w:rFonts w:ascii="Times New Roman" w:hAnsi="Times New Roman"/>
          <w:noProof/>
          <w:sz w:val="24"/>
          <w:szCs w:val="24"/>
        </w:rPr>
      </w:pPr>
      <w:r>
        <w:rPr>
          <w:rFonts w:ascii="Times New Roman" w:hAnsi="Times New Roman"/>
          <w:noProof/>
          <w:sz w:val="24"/>
          <w:szCs w:val="24"/>
        </w:rPr>
        <w:t xml:space="preserve">c) les données </w:t>
      </w:r>
      <w:r>
        <w:rPr>
          <w:rFonts w:ascii="Times New Roman" w:hAnsi="Times New Roman"/>
          <w:noProof/>
          <w:sz w:val="24"/>
          <w:szCs w:val="24"/>
        </w:rPr>
        <w:t>relatives aux incidents en application du système commun de communication des données requis par l’article 23;</w:t>
      </w:r>
    </w:p>
    <w:p w:rsidR="00B37294" w:rsidRDefault="00D20261">
      <w:pPr>
        <w:spacing w:after="0"/>
        <w:jc w:val="both"/>
        <w:rPr>
          <w:rFonts w:ascii="Times New Roman" w:hAnsi="Times New Roman"/>
          <w:noProof/>
          <w:sz w:val="24"/>
          <w:szCs w:val="24"/>
        </w:rPr>
      </w:pPr>
      <w:r>
        <w:rPr>
          <w:rFonts w:ascii="Times New Roman" w:hAnsi="Times New Roman"/>
          <w:noProof/>
          <w:sz w:val="24"/>
          <w:szCs w:val="24"/>
        </w:rPr>
        <w:t>d) toute modification importante du cadre réglementaire relatif aux activités en mer;</w:t>
      </w:r>
    </w:p>
    <w:p w:rsidR="00B37294" w:rsidRDefault="00D20261">
      <w:pPr>
        <w:jc w:val="both"/>
        <w:rPr>
          <w:rFonts w:ascii="Times New Roman" w:hAnsi="Times New Roman"/>
          <w:noProof/>
          <w:sz w:val="24"/>
          <w:szCs w:val="24"/>
        </w:rPr>
      </w:pPr>
      <w:r>
        <w:rPr>
          <w:rFonts w:ascii="Times New Roman" w:hAnsi="Times New Roman"/>
          <w:noProof/>
          <w:sz w:val="24"/>
          <w:szCs w:val="24"/>
        </w:rPr>
        <w:t>e) les résultats obtenus dans le cadre des opérations pétro</w:t>
      </w:r>
      <w:r>
        <w:rPr>
          <w:rFonts w:ascii="Times New Roman" w:hAnsi="Times New Roman"/>
          <w:noProof/>
          <w:sz w:val="24"/>
          <w:szCs w:val="24"/>
        </w:rPr>
        <w:t>lières et gazières en mer.</w:t>
      </w:r>
    </w:p>
    <w:p w:rsidR="00B37294" w:rsidRDefault="00D20261">
      <w:pPr>
        <w:jc w:val="both"/>
        <w:rPr>
          <w:rFonts w:ascii="Times New Roman" w:hAnsi="Times New Roman"/>
          <w:noProof/>
          <w:sz w:val="24"/>
          <w:szCs w:val="24"/>
        </w:rPr>
      </w:pPr>
      <w:r>
        <w:rPr>
          <w:rFonts w:ascii="Times New Roman" w:hAnsi="Times New Roman"/>
          <w:noProof/>
          <w:sz w:val="24"/>
          <w:szCs w:val="24"/>
        </w:rPr>
        <w:t>Les États membres doivent publier les informations requises au plus tard le 1er juin de l’année qui suit la période de référence (par exemple, le 1er juin 2019 pour l’année 2018).</w:t>
      </w:r>
    </w:p>
    <w:p w:rsidR="00B37294" w:rsidRDefault="00D20261">
      <w:pPr>
        <w:jc w:val="both"/>
        <w:rPr>
          <w:rFonts w:ascii="Times New Roman" w:hAnsi="Times New Roman"/>
          <w:noProof/>
          <w:sz w:val="24"/>
          <w:szCs w:val="24"/>
        </w:rPr>
      </w:pPr>
      <w:r>
        <w:rPr>
          <w:rFonts w:ascii="Times New Roman" w:hAnsi="Times New Roman"/>
          <w:noProof/>
          <w:sz w:val="24"/>
          <w:szCs w:val="24"/>
        </w:rPr>
        <w:t xml:space="preserve">Ils doivent utiliser un format commun établi par </w:t>
      </w:r>
      <w:r>
        <w:rPr>
          <w:rFonts w:ascii="Times New Roman" w:hAnsi="Times New Roman"/>
          <w:noProof/>
          <w:sz w:val="24"/>
          <w:szCs w:val="24"/>
        </w:rPr>
        <w:t>le règlement d’exécution (UE) n° 1112/2014 de la Commission du 13 octobre 2014</w:t>
      </w:r>
      <w:r>
        <w:rPr>
          <w:rStyle w:val="FootnoteReference"/>
          <w:rFonts w:ascii="Times New Roman" w:hAnsi="Times New Roman"/>
          <w:noProof/>
          <w:sz w:val="24"/>
          <w:szCs w:val="24"/>
        </w:rPr>
        <w:footnoteReference w:id="2"/>
      </w:r>
      <w:r>
        <w:rPr>
          <w:rFonts w:ascii="Times New Roman" w:hAnsi="Times New Roman"/>
          <w:noProof/>
          <w:sz w:val="24"/>
          <w:szCs w:val="24"/>
        </w:rPr>
        <w:t>. Ce règlement d’exécution établit un format commun pour le partage d’informations sur les indicateurs des dangers majeurs par les exploitants et les propriétaires d’installatio</w:t>
      </w:r>
      <w:r>
        <w:rPr>
          <w:rFonts w:ascii="Times New Roman" w:hAnsi="Times New Roman"/>
          <w:noProof/>
          <w:sz w:val="24"/>
          <w:szCs w:val="24"/>
        </w:rPr>
        <w:t>ns pétrolières et gazières en mer. Il établit également un format commun pour la publication, par les États membres, d’informations sur les indicateurs des dangers majeurs. Un document d’orientation de la Commission</w:t>
      </w:r>
      <w:r>
        <w:rPr>
          <w:rStyle w:val="FootnoteReference"/>
          <w:rFonts w:ascii="Times New Roman" w:hAnsi="Times New Roman"/>
          <w:noProof/>
          <w:sz w:val="24"/>
          <w:szCs w:val="24"/>
        </w:rPr>
        <w:footnoteReference w:id="3"/>
      </w:r>
      <w:r>
        <w:rPr>
          <w:rFonts w:ascii="Times New Roman" w:hAnsi="Times New Roman"/>
          <w:noProof/>
          <w:sz w:val="24"/>
          <w:szCs w:val="24"/>
        </w:rPr>
        <w:t xml:space="preserve"> daté du 25 novembre 2015 fournit des in</w:t>
      </w:r>
      <w:r>
        <w:rPr>
          <w:rFonts w:ascii="Times New Roman" w:hAnsi="Times New Roman"/>
          <w:noProof/>
          <w:sz w:val="24"/>
          <w:szCs w:val="24"/>
        </w:rPr>
        <w:t>formations supplémentaires spécifiques sur le règlement d’exécution et explique comment utiliser le format de communication des données.</w:t>
      </w:r>
    </w:p>
    <w:p w:rsidR="00B37294" w:rsidRDefault="00D20261">
      <w:pPr>
        <w:pStyle w:val="Heading1"/>
        <w:ind w:left="720" w:hanging="720"/>
        <w:rPr>
          <w:rFonts w:ascii="Times New Roman" w:hAnsi="Times New Roman"/>
        </w:rPr>
      </w:pPr>
      <w:bookmarkStart w:id="4" w:name="_Toc56767526"/>
      <w:r>
        <w:rPr>
          <w:rFonts w:ascii="Times New Roman" w:hAnsi="Times New Roman"/>
        </w:rPr>
        <w:t>3.</w:t>
      </w:r>
      <w:r>
        <w:tab/>
      </w:r>
      <w:r>
        <w:rPr>
          <w:rFonts w:ascii="Times New Roman" w:hAnsi="Times New Roman"/>
        </w:rPr>
        <w:t>MÉTHODOLOGIE ET INFORMATIONS REÇUES D’ÉTATS MEMBRES</w:t>
      </w:r>
      <w:bookmarkEnd w:id="4"/>
    </w:p>
    <w:p w:rsidR="00B37294" w:rsidRDefault="00D20261">
      <w:pPr>
        <w:jc w:val="both"/>
        <w:rPr>
          <w:rFonts w:ascii="Times New Roman" w:hAnsi="Times New Roman"/>
          <w:noProof/>
          <w:sz w:val="24"/>
          <w:szCs w:val="24"/>
        </w:rPr>
      </w:pPr>
      <w:r>
        <w:rPr>
          <w:rFonts w:ascii="Times New Roman" w:hAnsi="Times New Roman"/>
          <w:noProof/>
          <w:sz w:val="24"/>
          <w:szCs w:val="24"/>
        </w:rPr>
        <w:t xml:space="preserve">En application de l’annexe IX, point 3, de la directive sur la </w:t>
      </w:r>
      <w:r>
        <w:rPr>
          <w:rFonts w:ascii="Times New Roman" w:hAnsi="Times New Roman"/>
          <w:noProof/>
          <w:sz w:val="24"/>
          <w:szCs w:val="24"/>
        </w:rPr>
        <w:t>sécurité en mer, les États membres sont tenus de soumettre certaines informations précisément définies sur les incidents survenus dans leur secteur des opérations pétrolières et gazières en mer, à l’aide des modèles fournis par le règlement d’exécution (UE</w:t>
      </w:r>
      <w:r>
        <w:rPr>
          <w:rFonts w:ascii="Times New Roman" w:hAnsi="Times New Roman"/>
          <w:noProof/>
          <w:sz w:val="24"/>
          <w:szCs w:val="24"/>
        </w:rPr>
        <w:t>) n° 1112/2014. Les données soumises doivent inclure des informations sur les installations pétrolières et gazières en mer dans l’UE, telles que le nombre, le type, l’implantation et l’ancienneté. Les rapports des États membres doivent également fournir de</w:t>
      </w:r>
      <w:r>
        <w:rPr>
          <w:rFonts w:ascii="Times New Roman" w:hAnsi="Times New Roman"/>
          <w:noProof/>
          <w:sz w:val="24"/>
          <w:szCs w:val="24"/>
        </w:rPr>
        <w:t>s informations sur le nombre: i) d’inspections en mer, d’enquêtes et de mesures d’exécution prises; ii) d’incidents par catégorie; et iii) de blessures.</w:t>
      </w:r>
    </w:p>
    <w:p w:rsidR="00B37294" w:rsidRDefault="00D20261">
      <w:pPr>
        <w:jc w:val="both"/>
        <w:rPr>
          <w:rFonts w:ascii="Times New Roman" w:hAnsi="Times New Roman"/>
          <w:noProof/>
          <w:sz w:val="24"/>
          <w:szCs w:val="24"/>
        </w:rPr>
      </w:pPr>
      <w:r>
        <w:rPr>
          <w:rFonts w:ascii="Times New Roman" w:hAnsi="Times New Roman"/>
          <w:noProof/>
          <w:sz w:val="24"/>
          <w:szCs w:val="24"/>
        </w:rPr>
        <w:t>Outre les données concernant les États membres individuellement, la Commission évalue la performance de</w:t>
      </w:r>
      <w:r>
        <w:rPr>
          <w:rFonts w:ascii="Times New Roman" w:hAnsi="Times New Roman"/>
          <w:noProof/>
          <w:sz w:val="24"/>
          <w:szCs w:val="24"/>
        </w:rPr>
        <w:t>s régions d’exploitation en mer en matière de sécurité. À cette fin, la Commission considère: i) la région «mer du Nord et Atlantique» (Allemagne, Danemark, France, Royaume-Uni, Irlande et Pays-Bas); ii) la région «Méditerranée» (Espagne, Grèce, Croatie, C</w:t>
      </w:r>
      <w:r>
        <w:rPr>
          <w:rFonts w:ascii="Times New Roman" w:hAnsi="Times New Roman"/>
          <w:noProof/>
          <w:sz w:val="24"/>
          <w:szCs w:val="24"/>
        </w:rPr>
        <w:t>hypre, Italie et Malte); iii) la région «mer Noire» (Bulgarie et Roumanie); et iv) la région «mer Baltique» (Lettonie et Pologne).</w:t>
      </w:r>
    </w:p>
    <w:p w:rsidR="00B37294" w:rsidRDefault="00D20261">
      <w:pPr>
        <w:jc w:val="both"/>
        <w:rPr>
          <w:rFonts w:ascii="Times New Roman" w:hAnsi="Times New Roman"/>
          <w:noProof/>
          <w:sz w:val="24"/>
          <w:szCs w:val="24"/>
        </w:rPr>
      </w:pPr>
      <w:r>
        <w:rPr>
          <w:rFonts w:ascii="Times New Roman" w:hAnsi="Times New Roman"/>
          <w:noProof/>
          <w:sz w:val="24"/>
          <w:szCs w:val="24"/>
        </w:rPr>
        <w:t>Pour son rapport annuel concernant l’année 2018, la Commission a utilisé les informations fournies par la Bulgarie, la Croati</w:t>
      </w:r>
      <w:r>
        <w:rPr>
          <w:rFonts w:ascii="Times New Roman" w:hAnsi="Times New Roman"/>
          <w:noProof/>
          <w:sz w:val="24"/>
          <w:szCs w:val="24"/>
        </w:rPr>
        <w:t xml:space="preserve">e, Chypre, la France, la Grèce, les Pays-Bas, le Danemark, l’Allemagne, l’Irlande, l’Italie, la Pologne, la Roumanie, l’Espagne et le Royaume-Uni. Les autres États membres n’ont pas exercé d’activités dans le secteur des opérations pétrolières et gazières </w:t>
      </w:r>
      <w:r>
        <w:rPr>
          <w:rFonts w:ascii="Times New Roman" w:hAnsi="Times New Roman"/>
          <w:noProof/>
          <w:sz w:val="24"/>
          <w:szCs w:val="24"/>
        </w:rPr>
        <w:t>en mer ou n’ont pas soumis d’informations pertinentes aux fins du présent rapport.</w:t>
      </w:r>
    </w:p>
    <w:p w:rsidR="00B37294" w:rsidRDefault="00D20261">
      <w:pPr>
        <w:jc w:val="both"/>
        <w:rPr>
          <w:rFonts w:ascii="Times New Roman" w:hAnsi="Times New Roman"/>
          <w:noProof/>
          <w:sz w:val="24"/>
          <w:szCs w:val="24"/>
        </w:rPr>
      </w:pPr>
      <w:r>
        <w:rPr>
          <w:rFonts w:ascii="Times New Roman" w:hAnsi="Times New Roman"/>
          <w:noProof/>
          <w:sz w:val="24"/>
          <w:szCs w:val="24"/>
        </w:rPr>
        <w:t>À l’exception du Royaume-Uni, tous les États membres exerçant des opérations pétrolières et gazières en mer ont fourni des données complètes sur la totalité de leurs install</w:t>
      </w:r>
      <w:r>
        <w:rPr>
          <w:rFonts w:ascii="Times New Roman" w:hAnsi="Times New Roman"/>
          <w:noProof/>
          <w:sz w:val="24"/>
          <w:szCs w:val="24"/>
        </w:rPr>
        <w:t>ations. Le Royaume-Uni a par contre limité certaines parties de son rapport aux installations dont la documentation relative à l’évaluation des risques avait fait l’objet d’un réexamen réglementaire (article 42, paragraphe 2, de la directive sur la sécurit</w:t>
      </w:r>
      <w:r>
        <w:rPr>
          <w:rFonts w:ascii="Times New Roman" w:hAnsi="Times New Roman"/>
          <w:noProof/>
          <w:sz w:val="24"/>
          <w:szCs w:val="24"/>
        </w:rPr>
        <w:t>é en mer). Cela signifie que les informations provenant du Royaume-Uni en ce qui concerne les enquêtes, les mesures d’exécution, les données relatives aux incidents et les performances de sécurité des opérations en mer couvrent une série d’installations en</w:t>
      </w:r>
      <w:r>
        <w:rPr>
          <w:rFonts w:ascii="Times New Roman" w:hAnsi="Times New Roman"/>
          <w:noProof/>
          <w:sz w:val="24"/>
          <w:szCs w:val="24"/>
        </w:rPr>
        <w:t xml:space="preserve"> phase de d’expansion continue au cours du premier semestre 2018. Le nombre d’installations couvertes, qui était de 139 en janvier 2018, était passé, d’après les estimations, à 191 installations au 19 juillet 2018. Cette date marquait la fin de la période </w:t>
      </w:r>
      <w:r>
        <w:rPr>
          <w:rFonts w:ascii="Times New Roman" w:hAnsi="Times New Roman"/>
          <w:noProof/>
          <w:sz w:val="24"/>
          <w:szCs w:val="24"/>
        </w:rPr>
        <w:t>transitoire pour toutes les installations.</w:t>
      </w:r>
    </w:p>
    <w:p w:rsidR="00B37294" w:rsidRDefault="00D20261">
      <w:pPr>
        <w:pStyle w:val="Heading1"/>
        <w:ind w:left="720" w:hanging="720"/>
        <w:rPr>
          <w:rFonts w:ascii="Times New Roman" w:hAnsi="Times New Roman"/>
        </w:rPr>
      </w:pPr>
      <w:bookmarkStart w:id="5" w:name="_Toc56767527"/>
      <w:r>
        <w:rPr>
          <w:rFonts w:ascii="Times New Roman" w:hAnsi="Times New Roman"/>
        </w:rPr>
        <w:t>4.</w:t>
      </w:r>
      <w:r>
        <w:tab/>
      </w:r>
      <w:r>
        <w:rPr>
          <w:rFonts w:ascii="Times New Roman" w:hAnsi="Times New Roman"/>
        </w:rPr>
        <w:t>LE SECTEUR DES OPÉRATIONS PÉTROLIÈRES ET GAZIÈRES EN MER DANS L’UNION EUROPÉENNE</w:t>
      </w:r>
      <w:bookmarkEnd w:id="5"/>
    </w:p>
    <w:p w:rsidR="00B37294" w:rsidRDefault="00D20261">
      <w:pPr>
        <w:pStyle w:val="Heading2"/>
        <w:spacing w:after="120"/>
        <w:rPr>
          <w:rFonts w:ascii="Times New Roman" w:hAnsi="Times New Roman"/>
          <w:noProof/>
        </w:rPr>
      </w:pPr>
      <w:bookmarkStart w:id="6" w:name="_Toc56767528"/>
      <w:r>
        <w:rPr>
          <w:rFonts w:ascii="Times New Roman" w:hAnsi="Times New Roman"/>
          <w:noProof/>
        </w:rPr>
        <w:t>4.1 Installations et production</w:t>
      </w:r>
      <w:bookmarkEnd w:id="6"/>
    </w:p>
    <w:p w:rsidR="00B37294" w:rsidRDefault="00D20261">
      <w:pPr>
        <w:jc w:val="both"/>
        <w:rPr>
          <w:rFonts w:ascii="Times New Roman" w:hAnsi="Times New Roman"/>
          <w:noProof/>
          <w:sz w:val="24"/>
          <w:szCs w:val="24"/>
        </w:rPr>
      </w:pPr>
      <w:r>
        <w:rPr>
          <w:rFonts w:ascii="Times New Roman" w:hAnsi="Times New Roman"/>
          <w:noProof/>
          <w:sz w:val="24"/>
          <w:szCs w:val="24"/>
        </w:rPr>
        <w:t>La grande majorité des installations en mer</w:t>
      </w:r>
      <w:r>
        <w:rPr>
          <w:rStyle w:val="FootnoteReference"/>
          <w:rFonts w:ascii="Times New Roman" w:hAnsi="Times New Roman"/>
          <w:noProof/>
          <w:sz w:val="24"/>
          <w:szCs w:val="24"/>
        </w:rPr>
        <w:footnoteReference w:id="4"/>
      </w:r>
      <w:r>
        <w:rPr>
          <w:rFonts w:ascii="Times New Roman" w:hAnsi="Times New Roman"/>
          <w:noProof/>
          <w:sz w:val="24"/>
          <w:szCs w:val="24"/>
        </w:rPr>
        <w:t xml:space="preserve"> dans les eaux de l’UE sont situées en mer du Nord (v</w:t>
      </w:r>
      <w:r>
        <w:rPr>
          <w:rFonts w:ascii="Times New Roman" w:hAnsi="Times New Roman"/>
          <w:noProof/>
          <w:sz w:val="24"/>
          <w:szCs w:val="24"/>
        </w:rPr>
        <w:t xml:space="preserve">oir le tableau 1), plus précisément dans les zones économiques exclusives du Royaume-Uni et des Pays-Bas (environ 34 % et 28 % des installations en mer dans les eaux de l’UE, respectivement). En Méditerranée, l’Italie est l’État membre le plus actif (25 % </w:t>
      </w:r>
      <w:r>
        <w:rPr>
          <w:rFonts w:ascii="Times New Roman" w:hAnsi="Times New Roman"/>
          <w:noProof/>
          <w:sz w:val="24"/>
          <w:szCs w:val="24"/>
        </w:rPr>
        <w:t>de l’ensemble des installations dans les eaux de l’Union), suivi de la Croatie. Dans la région de la mer Noire, la Roumanie s’est dotée d’un secteur industriel des opérations pétrolières et gazières en mer, tandis que la Bulgarie a entamé des activités d’e</w:t>
      </w:r>
      <w:r>
        <w:rPr>
          <w:rFonts w:ascii="Times New Roman" w:hAnsi="Times New Roman"/>
          <w:noProof/>
          <w:sz w:val="24"/>
          <w:szCs w:val="24"/>
        </w:rPr>
        <w:t>xploration d’hydrocarbures en mer, mais sa production, issue d’une seule installation, est très limitée. Selon les rapports transmis par les États membres riverains de la mer Baltique, seule la Pologne dispose d’installations en mer dans cette région. Au t</w:t>
      </w:r>
      <w:r>
        <w:rPr>
          <w:rFonts w:ascii="Times New Roman" w:hAnsi="Times New Roman"/>
          <w:noProof/>
          <w:sz w:val="24"/>
          <w:szCs w:val="24"/>
        </w:rPr>
        <w:t>otal, 556 installations destinées ou non à la production ont été déclarées dans les eaux de l’UE en 2018, soit deux installations de plus qu’en 2017, alors que plusieurs installations ont été retirées du service</w:t>
      </w:r>
      <w:r>
        <w:rPr>
          <w:rStyle w:val="FootnoteReference"/>
          <w:rFonts w:ascii="Times New Roman" w:hAnsi="Times New Roman"/>
          <w:noProof/>
          <w:sz w:val="24"/>
          <w:szCs w:val="24"/>
        </w:rPr>
        <w:footnoteReference w:id="5"/>
      </w:r>
      <w:r>
        <w:rPr>
          <w:rFonts w:ascii="Times New Roman" w:hAnsi="Times New Roman"/>
          <w:noProof/>
          <w:sz w:val="24"/>
          <w:szCs w:val="24"/>
        </w:rPr>
        <w:t xml:space="preserve">. </w:t>
      </w:r>
    </w:p>
    <w:p w:rsidR="00B37294" w:rsidRDefault="00D20261">
      <w:pPr>
        <w:spacing w:after="0" w:line="240" w:lineRule="auto"/>
        <w:rPr>
          <w:rFonts w:ascii="Times New Roman" w:hAnsi="Times New Roman"/>
          <w:noProof/>
          <w:sz w:val="24"/>
          <w:szCs w:val="24"/>
        </w:rPr>
      </w:pPr>
      <w:r>
        <w:rPr>
          <w:noProof/>
        </w:rPr>
        <w:br w:type="page"/>
      </w:r>
    </w:p>
    <w:p w:rsidR="00B37294" w:rsidRDefault="00B37294">
      <w:pPr>
        <w:jc w:val="both"/>
        <w:rPr>
          <w:rFonts w:ascii="Times New Roman" w:hAnsi="Times New Roman"/>
          <w:noProof/>
          <w:sz w:val="24"/>
          <w:szCs w:val="24"/>
        </w:rPr>
      </w:pPr>
    </w:p>
    <w:p w:rsidR="00B37294" w:rsidRDefault="00D20261">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Ins</w:t>
      </w:r>
      <w:r>
        <w:rPr>
          <w:noProof/>
        </w:rPr>
        <w:t>tallations fixes au 1</w:t>
      </w:r>
      <w:r>
        <w:rPr>
          <w:noProof/>
          <w:vertAlign w:val="superscript"/>
        </w:rPr>
        <w:t>er</w:t>
      </w:r>
      <w:r>
        <w:rPr>
          <w:noProof/>
        </w:rPr>
        <w:t xml:space="preserve"> janvier 2018: «Type d’installation», par région et par État membre</w:t>
      </w:r>
    </w:p>
    <w:tbl>
      <w:tblPr>
        <w:tblStyle w:val="TableGrid"/>
        <w:tblW w:w="9167" w:type="dxa"/>
        <w:tblLook w:val="04A0" w:firstRow="1" w:lastRow="0" w:firstColumn="1" w:lastColumn="0" w:noHBand="0" w:noVBand="1"/>
      </w:tblPr>
      <w:tblGrid>
        <w:gridCol w:w="2376"/>
        <w:gridCol w:w="1985"/>
        <w:gridCol w:w="1002"/>
        <w:gridCol w:w="986"/>
        <w:gridCol w:w="1034"/>
        <w:gridCol w:w="804"/>
        <w:gridCol w:w="980"/>
      </w:tblGrid>
      <w:tr w:rsidR="00B37294">
        <w:trPr>
          <w:trHeight w:val="300"/>
        </w:trPr>
        <w:tc>
          <w:tcPr>
            <w:tcW w:w="4361" w:type="dxa"/>
            <w:gridSpan w:val="2"/>
            <w:noWrap/>
            <w:hideMark/>
          </w:tcPr>
          <w:p w:rsidR="00B37294" w:rsidRDefault="00D20261">
            <w:pPr>
              <w:rPr>
                <w:noProof/>
              </w:rPr>
            </w:pPr>
            <w:r>
              <w:rPr>
                <w:noProof/>
              </w:rPr>
              <w:t>Région/pays</w:t>
            </w:r>
          </w:p>
        </w:tc>
        <w:tc>
          <w:tcPr>
            <w:tcW w:w="4806" w:type="dxa"/>
            <w:gridSpan w:val="5"/>
            <w:noWrap/>
            <w:hideMark/>
          </w:tcPr>
          <w:p w:rsidR="00B37294" w:rsidRDefault="00D20261">
            <w:pPr>
              <w:rPr>
                <w:noProof/>
              </w:rPr>
            </w:pPr>
            <w:r>
              <w:rPr>
                <w:noProof/>
              </w:rPr>
              <w:t>Type d’installation(*)</w:t>
            </w:r>
          </w:p>
        </w:tc>
      </w:tr>
      <w:tr w:rsidR="00B37294">
        <w:trPr>
          <w:trHeight w:val="300"/>
        </w:trPr>
        <w:tc>
          <w:tcPr>
            <w:tcW w:w="4361" w:type="dxa"/>
            <w:gridSpan w:val="2"/>
            <w:noWrap/>
            <w:hideMark/>
          </w:tcPr>
          <w:p w:rsidR="00B37294" w:rsidRDefault="00B37294">
            <w:pPr>
              <w:rPr>
                <w:noProof/>
              </w:rPr>
            </w:pPr>
          </w:p>
        </w:tc>
        <w:tc>
          <w:tcPr>
            <w:tcW w:w="1002" w:type="dxa"/>
            <w:noWrap/>
            <w:hideMark/>
          </w:tcPr>
          <w:p w:rsidR="00B37294" w:rsidRDefault="00D20261">
            <w:pPr>
              <w:rPr>
                <w:noProof/>
              </w:rPr>
            </w:pPr>
            <w:r>
              <w:rPr>
                <w:noProof/>
              </w:rPr>
              <w:t>FMI</w:t>
            </w:r>
          </w:p>
        </w:tc>
        <w:tc>
          <w:tcPr>
            <w:tcW w:w="986" w:type="dxa"/>
            <w:noWrap/>
            <w:hideMark/>
          </w:tcPr>
          <w:p w:rsidR="00B37294" w:rsidRDefault="00D20261">
            <w:pPr>
              <w:rPr>
                <w:noProof/>
              </w:rPr>
            </w:pPr>
            <w:r>
              <w:rPr>
                <w:noProof/>
              </w:rPr>
              <w:t>FNP</w:t>
            </w:r>
          </w:p>
        </w:tc>
        <w:tc>
          <w:tcPr>
            <w:tcW w:w="1034" w:type="dxa"/>
            <w:noWrap/>
            <w:hideMark/>
          </w:tcPr>
          <w:p w:rsidR="00B37294" w:rsidRDefault="00D20261">
            <w:pPr>
              <w:rPr>
                <w:noProof/>
              </w:rPr>
            </w:pPr>
            <w:r>
              <w:rPr>
                <w:noProof/>
              </w:rPr>
              <w:t>FPI</w:t>
            </w:r>
          </w:p>
        </w:tc>
        <w:tc>
          <w:tcPr>
            <w:tcW w:w="804" w:type="dxa"/>
            <w:noWrap/>
            <w:hideMark/>
          </w:tcPr>
          <w:p w:rsidR="00B37294" w:rsidRDefault="00D20261">
            <w:pPr>
              <w:rPr>
                <w:noProof/>
              </w:rPr>
            </w:pPr>
            <w:r>
              <w:rPr>
                <w:noProof/>
              </w:rPr>
              <w:t>NUI</w:t>
            </w:r>
          </w:p>
        </w:tc>
        <w:tc>
          <w:tcPr>
            <w:tcW w:w="980" w:type="dxa"/>
            <w:noWrap/>
            <w:hideMark/>
          </w:tcPr>
          <w:p w:rsidR="00B37294" w:rsidRDefault="00D20261">
            <w:pPr>
              <w:rPr>
                <w:noProof/>
              </w:rPr>
            </w:pPr>
            <w:r>
              <w:rPr>
                <w:noProof/>
              </w:rPr>
              <w:t>Total</w:t>
            </w:r>
          </w:p>
        </w:tc>
      </w:tr>
      <w:tr w:rsidR="00B37294">
        <w:trPr>
          <w:trHeight w:val="300"/>
        </w:trPr>
        <w:tc>
          <w:tcPr>
            <w:tcW w:w="2376" w:type="dxa"/>
            <w:noWrap/>
            <w:hideMark/>
          </w:tcPr>
          <w:p w:rsidR="00B37294" w:rsidRDefault="00D20261">
            <w:pPr>
              <w:rPr>
                <w:noProof/>
              </w:rPr>
            </w:pPr>
            <w:r>
              <w:rPr>
                <w:noProof/>
              </w:rPr>
              <w:t>Mer Baltique</w:t>
            </w:r>
          </w:p>
        </w:tc>
        <w:tc>
          <w:tcPr>
            <w:tcW w:w="1985" w:type="dxa"/>
            <w:noWrap/>
            <w:hideMark/>
          </w:tcPr>
          <w:p w:rsidR="00B37294" w:rsidRDefault="00B37294">
            <w:pPr>
              <w:rPr>
                <w:noProof/>
              </w:rPr>
            </w:pPr>
          </w:p>
        </w:tc>
        <w:tc>
          <w:tcPr>
            <w:tcW w:w="1002" w:type="dxa"/>
            <w:noWrap/>
            <w:hideMark/>
          </w:tcPr>
          <w:p w:rsidR="00B37294" w:rsidRDefault="00D20261">
            <w:pPr>
              <w:rPr>
                <w:noProof/>
              </w:rPr>
            </w:pPr>
            <w:r>
              <w:rPr>
                <w:noProof/>
              </w:rPr>
              <w:t>1</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1</w:t>
            </w:r>
          </w:p>
        </w:tc>
        <w:tc>
          <w:tcPr>
            <w:tcW w:w="980" w:type="dxa"/>
            <w:noWrap/>
            <w:hideMark/>
          </w:tcPr>
          <w:p w:rsidR="00B37294" w:rsidRDefault="00D20261">
            <w:pPr>
              <w:rPr>
                <w:noProof/>
              </w:rPr>
            </w:pPr>
            <w:r>
              <w:rPr>
                <w:noProof/>
              </w:rPr>
              <w:t>2</w:t>
            </w:r>
          </w:p>
        </w:tc>
      </w:tr>
      <w:tr w:rsidR="00B37294">
        <w:trPr>
          <w:trHeight w:val="300"/>
        </w:trPr>
        <w:tc>
          <w:tcPr>
            <w:tcW w:w="2376" w:type="dxa"/>
            <w:noWrap/>
            <w:hideMark/>
          </w:tcPr>
          <w:p w:rsidR="00B37294" w:rsidRDefault="00B37294">
            <w:pPr>
              <w:rPr>
                <w:noProof/>
              </w:rPr>
            </w:pPr>
          </w:p>
        </w:tc>
        <w:tc>
          <w:tcPr>
            <w:tcW w:w="1985" w:type="dxa"/>
            <w:noWrap/>
            <w:hideMark/>
          </w:tcPr>
          <w:p w:rsidR="00B37294" w:rsidRDefault="00D20261">
            <w:pPr>
              <w:rPr>
                <w:noProof/>
              </w:rPr>
            </w:pPr>
            <w:r>
              <w:rPr>
                <w:noProof/>
              </w:rPr>
              <w:t>Pologne</w:t>
            </w:r>
          </w:p>
        </w:tc>
        <w:tc>
          <w:tcPr>
            <w:tcW w:w="1002" w:type="dxa"/>
            <w:noWrap/>
            <w:hideMark/>
          </w:tcPr>
          <w:p w:rsidR="00B37294" w:rsidRDefault="00D20261">
            <w:pPr>
              <w:rPr>
                <w:noProof/>
              </w:rPr>
            </w:pPr>
            <w:r>
              <w:rPr>
                <w:noProof/>
              </w:rPr>
              <w:t>1</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1</w:t>
            </w:r>
          </w:p>
        </w:tc>
        <w:tc>
          <w:tcPr>
            <w:tcW w:w="980" w:type="dxa"/>
            <w:noWrap/>
            <w:hideMark/>
          </w:tcPr>
          <w:p w:rsidR="00B37294" w:rsidRDefault="00D20261">
            <w:pPr>
              <w:rPr>
                <w:noProof/>
              </w:rPr>
            </w:pPr>
            <w:r>
              <w:rPr>
                <w:noProof/>
              </w:rPr>
              <w:t>2</w:t>
            </w:r>
          </w:p>
        </w:tc>
      </w:tr>
      <w:tr w:rsidR="00B37294">
        <w:trPr>
          <w:trHeight w:val="300"/>
        </w:trPr>
        <w:tc>
          <w:tcPr>
            <w:tcW w:w="2376" w:type="dxa"/>
            <w:noWrap/>
          </w:tcPr>
          <w:p w:rsidR="00B37294" w:rsidRDefault="00D20261">
            <w:pPr>
              <w:rPr>
                <w:noProof/>
              </w:rPr>
            </w:pPr>
            <w:r>
              <w:rPr>
                <w:noProof/>
              </w:rPr>
              <w:t>Mer Noire</w:t>
            </w:r>
          </w:p>
        </w:tc>
        <w:tc>
          <w:tcPr>
            <w:tcW w:w="1985" w:type="dxa"/>
            <w:noWrap/>
          </w:tcPr>
          <w:p w:rsidR="00B37294" w:rsidRDefault="00B37294">
            <w:pPr>
              <w:rPr>
                <w:noProof/>
              </w:rPr>
            </w:pPr>
          </w:p>
        </w:tc>
        <w:tc>
          <w:tcPr>
            <w:tcW w:w="1002" w:type="dxa"/>
            <w:noWrap/>
          </w:tcPr>
          <w:p w:rsidR="00B37294" w:rsidRDefault="00D20261">
            <w:pPr>
              <w:rPr>
                <w:noProof/>
              </w:rPr>
            </w:pPr>
            <w:r>
              <w:rPr>
                <w:noProof/>
              </w:rPr>
              <w:t>7</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1</w:t>
            </w:r>
          </w:p>
        </w:tc>
        <w:tc>
          <w:tcPr>
            <w:tcW w:w="980" w:type="dxa"/>
            <w:noWrap/>
          </w:tcPr>
          <w:p w:rsidR="00B37294" w:rsidRDefault="00D20261">
            <w:pPr>
              <w:rPr>
                <w:noProof/>
              </w:rPr>
            </w:pPr>
            <w:r>
              <w:rPr>
                <w:noProof/>
              </w:rPr>
              <w:t>8</w:t>
            </w:r>
          </w:p>
        </w:tc>
      </w:tr>
      <w:tr w:rsidR="00B37294">
        <w:trPr>
          <w:trHeight w:val="300"/>
        </w:trPr>
        <w:tc>
          <w:tcPr>
            <w:tcW w:w="2376" w:type="dxa"/>
            <w:noWrap/>
          </w:tcPr>
          <w:p w:rsidR="00B37294" w:rsidRDefault="00B37294">
            <w:pPr>
              <w:rPr>
                <w:noProof/>
              </w:rPr>
            </w:pPr>
          </w:p>
        </w:tc>
        <w:tc>
          <w:tcPr>
            <w:tcW w:w="1985" w:type="dxa"/>
            <w:noWrap/>
          </w:tcPr>
          <w:p w:rsidR="00B37294" w:rsidRDefault="00D20261">
            <w:pPr>
              <w:rPr>
                <w:noProof/>
              </w:rPr>
            </w:pPr>
            <w:r>
              <w:rPr>
                <w:noProof/>
              </w:rPr>
              <w:t>Bulgarie</w:t>
            </w:r>
          </w:p>
        </w:tc>
        <w:tc>
          <w:tcPr>
            <w:tcW w:w="1002" w:type="dxa"/>
            <w:noWrap/>
          </w:tcPr>
          <w:p w:rsidR="00B37294" w:rsidRDefault="00D20261">
            <w:pPr>
              <w:rPr>
                <w:noProof/>
              </w:rPr>
            </w:pPr>
            <w:r>
              <w:rPr>
                <w:noProof/>
              </w:rPr>
              <w:t>0</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1</w:t>
            </w:r>
          </w:p>
        </w:tc>
        <w:tc>
          <w:tcPr>
            <w:tcW w:w="980" w:type="dxa"/>
            <w:noWrap/>
          </w:tcPr>
          <w:p w:rsidR="00B37294" w:rsidRDefault="00D20261">
            <w:pPr>
              <w:rPr>
                <w:noProof/>
              </w:rPr>
            </w:pPr>
            <w:r>
              <w:rPr>
                <w:noProof/>
              </w:rPr>
              <w:t>1</w:t>
            </w:r>
          </w:p>
        </w:tc>
      </w:tr>
      <w:tr w:rsidR="00B37294">
        <w:trPr>
          <w:trHeight w:val="300"/>
        </w:trPr>
        <w:tc>
          <w:tcPr>
            <w:tcW w:w="2376" w:type="dxa"/>
            <w:noWrap/>
          </w:tcPr>
          <w:p w:rsidR="00B37294" w:rsidRDefault="00B37294">
            <w:pPr>
              <w:rPr>
                <w:noProof/>
              </w:rPr>
            </w:pPr>
          </w:p>
        </w:tc>
        <w:tc>
          <w:tcPr>
            <w:tcW w:w="1985" w:type="dxa"/>
            <w:noWrap/>
          </w:tcPr>
          <w:p w:rsidR="00B37294" w:rsidRDefault="00D20261">
            <w:pPr>
              <w:rPr>
                <w:noProof/>
              </w:rPr>
            </w:pPr>
            <w:r>
              <w:rPr>
                <w:noProof/>
              </w:rPr>
              <w:t>Roumanie</w:t>
            </w:r>
          </w:p>
        </w:tc>
        <w:tc>
          <w:tcPr>
            <w:tcW w:w="1002" w:type="dxa"/>
            <w:noWrap/>
          </w:tcPr>
          <w:p w:rsidR="00B37294" w:rsidRDefault="00D20261">
            <w:pPr>
              <w:rPr>
                <w:noProof/>
              </w:rPr>
            </w:pPr>
            <w:r>
              <w:rPr>
                <w:noProof/>
              </w:rPr>
              <w:t>7</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0</w:t>
            </w:r>
          </w:p>
        </w:tc>
        <w:tc>
          <w:tcPr>
            <w:tcW w:w="980" w:type="dxa"/>
            <w:noWrap/>
          </w:tcPr>
          <w:p w:rsidR="00B37294" w:rsidRDefault="00D20261">
            <w:pPr>
              <w:rPr>
                <w:noProof/>
              </w:rPr>
            </w:pPr>
            <w:r>
              <w:rPr>
                <w:noProof/>
              </w:rPr>
              <w:t>7</w:t>
            </w:r>
          </w:p>
        </w:tc>
      </w:tr>
      <w:tr w:rsidR="00B37294">
        <w:trPr>
          <w:trHeight w:val="300"/>
        </w:trPr>
        <w:tc>
          <w:tcPr>
            <w:tcW w:w="2376" w:type="dxa"/>
            <w:noWrap/>
            <w:hideMark/>
          </w:tcPr>
          <w:p w:rsidR="00B37294" w:rsidRDefault="00D20261">
            <w:pPr>
              <w:rPr>
                <w:noProof/>
              </w:rPr>
            </w:pPr>
            <w:r>
              <w:rPr>
                <w:noProof/>
              </w:rPr>
              <w:t>Méditerranée</w:t>
            </w:r>
          </w:p>
        </w:tc>
        <w:tc>
          <w:tcPr>
            <w:tcW w:w="1985" w:type="dxa"/>
            <w:noWrap/>
            <w:hideMark/>
          </w:tcPr>
          <w:p w:rsidR="00B37294" w:rsidRDefault="00B37294">
            <w:pPr>
              <w:rPr>
                <w:noProof/>
              </w:rPr>
            </w:pPr>
          </w:p>
        </w:tc>
        <w:tc>
          <w:tcPr>
            <w:tcW w:w="1002" w:type="dxa"/>
            <w:noWrap/>
            <w:hideMark/>
          </w:tcPr>
          <w:p w:rsidR="00B37294" w:rsidRDefault="00D20261">
            <w:pPr>
              <w:rPr>
                <w:noProof/>
              </w:rPr>
            </w:pPr>
            <w:r>
              <w:rPr>
                <w:noProof/>
              </w:rPr>
              <w:t>16</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3</w:t>
            </w:r>
          </w:p>
        </w:tc>
        <w:tc>
          <w:tcPr>
            <w:tcW w:w="804" w:type="dxa"/>
            <w:noWrap/>
          </w:tcPr>
          <w:p w:rsidR="00B37294" w:rsidRDefault="00D20261">
            <w:pPr>
              <w:rPr>
                <w:noProof/>
              </w:rPr>
            </w:pPr>
            <w:r>
              <w:rPr>
                <w:noProof/>
              </w:rPr>
              <w:t>147</w:t>
            </w:r>
          </w:p>
        </w:tc>
        <w:tc>
          <w:tcPr>
            <w:tcW w:w="980" w:type="dxa"/>
            <w:noWrap/>
            <w:hideMark/>
          </w:tcPr>
          <w:p w:rsidR="00B37294" w:rsidRDefault="00D20261">
            <w:pPr>
              <w:rPr>
                <w:noProof/>
              </w:rPr>
            </w:pPr>
            <w:r>
              <w:rPr>
                <w:noProof/>
              </w:rPr>
              <w:t>166</w:t>
            </w:r>
          </w:p>
        </w:tc>
      </w:tr>
      <w:tr w:rsidR="00B37294">
        <w:trPr>
          <w:trHeight w:val="300"/>
        </w:trPr>
        <w:tc>
          <w:tcPr>
            <w:tcW w:w="2376" w:type="dxa"/>
            <w:noWrap/>
          </w:tcPr>
          <w:p w:rsidR="00B37294" w:rsidRDefault="00B37294">
            <w:pPr>
              <w:rPr>
                <w:noProof/>
              </w:rPr>
            </w:pPr>
          </w:p>
        </w:tc>
        <w:tc>
          <w:tcPr>
            <w:tcW w:w="1985" w:type="dxa"/>
            <w:noWrap/>
          </w:tcPr>
          <w:p w:rsidR="00B37294" w:rsidRDefault="00D20261">
            <w:pPr>
              <w:rPr>
                <w:noProof/>
              </w:rPr>
            </w:pPr>
            <w:r>
              <w:rPr>
                <w:noProof/>
              </w:rPr>
              <w:t>Croatie</w:t>
            </w:r>
          </w:p>
        </w:tc>
        <w:tc>
          <w:tcPr>
            <w:tcW w:w="1002" w:type="dxa"/>
            <w:noWrap/>
          </w:tcPr>
          <w:p w:rsidR="00B37294" w:rsidRDefault="00D20261">
            <w:pPr>
              <w:rPr>
                <w:noProof/>
              </w:rPr>
            </w:pPr>
            <w:r>
              <w:rPr>
                <w:noProof/>
              </w:rPr>
              <w:t>2</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18</w:t>
            </w:r>
          </w:p>
        </w:tc>
        <w:tc>
          <w:tcPr>
            <w:tcW w:w="980" w:type="dxa"/>
            <w:noWrap/>
          </w:tcPr>
          <w:p w:rsidR="00B37294" w:rsidRDefault="00D20261">
            <w:pPr>
              <w:rPr>
                <w:noProof/>
              </w:rPr>
            </w:pPr>
            <w:r>
              <w:rPr>
                <w:noProof/>
              </w:rPr>
              <w:t>20</w:t>
            </w:r>
          </w:p>
        </w:tc>
      </w:tr>
      <w:tr w:rsidR="00B37294">
        <w:trPr>
          <w:trHeight w:val="300"/>
        </w:trPr>
        <w:tc>
          <w:tcPr>
            <w:tcW w:w="2376" w:type="dxa"/>
            <w:noWrap/>
            <w:hideMark/>
          </w:tcPr>
          <w:p w:rsidR="00B37294" w:rsidRDefault="00B37294">
            <w:pPr>
              <w:rPr>
                <w:noProof/>
              </w:rPr>
            </w:pPr>
          </w:p>
        </w:tc>
        <w:tc>
          <w:tcPr>
            <w:tcW w:w="1985" w:type="dxa"/>
            <w:noWrap/>
          </w:tcPr>
          <w:p w:rsidR="00B37294" w:rsidRDefault="00D20261">
            <w:pPr>
              <w:rPr>
                <w:noProof/>
              </w:rPr>
            </w:pPr>
            <w:r>
              <w:rPr>
                <w:noProof/>
              </w:rPr>
              <w:t>Grèce</w:t>
            </w:r>
          </w:p>
        </w:tc>
        <w:tc>
          <w:tcPr>
            <w:tcW w:w="1002" w:type="dxa"/>
            <w:noWrap/>
          </w:tcPr>
          <w:p w:rsidR="00B37294" w:rsidRDefault="00D20261">
            <w:pPr>
              <w:rPr>
                <w:noProof/>
              </w:rPr>
            </w:pPr>
            <w:r>
              <w:rPr>
                <w:noProof/>
              </w:rPr>
              <w:t>1</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1</w:t>
            </w:r>
          </w:p>
        </w:tc>
        <w:tc>
          <w:tcPr>
            <w:tcW w:w="980" w:type="dxa"/>
            <w:noWrap/>
          </w:tcPr>
          <w:p w:rsidR="00B37294" w:rsidRDefault="00D20261">
            <w:pPr>
              <w:rPr>
                <w:noProof/>
              </w:rPr>
            </w:pPr>
            <w:r>
              <w:rPr>
                <w:noProof/>
              </w:rPr>
              <w:t>2</w:t>
            </w:r>
          </w:p>
        </w:tc>
      </w:tr>
      <w:tr w:rsidR="00B37294">
        <w:trPr>
          <w:trHeight w:val="300"/>
        </w:trPr>
        <w:tc>
          <w:tcPr>
            <w:tcW w:w="2376" w:type="dxa"/>
            <w:noWrap/>
            <w:hideMark/>
          </w:tcPr>
          <w:p w:rsidR="00B37294" w:rsidRDefault="00B37294">
            <w:pPr>
              <w:rPr>
                <w:noProof/>
              </w:rPr>
            </w:pPr>
          </w:p>
        </w:tc>
        <w:tc>
          <w:tcPr>
            <w:tcW w:w="1985" w:type="dxa"/>
            <w:noWrap/>
          </w:tcPr>
          <w:p w:rsidR="00B37294" w:rsidRDefault="00D20261">
            <w:pPr>
              <w:rPr>
                <w:noProof/>
              </w:rPr>
            </w:pPr>
            <w:r>
              <w:rPr>
                <w:noProof/>
              </w:rPr>
              <w:t>Italie</w:t>
            </w:r>
          </w:p>
        </w:tc>
        <w:tc>
          <w:tcPr>
            <w:tcW w:w="1002" w:type="dxa"/>
            <w:noWrap/>
          </w:tcPr>
          <w:p w:rsidR="00B37294" w:rsidRDefault="00D20261">
            <w:pPr>
              <w:rPr>
                <w:noProof/>
              </w:rPr>
            </w:pPr>
            <w:r>
              <w:rPr>
                <w:noProof/>
              </w:rPr>
              <w:t>12</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3</w:t>
            </w:r>
          </w:p>
        </w:tc>
        <w:tc>
          <w:tcPr>
            <w:tcW w:w="804" w:type="dxa"/>
            <w:noWrap/>
          </w:tcPr>
          <w:p w:rsidR="00B37294" w:rsidRDefault="00D20261">
            <w:pPr>
              <w:rPr>
                <w:noProof/>
              </w:rPr>
            </w:pPr>
            <w:r>
              <w:rPr>
                <w:noProof/>
              </w:rPr>
              <w:t>126</w:t>
            </w:r>
          </w:p>
        </w:tc>
        <w:tc>
          <w:tcPr>
            <w:tcW w:w="980" w:type="dxa"/>
            <w:noWrap/>
          </w:tcPr>
          <w:p w:rsidR="00B37294" w:rsidRDefault="00D20261">
            <w:pPr>
              <w:rPr>
                <w:noProof/>
              </w:rPr>
            </w:pPr>
            <w:r>
              <w:rPr>
                <w:noProof/>
              </w:rPr>
              <w:t>141</w:t>
            </w:r>
          </w:p>
        </w:tc>
      </w:tr>
      <w:tr w:rsidR="00B37294">
        <w:trPr>
          <w:trHeight w:val="300"/>
        </w:trPr>
        <w:tc>
          <w:tcPr>
            <w:tcW w:w="2376" w:type="dxa"/>
            <w:noWrap/>
            <w:hideMark/>
          </w:tcPr>
          <w:p w:rsidR="00B37294" w:rsidRDefault="00B37294">
            <w:pPr>
              <w:rPr>
                <w:noProof/>
              </w:rPr>
            </w:pPr>
          </w:p>
        </w:tc>
        <w:tc>
          <w:tcPr>
            <w:tcW w:w="1985" w:type="dxa"/>
            <w:noWrap/>
          </w:tcPr>
          <w:p w:rsidR="00B37294" w:rsidRDefault="00D20261">
            <w:pPr>
              <w:rPr>
                <w:noProof/>
              </w:rPr>
            </w:pPr>
            <w:r>
              <w:rPr>
                <w:noProof/>
              </w:rPr>
              <w:t>Espagne</w:t>
            </w:r>
          </w:p>
        </w:tc>
        <w:tc>
          <w:tcPr>
            <w:tcW w:w="1002" w:type="dxa"/>
            <w:noWrap/>
          </w:tcPr>
          <w:p w:rsidR="00B37294" w:rsidRDefault="00D20261">
            <w:pPr>
              <w:rPr>
                <w:noProof/>
              </w:rPr>
            </w:pPr>
            <w:r>
              <w:rPr>
                <w:noProof/>
              </w:rPr>
              <w:t>1</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2</w:t>
            </w:r>
          </w:p>
        </w:tc>
        <w:tc>
          <w:tcPr>
            <w:tcW w:w="980" w:type="dxa"/>
            <w:noWrap/>
          </w:tcPr>
          <w:p w:rsidR="00B37294" w:rsidRDefault="00D20261">
            <w:pPr>
              <w:rPr>
                <w:noProof/>
              </w:rPr>
            </w:pPr>
            <w:r>
              <w:rPr>
                <w:noProof/>
              </w:rPr>
              <w:t>3</w:t>
            </w:r>
          </w:p>
        </w:tc>
      </w:tr>
      <w:tr w:rsidR="00B37294">
        <w:trPr>
          <w:trHeight w:val="300"/>
        </w:trPr>
        <w:tc>
          <w:tcPr>
            <w:tcW w:w="2376" w:type="dxa"/>
            <w:noWrap/>
            <w:hideMark/>
          </w:tcPr>
          <w:p w:rsidR="00B37294" w:rsidRDefault="00D20261">
            <w:pPr>
              <w:rPr>
                <w:noProof/>
              </w:rPr>
            </w:pPr>
            <w:r>
              <w:rPr>
                <w:noProof/>
              </w:rPr>
              <w:t>Mer du Nord et Atlantique</w:t>
            </w:r>
          </w:p>
        </w:tc>
        <w:tc>
          <w:tcPr>
            <w:tcW w:w="1985" w:type="dxa"/>
            <w:noWrap/>
            <w:hideMark/>
          </w:tcPr>
          <w:p w:rsidR="00B37294" w:rsidRDefault="00B37294">
            <w:pPr>
              <w:rPr>
                <w:noProof/>
              </w:rPr>
            </w:pPr>
          </w:p>
        </w:tc>
        <w:tc>
          <w:tcPr>
            <w:tcW w:w="1002" w:type="dxa"/>
            <w:noWrap/>
            <w:hideMark/>
          </w:tcPr>
          <w:p w:rsidR="00B37294" w:rsidRDefault="00D20261">
            <w:pPr>
              <w:rPr>
                <w:noProof/>
              </w:rPr>
            </w:pPr>
            <w:r>
              <w:rPr>
                <w:noProof/>
              </w:rPr>
              <w:t>143</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23</w:t>
            </w:r>
          </w:p>
        </w:tc>
        <w:tc>
          <w:tcPr>
            <w:tcW w:w="804" w:type="dxa"/>
            <w:noWrap/>
          </w:tcPr>
          <w:p w:rsidR="00B37294" w:rsidRDefault="00D20261">
            <w:pPr>
              <w:rPr>
                <w:noProof/>
              </w:rPr>
            </w:pPr>
            <w:r>
              <w:rPr>
                <w:noProof/>
              </w:rPr>
              <w:t>214</w:t>
            </w:r>
          </w:p>
        </w:tc>
        <w:tc>
          <w:tcPr>
            <w:tcW w:w="980" w:type="dxa"/>
            <w:noWrap/>
            <w:hideMark/>
          </w:tcPr>
          <w:p w:rsidR="00B37294" w:rsidRDefault="00D20261">
            <w:pPr>
              <w:rPr>
                <w:noProof/>
              </w:rPr>
            </w:pPr>
            <w:r>
              <w:rPr>
                <w:noProof/>
              </w:rPr>
              <w:t>380</w:t>
            </w:r>
          </w:p>
        </w:tc>
      </w:tr>
      <w:tr w:rsidR="00B37294">
        <w:trPr>
          <w:trHeight w:val="300"/>
        </w:trPr>
        <w:tc>
          <w:tcPr>
            <w:tcW w:w="2376" w:type="dxa"/>
            <w:noWrap/>
          </w:tcPr>
          <w:p w:rsidR="00B37294" w:rsidRDefault="00B37294">
            <w:pPr>
              <w:rPr>
                <w:noProof/>
              </w:rPr>
            </w:pPr>
          </w:p>
        </w:tc>
        <w:tc>
          <w:tcPr>
            <w:tcW w:w="1985" w:type="dxa"/>
            <w:noWrap/>
          </w:tcPr>
          <w:p w:rsidR="00B37294" w:rsidRDefault="00D20261">
            <w:pPr>
              <w:rPr>
                <w:noProof/>
              </w:rPr>
            </w:pPr>
            <w:r>
              <w:rPr>
                <w:noProof/>
              </w:rPr>
              <w:t>Danemark</w:t>
            </w:r>
          </w:p>
        </w:tc>
        <w:tc>
          <w:tcPr>
            <w:tcW w:w="1002" w:type="dxa"/>
            <w:noWrap/>
          </w:tcPr>
          <w:p w:rsidR="00B37294" w:rsidRDefault="00D20261">
            <w:pPr>
              <w:rPr>
                <w:noProof/>
              </w:rPr>
            </w:pPr>
            <w:r>
              <w:rPr>
                <w:noProof/>
              </w:rPr>
              <w:t>10</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20</w:t>
            </w:r>
          </w:p>
        </w:tc>
        <w:tc>
          <w:tcPr>
            <w:tcW w:w="980" w:type="dxa"/>
            <w:noWrap/>
          </w:tcPr>
          <w:p w:rsidR="00B37294" w:rsidRDefault="00D20261">
            <w:pPr>
              <w:rPr>
                <w:noProof/>
              </w:rPr>
            </w:pPr>
            <w:r>
              <w:rPr>
                <w:noProof/>
              </w:rPr>
              <w:t>30</w:t>
            </w:r>
          </w:p>
        </w:tc>
      </w:tr>
      <w:tr w:rsidR="00B37294">
        <w:trPr>
          <w:trHeight w:val="300"/>
        </w:trPr>
        <w:tc>
          <w:tcPr>
            <w:tcW w:w="2376" w:type="dxa"/>
            <w:noWrap/>
            <w:hideMark/>
          </w:tcPr>
          <w:p w:rsidR="00B37294" w:rsidRDefault="00B37294">
            <w:pPr>
              <w:rPr>
                <w:noProof/>
              </w:rPr>
            </w:pPr>
          </w:p>
        </w:tc>
        <w:tc>
          <w:tcPr>
            <w:tcW w:w="1985" w:type="dxa"/>
            <w:noWrap/>
            <w:hideMark/>
          </w:tcPr>
          <w:p w:rsidR="00B37294" w:rsidRDefault="00D20261">
            <w:pPr>
              <w:rPr>
                <w:noProof/>
              </w:rPr>
            </w:pPr>
            <w:r>
              <w:rPr>
                <w:noProof/>
              </w:rPr>
              <w:t>Allemagne</w:t>
            </w:r>
          </w:p>
        </w:tc>
        <w:tc>
          <w:tcPr>
            <w:tcW w:w="1002" w:type="dxa"/>
            <w:noWrap/>
            <w:hideMark/>
          </w:tcPr>
          <w:p w:rsidR="00B37294" w:rsidRDefault="00D20261">
            <w:pPr>
              <w:rPr>
                <w:noProof/>
              </w:rPr>
            </w:pPr>
            <w:r>
              <w:rPr>
                <w:noProof/>
              </w:rPr>
              <w:t>2</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0</w:t>
            </w:r>
          </w:p>
        </w:tc>
        <w:tc>
          <w:tcPr>
            <w:tcW w:w="980" w:type="dxa"/>
            <w:noWrap/>
            <w:hideMark/>
          </w:tcPr>
          <w:p w:rsidR="00B37294" w:rsidRDefault="00D20261">
            <w:pPr>
              <w:rPr>
                <w:noProof/>
              </w:rPr>
            </w:pPr>
            <w:r>
              <w:rPr>
                <w:noProof/>
              </w:rPr>
              <w:t>2</w:t>
            </w:r>
          </w:p>
        </w:tc>
      </w:tr>
      <w:tr w:rsidR="00B37294">
        <w:trPr>
          <w:trHeight w:val="300"/>
        </w:trPr>
        <w:tc>
          <w:tcPr>
            <w:tcW w:w="2376" w:type="dxa"/>
            <w:noWrap/>
            <w:hideMark/>
          </w:tcPr>
          <w:p w:rsidR="00B37294" w:rsidRDefault="00B37294">
            <w:pPr>
              <w:rPr>
                <w:noProof/>
              </w:rPr>
            </w:pPr>
          </w:p>
        </w:tc>
        <w:tc>
          <w:tcPr>
            <w:tcW w:w="1985" w:type="dxa"/>
            <w:noWrap/>
          </w:tcPr>
          <w:p w:rsidR="00B37294" w:rsidRDefault="00D20261">
            <w:pPr>
              <w:rPr>
                <w:noProof/>
              </w:rPr>
            </w:pPr>
            <w:r>
              <w:rPr>
                <w:noProof/>
              </w:rPr>
              <w:t>Irlande</w:t>
            </w:r>
          </w:p>
        </w:tc>
        <w:tc>
          <w:tcPr>
            <w:tcW w:w="1002" w:type="dxa"/>
            <w:noWrap/>
          </w:tcPr>
          <w:p w:rsidR="00B37294" w:rsidRDefault="00D20261">
            <w:pPr>
              <w:rPr>
                <w:noProof/>
              </w:rPr>
            </w:pPr>
            <w:r>
              <w:rPr>
                <w:noProof/>
              </w:rPr>
              <w:t>1</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1</w:t>
            </w:r>
          </w:p>
        </w:tc>
        <w:tc>
          <w:tcPr>
            <w:tcW w:w="980" w:type="dxa"/>
            <w:noWrap/>
          </w:tcPr>
          <w:p w:rsidR="00B37294" w:rsidRDefault="00D20261">
            <w:pPr>
              <w:rPr>
                <w:noProof/>
              </w:rPr>
            </w:pPr>
            <w:r>
              <w:rPr>
                <w:noProof/>
              </w:rPr>
              <w:t>2</w:t>
            </w:r>
          </w:p>
        </w:tc>
      </w:tr>
      <w:tr w:rsidR="00B37294">
        <w:trPr>
          <w:trHeight w:val="300"/>
        </w:trPr>
        <w:tc>
          <w:tcPr>
            <w:tcW w:w="2376" w:type="dxa"/>
            <w:noWrap/>
            <w:hideMark/>
          </w:tcPr>
          <w:p w:rsidR="00B37294" w:rsidRDefault="00B37294">
            <w:pPr>
              <w:rPr>
                <w:noProof/>
              </w:rPr>
            </w:pPr>
          </w:p>
        </w:tc>
        <w:tc>
          <w:tcPr>
            <w:tcW w:w="1985" w:type="dxa"/>
            <w:noWrap/>
          </w:tcPr>
          <w:p w:rsidR="00B37294" w:rsidRDefault="00D20261">
            <w:pPr>
              <w:rPr>
                <w:noProof/>
              </w:rPr>
            </w:pPr>
            <w:r>
              <w:rPr>
                <w:noProof/>
              </w:rPr>
              <w:t>Pays-Bas</w:t>
            </w:r>
          </w:p>
        </w:tc>
        <w:tc>
          <w:tcPr>
            <w:tcW w:w="1002" w:type="dxa"/>
            <w:noWrap/>
          </w:tcPr>
          <w:p w:rsidR="00B37294" w:rsidRDefault="00D20261">
            <w:pPr>
              <w:rPr>
                <w:noProof/>
              </w:rPr>
            </w:pPr>
            <w:r>
              <w:rPr>
                <w:noProof/>
              </w:rPr>
              <w:t>48</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0</w:t>
            </w:r>
          </w:p>
        </w:tc>
        <w:tc>
          <w:tcPr>
            <w:tcW w:w="804" w:type="dxa"/>
            <w:noWrap/>
          </w:tcPr>
          <w:p w:rsidR="00B37294" w:rsidRDefault="00D20261">
            <w:pPr>
              <w:rPr>
                <w:noProof/>
              </w:rPr>
            </w:pPr>
            <w:r>
              <w:rPr>
                <w:noProof/>
              </w:rPr>
              <w:t>107</w:t>
            </w:r>
          </w:p>
        </w:tc>
        <w:tc>
          <w:tcPr>
            <w:tcW w:w="980" w:type="dxa"/>
            <w:noWrap/>
          </w:tcPr>
          <w:p w:rsidR="00B37294" w:rsidRDefault="00D20261">
            <w:pPr>
              <w:rPr>
                <w:noProof/>
              </w:rPr>
            </w:pPr>
            <w:r>
              <w:rPr>
                <w:noProof/>
              </w:rPr>
              <w:t>155</w:t>
            </w:r>
          </w:p>
        </w:tc>
      </w:tr>
      <w:tr w:rsidR="00B37294">
        <w:trPr>
          <w:trHeight w:val="300"/>
        </w:trPr>
        <w:tc>
          <w:tcPr>
            <w:tcW w:w="2376" w:type="dxa"/>
            <w:noWrap/>
            <w:hideMark/>
          </w:tcPr>
          <w:p w:rsidR="00B37294" w:rsidRDefault="00B37294">
            <w:pPr>
              <w:rPr>
                <w:noProof/>
              </w:rPr>
            </w:pPr>
          </w:p>
        </w:tc>
        <w:tc>
          <w:tcPr>
            <w:tcW w:w="1985" w:type="dxa"/>
            <w:noWrap/>
          </w:tcPr>
          <w:p w:rsidR="00B37294" w:rsidRDefault="00D20261">
            <w:pPr>
              <w:rPr>
                <w:noProof/>
              </w:rPr>
            </w:pPr>
            <w:r>
              <w:rPr>
                <w:noProof/>
              </w:rPr>
              <w:t>Royaume-Uni</w:t>
            </w:r>
          </w:p>
        </w:tc>
        <w:tc>
          <w:tcPr>
            <w:tcW w:w="1002" w:type="dxa"/>
            <w:noWrap/>
          </w:tcPr>
          <w:p w:rsidR="00B37294" w:rsidRDefault="00D20261">
            <w:pPr>
              <w:rPr>
                <w:noProof/>
              </w:rPr>
            </w:pPr>
            <w:r>
              <w:rPr>
                <w:noProof/>
              </w:rPr>
              <w:t>82</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23</w:t>
            </w:r>
          </w:p>
        </w:tc>
        <w:tc>
          <w:tcPr>
            <w:tcW w:w="804" w:type="dxa"/>
            <w:noWrap/>
          </w:tcPr>
          <w:p w:rsidR="00B37294" w:rsidRDefault="00D20261">
            <w:pPr>
              <w:rPr>
                <w:noProof/>
              </w:rPr>
            </w:pPr>
            <w:r>
              <w:rPr>
                <w:noProof/>
              </w:rPr>
              <w:t>86</w:t>
            </w:r>
          </w:p>
        </w:tc>
        <w:tc>
          <w:tcPr>
            <w:tcW w:w="980" w:type="dxa"/>
            <w:noWrap/>
          </w:tcPr>
          <w:p w:rsidR="00B37294" w:rsidRDefault="00D20261">
            <w:pPr>
              <w:rPr>
                <w:noProof/>
              </w:rPr>
            </w:pPr>
            <w:r>
              <w:rPr>
                <w:noProof/>
              </w:rPr>
              <w:t>191</w:t>
            </w:r>
          </w:p>
        </w:tc>
      </w:tr>
      <w:tr w:rsidR="00B37294">
        <w:trPr>
          <w:trHeight w:val="300"/>
        </w:trPr>
        <w:tc>
          <w:tcPr>
            <w:tcW w:w="4361" w:type="dxa"/>
            <w:gridSpan w:val="2"/>
            <w:noWrap/>
            <w:hideMark/>
          </w:tcPr>
          <w:p w:rsidR="00B37294" w:rsidRDefault="00D20261">
            <w:pPr>
              <w:rPr>
                <w:noProof/>
              </w:rPr>
            </w:pPr>
            <w:r>
              <w:rPr>
                <w:noProof/>
              </w:rPr>
              <w:t>Total</w:t>
            </w:r>
          </w:p>
        </w:tc>
        <w:tc>
          <w:tcPr>
            <w:tcW w:w="1002" w:type="dxa"/>
            <w:noWrap/>
            <w:hideMark/>
          </w:tcPr>
          <w:p w:rsidR="00B37294" w:rsidRDefault="00D20261">
            <w:pPr>
              <w:rPr>
                <w:noProof/>
              </w:rPr>
            </w:pPr>
            <w:r>
              <w:rPr>
                <w:noProof/>
              </w:rPr>
              <w:t>167</w:t>
            </w:r>
          </w:p>
        </w:tc>
        <w:tc>
          <w:tcPr>
            <w:tcW w:w="986" w:type="dxa"/>
            <w:noWrap/>
          </w:tcPr>
          <w:p w:rsidR="00B37294" w:rsidRDefault="00D20261">
            <w:pPr>
              <w:rPr>
                <w:noProof/>
              </w:rPr>
            </w:pPr>
            <w:r>
              <w:rPr>
                <w:noProof/>
              </w:rPr>
              <w:t>0</w:t>
            </w:r>
          </w:p>
        </w:tc>
        <w:tc>
          <w:tcPr>
            <w:tcW w:w="1034" w:type="dxa"/>
            <w:noWrap/>
          </w:tcPr>
          <w:p w:rsidR="00B37294" w:rsidRDefault="00D20261">
            <w:pPr>
              <w:rPr>
                <w:noProof/>
              </w:rPr>
            </w:pPr>
            <w:r>
              <w:rPr>
                <w:noProof/>
              </w:rPr>
              <w:t>26</w:t>
            </w:r>
          </w:p>
        </w:tc>
        <w:tc>
          <w:tcPr>
            <w:tcW w:w="804" w:type="dxa"/>
            <w:noWrap/>
          </w:tcPr>
          <w:p w:rsidR="00B37294" w:rsidRDefault="00D20261">
            <w:pPr>
              <w:rPr>
                <w:noProof/>
              </w:rPr>
            </w:pPr>
            <w:r>
              <w:rPr>
                <w:noProof/>
              </w:rPr>
              <w:t>363</w:t>
            </w:r>
          </w:p>
        </w:tc>
        <w:tc>
          <w:tcPr>
            <w:tcW w:w="980" w:type="dxa"/>
            <w:noWrap/>
            <w:hideMark/>
          </w:tcPr>
          <w:p w:rsidR="00B37294" w:rsidRDefault="00D20261">
            <w:pPr>
              <w:rPr>
                <w:noProof/>
              </w:rPr>
            </w:pPr>
            <w:r>
              <w:rPr>
                <w:noProof/>
              </w:rPr>
              <w:t>556</w:t>
            </w:r>
          </w:p>
        </w:tc>
      </w:tr>
    </w:tbl>
    <w:p w:rsidR="00B37294" w:rsidRDefault="00B37294">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8"/>
        <w:gridCol w:w="1484"/>
      </w:tblGrid>
      <w:tr w:rsidR="00B37294">
        <w:trPr>
          <w:trHeight w:val="300"/>
          <w:jc w:val="center"/>
        </w:trPr>
        <w:tc>
          <w:tcPr>
            <w:tcW w:w="4255" w:type="pct"/>
            <w:tcBorders>
              <w:left w:val="nil"/>
              <w:bottom w:val="nil"/>
              <w:right w:val="nil"/>
            </w:tcBorders>
            <w:shd w:val="clear" w:color="auto" w:fill="auto"/>
            <w:noWrap/>
          </w:tcPr>
          <w:p w:rsidR="00B37294" w:rsidRDefault="00D20261">
            <w:pPr>
              <w:spacing w:before="60" w:after="60" w:line="240" w:lineRule="auto"/>
              <w:rPr>
                <w:rFonts w:ascii="Times New Roman" w:hAnsi="Times New Roman"/>
                <w:bCs/>
                <w:noProof/>
              </w:rPr>
            </w:pPr>
            <w:r>
              <w:rPr>
                <w:noProof/>
              </w:rPr>
              <w:t xml:space="preserve"> </w:t>
            </w:r>
            <w:r>
              <w:rPr>
                <w:rFonts w:ascii="Times New Roman" w:hAnsi="Times New Roman"/>
                <w:bCs/>
                <w:noProof/>
              </w:rPr>
              <w:t>(*) FMI — unité fixe avec équipage; FNP — unité fixe non destinée à la production; FPI — unité de production flottante; NUI — unité (normalement) sans équipage</w:t>
            </w:r>
          </w:p>
        </w:tc>
        <w:tc>
          <w:tcPr>
            <w:tcW w:w="745" w:type="pct"/>
            <w:tcBorders>
              <w:left w:val="nil"/>
              <w:bottom w:val="nil"/>
              <w:right w:val="nil"/>
            </w:tcBorders>
          </w:tcPr>
          <w:p w:rsidR="00B37294" w:rsidRDefault="00B37294">
            <w:pPr>
              <w:spacing w:before="60" w:after="60" w:line="240" w:lineRule="auto"/>
              <w:rPr>
                <w:rFonts w:ascii="Times New Roman" w:hAnsi="Times New Roman"/>
                <w:b/>
                <w:bCs/>
                <w:noProof/>
              </w:rPr>
            </w:pPr>
          </w:p>
        </w:tc>
      </w:tr>
    </w:tbl>
    <w:p w:rsidR="00B37294" w:rsidRDefault="00B37294">
      <w:pPr>
        <w:jc w:val="both"/>
        <w:rPr>
          <w:rFonts w:ascii="Times New Roman" w:hAnsi="Times New Roman"/>
          <w:noProof/>
          <w:sz w:val="24"/>
          <w:szCs w:val="24"/>
        </w:rPr>
      </w:pPr>
    </w:p>
    <w:p w:rsidR="00B37294" w:rsidRDefault="00D20261">
      <w:pPr>
        <w:jc w:val="both"/>
        <w:rPr>
          <w:rFonts w:ascii="Times New Roman" w:hAnsi="Times New Roman"/>
          <w:noProof/>
          <w:sz w:val="24"/>
          <w:szCs w:val="24"/>
        </w:rPr>
      </w:pPr>
      <w:r>
        <w:rPr>
          <w:rFonts w:ascii="Times New Roman" w:hAnsi="Times New Roman"/>
          <w:noProof/>
          <w:sz w:val="24"/>
          <w:szCs w:val="24"/>
        </w:rPr>
        <w:t xml:space="preserve">En 2018, 13 installations ont été </w:t>
      </w:r>
      <w:r>
        <w:rPr>
          <w:rFonts w:ascii="Times New Roman" w:hAnsi="Times New Roman"/>
          <w:noProof/>
          <w:sz w:val="24"/>
          <w:szCs w:val="24"/>
        </w:rPr>
        <w:t xml:space="preserve">déclarées en cours de déclassement dans les eaux de l’UE: 12 au Royaume-Uni et 1 en Italie. Au cours de la même année, l’entrée en service d’une nouvelle installation fixe a été signalée par les Pays-Bas. En outre, les changements opérés dans les méthodes </w:t>
      </w:r>
      <w:r>
        <w:rPr>
          <w:rFonts w:ascii="Times New Roman" w:hAnsi="Times New Roman"/>
          <w:noProof/>
          <w:sz w:val="24"/>
          <w:szCs w:val="24"/>
        </w:rPr>
        <w:t>de communication des données de certains États membres ont également contribué à faire évoluer le nombre d’installations déclarées par rapport à l’année précédente</w:t>
      </w:r>
      <w:r>
        <w:rPr>
          <w:rStyle w:val="FootnoteReference"/>
          <w:rFonts w:ascii="Times New Roman" w:hAnsi="Times New Roman"/>
          <w:noProof/>
          <w:sz w:val="24"/>
          <w:szCs w:val="24"/>
        </w:rPr>
        <w:footnoteReference w:id="6"/>
      </w:r>
      <w:r>
        <w:rPr>
          <w:rFonts w:ascii="Times New Roman" w:hAnsi="Times New Roman"/>
          <w:noProof/>
          <w:sz w:val="24"/>
          <w:szCs w:val="24"/>
        </w:rPr>
        <w:t>.</w:t>
      </w:r>
    </w:p>
    <w:p w:rsidR="00B37294" w:rsidRDefault="00D20261">
      <w:pPr>
        <w:jc w:val="both"/>
        <w:rPr>
          <w:rFonts w:ascii="Times New Roman" w:hAnsi="Times New Roman"/>
          <w:noProof/>
          <w:sz w:val="24"/>
          <w:szCs w:val="24"/>
        </w:rPr>
      </w:pPr>
      <w:r>
        <w:rPr>
          <w:rFonts w:ascii="Times New Roman" w:hAnsi="Times New Roman"/>
          <w:noProof/>
          <w:sz w:val="24"/>
          <w:szCs w:val="24"/>
        </w:rPr>
        <w:t>Plus de la moitié des installations en mer dans les eaux de l’Union sont entrées en servic</w:t>
      </w:r>
      <w:r>
        <w:rPr>
          <w:rFonts w:ascii="Times New Roman" w:hAnsi="Times New Roman"/>
          <w:noProof/>
          <w:sz w:val="24"/>
          <w:szCs w:val="24"/>
        </w:rPr>
        <w:t>e entre 1980 et 2000. Depuis 2010, la construction de nouvelles installations de production a sensiblement chuté dans la région «mer du Nord et Atlantique», ainsi qu’en Méditerranée (voir tableau 2).</w:t>
      </w:r>
    </w:p>
    <w:p w:rsidR="00B37294" w:rsidRDefault="00D20261">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xml:space="preserve">: Nombre </w:t>
      </w:r>
      <w:r>
        <w:rPr>
          <w:noProof/>
        </w:rPr>
        <w:t>d’installations présentes dans les eaux de l’UE, par décennie de mise en service et par région</w:t>
      </w:r>
    </w:p>
    <w:tbl>
      <w:tblPr>
        <w:tblStyle w:val="TableGrid"/>
        <w:tblW w:w="10682" w:type="dxa"/>
        <w:tblLook w:val="04A0" w:firstRow="1" w:lastRow="0" w:firstColumn="1" w:lastColumn="0" w:noHBand="0" w:noVBand="1"/>
      </w:tblPr>
      <w:tblGrid>
        <w:gridCol w:w="1826"/>
        <w:gridCol w:w="1523"/>
        <w:gridCol w:w="1409"/>
        <w:gridCol w:w="1871"/>
        <w:gridCol w:w="1916"/>
        <w:gridCol w:w="2137"/>
      </w:tblGrid>
      <w:tr w:rsidR="00B37294">
        <w:trPr>
          <w:trHeight w:val="300"/>
        </w:trPr>
        <w:tc>
          <w:tcPr>
            <w:tcW w:w="1826" w:type="dxa"/>
            <w:vMerge w:val="restart"/>
            <w:noWrap/>
            <w:hideMark/>
          </w:tcPr>
          <w:p w:rsidR="00B37294" w:rsidRDefault="00D20261">
            <w:pPr>
              <w:rPr>
                <w:b/>
                <w:noProof/>
              </w:rPr>
            </w:pPr>
            <w:r>
              <w:rPr>
                <w:b/>
                <w:noProof/>
              </w:rPr>
              <w:t>Année de construction</w:t>
            </w:r>
          </w:p>
        </w:tc>
        <w:tc>
          <w:tcPr>
            <w:tcW w:w="8856" w:type="dxa"/>
            <w:gridSpan w:val="5"/>
            <w:noWrap/>
            <w:hideMark/>
          </w:tcPr>
          <w:p w:rsidR="00B37294" w:rsidRDefault="00D20261">
            <w:pPr>
              <w:rPr>
                <w:b/>
                <w:noProof/>
              </w:rPr>
            </w:pPr>
            <w:r>
              <w:rPr>
                <w:b/>
                <w:noProof/>
              </w:rPr>
              <w:t>Région</w:t>
            </w:r>
          </w:p>
        </w:tc>
      </w:tr>
      <w:tr w:rsidR="00B37294">
        <w:trPr>
          <w:trHeight w:val="300"/>
        </w:trPr>
        <w:tc>
          <w:tcPr>
            <w:tcW w:w="1826" w:type="dxa"/>
            <w:vMerge/>
            <w:noWrap/>
            <w:hideMark/>
          </w:tcPr>
          <w:p w:rsidR="00B37294" w:rsidRDefault="00B37294">
            <w:pPr>
              <w:rPr>
                <w:b/>
                <w:noProof/>
              </w:rPr>
            </w:pPr>
          </w:p>
        </w:tc>
        <w:tc>
          <w:tcPr>
            <w:tcW w:w="1523" w:type="dxa"/>
            <w:noWrap/>
            <w:hideMark/>
          </w:tcPr>
          <w:p w:rsidR="00B37294" w:rsidRDefault="00D20261">
            <w:pPr>
              <w:rPr>
                <w:b/>
                <w:noProof/>
              </w:rPr>
            </w:pPr>
            <w:r>
              <w:rPr>
                <w:b/>
                <w:noProof/>
              </w:rPr>
              <w:t>Mer Baltique</w:t>
            </w:r>
          </w:p>
        </w:tc>
        <w:tc>
          <w:tcPr>
            <w:tcW w:w="1409" w:type="dxa"/>
            <w:noWrap/>
            <w:hideMark/>
          </w:tcPr>
          <w:p w:rsidR="00B37294" w:rsidRDefault="00D20261">
            <w:pPr>
              <w:rPr>
                <w:b/>
                <w:noProof/>
              </w:rPr>
            </w:pPr>
            <w:r>
              <w:rPr>
                <w:b/>
                <w:noProof/>
              </w:rPr>
              <w:t>Mer Noire</w:t>
            </w:r>
          </w:p>
        </w:tc>
        <w:tc>
          <w:tcPr>
            <w:tcW w:w="1871" w:type="dxa"/>
            <w:noWrap/>
            <w:hideMark/>
          </w:tcPr>
          <w:p w:rsidR="00B37294" w:rsidRDefault="00D20261">
            <w:pPr>
              <w:rPr>
                <w:b/>
                <w:noProof/>
              </w:rPr>
            </w:pPr>
            <w:r>
              <w:rPr>
                <w:b/>
                <w:noProof/>
              </w:rPr>
              <w:t>Méditerranée</w:t>
            </w:r>
          </w:p>
        </w:tc>
        <w:tc>
          <w:tcPr>
            <w:tcW w:w="1916" w:type="dxa"/>
            <w:noWrap/>
            <w:hideMark/>
          </w:tcPr>
          <w:p w:rsidR="00B37294" w:rsidRDefault="00D20261">
            <w:pPr>
              <w:rPr>
                <w:b/>
                <w:noProof/>
              </w:rPr>
            </w:pPr>
            <w:r>
              <w:rPr>
                <w:b/>
                <w:noProof/>
              </w:rPr>
              <w:t>Mer du Nord et Atlantique</w:t>
            </w:r>
          </w:p>
        </w:tc>
        <w:tc>
          <w:tcPr>
            <w:tcW w:w="2137" w:type="dxa"/>
            <w:noWrap/>
            <w:hideMark/>
          </w:tcPr>
          <w:p w:rsidR="00B37294" w:rsidRDefault="00D20261">
            <w:pPr>
              <w:rPr>
                <w:b/>
                <w:noProof/>
              </w:rPr>
            </w:pPr>
            <w:r>
              <w:rPr>
                <w:b/>
                <w:noProof/>
              </w:rPr>
              <w:t>Total UE</w:t>
            </w:r>
          </w:p>
        </w:tc>
      </w:tr>
      <w:tr w:rsidR="00B37294">
        <w:trPr>
          <w:trHeight w:val="300"/>
        </w:trPr>
        <w:tc>
          <w:tcPr>
            <w:tcW w:w="1826" w:type="dxa"/>
            <w:noWrap/>
            <w:hideMark/>
          </w:tcPr>
          <w:p w:rsidR="00B37294" w:rsidRDefault="00D20261">
            <w:pPr>
              <w:rPr>
                <w:b/>
                <w:noProof/>
              </w:rPr>
            </w:pPr>
            <w:r>
              <w:rPr>
                <w:b/>
                <w:noProof/>
              </w:rPr>
              <w:t>1950-1959</w:t>
            </w:r>
          </w:p>
        </w:tc>
        <w:tc>
          <w:tcPr>
            <w:tcW w:w="1523" w:type="dxa"/>
            <w:noWrap/>
            <w:hideMark/>
          </w:tcPr>
          <w:p w:rsidR="00B37294" w:rsidRDefault="00D20261">
            <w:pPr>
              <w:rPr>
                <w:noProof/>
              </w:rPr>
            </w:pPr>
            <w:r>
              <w:rPr>
                <w:noProof/>
              </w:rPr>
              <w:t>0</w:t>
            </w:r>
          </w:p>
        </w:tc>
        <w:tc>
          <w:tcPr>
            <w:tcW w:w="1409" w:type="dxa"/>
            <w:noWrap/>
            <w:hideMark/>
          </w:tcPr>
          <w:p w:rsidR="00B37294" w:rsidRDefault="00D20261">
            <w:pPr>
              <w:rPr>
                <w:noProof/>
              </w:rPr>
            </w:pPr>
            <w:r>
              <w:rPr>
                <w:noProof/>
              </w:rPr>
              <w:t>0</w:t>
            </w:r>
          </w:p>
        </w:tc>
        <w:tc>
          <w:tcPr>
            <w:tcW w:w="1871" w:type="dxa"/>
            <w:noWrap/>
            <w:hideMark/>
          </w:tcPr>
          <w:p w:rsidR="00B37294" w:rsidRDefault="00D20261">
            <w:pPr>
              <w:rPr>
                <w:noProof/>
              </w:rPr>
            </w:pPr>
            <w:r>
              <w:rPr>
                <w:noProof/>
              </w:rPr>
              <w:t>0</w:t>
            </w:r>
          </w:p>
        </w:tc>
        <w:tc>
          <w:tcPr>
            <w:tcW w:w="1916" w:type="dxa"/>
            <w:noWrap/>
            <w:hideMark/>
          </w:tcPr>
          <w:p w:rsidR="00B37294" w:rsidRDefault="00D20261">
            <w:pPr>
              <w:rPr>
                <w:noProof/>
              </w:rPr>
            </w:pPr>
            <w:r>
              <w:rPr>
                <w:noProof/>
              </w:rPr>
              <w:t>4</w:t>
            </w:r>
          </w:p>
        </w:tc>
        <w:tc>
          <w:tcPr>
            <w:tcW w:w="2137" w:type="dxa"/>
            <w:noWrap/>
            <w:hideMark/>
          </w:tcPr>
          <w:p w:rsidR="00B37294" w:rsidRDefault="00D20261">
            <w:pPr>
              <w:rPr>
                <w:b/>
                <w:noProof/>
              </w:rPr>
            </w:pPr>
            <w:r>
              <w:rPr>
                <w:b/>
                <w:noProof/>
              </w:rPr>
              <w:t>4</w:t>
            </w:r>
          </w:p>
        </w:tc>
      </w:tr>
      <w:tr w:rsidR="00B37294">
        <w:trPr>
          <w:trHeight w:val="300"/>
        </w:trPr>
        <w:tc>
          <w:tcPr>
            <w:tcW w:w="1826" w:type="dxa"/>
            <w:noWrap/>
            <w:hideMark/>
          </w:tcPr>
          <w:p w:rsidR="00B37294" w:rsidRDefault="00D20261">
            <w:pPr>
              <w:rPr>
                <w:b/>
                <w:noProof/>
              </w:rPr>
            </w:pPr>
            <w:r>
              <w:rPr>
                <w:b/>
                <w:noProof/>
              </w:rPr>
              <w:t>1960-1969</w:t>
            </w:r>
          </w:p>
        </w:tc>
        <w:tc>
          <w:tcPr>
            <w:tcW w:w="1523" w:type="dxa"/>
            <w:noWrap/>
            <w:hideMark/>
          </w:tcPr>
          <w:p w:rsidR="00B37294" w:rsidRDefault="00D20261">
            <w:pPr>
              <w:rPr>
                <w:noProof/>
              </w:rPr>
            </w:pPr>
            <w:r>
              <w:rPr>
                <w:noProof/>
              </w:rPr>
              <w:t>0</w:t>
            </w:r>
          </w:p>
        </w:tc>
        <w:tc>
          <w:tcPr>
            <w:tcW w:w="1409" w:type="dxa"/>
            <w:noWrap/>
            <w:hideMark/>
          </w:tcPr>
          <w:p w:rsidR="00B37294" w:rsidRDefault="00D20261">
            <w:pPr>
              <w:rPr>
                <w:noProof/>
              </w:rPr>
            </w:pPr>
            <w:r>
              <w:rPr>
                <w:noProof/>
              </w:rPr>
              <w:t>0</w:t>
            </w:r>
          </w:p>
        </w:tc>
        <w:tc>
          <w:tcPr>
            <w:tcW w:w="1871" w:type="dxa"/>
            <w:noWrap/>
            <w:hideMark/>
          </w:tcPr>
          <w:p w:rsidR="00B37294" w:rsidRDefault="00D20261">
            <w:pPr>
              <w:rPr>
                <w:noProof/>
              </w:rPr>
            </w:pPr>
            <w:r>
              <w:rPr>
                <w:noProof/>
              </w:rPr>
              <w:t>7</w:t>
            </w:r>
          </w:p>
        </w:tc>
        <w:tc>
          <w:tcPr>
            <w:tcW w:w="1916" w:type="dxa"/>
            <w:noWrap/>
            <w:hideMark/>
          </w:tcPr>
          <w:p w:rsidR="00B37294" w:rsidRDefault="00D20261">
            <w:pPr>
              <w:rPr>
                <w:noProof/>
              </w:rPr>
            </w:pPr>
            <w:r>
              <w:rPr>
                <w:noProof/>
              </w:rPr>
              <w:t>21</w:t>
            </w:r>
          </w:p>
        </w:tc>
        <w:tc>
          <w:tcPr>
            <w:tcW w:w="2137" w:type="dxa"/>
            <w:noWrap/>
            <w:hideMark/>
          </w:tcPr>
          <w:p w:rsidR="00B37294" w:rsidRDefault="00D20261">
            <w:pPr>
              <w:rPr>
                <w:b/>
                <w:noProof/>
              </w:rPr>
            </w:pPr>
            <w:r>
              <w:rPr>
                <w:b/>
                <w:noProof/>
              </w:rPr>
              <w:t>28</w:t>
            </w:r>
          </w:p>
        </w:tc>
      </w:tr>
      <w:tr w:rsidR="00B37294">
        <w:trPr>
          <w:trHeight w:val="300"/>
        </w:trPr>
        <w:tc>
          <w:tcPr>
            <w:tcW w:w="1826" w:type="dxa"/>
            <w:noWrap/>
            <w:hideMark/>
          </w:tcPr>
          <w:p w:rsidR="00B37294" w:rsidRDefault="00D20261">
            <w:pPr>
              <w:rPr>
                <w:b/>
                <w:noProof/>
              </w:rPr>
            </w:pPr>
            <w:r>
              <w:rPr>
                <w:b/>
                <w:noProof/>
              </w:rPr>
              <w:t>1970-1979</w:t>
            </w:r>
          </w:p>
        </w:tc>
        <w:tc>
          <w:tcPr>
            <w:tcW w:w="1523" w:type="dxa"/>
            <w:noWrap/>
            <w:hideMark/>
          </w:tcPr>
          <w:p w:rsidR="00B37294" w:rsidRDefault="00D20261">
            <w:pPr>
              <w:rPr>
                <w:noProof/>
              </w:rPr>
            </w:pPr>
            <w:r>
              <w:rPr>
                <w:noProof/>
              </w:rPr>
              <w:t>0</w:t>
            </w:r>
          </w:p>
        </w:tc>
        <w:tc>
          <w:tcPr>
            <w:tcW w:w="1409" w:type="dxa"/>
            <w:noWrap/>
            <w:hideMark/>
          </w:tcPr>
          <w:p w:rsidR="00B37294" w:rsidRDefault="00D20261">
            <w:pPr>
              <w:rPr>
                <w:noProof/>
              </w:rPr>
            </w:pPr>
            <w:r>
              <w:rPr>
                <w:noProof/>
              </w:rPr>
              <w:t>0</w:t>
            </w:r>
          </w:p>
        </w:tc>
        <w:tc>
          <w:tcPr>
            <w:tcW w:w="1871" w:type="dxa"/>
            <w:noWrap/>
            <w:hideMark/>
          </w:tcPr>
          <w:p w:rsidR="00B37294" w:rsidRDefault="00D20261">
            <w:pPr>
              <w:rPr>
                <w:noProof/>
              </w:rPr>
            </w:pPr>
            <w:r>
              <w:rPr>
                <w:noProof/>
              </w:rPr>
              <w:t>14</w:t>
            </w:r>
          </w:p>
        </w:tc>
        <w:tc>
          <w:tcPr>
            <w:tcW w:w="1916" w:type="dxa"/>
            <w:noWrap/>
            <w:hideMark/>
          </w:tcPr>
          <w:p w:rsidR="00B37294" w:rsidRDefault="00D20261">
            <w:pPr>
              <w:rPr>
                <w:noProof/>
              </w:rPr>
            </w:pPr>
            <w:r>
              <w:rPr>
                <w:noProof/>
              </w:rPr>
              <w:t>41</w:t>
            </w:r>
          </w:p>
        </w:tc>
        <w:tc>
          <w:tcPr>
            <w:tcW w:w="2137" w:type="dxa"/>
            <w:noWrap/>
            <w:hideMark/>
          </w:tcPr>
          <w:p w:rsidR="00B37294" w:rsidRDefault="00D20261">
            <w:pPr>
              <w:rPr>
                <w:b/>
                <w:noProof/>
              </w:rPr>
            </w:pPr>
            <w:r>
              <w:rPr>
                <w:b/>
                <w:noProof/>
              </w:rPr>
              <w:t>55</w:t>
            </w:r>
          </w:p>
        </w:tc>
      </w:tr>
      <w:tr w:rsidR="00B37294">
        <w:trPr>
          <w:trHeight w:val="300"/>
        </w:trPr>
        <w:tc>
          <w:tcPr>
            <w:tcW w:w="1826" w:type="dxa"/>
            <w:noWrap/>
            <w:hideMark/>
          </w:tcPr>
          <w:p w:rsidR="00B37294" w:rsidRDefault="00D20261">
            <w:pPr>
              <w:rPr>
                <w:b/>
                <w:noProof/>
              </w:rPr>
            </w:pPr>
            <w:r>
              <w:rPr>
                <w:b/>
                <w:noProof/>
              </w:rPr>
              <w:t>1980-1989</w:t>
            </w:r>
          </w:p>
        </w:tc>
        <w:tc>
          <w:tcPr>
            <w:tcW w:w="1523" w:type="dxa"/>
            <w:noWrap/>
            <w:hideMark/>
          </w:tcPr>
          <w:p w:rsidR="00B37294" w:rsidRDefault="00D20261">
            <w:pPr>
              <w:rPr>
                <w:noProof/>
              </w:rPr>
            </w:pPr>
            <w:r>
              <w:rPr>
                <w:noProof/>
              </w:rPr>
              <w:t>0</w:t>
            </w:r>
          </w:p>
        </w:tc>
        <w:tc>
          <w:tcPr>
            <w:tcW w:w="1409" w:type="dxa"/>
            <w:noWrap/>
            <w:hideMark/>
          </w:tcPr>
          <w:p w:rsidR="00B37294" w:rsidRDefault="00D20261">
            <w:pPr>
              <w:rPr>
                <w:noProof/>
              </w:rPr>
            </w:pPr>
            <w:r>
              <w:rPr>
                <w:noProof/>
              </w:rPr>
              <w:t>2</w:t>
            </w:r>
          </w:p>
        </w:tc>
        <w:tc>
          <w:tcPr>
            <w:tcW w:w="1871" w:type="dxa"/>
            <w:noWrap/>
            <w:hideMark/>
          </w:tcPr>
          <w:p w:rsidR="00B37294" w:rsidRDefault="00D20261">
            <w:pPr>
              <w:rPr>
                <w:noProof/>
              </w:rPr>
            </w:pPr>
            <w:r>
              <w:rPr>
                <w:noProof/>
              </w:rPr>
              <w:t>53</w:t>
            </w:r>
          </w:p>
        </w:tc>
        <w:tc>
          <w:tcPr>
            <w:tcW w:w="1916" w:type="dxa"/>
            <w:noWrap/>
            <w:hideMark/>
          </w:tcPr>
          <w:p w:rsidR="00B37294" w:rsidRDefault="00D20261">
            <w:pPr>
              <w:rPr>
                <w:noProof/>
              </w:rPr>
            </w:pPr>
            <w:r>
              <w:rPr>
                <w:noProof/>
              </w:rPr>
              <w:t>82</w:t>
            </w:r>
          </w:p>
        </w:tc>
        <w:tc>
          <w:tcPr>
            <w:tcW w:w="2137" w:type="dxa"/>
            <w:noWrap/>
            <w:hideMark/>
          </w:tcPr>
          <w:p w:rsidR="00B37294" w:rsidRDefault="00D20261">
            <w:pPr>
              <w:rPr>
                <w:b/>
                <w:noProof/>
              </w:rPr>
            </w:pPr>
            <w:r>
              <w:rPr>
                <w:b/>
                <w:noProof/>
              </w:rPr>
              <w:t>137</w:t>
            </w:r>
          </w:p>
        </w:tc>
      </w:tr>
      <w:tr w:rsidR="00B37294">
        <w:trPr>
          <w:trHeight w:val="300"/>
        </w:trPr>
        <w:tc>
          <w:tcPr>
            <w:tcW w:w="1826" w:type="dxa"/>
            <w:noWrap/>
            <w:hideMark/>
          </w:tcPr>
          <w:p w:rsidR="00B37294" w:rsidRDefault="00D20261">
            <w:pPr>
              <w:rPr>
                <w:b/>
                <w:noProof/>
              </w:rPr>
            </w:pPr>
            <w:r>
              <w:rPr>
                <w:b/>
                <w:noProof/>
              </w:rPr>
              <w:t>1990-1999</w:t>
            </w:r>
          </w:p>
        </w:tc>
        <w:tc>
          <w:tcPr>
            <w:tcW w:w="1523" w:type="dxa"/>
            <w:noWrap/>
            <w:hideMark/>
          </w:tcPr>
          <w:p w:rsidR="00B37294" w:rsidRDefault="00D20261">
            <w:pPr>
              <w:rPr>
                <w:noProof/>
              </w:rPr>
            </w:pPr>
            <w:r>
              <w:rPr>
                <w:noProof/>
              </w:rPr>
              <w:t>1</w:t>
            </w:r>
          </w:p>
        </w:tc>
        <w:tc>
          <w:tcPr>
            <w:tcW w:w="1409" w:type="dxa"/>
            <w:noWrap/>
            <w:hideMark/>
          </w:tcPr>
          <w:p w:rsidR="00B37294" w:rsidRDefault="00D20261">
            <w:pPr>
              <w:rPr>
                <w:noProof/>
              </w:rPr>
            </w:pPr>
            <w:r>
              <w:rPr>
                <w:noProof/>
              </w:rPr>
              <w:t>3</w:t>
            </w:r>
          </w:p>
        </w:tc>
        <w:tc>
          <w:tcPr>
            <w:tcW w:w="1871" w:type="dxa"/>
            <w:noWrap/>
            <w:hideMark/>
          </w:tcPr>
          <w:p w:rsidR="00B37294" w:rsidRDefault="00D20261">
            <w:pPr>
              <w:rPr>
                <w:noProof/>
              </w:rPr>
            </w:pPr>
            <w:r>
              <w:rPr>
                <w:noProof/>
              </w:rPr>
              <w:t>42</w:t>
            </w:r>
          </w:p>
        </w:tc>
        <w:tc>
          <w:tcPr>
            <w:tcW w:w="1916" w:type="dxa"/>
            <w:noWrap/>
            <w:hideMark/>
          </w:tcPr>
          <w:p w:rsidR="00B37294" w:rsidRDefault="00D20261">
            <w:pPr>
              <w:rPr>
                <w:noProof/>
              </w:rPr>
            </w:pPr>
            <w:r>
              <w:rPr>
                <w:noProof/>
              </w:rPr>
              <w:t>119</w:t>
            </w:r>
          </w:p>
        </w:tc>
        <w:tc>
          <w:tcPr>
            <w:tcW w:w="2137" w:type="dxa"/>
            <w:noWrap/>
            <w:hideMark/>
          </w:tcPr>
          <w:p w:rsidR="00B37294" w:rsidRDefault="00D20261">
            <w:pPr>
              <w:rPr>
                <w:b/>
                <w:noProof/>
              </w:rPr>
            </w:pPr>
            <w:r>
              <w:rPr>
                <w:b/>
                <w:noProof/>
              </w:rPr>
              <w:t>165</w:t>
            </w:r>
          </w:p>
        </w:tc>
      </w:tr>
      <w:tr w:rsidR="00B37294">
        <w:trPr>
          <w:trHeight w:val="300"/>
        </w:trPr>
        <w:tc>
          <w:tcPr>
            <w:tcW w:w="1826" w:type="dxa"/>
            <w:noWrap/>
            <w:hideMark/>
          </w:tcPr>
          <w:p w:rsidR="00B37294" w:rsidRDefault="00D20261">
            <w:pPr>
              <w:rPr>
                <w:b/>
                <w:noProof/>
              </w:rPr>
            </w:pPr>
            <w:r>
              <w:rPr>
                <w:b/>
                <w:noProof/>
              </w:rPr>
              <w:t>2000-2009</w:t>
            </w:r>
          </w:p>
        </w:tc>
        <w:tc>
          <w:tcPr>
            <w:tcW w:w="1523" w:type="dxa"/>
            <w:noWrap/>
            <w:hideMark/>
          </w:tcPr>
          <w:p w:rsidR="00B37294" w:rsidRDefault="00D20261">
            <w:pPr>
              <w:rPr>
                <w:noProof/>
              </w:rPr>
            </w:pPr>
            <w:r>
              <w:rPr>
                <w:noProof/>
              </w:rPr>
              <w:t>1</w:t>
            </w:r>
          </w:p>
        </w:tc>
        <w:tc>
          <w:tcPr>
            <w:tcW w:w="1409" w:type="dxa"/>
            <w:noWrap/>
            <w:hideMark/>
          </w:tcPr>
          <w:p w:rsidR="00B37294" w:rsidRDefault="00D20261">
            <w:pPr>
              <w:rPr>
                <w:noProof/>
              </w:rPr>
            </w:pPr>
            <w:r>
              <w:rPr>
                <w:noProof/>
              </w:rPr>
              <w:t>3</w:t>
            </w:r>
          </w:p>
        </w:tc>
        <w:tc>
          <w:tcPr>
            <w:tcW w:w="1871" w:type="dxa"/>
            <w:noWrap/>
            <w:hideMark/>
          </w:tcPr>
          <w:p w:rsidR="00B37294" w:rsidRDefault="00D20261">
            <w:pPr>
              <w:rPr>
                <w:noProof/>
              </w:rPr>
            </w:pPr>
            <w:r>
              <w:rPr>
                <w:noProof/>
              </w:rPr>
              <w:t>40</w:t>
            </w:r>
          </w:p>
        </w:tc>
        <w:tc>
          <w:tcPr>
            <w:tcW w:w="1916" w:type="dxa"/>
            <w:noWrap/>
            <w:hideMark/>
          </w:tcPr>
          <w:p w:rsidR="00B37294" w:rsidRDefault="00D20261">
            <w:pPr>
              <w:rPr>
                <w:noProof/>
              </w:rPr>
            </w:pPr>
            <w:r>
              <w:rPr>
                <w:noProof/>
              </w:rPr>
              <w:t>70</w:t>
            </w:r>
          </w:p>
        </w:tc>
        <w:tc>
          <w:tcPr>
            <w:tcW w:w="2137" w:type="dxa"/>
            <w:noWrap/>
            <w:hideMark/>
          </w:tcPr>
          <w:p w:rsidR="00B37294" w:rsidRDefault="00D20261">
            <w:pPr>
              <w:rPr>
                <w:b/>
                <w:noProof/>
              </w:rPr>
            </w:pPr>
            <w:r>
              <w:rPr>
                <w:b/>
                <w:noProof/>
              </w:rPr>
              <w:t>114</w:t>
            </w:r>
          </w:p>
        </w:tc>
      </w:tr>
      <w:tr w:rsidR="00B37294">
        <w:trPr>
          <w:trHeight w:val="300"/>
        </w:trPr>
        <w:tc>
          <w:tcPr>
            <w:tcW w:w="1826" w:type="dxa"/>
            <w:noWrap/>
            <w:hideMark/>
          </w:tcPr>
          <w:p w:rsidR="00B37294" w:rsidRDefault="00D20261">
            <w:pPr>
              <w:rPr>
                <w:b/>
                <w:noProof/>
              </w:rPr>
            </w:pPr>
            <w:r>
              <w:rPr>
                <w:b/>
                <w:noProof/>
              </w:rPr>
              <w:t>2010-2019</w:t>
            </w:r>
          </w:p>
        </w:tc>
        <w:tc>
          <w:tcPr>
            <w:tcW w:w="1523" w:type="dxa"/>
            <w:noWrap/>
            <w:hideMark/>
          </w:tcPr>
          <w:p w:rsidR="00B37294" w:rsidRDefault="00D20261">
            <w:pPr>
              <w:rPr>
                <w:noProof/>
              </w:rPr>
            </w:pPr>
            <w:r>
              <w:rPr>
                <w:noProof/>
              </w:rPr>
              <w:t>0</w:t>
            </w:r>
          </w:p>
        </w:tc>
        <w:tc>
          <w:tcPr>
            <w:tcW w:w="1409" w:type="dxa"/>
            <w:noWrap/>
            <w:hideMark/>
          </w:tcPr>
          <w:p w:rsidR="00B37294" w:rsidRDefault="00D20261">
            <w:pPr>
              <w:rPr>
                <w:noProof/>
              </w:rPr>
            </w:pPr>
            <w:r>
              <w:rPr>
                <w:noProof/>
              </w:rPr>
              <w:t>0</w:t>
            </w:r>
          </w:p>
        </w:tc>
        <w:tc>
          <w:tcPr>
            <w:tcW w:w="1871" w:type="dxa"/>
            <w:noWrap/>
            <w:hideMark/>
          </w:tcPr>
          <w:p w:rsidR="00B37294" w:rsidRDefault="00D20261">
            <w:pPr>
              <w:rPr>
                <w:noProof/>
              </w:rPr>
            </w:pPr>
            <w:r>
              <w:rPr>
                <w:noProof/>
              </w:rPr>
              <w:t>10</w:t>
            </w:r>
          </w:p>
        </w:tc>
        <w:tc>
          <w:tcPr>
            <w:tcW w:w="1916" w:type="dxa"/>
            <w:noWrap/>
            <w:hideMark/>
          </w:tcPr>
          <w:p w:rsidR="00B37294" w:rsidRDefault="00D20261">
            <w:pPr>
              <w:rPr>
                <w:noProof/>
              </w:rPr>
            </w:pPr>
            <w:r>
              <w:rPr>
                <w:noProof/>
              </w:rPr>
              <w:t>43</w:t>
            </w:r>
          </w:p>
        </w:tc>
        <w:tc>
          <w:tcPr>
            <w:tcW w:w="2137" w:type="dxa"/>
            <w:noWrap/>
            <w:hideMark/>
          </w:tcPr>
          <w:p w:rsidR="00B37294" w:rsidRDefault="00D20261">
            <w:pPr>
              <w:rPr>
                <w:b/>
                <w:noProof/>
              </w:rPr>
            </w:pPr>
            <w:r>
              <w:rPr>
                <w:b/>
                <w:noProof/>
              </w:rPr>
              <w:t>53</w:t>
            </w:r>
          </w:p>
        </w:tc>
      </w:tr>
      <w:tr w:rsidR="00B37294">
        <w:trPr>
          <w:trHeight w:val="300"/>
        </w:trPr>
        <w:tc>
          <w:tcPr>
            <w:tcW w:w="1826" w:type="dxa"/>
            <w:noWrap/>
            <w:hideMark/>
          </w:tcPr>
          <w:p w:rsidR="00B37294" w:rsidRDefault="00D20261">
            <w:pPr>
              <w:rPr>
                <w:b/>
                <w:noProof/>
              </w:rPr>
            </w:pPr>
            <w:r>
              <w:rPr>
                <w:b/>
                <w:noProof/>
              </w:rPr>
              <w:t>2020-2029</w:t>
            </w:r>
          </w:p>
        </w:tc>
        <w:tc>
          <w:tcPr>
            <w:tcW w:w="1523" w:type="dxa"/>
            <w:noWrap/>
            <w:hideMark/>
          </w:tcPr>
          <w:p w:rsidR="00B37294" w:rsidRDefault="00D20261">
            <w:pPr>
              <w:rPr>
                <w:noProof/>
              </w:rPr>
            </w:pPr>
            <w:r>
              <w:rPr>
                <w:noProof/>
              </w:rPr>
              <w:t>0</w:t>
            </w:r>
          </w:p>
        </w:tc>
        <w:tc>
          <w:tcPr>
            <w:tcW w:w="1409" w:type="dxa"/>
            <w:noWrap/>
            <w:hideMark/>
          </w:tcPr>
          <w:p w:rsidR="00B37294" w:rsidRDefault="00D20261">
            <w:pPr>
              <w:rPr>
                <w:noProof/>
              </w:rPr>
            </w:pPr>
            <w:r>
              <w:rPr>
                <w:noProof/>
              </w:rPr>
              <w:t>0</w:t>
            </w:r>
          </w:p>
        </w:tc>
        <w:tc>
          <w:tcPr>
            <w:tcW w:w="1871" w:type="dxa"/>
            <w:noWrap/>
            <w:hideMark/>
          </w:tcPr>
          <w:p w:rsidR="00B37294" w:rsidRDefault="00D20261">
            <w:pPr>
              <w:rPr>
                <w:noProof/>
              </w:rPr>
            </w:pPr>
            <w:r>
              <w:rPr>
                <w:noProof/>
              </w:rPr>
              <w:t>0</w:t>
            </w:r>
          </w:p>
        </w:tc>
        <w:tc>
          <w:tcPr>
            <w:tcW w:w="1916" w:type="dxa"/>
            <w:noWrap/>
            <w:hideMark/>
          </w:tcPr>
          <w:p w:rsidR="00B37294" w:rsidRDefault="00D20261">
            <w:pPr>
              <w:rPr>
                <w:noProof/>
              </w:rPr>
            </w:pPr>
            <w:r>
              <w:rPr>
                <w:noProof/>
              </w:rPr>
              <w:t>0</w:t>
            </w:r>
          </w:p>
        </w:tc>
        <w:tc>
          <w:tcPr>
            <w:tcW w:w="2137" w:type="dxa"/>
            <w:noWrap/>
            <w:hideMark/>
          </w:tcPr>
          <w:p w:rsidR="00B37294" w:rsidRDefault="00D20261">
            <w:pPr>
              <w:rPr>
                <w:b/>
                <w:noProof/>
              </w:rPr>
            </w:pPr>
            <w:r>
              <w:rPr>
                <w:b/>
                <w:noProof/>
              </w:rPr>
              <w:t>0</w:t>
            </w:r>
          </w:p>
        </w:tc>
      </w:tr>
      <w:tr w:rsidR="00B37294">
        <w:trPr>
          <w:trHeight w:val="300"/>
        </w:trPr>
        <w:tc>
          <w:tcPr>
            <w:tcW w:w="1826" w:type="dxa"/>
            <w:noWrap/>
            <w:hideMark/>
          </w:tcPr>
          <w:p w:rsidR="00B37294" w:rsidRDefault="00D20261">
            <w:pPr>
              <w:rPr>
                <w:b/>
                <w:noProof/>
              </w:rPr>
            </w:pPr>
            <w:r>
              <w:rPr>
                <w:b/>
                <w:noProof/>
              </w:rPr>
              <w:t>Total UE</w:t>
            </w:r>
          </w:p>
        </w:tc>
        <w:tc>
          <w:tcPr>
            <w:tcW w:w="1523" w:type="dxa"/>
            <w:noWrap/>
            <w:hideMark/>
          </w:tcPr>
          <w:p w:rsidR="00B37294" w:rsidRDefault="00D20261">
            <w:pPr>
              <w:rPr>
                <w:b/>
                <w:noProof/>
              </w:rPr>
            </w:pPr>
            <w:r>
              <w:rPr>
                <w:b/>
                <w:noProof/>
              </w:rPr>
              <w:t>2</w:t>
            </w:r>
          </w:p>
        </w:tc>
        <w:tc>
          <w:tcPr>
            <w:tcW w:w="1409" w:type="dxa"/>
            <w:noWrap/>
            <w:hideMark/>
          </w:tcPr>
          <w:p w:rsidR="00B37294" w:rsidRDefault="00D20261">
            <w:pPr>
              <w:rPr>
                <w:b/>
                <w:noProof/>
              </w:rPr>
            </w:pPr>
            <w:r>
              <w:rPr>
                <w:b/>
                <w:noProof/>
              </w:rPr>
              <w:t>8</w:t>
            </w:r>
          </w:p>
        </w:tc>
        <w:tc>
          <w:tcPr>
            <w:tcW w:w="1871" w:type="dxa"/>
            <w:noWrap/>
            <w:hideMark/>
          </w:tcPr>
          <w:p w:rsidR="00B37294" w:rsidRDefault="00D20261">
            <w:pPr>
              <w:rPr>
                <w:b/>
                <w:noProof/>
              </w:rPr>
            </w:pPr>
            <w:r>
              <w:rPr>
                <w:b/>
                <w:noProof/>
              </w:rPr>
              <w:t>166</w:t>
            </w:r>
          </w:p>
        </w:tc>
        <w:tc>
          <w:tcPr>
            <w:tcW w:w="1916" w:type="dxa"/>
            <w:noWrap/>
            <w:hideMark/>
          </w:tcPr>
          <w:p w:rsidR="00B37294" w:rsidRDefault="00D20261">
            <w:pPr>
              <w:rPr>
                <w:b/>
                <w:noProof/>
              </w:rPr>
            </w:pPr>
            <w:r>
              <w:rPr>
                <w:b/>
                <w:noProof/>
              </w:rPr>
              <w:t>380</w:t>
            </w:r>
          </w:p>
        </w:tc>
        <w:tc>
          <w:tcPr>
            <w:tcW w:w="2137" w:type="dxa"/>
            <w:noWrap/>
            <w:hideMark/>
          </w:tcPr>
          <w:p w:rsidR="00B37294" w:rsidRDefault="00D20261">
            <w:pPr>
              <w:rPr>
                <w:b/>
                <w:noProof/>
              </w:rPr>
            </w:pPr>
            <w:r>
              <w:rPr>
                <w:b/>
                <w:noProof/>
              </w:rPr>
              <w:t>556</w:t>
            </w:r>
          </w:p>
        </w:tc>
      </w:tr>
    </w:tbl>
    <w:p w:rsidR="00B37294" w:rsidRDefault="00B37294">
      <w:pPr>
        <w:rPr>
          <w:noProof/>
        </w:rPr>
      </w:pPr>
    </w:p>
    <w:p w:rsidR="00B37294" w:rsidRDefault="00D20261">
      <w:pPr>
        <w:spacing w:after="0" w:line="240" w:lineRule="auto"/>
        <w:rPr>
          <w:rFonts w:ascii="Times New Roman" w:hAnsi="Times New Roman"/>
          <w:noProof/>
          <w:sz w:val="24"/>
          <w:szCs w:val="24"/>
        </w:rPr>
      </w:pPr>
      <w:r>
        <w:rPr>
          <w:noProof/>
        </w:rPr>
        <w:br w:type="page"/>
      </w:r>
    </w:p>
    <w:p w:rsidR="00B37294" w:rsidRDefault="00D20261">
      <w:pPr>
        <w:jc w:val="both"/>
        <w:rPr>
          <w:rFonts w:ascii="Times New Roman" w:hAnsi="Times New Roman"/>
          <w:noProof/>
          <w:sz w:val="24"/>
          <w:szCs w:val="24"/>
        </w:rPr>
      </w:pPr>
      <w:r>
        <w:rPr>
          <w:rFonts w:ascii="Times New Roman" w:hAnsi="Times New Roman"/>
          <w:noProof/>
          <w:sz w:val="24"/>
          <w:szCs w:val="24"/>
        </w:rPr>
        <w:t xml:space="preserve">La production domestique de pétrole et de gaz de l’UE provient en majeure partie (environ 94 %) </w:t>
      </w:r>
      <w:r>
        <w:rPr>
          <w:rFonts w:ascii="Times New Roman" w:hAnsi="Times New Roman"/>
          <w:noProof/>
          <w:sz w:val="24"/>
          <w:szCs w:val="24"/>
        </w:rPr>
        <w:t>de la région «mer du Nord et Atlantique» (tableau 3). Le Royaume-Uni est de loin le contributeur le plus important, suivi des Pays-Bas et du Danemark. L’Italie et la Croatie sont des producteurs actifs en Méditerranée, tandis qu’en mer Noire, seule la Roum</w:t>
      </w:r>
      <w:r>
        <w:rPr>
          <w:rFonts w:ascii="Times New Roman" w:hAnsi="Times New Roman"/>
          <w:noProof/>
          <w:sz w:val="24"/>
          <w:szCs w:val="24"/>
        </w:rPr>
        <w:t>anie dispose à l’heure actuelle d’une production notable de pétrole et de gaz.</w:t>
      </w:r>
    </w:p>
    <w:p w:rsidR="00B37294" w:rsidRDefault="00D20261">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Production de pétrole et de gaz en mer dans l’UE en kilotonnes équivalent pétrole (ktep)</w:t>
      </w:r>
    </w:p>
    <w:tbl>
      <w:tblPr>
        <w:tblStyle w:val="TableGrid"/>
        <w:tblW w:w="10682" w:type="dxa"/>
        <w:tblLook w:val="04A0" w:firstRow="1" w:lastRow="0" w:firstColumn="1" w:lastColumn="0" w:noHBand="0" w:noVBand="1"/>
      </w:tblPr>
      <w:tblGrid>
        <w:gridCol w:w="2843"/>
        <w:gridCol w:w="2354"/>
        <w:gridCol w:w="2849"/>
        <w:gridCol w:w="2636"/>
      </w:tblGrid>
      <w:tr w:rsidR="00B37294">
        <w:trPr>
          <w:trHeight w:val="300"/>
        </w:trPr>
        <w:tc>
          <w:tcPr>
            <w:tcW w:w="2843" w:type="dxa"/>
            <w:noWrap/>
            <w:hideMark/>
          </w:tcPr>
          <w:p w:rsidR="00B37294" w:rsidRDefault="00D20261">
            <w:pPr>
              <w:rPr>
                <w:b/>
                <w:noProof/>
              </w:rPr>
            </w:pPr>
            <w:r>
              <w:rPr>
                <w:b/>
                <w:noProof/>
              </w:rPr>
              <w:t>RÉGION</w:t>
            </w:r>
          </w:p>
        </w:tc>
        <w:tc>
          <w:tcPr>
            <w:tcW w:w="2354" w:type="dxa"/>
            <w:noWrap/>
            <w:hideMark/>
          </w:tcPr>
          <w:p w:rsidR="00B37294" w:rsidRDefault="00D20261">
            <w:pPr>
              <w:rPr>
                <w:b/>
                <w:noProof/>
              </w:rPr>
            </w:pPr>
            <w:r>
              <w:rPr>
                <w:b/>
                <w:noProof/>
              </w:rPr>
              <w:t>Pays</w:t>
            </w:r>
          </w:p>
        </w:tc>
        <w:tc>
          <w:tcPr>
            <w:tcW w:w="2849" w:type="dxa"/>
            <w:noWrap/>
            <w:hideMark/>
          </w:tcPr>
          <w:p w:rsidR="00B37294" w:rsidRDefault="00D20261">
            <w:pPr>
              <w:rPr>
                <w:b/>
                <w:noProof/>
              </w:rPr>
            </w:pPr>
            <w:r>
              <w:rPr>
                <w:b/>
                <w:noProof/>
              </w:rPr>
              <w:t>ktep</w:t>
            </w:r>
          </w:p>
        </w:tc>
        <w:tc>
          <w:tcPr>
            <w:tcW w:w="2636" w:type="dxa"/>
            <w:noWrap/>
            <w:hideMark/>
          </w:tcPr>
          <w:p w:rsidR="00B37294" w:rsidRDefault="00D20261">
            <w:pPr>
              <w:rPr>
                <w:b/>
                <w:noProof/>
              </w:rPr>
            </w:pPr>
            <w:r>
              <w:rPr>
                <w:b/>
                <w:noProof/>
              </w:rPr>
              <w:t>% du total UE</w:t>
            </w:r>
          </w:p>
        </w:tc>
      </w:tr>
      <w:tr w:rsidR="00B37294">
        <w:trPr>
          <w:trHeight w:val="300"/>
        </w:trPr>
        <w:tc>
          <w:tcPr>
            <w:tcW w:w="2843" w:type="dxa"/>
            <w:tcBorders>
              <w:bottom w:val="single" w:sz="4" w:space="0" w:color="FFFFFF" w:themeColor="background1"/>
              <w:right w:val="single" w:sz="4" w:space="0" w:color="FFFFFF" w:themeColor="background1"/>
            </w:tcBorders>
            <w:noWrap/>
            <w:hideMark/>
          </w:tcPr>
          <w:p w:rsidR="00B37294" w:rsidRDefault="00D20261">
            <w:pPr>
              <w:rPr>
                <w:b/>
                <w:noProof/>
              </w:rPr>
            </w:pPr>
            <w:r>
              <w:rPr>
                <w:b/>
                <w:noProof/>
              </w:rPr>
              <w:t>Mer Baltique</w:t>
            </w:r>
          </w:p>
        </w:tc>
        <w:tc>
          <w:tcPr>
            <w:tcW w:w="2354" w:type="dxa"/>
            <w:tcBorders>
              <w:left w:val="single" w:sz="4" w:space="0" w:color="FFFFFF" w:themeColor="background1"/>
            </w:tcBorders>
            <w:noWrap/>
            <w:hideMark/>
          </w:tcPr>
          <w:p w:rsidR="00B37294" w:rsidRDefault="00B37294">
            <w:pPr>
              <w:rPr>
                <w:b/>
                <w:noProof/>
              </w:rPr>
            </w:pPr>
          </w:p>
        </w:tc>
        <w:tc>
          <w:tcPr>
            <w:tcW w:w="2849" w:type="dxa"/>
            <w:noWrap/>
            <w:hideMark/>
          </w:tcPr>
          <w:p w:rsidR="00B37294" w:rsidRDefault="00D20261">
            <w:pPr>
              <w:jc w:val="center"/>
              <w:rPr>
                <w:b/>
                <w:noProof/>
              </w:rPr>
            </w:pPr>
            <w:r>
              <w:rPr>
                <w:b/>
                <w:noProof/>
              </w:rPr>
              <w:t>210,98</w:t>
            </w:r>
          </w:p>
        </w:tc>
        <w:tc>
          <w:tcPr>
            <w:tcW w:w="2636" w:type="dxa"/>
            <w:noWrap/>
            <w:hideMark/>
          </w:tcPr>
          <w:p w:rsidR="00B37294" w:rsidRDefault="00D20261">
            <w:pPr>
              <w:jc w:val="center"/>
              <w:rPr>
                <w:b/>
                <w:noProof/>
              </w:rPr>
            </w:pPr>
            <w:r>
              <w:rPr>
                <w:b/>
                <w:noProof/>
              </w:rPr>
              <w:t>0,19 %</w:t>
            </w:r>
          </w:p>
        </w:tc>
      </w:tr>
      <w:tr w:rsidR="00B37294">
        <w:trPr>
          <w:trHeight w:val="300"/>
        </w:trPr>
        <w:tc>
          <w:tcPr>
            <w:tcW w:w="2843" w:type="dxa"/>
            <w:tcBorders>
              <w:top w:val="single" w:sz="4" w:space="0" w:color="FFFFFF" w:themeColor="background1"/>
            </w:tcBorders>
            <w:noWrap/>
          </w:tcPr>
          <w:p w:rsidR="00B37294" w:rsidRDefault="00B37294">
            <w:pPr>
              <w:rPr>
                <w:b/>
                <w:noProof/>
              </w:rPr>
            </w:pPr>
          </w:p>
        </w:tc>
        <w:tc>
          <w:tcPr>
            <w:tcW w:w="2354" w:type="dxa"/>
            <w:noWrap/>
            <w:hideMark/>
          </w:tcPr>
          <w:p w:rsidR="00B37294" w:rsidRDefault="00D20261">
            <w:pPr>
              <w:rPr>
                <w:noProof/>
              </w:rPr>
            </w:pPr>
            <w:r>
              <w:rPr>
                <w:noProof/>
              </w:rPr>
              <w:t>Pologne</w:t>
            </w:r>
          </w:p>
        </w:tc>
        <w:tc>
          <w:tcPr>
            <w:tcW w:w="2849" w:type="dxa"/>
            <w:noWrap/>
            <w:hideMark/>
          </w:tcPr>
          <w:p w:rsidR="00B37294" w:rsidRDefault="00D20261">
            <w:pPr>
              <w:jc w:val="center"/>
              <w:rPr>
                <w:noProof/>
              </w:rPr>
            </w:pPr>
            <w:r>
              <w:rPr>
                <w:noProof/>
              </w:rPr>
              <w:t>210,98</w:t>
            </w:r>
          </w:p>
        </w:tc>
        <w:tc>
          <w:tcPr>
            <w:tcW w:w="2636" w:type="dxa"/>
            <w:noWrap/>
            <w:hideMark/>
          </w:tcPr>
          <w:p w:rsidR="00B37294" w:rsidRDefault="00D20261">
            <w:pPr>
              <w:jc w:val="center"/>
              <w:rPr>
                <w:noProof/>
              </w:rPr>
            </w:pPr>
            <w:r>
              <w:rPr>
                <w:noProof/>
              </w:rPr>
              <w:t>0,19 %</w:t>
            </w:r>
          </w:p>
        </w:tc>
      </w:tr>
      <w:tr w:rsidR="00B37294">
        <w:trPr>
          <w:trHeight w:val="300"/>
        </w:trPr>
        <w:tc>
          <w:tcPr>
            <w:tcW w:w="2843" w:type="dxa"/>
            <w:tcBorders>
              <w:bottom w:val="single" w:sz="4" w:space="0" w:color="FFFFFF" w:themeColor="background1"/>
              <w:right w:val="single" w:sz="4" w:space="0" w:color="FFFFFF" w:themeColor="background1"/>
            </w:tcBorders>
            <w:noWrap/>
            <w:hideMark/>
          </w:tcPr>
          <w:p w:rsidR="00B37294" w:rsidRDefault="00D20261">
            <w:pPr>
              <w:rPr>
                <w:b/>
                <w:noProof/>
              </w:rPr>
            </w:pPr>
            <w:r>
              <w:rPr>
                <w:b/>
                <w:noProof/>
              </w:rPr>
              <w:t>Mer Noire</w:t>
            </w:r>
          </w:p>
        </w:tc>
        <w:tc>
          <w:tcPr>
            <w:tcW w:w="2354" w:type="dxa"/>
            <w:tcBorders>
              <w:left w:val="single" w:sz="4" w:space="0" w:color="FFFFFF" w:themeColor="background1"/>
            </w:tcBorders>
            <w:noWrap/>
            <w:hideMark/>
          </w:tcPr>
          <w:p w:rsidR="00B37294" w:rsidRDefault="00B37294">
            <w:pPr>
              <w:rPr>
                <w:noProof/>
              </w:rPr>
            </w:pPr>
          </w:p>
        </w:tc>
        <w:tc>
          <w:tcPr>
            <w:tcW w:w="2849" w:type="dxa"/>
            <w:noWrap/>
            <w:hideMark/>
          </w:tcPr>
          <w:p w:rsidR="00B37294" w:rsidRDefault="00D20261">
            <w:pPr>
              <w:jc w:val="center"/>
              <w:rPr>
                <w:b/>
                <w:noProof/>
              </w:rPr>
            </w:pPr>
            <w:r>
              <w:rPr>
                <w:b/>
                <w:noProof/>
              </w:rPr>
              <w:t>1 138,87</w:t>
            </w:r>
          </w:p>
        </w:tc>
        <w:tc>
          <w:tcPr>
            <w:tcW w:w="2636" w:type="dxa"/>
            <w:noWrap/>
            <w:hideMark/>
          </w:tcPr>
          <w:p w:rsidR="00B37294" w:rsidRDefault="00D20261">
            <w:pPr>
              <w:jc w:val="center"/>
              <w:rPr>
                <w:b/>
                <w:noProof/>
              </w:rPr>
            </w:pPr>
            <w:r>
              <w:rPr>
                <w:b/>
                <w:noProof/>
              </w:rPr>
              <w:t>1,01 %</w:t>
            </w:r>
          </w:p>
        </w:tc>
      </w:tr>
      <w:tr w:rsidR="00B37294">
        <w:trPr>
          <w:trHeight w:val="300"/>
        </w:trPr>
        <w:tc>
          <w:tcPr>
            <w:tcW w:w="2843" w:type="dxa"/>
            <w:tcBorders>
              <w:top w:val="single" w:sz="4" w:space="0" w:color="FFFFFF" w:themeColor="background1"/>
              <w:bottom w:val="single" w:sz="4" w:space="0" w:color="FFFFFF" w:themeColor="background1"/>
            </w:tcBorders>
            <w:noWrap/>
          </w:tcPr>
          <w:p w:rsidR="00B37294" w:rsidRDefault="00B37294">
            <w:pPr>
              <w:rPr>
                <w:b/>
                <w:noProof/>
              </w:rPr>
            </w:pPr>
          </w:p>
        </w:tc>
        <w:tc>
          <w:tcPr>
            <w:tcW w:w="2354" w:type="dxa"/>
            <w:noWrap/>
            <w:hideMark/>
          </w:tcPr>
          <w:p w:rsidR="00B37294" w:rsidRDefault="00D20261">
            <w:pPr>
              <w:rPr>
                <w:noProof/>
              </w:rPr>
            </w:pPr>
            <w:r>
              <w:rPr>
                <w:noProof/>
              </w:rPr>
              <w:t>Bulgarie</w:t>
            </w:r>
          </w:p>
        </w:tc>
        <w:tc>
          <w:tcPr>
            <w:tcW w:w="2849" w:type="dxa"/>
            <w:noWrap/>
            <w:hideMark/>
          </w:tcPr>
          <w:p w:rsidR="00B37294" w:rsidRDefault="00D20261">
            <w:pPr>
              <w:jc w:val="center"/>
              <w:rPr>
                <w:noProof/>
              </w:rPr>
            </w:pPr>
            <w:r>
              <w:rPr>
                <w:noProof/>
              </w:rPr>
              <w:t>4,71</w:t>
            </w:r>
          </w:p>
        </w:tc>
        <w:tc>
          <w:tcPr>
            <w:tcW w:w="2636" w:type="dxa"/>
            <w:noWrap/>
            <w:hideMark/>
          </w:tcPr>
          <w:p w:rsidR="00B37294" w:rsidRDefault="00D20261">
            <w:pPr>
              <w:jc w:val="center"/>
              <w:rPr>
                <w:noProof/>
              </w:rPr>
            </w:pPr>
            <w:r>
              <w:rPr>
                <w:noProof/>
              </w:rPr>
              <w:t>0,00 %</w:t>
            </w:r>
          </w:p>
        </w:tc>
      </w:tr>
      <w:tr w:rsidR="00B37294">
        <w:trPr>
          <w:trHeight w:val="300"/>
        </w:trPr>
        <w:tc>
          <w:tcPr>
            <w:tcW w:w="2843" w:type="dxa"/>
            <w:tcBorders>
              <w:top w:val="single" w:sz="4" w:space="0" w:color="FFFFFF" w:themeColor="background1"/>
            </w:tcBorders>
            <w:noWrap/>
          </w:tcPr>
          <w:p w:rsidR="00B37294" w:rsidRDefault="00B37294">
            <w:pPr>
              <w:rPr>
                <w:b/>
                <w:noProof/>
              </w:rPr>
            </w:pPr>
          </w:p>
        </w:tc>
        <w:tc>
          <w:tcPr>
            <w:tcW w:w="2354" w:type="dxa"/>
            <w:noWrap/>
            <w:hideMark/>
          </w:tcPr>
          <w:p w:rsidR="00B37294" w:rsidRDefault="00D20261">
            <w:pPr>
              <w:rPr>
                <w:noProof/>
              </w:rPr>
            </w:pPr>
            <w:r>
              <w:rPr>
                <w:noProof/>
              </w:rPr>
              <w:t>Roumanie</w:t>
            </w:r>
          </w:p>
        </w:tc>
        <w:tc>
          <w:tcPr>
            <w:tcW w:w="2849" w:type="dxa"/>
            <w:noWrap/>
            <w:hideMark/>
          </w:tcPr>
          <w:p w:rsidR="00B37294" w:rsidRDefault="00D20261">
            <w:pPr>
              <w:jc w:val="center"/>
              <w:rPr>
                <w:noProof/>
              </w:rPr>
            </w:pPr>
            <w:r>
              <w:rPr>
                <w:noProof/>
              </w:rPr>
              <w:t>1 134,16</w:t>
            </w:r>
          </w:p>
        </w:tc>
        <w:tc>
          <w:tcPr>
            <w:tcW w:w="2636" w:type="dxa"/>
            <w:noWrap/>
            <w:hideMark/>
          </w:tcPr>
          <w:p w:rsidR="00B37294" w:rsidRDefault="00D20261">
            <w:pPr>
              <w:jc w:val="center"/>
              <w:rPr>
                <w:noProof/>
              </w:rPr>
            </w:pPr>
            <w:r>
              <w:rPr>
                <w:noProof/>
              </w:rPr>
              <w:t>1,01 %</w:t>
            </w:r>
          </w:p>
        </w:tc>
      </w:tr>
      <w:tr w:rsidR="00B37294">
        <w:trPr>
          <w:trHeight w:val="300"/>
        </w:trPr>
        <w:tc>
          <w:tcPr>
            <w:tcW w:w="2843" w:type="dxa"/>
            <w:tcBorders>
              <w:bottom w:val="single" w:sz="4" w:space="0" w:color="FFFFFF" w:themeColor="background1"/>
              <w:right w:val="single" w:sz="4" w:space="0" w:color="FFFFFF" w:themeColor="background1"/>
            </w:tcBorders>
            <w:noWrap/>
            <w:hideMark/>
          </w:tcPr>
          <w:p w:rsidR="00B37294" w:rsidRDefault="00D20261">
            <w:pPr>
              <w:rPr>
                <w:b/>
                <w:noProof/>
              </w:rPr>
            </w:pPr>
            <w:r>
              <w:rPr>
                <w:b/>
                <w:noProof/>
              </w:rPr>
              <w:t>Méditerranée</w:t>
            </w:r>
          </w:p>
        </w:tc>
        <w:tc>
          <w:tcPr>
            <w:tcW w:w="2354" w:type="dxa"/>
            <w:tcBorders>
              <w:left w:val="single" w:sz="4" w:space="0" w:color="FFFFFF" w:themeColor="background1"/>
            </w:tcBorders>
            <w:noWrap/>
            <w:hideMark/>
          </w:tcPr>
          <w:p w:rsidR="00B37294" w:rsidRDefault="00B37294">
            <w:pPr>
              <w:rPr>
                <w:noProof/>
              </w:rPr>
            </w:pPr>
          </w:p>
        </w:tc>
        <w:tc>
          <w:tcPr>
            <w:tcW w:w="2849" w:type="dxa"/>
            <w:noWrap/>
            <w:hideMark/>
          </w:tcPr>
          <w:p w:rsidR="00B37294" w:rsidRDefault="00D20261">
            <w:pPr>
              <w:jc w:val="center"/>
              <w:rPr>
                <w:b/>
                <w:noProof/>
              </w:rPr>
            </w:pPr>
            <w:r>
              <w:rPr>
                <w:b/>
                <w:noProof/>
              </w:rPr>
              <w:t>4 139,61</w:t>
            </w:r>
          </w:p>
        </w:tc>
        <w:tc>
          <w:tcPr>
            <w:tcW w:w="2636" w:type="dxa"/>
            <w:noWrap/>
            <w:hideMark/>
          </w:tcPr>
          <w:p w:rsidR="00B37294" w:rsidRDefault="00D20261">
            <w:pPr>
              <w:jc w:val="center"/>
              <w:rPr>
                <w:b/>
                <w:noProof/>
              </w:rPr>
            </w:pPr>
            <w:r>
              <w:rPr>
                <w:b/>
                <w:noProof/>
              </w:rPr>
              <w:t>3,69 %</w:t>
            </w:r>
          </w:p>
        </w:tc>
      </w:tr>
      <w:tr w:rsidR="00B37294">
        <w:trPr>
          <w:trHeight w:val="300"/>
        </w:trPr>
        <w:tc>
          <w:tcPr>
            <w:tcW w:w="2843" w:type="dxa"/>
            <w:tcBorders>
              <w:top w:val="single" w:sz="4" w:space="0" w:color="FFFFFF" w:themeColor="background1"/>
              <w:bottom w:val="single" w:sz="4" w:space="0" w:color="FFFFFF" w:themeColor="background1"/>
            </w:tcBorders>
            <w:noWrap/>
          </w:tcPr>
          <w:p w:rsidR="00B37294" w:rsidRDefault="00B37294">
            <w:pPr>
              <w:rPr>
                <w:b/>
                <w:noProof/>
              </w:rPr>
            </w:pPr>
          </w:p>
        </w:tc>
        <w:tc>
          <w:tcPr>
            <w:tcW w:w="2354" w:type="dxa"/>
            <w:noWrap/>
          </w:tcPr>
          <w:p w:rsidR="00B37294" w:rsidRDefault="00D20261">
            <w:pPr>
              <w:rPr>
                <w:noProof/>
              </w:rPr>
            </w:pPr>
            <w:r>
              <w:rPr>
                <w:noProof/>
              </w:rPr>
              <w:t>Croatie</w:t>
            </w:r>
          </w:p>
        </w:tc>
        <w:tc>
          <w:tcPr>
            <w:tcW w:w="2849" w:type="dxa"/>
            <w:noWrap/>
          </w:tcPr>
          <w:p w:rsidR="00B37294" w:rsidRDefault="00D20261">
            <w:pPr>
              <w:jc w:val="center"/>
              <w:rPr>
                <w:noProof/>
              </w:rPr>
            </w:pPr>
            <w:r>
              <w:rPr>
                <w:noProof/>
              </w:rPr>
              <w:t>528,20</w:t>
            </w:r>
          </w:p>
        </w:tc>
        <w:tc>
          <w:tcPr>
            <w:tcW w:w="2636" w:type="dxa"/>
            <w:noWrap/>
          </w:tcPr>
          <w:p w:rsidR="00B37294" w:rsidRDefault="00D20261">
            <w:pPr>
              <w:jc w:val="center"/>
              <w:rPr>
                <w:noProof/>
              </w:rPr>
            </w:pPr>
            <w:r>
              <w:rPr>
                <w:noProof/>
              </w:rPr>
              <w:t>0,47 %</w:t>
            </w:r>
          </w:p>
        </w:tc>
      </w:tr>
      <w:tr w:rsidR="00B37294">
        <w:trPr>
          <w:trHeight w:val="300"/>
        </w:trPr>
        <w:tc>
          <w:tcPr>
            <w:tcW w:w="2843" w:type="dxa"/>
            <w:tcBorders>
              <w:top w:val="single" w:sz="4" w:space="0" w:color="FFFFFF" w:themeColor="background1"/>
              <w:bottom w:val="single" w:sz="4" w:space="0" w:color="FFFFFF" w:themeColor="background1"/>
            </w:tcBorders>
            <w:noWrap/>
          </w:tcPr>
          <w:p w:rsidR="00B37294" w:rsidRDefault="00B37294">
            <w:pPr>
              <w:rPr>
                <w:b/>
                <w:noProof/>
              </w:rPr>
            </w:pPr>
          </w:p>
        </w:tc>
        <w:tc>
          <w:tcPr>
            <w:tcW w:w="2354" w:type="dxa"/>
            <w:noWrap/>
          </w:tcPr>
          <w:p w:rsidR="00B37294" w:rsidRDefault="00D20261">
            <w:pPr>
              <w:rPr>
                <w:noProof/>
              </w:rPr>
            </w:pPr>
            <w:r>
              <w:rPr>
                <w:noProof/>
              </w:rPr>
              <w:t>Grèce</w:t>
            </w:r>
          </w:p>
        </w:tc>
        <w:tc>
          <w:tcPr>
            <w:tcW w:w="2849" w:type="dxa"/>
            <w:noWrap/>
          </w:tcPr>
          <w:p w:rsidR="00B37294" w:rsidRDefault="00D20261">
            <w:pPr>
              <w:jc w:val="center"/>
              <w:rPr>
                <w:noProof/>
              </w:rPr>
            </w:pPr>
            <w:r>
              <w:rPr>
                <w:noProof/>
              </w:rPr>
              <w:t>211,01</w:t>
            </w:r>
          </w:p>
        </w:tc>
        <w:tc>
          <w:tcPr>
            <w:tcW w:w="2636" w:type="dxa"/>
            <w:noWrap/>
          </w:tcPr>
          <w:p w:rsidR="00B37294" w:rsidRDefault="00D20261">
            <w:pPr>
              <w:jc w:val="center"/>
              <w:rPr>
                <w:noProof/>
              </w:rPr>
            </w:pPr>
            <w:r>
              <w:rPr>
                <w:noProof/>
              </w:rPr>
              <w:t>0,19 %</w:t>
            </w:r>
          </w:p>
        </w:tc>
      </w:tr>
      <w:tr w:rsidR="00B37294">
        <w:trPr>
          <w:trHeight w:val="300"/>
        </w:trPr>
        <w:tc>
          <w:tcPr>
            <w:tcW w:w="2843" w:type="dxa"/>
            <w:tcBorders>
              <w:top w:val="single" w:sz="4" w:space="0" w:color="FFFFFF" w:themeColor="background1"/>
              <w:bottom w:val="single" w:sz="4" w:space="0" w:color="FFFFFF" w:themeColor="background1"/>
            </w:tcBorders>
            <w:noWrap/>
          </w:tcPr>
          <w:p w:rsidR="00B37294" w:rsidRDefault="00B37294">
            <w:pPr>
              <w:rPr>
                <w:b/>
                <w:noProof/>
              </w:rPr>
            </w:pPr>
          </w:p>
        </w:tc>
        <w:tc>
          <w:tcPr>
            <w:tcW w:w="2354" w:type="dxa"/>
            <w:noWrap/>
          </w:tcPr>
          <w:p w:rsidR="00B37294" w:rsidRDefault="00D20261">
            <w:pPr>
              <w:rPr>
                <w:noProof/>
              </w:rPr>
            </w:pPr>
            <w:r>
              <w:rPr>
                <w:noProof/>
              </w:rPr>
              <w:t>Italie</w:t>
            </w:r>
          </w:p>
        </w:tc>
        <w:tc>
          <w:tcPr>
            <w:tcW w:w="2849" w:type="dxa"/>
            <w:noWrap/>
          </w:tcPr>
          <w:p w:rsidR="00B37294" w:rsidRDefault="00D20261">
            <w:pPr>
              <w:jc w:val="center"/>
              <w:rPr>
                <w:noProof/>
              </w:rPr>
            </w:pPr>
            <w:r>
              <w:rPr>
                <w:noProof/>
              </w:rPr>
              <w:t>3 311,00</w:t>
            </w:r>
          </w:p>
        </w:tc>
        <w:tc>
          <w:tcPr>
            <w:tcW w:w="2636" w:type="dxa"/>
            <w:noWrap/>
          </w:tcPr>
          <w:p w:rsidR="00B37294" w:rsidRDefault="00D20261">
            <w:pPr>
              <w:jc w:val="center"/>
              <w:rPr>
                <w:noProof/>
              </w:rPr>
            </w:pPr>
            <w:r>
              <w:rPr>
                <w:noProof/>
              </w:rPr>
              <w:t>2,95 %</w:t>
            </w:r>
          </w:p>
        </w:tc>
      </w:tr>
      <w:tr w:rsidR="00B37294">
        <w:trPr>
          <w:trHeight w:val="300"/>
        </w:trPr>
        <w:tc>
          <w:tcPr>
            <w:tcW w:w="2843" w:type="dxa"/>
            <w:tcBorders>
              <w:top w:val="single" w:sz="4" w:space="0" w:color="FFFFFF" w:themeColor="background1"/>
            </w:tcBorders>
            <w:noWrap/>
          </w:tcPr>
          <w:p w:rsidR="00B37294" w:rsidRDefault="00B37294">
            <w:pPr>
              <w:rPr>
                <w:b/>
                <w:noProof/>
              </w:rPr>
            </w:pPr>
          </w:p>
        </w:tc>
        <w:tc>
          <w:tcPr>
            <w:tcW w:w="2354" w:type="dxa"/>
            <w:noWrap/>
          </w:tcPr>
          <w:p w:rsidR="00B37294" w:rsidRDefault="00D20261">
            <w:pPr>
              <w:rPr>
                <w:noProof/>
              </w:rPr>
            </w:pPr>
            <w:r>
              <w:rPr>
                <w:noProof/>
              </w:rPr>
              <w:t>Espagne</w:t>
            </w:r>
          </w:p>
        </w:tc>
        <w:tc>
          <w:tcPr>
            <w:tcW w:w="2849" w:type="dxa"/>
            <w:noWrap/>
          </w:tcPr>
          <w:p w:rsidR="00B37294" w:rsidRDefault="00D20261">
            <w:pPr>
              <w:jc w:val="center"/>
              <w:rPr>
                <w:noProof/>
              </w:rPr>
            </w:pPr>
            <w:r>
              <w:rPr>
                <w:noProof/>
              </w:rPr>
              <w:t>89,40</w:t>
            </w:r>
          </w:p>
        </w:tc>
        <w:tc>
          <w:tcPr>
            <w:tcW w:w="2636" w:type="dxa"/>
            <w:noWrap/>
          </w:tcPr>
          <w:p w:rsidR="00B37294" w:rsidRDefault="00D20261">
            <w:pPr>
              <w:jc w:val="center"/>
              <w:rPr>
                <w:noProof/>
              </w:rPr>
            </w:pPr>
            <w:r>
              <w:rPr>
                <w:noProof/>
              </w:rPr>
              <w:t>0,08 %</w:t>
            </w:r>
          </w:p>
        </w:tc>
      </w:tr>
      <w:tr w:rsidR="00B37294">
        <w:trPr>
          <w:trHeight w:val="300"/>
        </w:trPr>
        <w:tc>
          <w:tcPr>
            <w:tcW w:w="2843" w:type="dxa"/>
            <w:tcBorders>
              <w:bottom w:val="single" w:sz="4" w:space="0" w:color="FFFFFF" w:themeColor="background1"/>
              <w:right w:val="single" w:sz="4" w:space="0" w:color="FFFFFF" w:themeColor="background1"/>
            </w:tcBorders>
            <w:noWrap/>
            <w:hideMark/>
          </w:tcPr>
          <w:p w:rsidR="00B37294" w:rsidRDefault="00D20261">
            <w:pPr>
              <w:rPr>
                <w:b/>
                <w:noProof/>
              </w:rPr>
            </w:pPr>
            <w:r>
              <w:rPr>
                <w:b/>
                <w:noProof/>
              </w:rPr>
              <w:t xml:space="preserve">Mer du Nord et </w:t>
            </w:r>
            <w:r>
              <w:rPr>
                <w:b/>
                <w:noProof/>
              </w:rPr>
              <w:t>Atlantique</w:t>
            </w:r>
          </w:p>
        </w:tc>
        <w:tc>
          <w:tcPr>
            <w:tcW w:w="2354" w:type="dxa"/>
            <w:tcBorders>
              <w:left w:val="single" w:sz="4" w:space="0" w:color="FFFFFF" w:themeColor="background1"/>
            </w:tcBorders>
            <w:noWrap/>
            <w:hideMark/>
          </w:tcPr>
          <w:p w:rsidR="00B37294" w:rsidRDefault="00B37294">
            <w:pPr>
              <w:rPr>
                <w:noProof/>
              </w:rPr>
            </w:pPr>
          </w:p>
        </w:tc>
        <w:tc>
          <w:tcPr>
            <w:tcW w:w="2849" w:type="dxa"/>
            <w:noWrap/>
            <w:hideMark/>
          </w:tcPr>
          <w:p w:rsidR="00B37294" w:rsidRDefault="00D20261">
            <w:pPr>
              <w:jc w:val="center"/>
              <w:rPr>
                <w:b/>
                <w:noProof/>
              </w:rPr>
            </w:pPr>
            <w:r>
              <w:rPr>
                <w:b/>
                <w:noProof/>
              </w:rPr>
              <w:t>106 727,60</w:t>
            </w:r>
          </w:p>
        </w:tc>
        <w:tc>
          <w:tcPr>
            <w:tcW w:w="2636" w:type="dxa"/>
            <w:noWrap/>
            <w:hideMark/>
          </w:tcPr>
          <w:p w:rsidR="00B37294" w:rsidRDefault="00D20261">
            <w:pPr>
              <w:jc w:val="center"/>
              <w:rPr>
                <w:b/>
                <w:noProof/>
              </w:rPr>
            </w:pPr>
            <w:r>
              <w:rPr>
                <w:b/>
                <w:noProof/>
              </w:rPr>
              <w:t>95,11 %</w:t>
            </w:r>
          </w:p>
        </w:tc>
      </w:tr>
      <w:tr w:rsidR="00B37294">
        <w:trPr>
          <w:trHeight w:val="300"/>
        </w:trPr>
        <w:tc>
          <w:tcPr>
            <w:tcW w:w="2843" w:type="dxa"/>
            <w:tcBorders>
              <w:top w:val="single" w:sz="4" w:space="0" w:color="FFFFFF" w:themeColor="background1"/>
              <w:bottom w:val="single" w:sz="4" w:space="0" w:color="FFFFFF" w:themeColor="background1"/>
            </w:tcBorders>
            <w:noWrap/>
          </w:tcPr>
          <w:p w:rsidR="00B37294" w:rsidRDefault="00B37294">
            <w:pPr>
              <w:rPr>
                <w:b/>
                <w:noProof/>
              </w:rPr>
            </w:pPr>
          </w:p>
        </w:tc>
        <w:tc>
          <w:tcPr>
            <w:tcW w:w="2354" w:type="dxa"/>
            <w:noWrap/>
          </w:tcPr>
          <w:p w:rsidR="00B37294" w:rsidRDefault="00D20261">
            <w:pPr>
              <w:rPr>
                <w:noProof/>
              </w:rPr>
            </w:pPr>
            <w:r>
              <w:rPr>
                <w:noProof/>
              </w:rPr>
              <w:t>Danemark</w:t>
            </w:r>
          </w:p>
        </w:tc>
        <w:tc>
          <w:tcPr>
            <w:tcW w:w="2849" w:type="dxa"/>
            <w:noWrap/>
          </w:tcPr>
          <w:p w:rsidR="00B37294" w:rsidRDefault="00D20261">
            <w:pPr>
              <w:jc w:val="center"/>
              <w:rPr>
                <w:noProof/>
              </w:rPr>
            </w:pPr>
            <w:r>
              <w:rPr>
                <w:noProof/>
              </w:rPr>
              <w:t>9 589,00</w:t>
            </w:r>
          </w:p>
        </w:tc>
        <w:tc>
          <w:tcPr>
            <w:tcW w:w="2636" w:type="dxa"/>
            <w:noWrap/>
          </w:tcPr>
          <w:p w:rsidR="00B37294" w:rsidRDefault="00D20261">
            <w:pPr>
              <w:jc w:val="center"/>
              <w:rPr>
                <w:noProof/>
              </w:rPr>
            </w:pPr>
            <w:r>
              <w:rPr>
                <w:noProof/>
              </w:rPr>
              <w:t>8,55 %</w:t>
            </w:r>
          </w:p>
        </w:tc>
      </w:tr>
      <w:tr w:rsidR="00B37294">
        <w:trPr>
          <w:trHeight w:val="300"/>
        </w:trPr>
        <w:tc>
          <w:tcPr>
            <w:tcW w:w="2843" w:type="dxa"/>
            <w:tcBorders>
              <w:top w:val="single" w:sz="4" w:space="0" w:color="FFFFFF" w:themeColor="background1"/>
              <w:bottom w:val="single" w:sz="4" w:space="0" w:color="FFFFFF" w:themeColor="background1"/>
            </w:tcBorders>
            <w:noWrap/>
          </w:tcPr>
          <w:p w:rsidR="00B37294" w:rsidRDefault="00B37294">
            <w:pPr>
              <w:rPr>
                <w:b/>
                <w:noProof/>
              </w:rPr>
            </w:pPr>
          </w:p>
        </w:tc>
        <w:tc>
          <w:tcPr>
            <w:tcW w:w="2354" w:type="dxa"/>
            <w:noWrap/>
            <w:hideMark/>
          </w:tcPr>
          <w:p w:rsidR="00B37294" w:rsidRDefault="00D20261">
            <w:pPr>
              <w:rPr>
                <w:noProof/>
              </w:rPr>
            </w:pPr>
            <w:r>
              <w:rPr>
                <w:noProof/>
              </w:rPr>
              <w:t>Allemagne</w:t>
            </w:r>
          </w:p>
        </w:tc>
        <w:tc>
          <w:tcPr>
            <w:tcW w:w="2849" w:type="dxa"/>
            <w:noWrap/>
            <w:hideMark/>
          </w:tcPr>
          <w:p w:rsidR="00B37294" w:rsidRDefault="00D20261">
            <w:pPr>
              <w:jc w:val="center"/>
              <w:rPr>
                <w:noProof/>
              </w:rPr>
            </w:pPr>
            <w:r>
              <w:rPr>
                <w:noProof/>
              </w:rPr>
              <w:t>915,00</w:t>
            </w:r>
          </w:p>
        </w:tc>
        <w:tc>
          <w:tcPr>
            <w:tcW w:w="2636" w:type="dxa"/>
            <w:noWrap/>
            <w:hideMark/>
          </w:tcPr>
          <w:p w:rsidR="00B37294" w:rsidRDefault="00D20261">
            <w:pPr>
              <w:jc w:val="center"/>
              <w:rPr>
                <w:noProof/>
              </w:rPr>
            </w:pPr>
            <w:r>
              <w:rPr>
                <w:noProof/>
              </w:rPr>
              <w:t>0,82 %</w:t>
            </w:r>
          </w:p>
        </w:tc>
      </w:tr>
      <w:tr w:rsidR="00B37294">
        <w:trPr>
          <w:trHeight w:val="300"/>
        </w:trPr>
        <w:tc>
          <w:tcPr>
            <w:tcW w:w="2843" w:type="dxa"/>
            <w:tcBorders>
              <w:top w:val="single" w:sz="4" w:space="0" w:color="FFFFFF" w:themeColor="background1"/>
              <w:bottom w:val="single" w:sz="4" w:space="0" w:color="FFFFFF" w:themeColor="background1"/>
            </w:tcBorders>
            <w:noWrap/>
          </w:tcPr>
          <w:p w:rsidR="00B37294" w:rsidRDefault="00B37294">
            <w:pPr>
              <w:rPr>
                <w:b/>
                <w:noProof/>
              </w:rPr>
            </w:pPr>
          </w:p>
        </w:tc>
        <w:tc>
          <w:tcPr>
            <w:tcW w:w="2354" w:type="dxa"/>
            <w:noWrap/>
          </w:tcPr>
          <w:p w:rsidR="00B37294" w:rsidRDefault="00D20261">
            <w:pPr>
              <w:rPr>
                <w:noProof/>
              </w:rPr>
            </w:pPr>
            <w:r>
              <w:rPr>
                <w:noProof/>
              </w:rPr>
              <w:t>Irlande</w:t>
            </w:r>
          </w:p>
        </w:tc>
        <w:tc>
          <w:tcPr>
            <w:tcW w:w="2849" w:type="dxa"/>
            <w:noWrap/>
          </w:tcPr>
          <w:p w:rsidR="00B37294" w:rsidRDefault="00D20261">
            <w:pPr>
              <w:jc w:val="center"/>
              <w:rPr>
                <w:noProof/>
              </w:rPr>
            </w:pPr>
            <w:r>
              <w:rPr>
                <w:noProof/>
              </w:rPr>
              <w:t>311,17</w:t>
            </w:r>
          </w:p>
        </w:tc>
        <w:tc>
          <w:tcPr>
            <w:tcW w:w="2636" w:type="dxa"/>
            <w:noWrap/>
          </w:tcPr>
          <w:p w:rsidR="00B37294" w:rsidRDefault="00D20261">
            <w:pPr>
              <w:jc w:val="center"/>
              <w:rPr>
                <w:noProof/>
              </w:rPr>
            </w:pPr>
            <w:r>
              <w:rPr>
                <w:noProof/>
              </w:rPr>
              <w:t>0,28 %</w:t>
            </w:r>
          </w:p>
        </w:tc>
      </w:tr>
      <w:tr w:rsidR="00B37294">
        <w:trPr>
          <w:trHeight w:val="300"/>
        </w:trPr>
        <w:tc>
          <w:tcPr>
            <w:tcW w:w="2843" w:type="dxa"/>
            <w:tcBorders>
              <w:top w:val="single" w:sz="4" w:space="0" w:color="FFFFFF" w:themeColor="background1"/>
              <w:bottom w:val="single" w:sz="4" w:space="0" w:color="FFFFFF" w:themeColor="background1"/>
            </w:tcBorders>
            <w:noWrap/>
          </w:tcPr>
          <w:p w:rsidR="00B37294" w:rsidRDefault="00B37294">
            <w:pPr>
              <w:rPr>
                <w:b/>
                <w:noProof/>
              </w:rPr>
            </w:pPr>
          </w:p>
        </w:tc>
        <w:tc>
          <w:tcPr>
            <w:tcW w:w="2354" w:type="dxa"/>
            <w:noWrap/>
          </w:tcPr>
          <w:p w:rsidR="00B37294" w:rsidRDefault="00D20261">
            <w:pPr>
              <w:rPr>
                <w:noProof/>
              </w:rPr>
            </w:pPr>
            <w:r>
              <w:rPr>
                <w:noProof/>
              </w:rPr>
              <w:t>Pays-Bas</w:t>
            </w:r>
          </w:p>
        </w:tc>
        <w:tc>
          <w:tcPr>
            <w:tcW w:w="2849" w:type="dxa"/>
            <w:noWrap/>
          </w:tcPr>
          <w:p w:rsidR="00B37294" w:rsidRDefault="00D20261">
            <w:pPr>
              <w:jc w:val="center"/>
              <w:rPr>
                <w:noProof/>
              </w:rPr>
            </w:pPr>
            <w:r>
              <w:rPr>
                <w:noProof/>
              </w:rPr>
              <w:t>11 681,00</w:t>
            </w:r>
          </w:p>
        </w:tc>
        <w:tc>
          <w:tcPr>
            <w:tcW w:w="2636" w:type="dxa"/>
            <w:noWrap/>
          </w:tcPr>
          <w:p w:rsidR="00B37294" w:rsidRDefault="00D20261">
            <w:pPr>
              <w:jc w:val="center"/>
              <w:rPr>
                <w:noProof/>
              </w:rPr>
            </w:pPr>
            <w:r>
              <w:rPr>
                <w:noProof/>
              </w:rPr>
              <w:t>10,41 %</w:t>
            </w:r>
          </w:p>
        </w:tc>
      </w:tr>
      <w:tr w:rsidR="00B37294">
        <w:trPr>
          <w:trHeight w:val="300"/>
        </w:trPr>
        <w:tc>
          <w:tcPr>
            <w:tcW w:w="2843" w:type="dxa"/>
            <w:tcBorders>
              <w:top w:val="single" w:sz="4" w:space="0" w:color="FFFFFF" w:themeColor="background1"/>
            </w:tcBorders>
            <w:noWrap/>
          </w:tcPr>
          <w:p w:rsidR="00B37294" w:rsidRDefault="00B37294">
            <w:pPr>
              <w:rPr>
                <w:b/>
                <w:noProof/>
              </w:rPr>
            </w:pPr>
          </w:p>
        </w:tc>
        <w:tc>
          <w:tcPr>
            <w:tcW w:w="2354" w:type="dxa"/>
            <w:noWrap/>
          </w:tcPr>
          <w:p w:rsidR="00B37294" w:rsidRDefault="00D20261">
            <w:pPr>
              <w:rPr>
                <w:noProof/>
              </w:rPr>
            </w:pPr>
            <w:r>
              <w:rPr>
                <w:noProof/>
              </w:rPr>
              <w:t>Royaume-Uni</w:t>
            </w:r>
          </w:p>
        </w:tc>
        <w:tc>
          <w:tcPr>
            <w:tcW w:w="2849" w:type="dxa"/>
            <w:noWrap/>
          </w:tcPr>
          <w:p w:rsidR="00B37294" w:rsidRDefault="00D20261">
            <w:pPr>
              <w:jc w:val="center"/>
              <w:rPr>
                <w:noProof/>
              </w:rPr>
            </w:pPr>
            <w:r>
              <w:rPr>
                <w:noProof/>
              </w:rPr>
              <w:t>84 231,43</w:t>
            </w:r>
          </w:p>
        </w:tc>
        <w:tc>
          <w:tcPr>
            <w:tcW w:w="2636" w:type="dxa"/>
            <w:noWrap/>
          </w:tcPr>
          <w:p w:rsidR="00B37294" w:rsidRDefault="00D20261">
            <w:pPr>
              <w:jc w:val="center"/>
              <w:rPr>
                <w:noProof/>
              </w:rPr>
            </w:pPr>
            <w:r>
              <w:rPr>
                <w:noProof/>
              </w:rPr>
              <w:t>75,06 %</w:t>
            </w:r>
          </w:p>
        </w:tc>
      </w:tr>
      <w:tr w:rsidR="00B37294">
        <w:trPr>
          <w:trHeight w:val="300"/>
        </w:trPr>
        <w:tc>
          <w:tcPr>
            <w:tcW w:w="2843" w:type="dxa"/>
            <w:noWrap/>
            <w:hideMark/>
          </w:tcPr>
          <w:p w:rsidR="00B37294" w:rsidRDefault="00D20261">
            <w:pPr>
              <w:rPr>
                <w:b/>
                <w:noProof/>
              </w:rPr>
            </w:pPr>
            <w:r>
              <w:rPr>
                <w:b/>
                <w:noProof/>
              </w:rPr>
              <w:t>Total</w:t>
            </w:r>
          </w:p>
        </w:tc>
        <w:tc>
          <w:tcPr>
            <w:tcW w:w="2354" w:type="dxa"/>
            <w:noWrap/>
            <w:hideMark/>
          </w:tcPr>
          <w:p w:rsidR="00B37294" w:rsidRDefault="00B37294">
            <w:pPr>
              <w:rPr>
                <w:noProof/>
              </w:rPr>
            </w:pPr>
          </w:p>
        </w:tc>
        <w:tc>
          <w:tcPr>
            <w:tcW w:w="2849" w:type="dxa"/>
            <w:noWrap/>
            <w:hideMark/>
          </w:tcPr>
          <w:p w:rsidR="00B37294" w:rsidRDefault="00D20261">
            <w:pPr>
              <w:jc w:val="center"/>
              <w:rPr>
                <w:b/>
                <w:noProof/>
              </w:rPr>
            </w:pPr>
            <w:r>
              <w:rPr>
                <w:b/>
                <w:noProof/>
              </w:rPr>
              <w:t>112 217,06</w:t>
            </w:r>
          </w:p>
        </w:tc>
        <w:tc>
          <w:tcPr>
            <w:tcW w:w="2636" w:type="dxa"/>
            <w:noWrap/>
            <w:hideMark/>
          </w:tcPr>
          <w:p w:rsidR="00B37294" w:rsidRDefault="00D20261">
            <w:pPr>
              <w:jc w:val="center"/>
              <w:rPr>
                <w:b/>
                <w:noProof/>
              </w:rPr>
            </w:pPr>
            <w:r>
              <w:rPr>
                <w:b/>
                <w:noProof/>
              </w:rPr>
              <w:t>100,00 %</w:t>
            </w:r>
          </w:p>
        </w:tc>
      </w:tr>
    </w:tbl>
    <w:p w:rsidR="00B37294" w:rsidRDefault="00B37294">
      <w:pPr>
        <w:rPr>
          <w:noProof/>
        </w:rPr>
      </w:pPr>
    </w:p>
    <w:p w:rsidR="00B37294" w:rsidRDefault="00D20261">
      <w:pPr>
        <w:spacing w:after="0"/>
        <w:jc w:val="both"/>
        <w:rPr>
          <w:rFonts w:ascii="Times New Roman" w:hAnsi="Times New Roman"/>
          <w:noProof/>
          <w:sz w:val="24"/>
          <w:szCs w:val="24"/>
        </w:rPr>
      </w:pPr>
      <w:r>
        <w:rPr>
          <w:rFonts w:ascii="Times New Roman" w:hAnsi="Times New Roman"/>
          <w:noProof/>
          <w:sz w:val="24"/>
          <w:szCs w:val="24"/>
        </w:rPr>
        <w:t xml:space="preserve">Avec une baisse de moins d’un pour cent par rapport à l’année précédente, la production totale de pétrole et de gaz en mer a été stable. </w:t>
      </w:r>
      <w:r>
        <w:rPr>
          <w:rFonts w:ascii="Times New Roman" w:hAnsi="Times New Roman"/>
          <w:noProof/>
          <w:sz w:val="24"/>
          <w:szCs w:val="24"/>
        </w:rPr>
        <w:br w:type="page"/>
      </w:r>
    </w:p>
    <w:p w:rsidR="00B37294" w:rsidRDefault="00D20261">
      <w:pPr>
        <w:pStyle w:val="Heading2"/>
        <w:spacing w:after="120"/>
        <w:rPr>
          <w:rFonts w:ascii="Times New Roman" w:hAnsi="Times New Roman"/>
          <w:noProof/>
          <w:sz w:val="24"/>
          <w:szCs w:val="24"/>
        </w:rPr>
      </w:pPr>
      <w:bookmarkStart w:id="7" w:name="_Toc56767529"/>
      <w:r>
        <w:rPr>
          <w:rFonts w:ascii="Times New Roman" w:hAnsi="Times New Roman"/>
          <w:noProof/>
        </w:rPr>
        <w:t>4.2 Inspections en mer, enquêtes, mesures d’exécution et cadre réglementaire</w:t>
      </w:r>
      <w:bookmarkEnd w:id="7"/>
    </w:p>
    <w:p w:rsidR="00B37294" w:rsidRDefault="00D20261">
      <w:pPr>
        <w:jc w:val="both"/>
        <w:rPr>
          <w:rFonts w:ascii="Times New Roman" w:hAnsi="Times New Roman"/>
          <w:noProof/>
          <w:sz w:val="24"/>
          <w:szCs w:val="24"/>
        </w:rPr>
      </w:pPr>
      <w:r>
        <w:rPr>
          <w:rFonts w:ascii="Times New Roman" w:hAnsi="Times New Roman"/>
          <w:noProof/>
          <w:sz w:val="24"/>
          <w:szCs w:val="24"/>
        </w:rPr>
        <w:t>Les autorités compétentes des États memb</w:t>
      </w:r>
      <w:r>
        <w:rPr>
          <w:rFonts w:ascii="Times New Roman" w:hAnsi="Times New Roman"/>
          <w:noProof/>
          <w:sz w:val="24"/>
          <w:szCs w:val="24"/>
        </w:rPr>
        <w:t>res ont régulièrement inspecté les installations en mer relevant de leur juridiction. Le tableau 4 présente le nombre d’inspections en mer effectuées au cours de l’année de référence. Le nombre d’inspections augmente généralement avec le nombre d’installat</w:t>
      </w:r>
      <w:r>
        <w:rPr>
          <w:rFonts w:ascii="Times New Roman" w:hAnsi="Times New Roman"/>
          <w:noProof/>
          <w:sz w:val="24"/>
          <w:szCs w:val="24"/>
        </w:rPr>
        <w:t>ions dans les États membres.</w:t>
      </w:r>
    </w:p>
    <w:p w:rsidR="00B37294" w:rsidRDefault="00D20261">
      <w:pPr>
        <w:jc w:val="both"/>
        <w:rPr>
          <w:rFonts w:ascii="Times New Roman" w:hAnsi="Times New Roman"/>
          <w:noProof/>
          <w:sz w:val="24"/>
          <w:szCs w:val="24"/>
        </w:rPr>
      </w:pPr>
      <w:r>
        <w:rPr>
          <w:rFonts w:ascii="Times New Roman" w:hAnsi="Times New Roman"/>
          <w:noProof/>
          <w:sz w:val="24"/>
          <w:szCs w:val="24"/>
        </w:rPr>
        <w:t>Comme en 2017, le nombre d’inspections a encore baissé, passant de 630 en 2017 à 593 en 2018. Plus précisément, l’Italie a réduit le nombre d’inspections, qui est passé de 289 à 236, les Pays-Bas ont fait de même (passant de 60</w:t>
      </w:r>
      <w:r>
        <w:rPr>
          <w:rFonts w:ascii="Times New Roman" w:hAnsi="Times New Roman"/>
          <w:noProof/>
          <w:sz w:val="24"/>
          <w:szCs w:val="24"/>
        </w:rPr>
        <w:t xml:space="preserve"> à 32 inspections), alors que le Royaume-Uni a augmenté le nombre d’inspections, qui est passé de 232 à 273. Pour la première fois, la Roumanie a également procédé à des inspections. Contrastant avec la réduction du nombre d’inspections, des efforts accrus</w:t>
      </w:r>
      <w:r>
        <w:rPr>
          <w:rFonts w:ascii="Times New Roman" w:hAnsi="Times New Roman"/>
          <w:noProof/>
          <w:sz w:val="24"/>
          <w:szCs w:val="24"/>
        </w:rPr>
        <w:t xml:space="preserve"> ont été déployés en termes d’hommes-jours consacrés aux inspections par installations (2817 hommes-jours en 2018 contre 2083 hommes-jours en 2017). </w:t>
      </w:r>
    </w:p>
    <w:p w:rsidR="00B37294" w:rsidRDefault="00D20261">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Nombre d’inspections en mer par région et par État membre en 2018*</w:t>
      </w:r>
    </w:p>
    <w:tbl>
      <w:tblPr>
        <w:tblStyle w:val="TableGrid"/>
        <w:tblW w:w="10682" w:type="dxa"/>
        <w:tblLook w:val="04A0" w:firstRow="1" w:lastRow="0" w:firstColumn="1" w:lastColumn="0" w:noHBand="0" w:noVBand="1"/>
      </w:tblPr>
      <w:tblGrid>
        <w:gridCol w:w="2499"/>
        <w:gridCol w:w="2673"/>
        <w:gridCol w:w="1451"/>
        <w:gridCol w:w="2274"/>
        <w:gridCol w:w="1785"/>
      </w:tblGrid>
      <w:tr w:rsidR="00B37294">
        <w:trPr>
          <w:trHeight w:val="300"/>
        </w:trPr>
        <w:tc>
          <w:tcPr>
            <w:tcW w:w="2499" w:type="dxa"/>
            <w:noWrap/>
            <w:hideMark/>
          </w:tcPr>
          <w:p w:rsidR="00B37294" w:rsidRDefault="00D20261">
            <w:pPr>
              <w:rPr>
                <w:b/>
                <w:noProof/>
              </w:rPr>
            </w:pPr>
            <w:r>
              <w:rPr>
                <w:b/>
                <w:noProof/>
              </w:rPr>
              <w:t>RÉGI</w:t>
            </w:r>
            <w:r>
              <w:rPr>
                <w:b/>
                <w:noProof/>
              </w:rPr>
              <w:t>ON</w:t>
            </w:r>
          </w:p>
        </w:tc>
        <w:tc>
          <w:tcPr>
            <w:tcW w:w="2673" w:type="dxa"/>
            <w:noWrap/>
            <w:hideMark/>
          </w:tcPr>
          <w:p w:rsidR="00B37294" w:rsidRDefault="00D20261">
            <w:pPr>
              <w:rPr>
                <w:b/>
                <w:noProof/>
              </w:rPr>
            </w:pPr>
            <w:r>
              <w:rPr>
                <w:b/>
                <w:noProof/>
              </w:rPr>
              <w:t>Pays</w:t>
            </w:r>
          </w:p>
        </w:tc>
        <w:tc>
          <w:tcPr>
            <w:tcW w:w="1451" w:type="dxa"/>
            <w:noWrap/>
            <w:hideMark/>
          </w:tcPr>
          <w:p w:rsidR="00B37294" w:rsidRDefault="00D20261">
            <w:pPr>
              <w:rPr>
                <w:b/>
                <w:noProof/>
              </w:rPr>
            </w:pPr>
            <w:r>
              <w:rPr>
                <w:b/>
                <w:noProof/>
              </w:rPr>
              <w:t>Inspections</w:t>
            </w:r>
          </w:p>
        </w:tc>
        <w:tc>
          <w:tcPr>
            <w:tcW w:w="2274" w:type="dxa"/>
            <w:noWrap/>
            <w:hideMark/>
          </w:tcPr>
          <w:p w:rsidR="00B37294" w:rsidRDefault="00D20261">
            <w:pPr>
              <w:rPr>
                <w:b/>
                <w:noProof/>
              </w:rPr>
            </w:pPr>
            <w:r>
              <w:rPr>
                <w:b/>
                <w:noProof/>
              </w:rPr>
              <w:t>Hommes-jours passés sur l’installation (temps de déplacement non compris)</w:t>
            </w:r>
          </w:p>
        </w:tc>
        <w:tc>
          <w:tcPr>
            <w:tcW w:w="1785" w:type="dxa"/>
            <w:noWrap/>
            <w:hideMark/>
          </w:tcPr>
          <w:p w:rsidR="00B37294" w:rsidRDefault="00D20261">
            <w:pPr>
              <w:rPr>
                <w:b/>
                <w:noProof/>
              </w:rPr>
            </w:pPr>
            <w:r>
              <w:rPr>
                <w:b/>
                <w:noProof/>
              </w:rPr>
              <w:t>Nombre d’installations inspectées</w:t>
            </w:r>
          </w:p>
        </w:tc>
      </w:tr>
      <w:tr w:rsidR="00B37294">
        <w:trPr>
          <w:trHeight w:val="300"/>
        </w:trPr>
        <w:tc>
          <w:tcPr>
            <w:tcW w:w="2499" w:type="dxa"/>
            <w:tcBorders>
              <w:bottom w:val="single" w:sz="4" w:space="0" w:color="FFFFFF" w:themeColor="background1"/>
              <w:right w:val="single" w:sz="4" w:space="0" w:color="FFFFFF" w:themeColor="background1"/>
            </w:tcBorders>
            <w:noWrap/>
            <w:hideMark/>
          </w:tcPr>
          <w:p w:rsidR="00B37294" w:rsidRDefault="00D20261">
            <w:pPr>
              <w:rPr>
                <w:b/>
                <w:noProof/>
              </w:rPr>
            </w:pPr>
            <w:r>
              <w:rPr>
                <w:b/>
                <w:noProof/>
              </w:rPr>
              <w:t>Mer Baltique</w:t>
            </w:r>
          </w:p>
        </w:tc>
        <w:tc>
          <w:tcPr>
            <w:tcW w:w="2673" w:type="dxa"/>
            <w:tcBorders>
              <w:left w:val="single" w:sz="4" w:space="0" w:color="FFFFFF" w:themeColor="background1"/>
            </w:tcBorders>
            <w:noWrap/>
            <w:hideMark/>
          </w:tcPr>
          <w:p w:rsidR="00B37294" w:rsidRDefault="00B37294">
            <w:pPr>
              <w:rPr>
                <w:b/>
                <w:noProof/>
              </w:rPr>
            </w:pPr>
          </w:p>
        </w:tc>
        <w:tc>
          <w:tcPr>
            <w:tcW w:w="1451" w:type="dxa"/>
            <w:noWrap/>
            <w:hideMark/>
          </w:tcPr>
          <w:p w:rsidR="00B37294" w:rsidRDefault="00D20261">
            <w:pPr>
              <w:rPr>
                <w:b/>
                <w:noProof/>
              </w:rPr>
            </w:pPr>
            <w:r>
              <w:rPr>
                <w:b/>
                <w:noProof/>
              </w:rPr>
              <w:t>3</w:t>
            </w:r>
          </w:p>
        </w:tc>
        <w:tc>
          <w:tcPr>
            <w:tcW w:w="2274" w:type="dxa"/>
            <w:noWrap/>
            <w:hideMark/>
          </w:tcPr>
          <w:p w:rsidR="00B37294" w:rsidRDefault="00D20261">
            <w:pPr>
              <w:rPr>
                <w:b/>
                <w:noProof/>
              </w:rPr>
            </w:pPr>
            <w:r>
              <w:rPr>
                <w:b/>
                <w:noProof/>
              </w:rPr>
              <w:t>6</w:t>
            </w:r>
          </w:p>
        </w:tc>
        <w:tc>
          <w:tcPr>
            <w:tcW w:w="1785" w:type="dxa"/>
            <w:noWrap/>
            <w:hideMark/>
          </w:tcPr>
          <w:p w:rsidR="00B37294" w:rsidRDefault="00D20261">
            <w:pPr>
              <w:rPr>
                <w:b/>
                <w:noProof/>
              </w:rPr>
            </w:pPr>
            <w:r>
              <w:rPr>
                <w:b/>
                <w:noProof/>
              </w:rPr>
              <w:t>2</w:t>
            </w:r>
          </w:p>
        </w:tc>
      </w:tr>
      <w:tr w:rsidR="00B37294">
        <w:trPr>
          <w:trHeight w:val="300"/>
        </w:trPr>
        <w:tc>
          <w:tcPr>
            <w:tcW w:w="2499" w:type="dxa"/>
            <w:tcBorders>
              <w:top w:val="single" w:sz="4" w:space="0" w:color="FFFFFF" w:themeColor="background1"/>
            </w:tcBorders>
            <w:noWrap/>
          </w:tcPr>
          <w:p w:rsidR="00B37294" w:rsidRDefault="00B37294">
            <w:pPr>
              <w:rPr>
                <w:b/>
                <w:noProof/>
              </w:rPr>
            </w:pPr>
          </w:p>
        </w:tc>
        <w:tc>
          <w:tcPr>
            <w:tcW w:w="2673" w:type="dxa"/>
            <w:noWrap/>
            <w:hideMark/>
          </w:tcPr>
          <w:p w:rsidR="00B37294" w:rsidRDefault="00D20261">
            <w:pPr>
              <w:rPr>
                <w:noProof/>
              </w:rPr>
            </w:pPr>
            <w:r>
              <w:rPr>
                <w:noProof/>
              </w:rPr>
              <w:t>Pologne</w:t>
            </w:r>
          </w:p>
        </w:tc>
        <w:tc>
          <w:tcPr>
            <w:tcW w:w="1451" w:type="dxa"/>
            <w:noWrap/>
            <w:hideMark/>
          </w:tcPr>
          <w:p w:rsidR="00B37294" w:rsidRDefault="00D20261">
            <w:pPr>
              <w:rPr>
                <w:noProof/>
              </w:rPr>
            </w:pPr>
            <w:r>
              <w:rPr>
                <w:noProof/>
              </w:rPr>
              <w:t>3</w:t>
            </w:r>
          </w:p>
        </w:tc>
        <w:tc>
          <w:tcPr>
            <w:tcW w:w="2274" w:type="dxa"/>
            <w:noWrap/>
            <w:hideMark/>
          </w:tcPr>
          <w:p w:rsidR="00B37294" w:rsidRDefault="00D20261">
            <w:pPr>
              <w:rPr>
                <w:noProof/>
              </w:rPr>
            </w:pPr>
            <w:r>
              <w:rPr>
                <w:noProof/>
              </w:rPr>
              <w:t>6</w:t>
            </w:r>
          </w:p>
        </w:tc>
        <w:tc>
          <w:tcPr>
            <w:tcW w:w="1785" w:type="dxa"/>
            <w:noWrap/>
            <w:hideMark/>
          </w:tcPr>
          <w:p w:rsidR="00B37294" w:rsidRDefault="00D20261">
            <w:pPr>
              <w:rPr>
                <w:noProof/>
              </w:rPr>
            </w:pPr>
            <w:r>
              <w:rPr>
                <w:noProof/>
              </w:rPr>
              <w:t>2</w:t>
            </w:r>
          </w:p>
        </w:tc>
      </w:tr>
      <w:tr w:rsidR="00B37294">
        <w:trPr>
          <w:trHeight w:val="300"/>
        </w:trPr>
        <w:tc>
          <w:tcPr>
            <w:tcW w:w="2499" w:type="dxa"/>
            <w:tcBorders>
              <w:bottom w:val="single" w:sz="4" w:space="0" w:color="FFFFFF" w:themeColor="background1"/>
              <w:right w:val="single" w:sz="4" w:space="0" w:color="FFFFFF" w:themeColor="background1"/>
            </w:tcBorders>
            <w:noWrap/>
            <w:hideMark/>
          </w:tcPr>
          <w:p w:rsidR="00B37294" w:rsidRDefault="00D20261">
            <w:pPr>
              <w:rPr>
                <w:b/>
                <w:noProof/>
              </w:rPr>
            </w:pPr>
            <w:r>
              <w:rPr>
                <w:b/>
                <w:noProof/>
              </w:rPr>
              <w:t>Mer Noire</w:t>
            </w:r>
          </w:p>
        </w:tc>
        <w:tc>
          <w:tcPr>
            <w:tcW w:w="2673" w:type="dxa"/>
            <w:tcBorders>
              <w:left w:val="single" w:sz="4" w:space="0" w:color="FFFFFF" w:themeColor="background1"/>
            </w:tcBorders>
            <w:noWrap/>
            <w:hideMark/>
          </w:tcPr>
          <w:p w:rsidR="00B37294" w:rsidRDefault="00B37294">
            <w:pPr>
              <w:rPr>
                <w:b/>
                <w:noProof/>
              </w:rPr>
            </w:pPr>
          </w:p>
        </w:tc>
        <w:tc>
          <w:tcPr>
            <w:tcW w:w="1451" w:type="dxa"/>
            <w:noWrap/>
            <w:hideMark/>
          </w:tcPr>
          <w:p w:rsidR="00B37294" w:rsidRDefault="00D20261">
            <w:pPr>
              <w:rPr>
                <w:b/>
                <w:noProof/>
              </w:rPr>
            </w:pPr>
            <w:r>
              <w:rPr>
                <w:b/>
                <w:noProof/>
              </w:rPr>
              <w:t>4</w:t>
            </w:r>
          </w:p>
        </w:tc>
        <w:tc>
          <w:tcPr>
            <w:tcW w:w="2274" w:type="dxa"/>
            <w:noWrap/>
            <w:hideMark/>
          </w:tcPr>
          <w:p w:rsidR="00B37294" w:rsidRDefault="00D20261">
            <w:pPr>
              <w:rPr>
                <w:b/>
                <w:noProof/>
              </w:rPr>
            </w:pPr>
            <w:r>
              <w:rPr>
                <w:b/>
                <w:noProof/>
              </w:rPr>
              <w:t>24</w:t>
            </w:r>
          </w:p>
        </w:tc>
        <w:tc>
          <w:tcPr>
            <w:tcW w:w="1785" w:type="dxa"/>
            <w:noWrap/>
            <w:hideMark/>
          </w:tcPr>
          <w:p w:rsidR="00B37294" w:rsidRDefault="00D20261">
            <w:pPr>
              <w:rPr>
                <w:b/>
                <w:noProof/>
              </w:rPr>
            </w:pPr>
            <w:r>
              <w:rPr>
                <w:b/>
                <w:noProof/>
              </w:rPr>
              <w:t>2</w:t>
            </w:r>
          </w:p>
        </w:tc>
      </w:tr>
      <w:tr w:rsidR="00B37294">
        <w:trPr>
          <w:trHeight w:val="300"/>
        </w:trPr>
        <w:tc>
          <w:tcPr>
            <w:tcW w:w="2499" w:type="dxa"/>
            <w:tcBorders>
              <w:top w:val="single" w:sz="4" w:space="0" w:color="FFFFFF" w:themeColor="background1"/>
            </w:tcBorders>
            <w:noWrap/>
          </w:tcPr>
          <w:p w:rsidR="00B37294" w:rsidRDefault="00B37294">
            <w:pPr>
              <w:rPr>
                <w:b/>
                <w:noProof/>
              </w:rPr>
            </w:pPr>
          </w:p>
        </w:tc>
        <w:tc>
          <w:tcPr>
            <w:tcW w:w="2673" w:type="dxa"/>
            <w:noWrap/>
            <w:hideMark/>
          </w:tcPr>
          <w:p w:rsidR="00B37294" w:rsidRDefault="00D20261">
            <w:pPr>
              <w:rPr>
                <w:noProof/>
              </w:rPr>
            </w:pPr>
            <w:r>
              <w:rPr>
                <w:noProof/>
              </w:rPr>
              <w:t>Roumanie</w:t>
            </w:r>
          </w:p>
        </w:tc>
        <w:tc>
          <w:tcPr>
            <w:tcW w:w="1451" w:type="dxa"/>
            <w:noWrap/>
            <w:hideMark/>
          </w:tcPr>
          <w:p w:rsidR="00B37294" w:rsidRDefault="00D20261">
            <w:pPr>
              <w:rPr>
                <w:noProof/>
              </w:rPr>
            </w:pPr>
            <w:r>
              <w:rPr>
                <w:noProof/>
              </w:rPr>
              <w:t>4</w:t>
            </w:r>
          </w:p>
        </w:tc>
        <w:tc>
          <w:tcPr>
            <w:tcW w:w="2274" w:type="dxa"/>
            <w:noWrap/>
            <w:hideMark/>
          </w:tcPr>
          <w:p w:rsidR="00B37294" w:rsidRDefault="00D20261">
            <w:pPr>
              <w:rPr>
                <w:noProof/>
              </w:rPr>
            </w:pPr>
            <w:r>
              <w:rPr>
                <w:noProof/>
              </w:rPr>
              <w:t>24</w:t>
            </w:r>
          </w:p>
        </w:tc>
        <w:tc>
          <w:tcPr>
            <w:tcW w:w="1785" w:type="dxa"/>
            <w:noWrap/>
            <w:hideMark/>
          </w:tcPr>
          <w:p w:rsidR="00B37294" w:rsidRDefault="00D20261">
            <w:pPr>
              <w:rPr>
                <w:noProof/>
              </w:rPr>
            </w:pPr>
            <w:r>
              <w:rPr>
                <w:noProof/>
              </w:rPr>
              <w:t>2</w:t>
            </w:r>
          </w:p>
        </w:tc>
      </w:tr>
      <w:tr w:rsidR="00B37294">
        <w:trPr>
          <w:trHeight w:val="300"/>
        </w:trPr>
        <w:tc>
          <w:tcPr>
            <w:tcW w:w="2499" w:type="dxa"/>
            <w:tcBorders>
              <w:bottom w:val="single" w:sz="4" w:space="0" w:color="FFFFFF" w:themeColor="background1"/>
              <w:right w:val="single" w:sz="4" w:space="0" w:color="FFFFFF" w:themeColor="background1"/>
            </w:tcBorders>
            <w:noWrap/>
            <w:hideMark/>
          </w:tcPr>
          <w:p w:rsidR="00B37294" w:rsidRDefault="00D20261">
            <w:pPr>
              <w:rPr>
                <w:b/>
                <w:noProof/>
              </w:rPr>
            </w:pPr>
            <w:r>
              <w:rPr>
                <w:b/>
                <w:noProof/>
              </w:rPr>
              <w:t>Méditerranée</w:t>
            </w:r>
          </w:p>
        </w:tc>
        <w:tc>
          <w:tcPr>
            <w:tcW w:w="2673" w:type="dxa"/>
            <w:tcBorders>
              <w:left w:val="single" w:sz="4" w:space="0" w:color="FFFFFF" w:themeColor="background1"/>
            </w:tcBorders>
            <w:noWrap/>
            <w:hideMark/>
          </w:tcPr>
          <w:p w:rsidR="00B37294" w:rsidRDefault="00B37294">
            <w:pPr>
              <w:rPr>
                <w:b/>
                <w:noProof/>
              </w:rPr>
            </w:pPr>
          </w:p>
        </w:tc>
        <w:tc>
          <w:tcPr>
            <w:tcW w:w="1451" w:type="dxa"/>
            <w:noWrap/>
            <w:hideMark/>
          </w:tcPr>
          <w:p w:rsidR="00B37294" w:rsidRDefault="00D20261">
            <w:pPr>
              <w:rPr>
                <w:b/>
                <w:noProof/>
              </w:rPr>
            </w:pPr>
            <w:r>
              <w:rPr>
                <w:b/>
                <w:noProof/>
              </w:rPr>
              <w:t>251</w:t>
            </w:r>
          </w:p>
        </w:tc>
        <w:tc>
          <w:tcPr>
            <w:tcW w:w="2274" w:type="dxa"/>
            <w:noWrap/>
            <w:hideMark/>
          </w:tcPr>
          <w:p w:rsidR="00B37294" w:rsidRDefault="00D20261">
            <w:pPr>
              <w:rPr>
                <w:b/>
                <w:noProof/>
              </w:rPr>
            </w:pPr>
            <w:r>
              <w:rPr>
                <w:b/>
                <w:noProof/>
              </w:rPr>
              <w:t>262</w:t>
            </w:r>
          </w:p>
        </w:tc>
        <w:tc>
          <w:tcPr>
            <w:tcW w:w="1785" w:type="dxa"/>
            <w:noWrap/>
            <w:hideMark/>
          </w:tcPr>
          <w:p w:rsidR="00B37294" w:rsidRDefault="00D20261">
            <w:pPr>
              <w:rPr>
                <w:b/>
                <w:noProof/>
              </w:rPr>
            </w:pPr>
            <w:r>
              <w:rPr>
                <w:b/>
                <w:noProof/>
              </w:rPr>
              <w:t>95</w:t>
            </w:r>
          </w:p>
        </w:tc>
      </w:tr>
      <w:tr w:rsidR="00B37294">
        <w:trPr>
          <w:trHeight w:val="300"/>
        </w:trPr>
        <w:tc>
          <w:tcPr>
            <w:tcW w:w="2499" w:type="dxa"/>
            <w:tcBorders>
              <w:top w:val="single" w:sz="4" w:space="0" w:color="FFFFFF" w:themeColor="background1"/>
              <w:bottom w:val="single" w:sz="4" w:space="0" w:color="FFFFFF" w:themeColor="background1"/>
            </w:tcBorders>
            <w:noWrap/>
          </w:tcPr>
          <w:p w:rsidR="00B37294" w:rsidRDefault="00B37294">
            <w:pPr>
              <w:rPr>
                <w:b/>
                <w:noProof/>
              </w:rPr>
            </w:pPr>
          </w:p>
        </w:tc>
        <w:tc>
          <w:tcPr>
            <w:tcW w:w="2673" w:type="dxa"/>
            <w:noWrap/>
          </w:tcPr>
          <w:p w:rsidR="00B37294" w:rsidRDefault="00D20261">
            <w:pPr>
              <w:rPr>
                <w:noProof/>
              </w:rPr>
            </w:pPr>
            <w:r>
              <w:rPr>
                <w:noProof/>
              </w:rPr>
              <w:t>Croatie</w:t>
            </w:r>
          </w:p>
        </w:tc>
        <w:tc>
          <w:tcPr>
            <w:tcW w:w="1451" w:type="dxa"/>
            <w:noWrap/>
          </w:tcPr>
          <w:p w:rsidR="00B37294" w:rsidRDefault="00D20261">
            <w:pPr>
              <w:rPr>
                <w:noProof/>
              </w:rPr>
            </w:pPr>
            <w:r>
              <w:rPr>
                <w:noProof/>
              </w:rPr>
              <w:t>10</w:t>
            </w:r>
          </w:p>
        </w:tc>
        <w:tc>
          <w:tcPr>
            <w:tcW w:w="2274" w:type="dxa"/>
            <w:noWrap/>
          </w:tcPr>
          <w:p w:rsidR="00B37294" w:rsidRDefault="00D20261">
            <w:pPr>
              <w:rPr>
                <w:noProof/>
              </w:rPr>
            </w:pPr>
            <w:r>
              <w:rPr>
                <w:noProof/>
              </w:rPr>
              <w:t>10</w:t>
            </w:r>
          </w:p>
        </w:tc>
        <w:tc>
          <w:tcPr>
            <w:tcW w:w="1785" w:type="dxa"/>
            <w:noWrap/>
          </w:tcPr>
          <w:p w:rsidR="00B37294" w:rsidRDefault="00D20261">
            <w:pPr>
              <w:rPr>
                <w:noProof/>
              </w:rPr>
            </w:pPr>
            <w:r>
              <w:rPr>
                <w:noProof/>
              </w:rPr>
              <w:t>4</w:t>
            </w:r>
          </w:p>
        </w:tc>
      </w:tr>
      <w:tr w:rsidR="00B37294">
        <w:trPr>
          <w:trHeight w:val="300"/>
        </w:trPr>
        <w:tc>
          <w:tcPr>
            <w:tcW w:w="2499" w:type="dxa"/>
            <w:tcBorders>
              <w:top w:val="single" w:sz="4" w:space="0" w:color="FFFFFF" w:themeColor="background1"/>
              <w:bottom w:val="single" w:sz="4" w:space="0" w:color="FFFFFF" w:themeColor="background1"/>
            </w:tcBorders>
            <w:noWrap/>
          </w:tcPr>
          <w:p w:rsidR="00B37294" w:rsidRDefault="00B37294">
            <w:pPr>
              <w:rPr>
                <w:b/>
                <w:noProof/>
              </w:rPr>
            </w:pPr>
          </w:p>
        </w:tc>
        <w:tc>
          <w:tcPr>
            <w:tcW w:w="2673" w:type="dxa"/>
            <w:noWrap/>
            <w:hideMark/>
          </w:tcPr>
          <w:p w:rsidR="00B37294" w:rsidRDefault="00D20261">
            <w:pPr>
              <w:rPr>
                <w:noProof/>
              </w:rPr>
            </w:pPr>
            <w:r>
              <w:rPr>
                <w:noProof/>
              </w:rPr>
              <w:t>Chypre</w:t>
            </w:r>
          </w:p>
        </w:tc>
        <w:tc>
          <w:tcPr>
            <w:tcW w:w="1451" w:type="dxa"/>
            <w:noWrap/>
            <w:hideMark/>
          </w:tcPr>
          <w:p w:rsidR="00B37294" w:rsidRDefault="00D20261">
            <w:pPr>
              <w:rPr>
                <w:noProof/>
              </w:rPr>
            </w:pPr>
            <w:r>
              <w:rPr>
                <w:noProof/>
              </w:rPr>
              <w:t>2</w:t>
            </w:r>
          </w:p>
        </w:tc>
        <w:tc>
          <w:tcPr>
            <w:tcW w:w="2274" w:type="dxa"/>
            <w:noWrap/>
            <w:hideMark/>
          </w:tcPr>
          <w:p w:rsidR="00B37294" w:rsidRDefault="00D20261">
            <w:pPr>
              <w:rPr>
                <w:noProof/>
              </w:rPr>
            </w:pPr>
            <w:r>
              <w:rPr>
                <w:noProof/>
              </w:rPr>
              <w:t>6</w:t>
            </w:r>
          </w:p>
        </w:tc>
        <w:tc>
          <w:tcPr>
            <w:tcW w:w="1785" w:type="dxa"/>
            <w:noWrap/>
            <w:hideMark/>
          </w:tcPr>
          <w:p w:rsidR="00B37294" w:rsidRDefault="00D20261">
            <w:pPr>
              <w:rPr>
                <w:noProof/>
              </w:rPr>
            </w:pPr>
            <w:r>
              <w:rPr>
                <w:noProof/>
              </w:rPr>
              <w:t>2</w:t>
            </w:r>
          </w:p>
        </w:tc>
      </w:tr>
      <w:tr w:rsidR="00B37294">
        <w:trPr>
          <w:trHeight w:val="300"/>
        </w:trPr>
        <w:tc>
          <w:tcPr>
            <w:tcW w:w="2499" w:type="dxa"/>
            <w:tcBorders>
              <w:top w:val="single" w:sz="4" w:space="0" w:color="FFFFFF" w:themeColor="background1"/>
              <w:bottom w:val="single" w:sz="4" w:space="0" w:color="FFFFFF" w:themeColor="background1"/>
            </w:tcBorders>
            <w:noWrap/>
          </w:tcPr>
          <w:p w:rsidR="00B37294" w:rsidRDefault="00B37294">
            <w:pPr>
              <w:rPr>
                <w:b/>
                <w:noProof/>
              </w:rPr>
            </w:pPr>
          </w:p>
        </w:tc>
        <w:tc>
          <w:tcPr>
            <w:tcW w:w="2673" w:type="dxa"/>
            <w:noWrap/>
          </w:tcPr>
          <w:p w:rsidR="00B37294" w:rsidRDefault="00D20261">
            <w:pPr>
              <w:rPr>
                <w:noProof/>
              </w:rPr>
            </w:pPr>
            <w:r>
              <w:rPr>
                <w:noProof/>
              </w:rPr>
              <w:t>Grèce</w:t>
            </w:r>
          </w:p>
        </w:tc>
        <w:tc>
          <w:tcPr>
            <w:tcW w:w="1451" w:type="dxa"/>
            <w:noWrap/>
          </w:tcPr>
          <w:p w:rsidR="00B37294" w:rsidRDefault="00D20261">
            <w:pPr>
              <w:rPr>
                <w:noProof/>
              </w:rPr>
            </w:pPr>
            <w:r>
              <w:rPr>
                <w:noProof/>
              </w:rPr>
              <w:t>1</w:t>
            </w:r>
          </w:p>
        </w:tc>
        <w:tc>
          <w:tcPr>
            <w:tcW w:w="2274" w:type="dxa"/>
            <w:noWrap/>
          </w:tcPr>
          <w:p w:rsidR="00B37294" w:rsidRDefault="00D20261">
            <w:pPr>
              <w:rPr>
                <w:noProof/>
              </w:rPr>
            </w:pPr>
            <w:r>
              <w:rPr>
                <w:noProof/>
              </w:rPr>
              <w:t>10</w:t>
            </w:r>
          </w:p>
        </w:tc>
        <w:tc>
          <w:tcPr>
            <w:tcW w:w="1785" w:type="dxa"/>
            <w:noWrap/>
          </w:tcPr>
          <w:p w:rsidR="00B37294" w:rsidRDefault="00D20261">
            <w:pPr>
              <w:rPr>
                <w:noProof/>
              </w:rPr>
            </w:pPr>
            <w:r>
              <w:rPr>
                <w:noProof/>
              </w:rPr>
              <w:t>1</w:t>
            </w:r>
          </w:p>
        </w:tc>
      </w:tr>
      <w:tr w:rsidR="00B37294">
        <w:trPr>
          <w:trHeight w:val="300"/>
        </w:trPr>
        <w:tc>
          <w:tcPr>
            <w:tcW w:w="2499" w:type="dxa"/>
            <w:tcBorders>
              <w:top w:val="single" w:sz="4" w:space="0" w:color="FFFFFF" w:themeColor="background1"/>
              <w:bottom w:val="single" w:sz="4" w:space="0" w:color="FFFFFF" w:themeColor="background1"/>
            </w:tcBorders>
            <w:noWrap/>
          </w:tcPr>
          <w:p w:rsidR="00B37294" w:rsidRDefault="00B37294">
            <w:pPr>
              <w:rPr>
                <w:b/>
                <w:noProof/>
              </w:rPr>
            </w:pPr>
          </w:p>
        </w:tc>
        <w:tc>
          <w:tcPr>
            <w:tcW w:w="2673" w:type="dxa"/>
            <w:noWrap/>
          </w:tcPr>
          <w:p w:rsidR="00B37294" w:rsidRDefault="00D20261">
            <w:pPr>
              <w:rPr>
                <w:noProof/>
              </w:rPr>
            </w:pPr>
            <w:r>
              <w:rPr>
                <w:noProof/>
              </w:rPr>
              <w:t>Italie</w:t>
            </w:r>
          </w:p>
        </w:tc>
        <w:tc>
          <w:tcPr>
            <w:tcW w:w="1451" w:type="dxa"/>
            <w:noWrap/>
          </w:tcPr>
          <w:p w:rsidR="00B37294" w:rsidRDefault="00D20261">
            <w:pPr>
              <w:rPr>
                <w:noProof/>
              </w:rPr>
            </w:pPr>
            <w:r>
              <w:rPr>
                <w:noProof/>
              </w:rPr>
              <w:t>236</w:t>
            </w:r>
          </w:p>
        </w:tc>
        <w:tc>
          <w:tcPr>
            <w:tcW w:w="2274" w:type="dxa"/>
            <w:noWrap/>
          </w:tcPr>
          <w:p w:rsidR="00B37294" w:rsidRDefault="00D20261">
            <w:pPr>
              <w:rPr>
                <w:noProof/>
              </w:rPr>
            </w:pPr>
            <w:r>
              <w:rPr>
                <w:noProof/>
              </w:rPr>
              <w:t>234</w:t>
            </w:r>
          </w:p>
        </w:tc>
        <w:tc>
          <w:tcPr>
            <w:tcW w:w="1785" w:type="dxa"/>
            <w:noWrap/>
          </w:tcPr>
          <w:p w:rsidR="00B37294" w:rsidRDefault="00D20261">
            <w:pPr>
              <w:rPr>
                <w:noProof/>
              </w:rPr>
            </w:pPr>
            <w:r>
              <w:rPr>
                <w:noProof/>
              </w:rPr>
              <w:t>86</w:t>
            </w:r>
          </w:p>
        </w:tc>
      </w:tr>
      <w:tr w:rsidR="00B37294">
        <w:trPr>
          <w:trHeight w:val="300"/>
        </w:trPr>
        <w:tc>
          <w:tcPr>
            <w:tcW w:w="2499" w:type="dxa"/>
            <w:tcBorders>
              <w:top w:val="single" w:sz="4" w:space="0" w:color="FFFFFF" w:themeColor="background1"/>
            </w:tcBorders>
            <w:noWrap/>
          </w:tcPr>
          <w:p w:rsidR="00B37294" w:rsidRDefault="00B37294">
            <w:pPr>
              <w:rPr>
                <w:b/>
                <w:noProof/>
              </w:rPr>
            </w:pPr>
          </w:p>
        </w:tc>
        <w:tc>
          <w:tcPr>
            <w:tcW w:w="2673" w:type="dxa"/>
            <w:noWrap/>
          </w:tcPr>
          <w:p w:rsidR="00B37294" w:rsidRDefault="00D20261">
            <w:pPr>
              <w:rPr>
                <w:noProof/>
              </w:rPr>
            </w:pPr>
            <w:r>
              <w:rPr>
                <w:noProof/>
              </w:rPr>
              <w:t>Espagne</w:t>
            </w:r>
          </w:p>
        </w:tc>
        <w:tc>
          <w:tcPr>
            <w:tcW w:w="1451" w:type="dxa"/>
            <w:noWrap/>
          </w:tcPr>
          <w:p w:rsidR="00B37294" w:rsidRDefault="00D20261">
            <w:pPr>
              <w:rPr>
                <w:noProof/>
              </w:rPr>
            </w:pPr>
            <w:r>
              <w:rPr>
                <w:noProof/>
              </w:rPr>
              <w:t>2</w:t>
            </w:r>
          </w:p>
        </w:tc>
        <w:tc>
          <w:tcPr>
            <w:tcW w:w="2274" w:type="dxa"/>
            <w:noWrap/>
          </w:tcPr>
          <w:p w:rsidR="00B37294" w:rsidRDefault="00D20261">
            <w:pPr>
              <w:rPr>
                <w:noProof/>
              </w:rPr>
            </w:pPr>
            <w:r>
              <w:rPr>
                <w:noProof/>
              </w:rPr>
              <w:t>2</w:t>
            </w:r>
          </w:p>
        </w:tc>
        <w:tc>
          <w:tcPr>
            <w:tcW w:w="1785" w:type="dxa"/>
            <w:noWrap/>
          </w:tcPr>
          <w:p w:rsidR="00B37294" w:rsidRDefault="00D20261">
            <w:pPr>
              <w:rPr>
                <w:noProof/>
              </w:rPr>
            </w:pPr>
            <w:r>
              <w:rPr>
                <w:noProof/>
              </w:rPr>
              <w:t>2</w:t>
            </w:r>
          </w:p>
        </w:tc>
      </w:tr>
      <w:tr w:rsidR="00B37294">
        <w:trPr>
          <w:trHeight w:val="300"/>
        </w:trPr>
        <w:tc>
          <w:tcPr>
            <w:tcW w:w="2499" w:type="dxa"/>
            <w:tcBorders>
              <w:bottom w:val="single" w:sz="4" w:space="0" w:color="FFFFFF" w:themeColor="background1"/>
              <w:right w:val="single" w:sz="4" w:space="0" w:color="FFFFFF" w:themeColor="background1"/>
            </w:tcBorders>
            <w:noWrap/>
            <w:hideMark/>
          </w:tcPr>
          <w:p w:rsidR="00B37294" w:rsidRDefault="00D20261">
            <w:pPr>
              <w:rPr>
                <w:b/>
                <w:noProof/>
              </w:rPr>
            </w:pPr>
            <w:r>
              <w:rPr>
                <w:b/>
                <w:noProof/>
              </w:rPr>
              <w:t>Mer du Nord et Atlantique</w:t>
            </w:r>
          </w:p>
        </w:tc>
        <w:tc>
          <w:tcPr>
            <w:tcW w:w="2673" w:type="dxa"/>
            <w:tcBorders>
              <w:left w:val="single" w:sz="4" w:space="0" w:color="FFFFFF" w:themeColor="background1"/>
            </w:tcBorders>
            <w:noWrap/>
            <w:hideMark/>
          </w:tcPr>
          <w:p w:rsidR="00B37294" w:rsidRDefault="00B37294">
            <w:pPr>
              <w:rPr>
                <w:b/>
                <w:noProof/>
              </w:rPr>
            </w:pPr>
          </w:p>
        </w:tc>
        <w:tc>
          <w:tcPr>
            <w:tcW w:w="1451" w:type="dxa"/>
            <w:noWrap/>
            <w:hideMark/>
          </w:tcPr>
          <w:p w:rsidR="00B37294" w:rsidRDefault="00D20261">
            <w:pPr>
              <w:rPr>
                <w:b/>
                <w:noProof/>
              </w:rPr>
            </w:pPr>
            <w:r>
              <w:rPr>
                <w:b/>
                <w:noProof/>
              </w:rPr>
              <w:t>335</w:t>
            </w:r>
          </w:p>
        </w:tc>
        <w:tc>
          <w:tcPr>
            <w:tcW w:w="2274" w:type="dxa"/>
            <w:noWrap/>
            <w:hideMark/>
          </w:tcPr>
          <w:p w:rsidR="00B37294" w:rsidRDefault="00D20261">
            <w:pPr>
              <w:rPr>
                <w:b/>
                <w:noProof/>
              </w:rPr>
            </w:pPr>
            <w:r>
              <w:rPr>
                <w:b/>
                <w:noProof/>
              </w:rPr>
              <w:t>2 525,5</w:t>
            </w:r>
          </w:p>
        </w:tc>
        <w:tc>
          <w:tcPr>
            <w:tcW w:w="1785" w:type="dxa"/>
            <w:noWrap/>
            <w:hideMark/>
          </w:tcPr>
          <w:p w:rsidR="00B37294" w:rsidRDefault="00D20261">
            <w:pPr>
              <w:rPr>
                <w:b/>
                <w:noProof/>
              </w:rPr>
            </w:pPr>
            <w:r>
              <w:rPr>
                <w:b/>
                <w:noProof/>
              </w:rPr>
              <w:t>219</w:t>
            </w:r>
          </w:p>
        </w:tc>
      </w:tr>
      <w:tr w:rsidR="00B37294">
        <w:trPr>
          <w:trHeight w:val="300"/>
        </w:trPr>
        <w:tc>
          <w:tcPr>
            <w:tcW w:w="2499" w:type="dxa"/>
            <w:tcBorders>
              <w:top w:val="single" w:sz="4" w:space="0" w:color="FFFFFF" w:themeColor="background1"/>
              <w:bottom w:val="single" w:sz="4" w:space="0" w:color="FFFFFF" w:themeColor="background1"/>
            </w:tcBorders>
            <w:noWrap/>
          </w:tcPr>
          <w:p w:rsidR="00B37294" w:rsidRDefault="00B37294">
            <w:pPr>
              <w:rPr>
                <w:b/>
                <w:noProof/>
              </w:rPr>
            </w:pPr>
          </w:p>
        </w:tc>
        <w:tc>
          <w:tcPr>
            <w:tcW w:w="2673" w:type="dxa"/>
            <w:noWrap/>
          </w:tcPr>
          <w:p w:rsidR="00B37294" w:rsidRDefault="00D20261">
            <w:pPr>
              <w:rPr>
                <w:noProof/>
              </w:rPr>
            </w:pPr>
            <w:r>
              <w:rPr>
                <w:noProof/>
              </w:rPr>
              <w:t>Danemark</w:t>
            </w:r>
          </w:p>
        </w:tc>
        <w:tc>
          <w:tcPr>
            <w:tcW w:w="1451" w:type="dxa"/>
            <w:noWrap/>
          </w:tcPr>
          <w:p w:rsidR="00B37294" w:rsidRDefault="00D20261">
            <w:pPr>
              <w:rPr>
                <w:noProof/>
              </w:rPr>
            </w:pPr>
            <w:r>
              <w:rPr>
                <w:noProof/>
              </w:rPr>
              <w:t>19</w:t>
            </w:r>
          </w:p>
        </w:tc>
        <w:tc>
          <w:tcPr>
            <w:tcW w:w="2274" w:type="dxa"/>
            <w:noWrap/>
          </w:tcPr>
          <w:p w:rsidR="00B37294" w:rsidRDefault="00D20261">
            <w:pPr>
              <w:rPr>
                <w:noProof/>
              </w:rPr>
            </w:pPr>
            <w:r>
              <w:rPr>
                <w:noProof/>
              </w:rPr>
              <w:t>66</w:t>
            </w:r>
          </w:p>
        </w:tc>
        <w:tc>
          <w:tcPr>
            <w:tcW w:w="1785" w:type="dxa"/>
            <w:noWrap/>
          </w:tcPr>
          <w:p w:rsidR="00B37294" w:rsidRDefault="00D20261">
            <w:pPr>
              <w:rPr>
                <w:noProof/>
              </w:rPr>
            </w:pPr>
            <w:r>
              <w:rPr>
                <w:noProof/>
              </w:rPr>
              <w:t>19</w:t>
            </w:r>
          </w:p>
        </w:tc>
      </w:tr>
      <w:tr w:rsidR="00B37294">
        <w:trPr>
          <w:trHeight w:val="300"/>
        </w:trPr>
        <w:tc>
          <w:tcPr>
            <w:tcW w:w="2499" w:type="dxa"/>
            <w:tcBorders>
              <w:top w:val="single" w:sz="4" w:space="0" w:color="FFFFFF" w:themeColor="background1"/>
              <w:bottom w:val="single" w:sz="4" w:space="0" w:color="FFFFFF" w:themeColor="background1"/>
            </w:tcBorders>
            <w:noWrap/>
          </w:tcPr>
          <w:p w:rsidR="00B37294" w:rsidRDefault="00B37294">
            <w:pPr>
              <w:rPr>
                <w:b/>
                <w:noProof/>
              </w:rPr>
            </w:pPr>
          </w:p>
        </w:tc>
        <w:tc>
          <w:tcPr>
            <w:tcW w:w="2673" w:type="dxa"/>
            <w:noWrap/>
          </w:tcPr>
          <w:p w:rsidR="00B37294" w:rsidRDefault="00D20261">
            <w:pPr>
              <w:rPr>
                <w:noProof/>
              </w:rPr>
            </w:pPr>
            <w:r>
              <w:rPr>
                <w:noProof/>
              </w:rPr>
              <w:t>France</w:t>
            </w:r>
          </w:p>
        </w:tc>
        <w:tc>
          <w:tcPr>
            <w:tcW w:w="1451" w:type="dxa"/>
            <w:noWrap/>
          </w:tcPr>
          <w:p w:rsidR="00B37294" w:rsidRDefault="00D20261">
            <w:pPr>
              <w:rPr>
                <w:noProof/>
              </w:rPr>
            </w:pPr>
            <w:r>
              <w:rPr>
                <w:noProof/>
              </w:rPr>
              <w:t>2</w:t>
            </w:r>
          </w:p>
        </w:tc>
        <w:tc>
          <w:tcPr>
            <w:tcW w:w="2274" w:type="dxa"/>
            <w:noWrap/>
          </w:tcPr>
          <w:p w:rsidR="00B37294" w:rsidRDefault="00D20261">
            <w:pPr>
              <w:rPr>
                <w:noProof/>
              </w:rPr>
            </w:pPr>
            <w:r>
              <w:rPr>
                <w:noProof/>
              </w:rPr>
              <w:t>4</w:t>
            </w:r>
          </w:p>
        </w:tc>
        <w:tc>
          <w:tcPr>
            <w:tcW w:w="1785" w:type="dxa"/>
            <w:noWrap/>
          </w:tcPr>
          <w:p w:rsidR="00B37294" w:rsidRDefault="00D20261">
            <w:pPr>
              <w:rPr>
                <w:noProof/>
              </w:rPr>
            </w:pPr>
            <w:r>
              <w:rPr>
                <w:noProof/>
              </w:rPr>
              <w:t>1</w:t>
            </w:r>
          </w:p>
        </w:tc>
      </w:tr>
      <w:tr w:rsidR="00B37294">
        <w:trPr>
          <w:trHeight w:val="300"/>
        </w:trPr>
        <w:tc>
          <w:tcPr>
            <w:tcW w:w="2499" w:type="dxa"/>
            <w:tcBorders>
              <w:top w:val="single" w:sz="4" w:space="0" w:color="FFFFFF" w:themeColor="background1"/>
              <w:bottom w:val="single" w:sz="4" w:space="0" w:color="FFFFFF" w:themeColor="background1"/>
            </w:tcBorders>
            <w:noWrap/>
          </w:tcPr>
          <w:p w:rsidR="00B37294" w:rsidRDefault="00B37294">
            <w:pPr>
              <w:rPr>
                <w:b/>
                <w:noProof/>
              </w:rPr>
            </w:pPr>
          </w:p>
        </w:tc>
        <w:tc>
          <w:tcPr>
            <w:tcW w:w="2673" w:type="dxa"/>
            <w:noWrap/>
          </w:tcPr>
          <w:p w:rsidR="00B37294" w:rsidRDefault="00D20261">
            <w:pPr>
              <w:rPr>
                <w:noProof/>
              </w:rPr>
            </w:pPr>
            <w:r>
              <w:rPr>
                <w:noProof/>
              </w:rPr>
              <w:t>Allemagne</w:t>
            </w:r>
          </w:p>
        </w:tc>
        <w:tc>
          <w:tcPr>
            <w:tcW w:w="1451" w:type="dxa"/>
            <w:noWrap/>
          </w:tcPr>
          <w:p w:rsidR="00B37294" w:rsidRDefault="00D20261">
            <w:pPr>
              <w:rPr>
                <w:noProof/>
              </w:rPr>
            </w:pPr>
            <w:r>
              <w:rPr>
                <w:noProof/>
              </w:rPr>
              <w:t>6</w:t>
            </w:r>
          </w:p>
        </w:tc>
        <w:tc>
          <w:tcPr>
            <w:tcW w:w="2274" w:type="dxa"/>
            <w:noWrap/>
          </w:tcPr>
          <w:p w:rsidR="00B37294" w:rsidRDefault="00D20261">
            <w:pPr>
              <w:rPr>
                <w:noProof/>
              </w:rPr>
            </w:pPr>
            <w:r>
              <w:rPr>
                <w:noProof/>
              </w:rPr>
              <w:t>6</w:t>
            </w:r>
          </w:p>
        </w:tc>
        <w:tc>
          <w:tcPr>
            <w:tcW w:w="1785" w:type="dxa"/>
            <w:noWrap/>
          </w:tcPr>
          <w:p w:rsidR="00B37294" w:rsidRDefault="00D20261">
            <w:pPr>
              <w:rPr>
                <w:noProof/>
              </w:rPr>
            </w:pPr>
            <w:r>
              <w:rPr>
                <w:noProof/>
              </w:rPr>
              <w:t>2</w:t>
            </w:r>
          </w:p>
        </w:tc>
      </w:tr>
      <w:tr w:rsidR="00B37294">
        <w:trPr>
          <w:trHeight w:val="300"/>
        </w:trPr>
        <w:tc>
          <w:tcPr>
            <w:tcW w:w="2499" w:type="dxa"/>
            <w:tcBorders>
              <w:top w:val="single" w:sz="4" w:space="0" w:color="FFFFFF" w:themeColor="background1"/>
              <w:bottom w:val="single" w:sz="4" w:space="0" w:color="FFFFFF" w:themeColor="background1"/>
            </w:tcBorders>
            <w:noWrap/>
          </w:tcPr>
          <w:p w:rsidR="00B37294" w:rsidRDefault="00B37294">
            <w:pPr>
              <w:rPr>
                <w:b/>
                <w:noProof/>
              </w:rPr>
            </w:pPr>
          </w:p>
        </w:tc>
        <w:tc>
          <w:tcPr>
            <w:tcW w:w="2673" w:type="dxa"/>
            <w:noWrap/>
          </w:tcPr>
          <w:p w:rsidR="00B37294" w:rsidRDefault="00D20261">
            <w:pPr>
              <w:rPr>
                <w:noProof/>
              </w:rPr>
            </w:pPr>
            <w:r>
              <w:rPr>
                <w:noProof/>
              </w:rPr>
              <w:t>Irlande</w:t>
            </w:r>
          </w:p>
        </w:tc>
        <w:tc>
          <w:tcPr>
            <w:tcW w:w="1451" w:type="dxa"/>
            <w:noWrap/>
          </w:tcPr>
          <w:p w:rsidR="00B37294" w:rsidRDefault="00D20261">
            <w:pPr>
              <w:rPr>
                <w:noProof/>
              </w:rPr>
            </w:pPr>
            <w:r>
              <w:rPr>
                <w:noProof/>
              </w:rPr>
              <w:t>3</w:t>
            </w:r>
          </w:p>
        </w:tc>
        <w:tc>
          <w:tcPr>
            <w:tcW w:w="2274" w:type="dxa"/>
            <w:noWrap/>
          </w:tcPr>
          <w:p w:rsidR="00B37294" w:rsidRDefault="00D20261">
            <w:pPr>
              <w:rPr>
                <w:noProof/>
              </w:rPr>
            </w:pPr>
            <w:r>
              <w:rPr>
                <w:noProof/>
              </w:rPr>
              <w:t>30</w:t>
            </w:r>
          </w:p>
        </w:tc>
        <w:tc>
          <w:tcPr>
            <w:tcW w:w="1785" w:type="dxa"/>
            <w:noWrap/>
          </w:tcPr>
          <w:p w:rsidR="00B37294" w:rsidRDefault="00D20261">
            <w:pPr>
              <w:rPr>
                <w:noProof/>
              </w:rPr>
            </w:pPr>
            <w:r>
              <w:rPr>
                <w:noProof/>
              </w:rPr>
              <w:t>3</w:t>
            </w:r>
          </w:p>
        </w:tc>
      </w:tr>
      <w:tr w:rsidR="00B37294">
        <w:trPr>
          <w:trHeight w:val="300"/>
        </w:trPr>
        <w:tc>
          <w:tcPr>
            <w:tcW w:w="2499" w:type="dxa"/>
            <w:tcBorders>
              <w:top w:val="single" w:sz="4" w:space="0" w:color="FFFFFF" w:themeColor="background1"/>
              <w:bottom w:val="single" w:sz="4" w:space="0" w:color="FFFFFF" w:themeColor="background1"/>
            </w:tcBorders>
            <w:noWrap/>
          </w:tcPr>
          <w:p w:rsidR="00B37294" w:rsidRDefault="00B37294">
            <w:pPr>
              <w:rPr>
                <w:b/>
                <w:noProof/>
              </w:rPr>
            </w:pPr>
          </w:p>
        </w:tc>
        <w:tc>
          <w:tcPr>
            <w:tcW w:w="2673" w:type="dxa"/>
            <w:noWrap/>
          </w:tcPr>
          <w:p w:rsidR="00B37294" w:rsidRDefault="00D20261">
            <w:pPr>
              <w:rPr>
                <w:noProof/>
              </w:rPr>
            </w:pPr>
            <w:r>
              <w:rPr>
                <w:noProof/>
              </w:rPr>
              <w:t>Pays-Bas</w:t>
            </w:r>
          </w:p>
        </w:tc>
        <w:tc>
          <w:tcPr>
            <w:tcW w:w="1451" w:type="dxa"/>
            <w:noWrap/>
          </w:tcPr>
          <w:p w:rsidR="00B37294" w:rsidRDefault="00D20261">
            <w:pPr>
              <w:rPr>
                <w:noProof/>
              </w:rPr>
            </w:pPr>
            <w:r>
              <w:rPr>
                <w:noProof/>
              </w:rPr>
              <w:t>32</w:t>
            </w:r>
          </w:p>
        </w:tc>
        <w:tc>
          <w:tcPr>
            <w:tcW w:w="2274" w:type="dxa"/>
            <w:noWrap/>
          </w:tcPr>
          <w:p w:rsidR="00B37294" w:rsidRDefault="00D20261">
            <w:pPr>
              <w:rPr>
                <w:noProof/>
              </w:rPr>
            </w:pPr>
            <w:r>
              <w:rPr>
                <w:noProof/>
              </w:rPr>
              <w:t>23</w:t>
            </w:r>
          </w:p>
        </w:tc>
        <w:tc>
          <w:tcPr>
            <w:tcW w:w="1785" w:type="dxa"/>
            <w:noWrap/>
          </w:tcPr>
          <w:p w:rsidR="00B37294" w:rsidRDefault="00D20261">
            <w:pPr>
              <w:rPr>
                <w:noProof/>
              </w:rPr>
            </w:pPr>
            <w:r>
              <w:rPr>
                <w:noProof/>
              </w:rPr>
              <w:t>28</w:t>
            </w:r>
          </w:p>
        </w:tc>
      </w:tr>
      <w:tr w:rsidR="00B37294">
        <w:trPr>
          <w:trHeight w:val="300"/>
        </w:trPr>
        <w:tc>
          <w:tcPr>
            <w:tcW w:w="2499" w:type="dxa"/>
            <w:tcBorders>
              <w:top w:val="single" w:sz="4" w:space="0" w:color="FFFFFF" w:themeColor="background1"/>
            </w:tcBorders>
            <w:noWrap/>
          </w:tcPr>
          <w:p w:rsidR="00B37294" w:rsidRDefault="00B37294">
            <w:pPr>
              <w:rPr>
                <w:b/>
                <w:noProof/>
              </w:rPr>
            </w:pPr>
          </w:p>
        </w:tc>
        <w:tc>
          <w:tcPr>
            <w:tcW w:w="2673" w:type="dxa"/>
            <w:noWrap/>
          </w:tcPr>
          <w:p w:rsidR="00B37294" w:rsidRDefault="00D20261">
            <w:pPr>
              <w:rPr>
                <w:noProof/>
              </w:rPr>
            </w:pPr>
            <w:r>
              <w:rPr>
                <w:noProof/>
              </w:rPr>
              <w:t>Royaume-Uni</w:t>
            </w:r>
          </w:p>
        </w:tc>
        <w:tc>
          <w:tcPr>
            <w:tcW w:w="1451" w:type="dxa"/>
            <w:noWrap/>
          </w:tcPr>
          <w:p w:rsidR="00B37294" w:rsidRDefault="00D20261">
            <w:pPr>
              <w:rPr>
                <w:noProof/>
              </w:rPr>
            </w:pPr>
            <w:r>
              <w:rPr>
                <w:noProof/>
              </w:rPr>
              <w:t>273</w:t>
            </w:r>
          </w:p>
        </w:tc>
        <w:tc>
          <w:tcPr>
            <w:tcW w:w="2274" w:type="dxa"/>
            <w:noWrap/>
          </w:tcPr>
          <w:p w:rsidR="00B37294" w:rsidRDefault="00D20261">
            <w:pPr>
              <w:rPr>
                <w:noProof/>
              </w:rPr>
            </w:pPr>
            <w:r>
              <w:rPr>
                <w:noProof/>
              </w:rPr>
              <w:t>2 396,5</w:t>
            </w:r>
          </w:p>
        </w:tc>
        <w:tc>
          <w:tcPr>
            <w:tcW w:w="1785" w:type="dxa"/>
            <w:noWrap/>
          </w:tcPr>
          <w:p w:rsidR="00B37294" w:rsidRDefault="00D20261">
            <w:pPr>
              <w:rPr>
                <w:noProof/>
              </w:rPr>
            </w:pPr>
            <w:r>
              <w:rPr>
                <w:noProof/>
              </w:rPr>
              <w:t>166</w:t>
            </w:r>
          </w:p>
        </w:tc>
      </w:tr>
      <w:tr w:rsidR="00B37294">
        <w:trPr>
          <w:trHeight w:val="300"/>
        </w:trPr>
        <w:tc>
          <w:tcPr>
            <w:tcW w:w="2499" w:type="dxa"/>
            <w:tcBorders>
              <w:right w:val="single" w:sz="4" w:space="0" w:color="FFFFFF" w:themeColor="background1"/>
            </w:tcBorders>
            <w:noWrap/>
          </w:tcPr>
          <w:p w:rsidR="00B37294" w:rsidRDefault="00D20261">
            <w:pPr>
              <w:rPr>
                <w:b/>
                <w:noProof/>
              </w:rPr>
            </w:pPr>
            <w:r>
              <w:rPr>
                <w:b/>
                <w:noProof/>
              </w:rPr>
              <w:t>TOTAL</w:t>
            </w:r>
          </w:p>
        </w:tc>
        <w:tc>
          <w:tcPr>
            <w:tcW w:w="2673" w:type="dxa"/>
            <w:tcBorders>
              <w:left w:val="single" w:sz="4" w:space="0" w:color="FFFFFF" w:themeColor="background1"/>
            </w:tcBorders>
            <w:noWrap/>
          </w:tcPr>
          <w:p w:rsidR="00B37294" w:rsidRDefault="00B37294">
            <w:pPr>
              <w:rPr>
                <w:b/>
                <w:noProof/>
              </w:rPr>
            </w:pPr>
          </w:p>
        </w:tc>
        <w:tc>
          <w:tcPr>
            <w:tcW w:w="1451" w:type="dxa"/>
            <w:noWrap/>
          </w:tcPr>
          <w:p w:rsidR="00B37294" w:rsidRDefault="00D20261">
            <w:pPr>
              <w:rPr>
                <w:b/>
                <w:noProof/>
              </w:rPr>
            </w:pPr>
            <w:r>
              <w:rPr>
                <w:b/>
                <w:noProof/>
              </w:rPr>
              <w:t>593</w:t>
            </w:r>
          </w:p>
        </w:tc>
        <w:tc>
          <w:tcPr>
            <w:tcW w:w="2274" w:type="dxa"/>
            <w:noWrap/>
          </w:tcPr>
          <w:p w:rsidR="00B37294" w:rsidRDefault="00D20261">
            <w:pPr>
              <w:rPr>
                <w:b/>
                <w:noProof/>
              </w:rPr>
            </w:pPr>
            <w:r>
              <w:rPr>
                <w:b/>
                <w:noProof/>
              </w:rPr>
              <w:t>2 817,5</w:t>
            </w:r>
          </w:p>
        </w:tc>
        <w:tc>
          <w:tcPr>
            <w:tcW w:w="1785" w:type="dxa"/>
            <w:noWrap/>
          </w:tcPr>
          <w:p w:rsidR="00B37294" w:rsidRDefault="00D20261">
            <w:pPr>
              <w:rPr>
                <w:b/>
                <w:noProof/>
              </w:rPr>
            </w:pPr>
            <w:r>
              <w:rPr>
                <w:b/>
                <w:noProof/>
              </w:rPr>
              <w:t>318</w:t>
            </w:r>
          </w:p>
        </w:tc>
      </w:tr>
    </w:tbl>
    <w:p w:rsidR="00B37294" w:rsidRDefault="00B37294">
      <w:pPr>
        <w:rPr>
          <w:noProof/>
        </w:rPr>
      </w:pPr>
    </w:p>
    <w:p w:rsidR="00B37294" w:rsidRDefault="00D20261">
      <w:pPr>
        <w:spacing w:after="0"/>
        <w:rPr>
          <w:rFonts w:ascii="Times New Roman" w:hAnsi="Times New Roman"/>
          <w:i/>
          <w:noProof/>
        </w:rPr>
      </w:pPr>
      <w:r>
        <w:rPr>
          <w:rFonts w:ascii="Times New Roman" w:hAnsi="Times New Roman"/>
          <w:i/>
          <w:noProof/>
        </w:rPr>
        <w:t xml:space="preserve">(*) Le </w:t>
      </w:r>
      <w:r>
        <w:rPr>
          <w:rFonts w:ascii="Times New Roman" w:hAnsi="Times New Roman"/>
          <w:i/>
          <w:noProof/>
        </w:rPr>
        <w:t>tableau comprend les informations provenant des États membres qui comptent au moins une installation en mer relevant de leur juridiction en 2018.</w:t>
      </w:r>
    </w:p>
    <w:p w:rsidR="00B37294" w:rsidRDefault="00B37294">
      <w:pPr>
        <w:spacing w:after="0"/>
        <w:rPr>
          <w:rFonts w:ascii="Times New Roman" w:hAnsi="Times New Roman"/>
          <w:i/>
          <w:noProof/>
        </w:rPr>
      </w:pPr>
    </w:p>
    <w:p w:rsidR="00B37294" w:rsidRDefault="00D20261">
      <w:pPr>
        <w:jc w:val="both"/>
        <w:rPr>
          <w:rFonts w:ascii="Times New Roman" w:hAnsi="Times New Roman"/>
          <w:noProof/>
          <w:sz w:val="24"/>
          <w:szCs w:val="24"/>
        </w:rPr>
      </w:pPr>
      <w:r>
        <w:rPr>
          <w:rFonts w:ascii="Times New Roman" w:hAnsi="Times New Roman"/>
          <w:noProof/>
          <w:sz w:val="24"/>
          <w:szCs w:val="24"/>
        </w:rPr>
        <w:t>L’article 18 de la directive sur la sécurité des opérations pétrolières et gazières en mer confère certains droits et certains pouvoirs aux autorités compétentes des États membres sur les opérations et les installations relevant de leur juridiction. Ces dr</w:t>
      </w:r>
      <w:r>
        <w:rPr>
          <w:rFonts w:ascii="Times New Roman" w:hAnsi="Times New Roman"/>
          <w:noProof/>
          <w:sz w:val="24"/>
          <w:szCs w:val="24"/>
        </w:rPr>
        <w:t xml:space="preserve">oits et compétences comprennent le droit d’interdire des opérations et le droit d’imposer que des mesures soient prises afin de garantir le respect des principes généraux de la gestion des risques et de garantir la sécurité des opérations. </w:t>
      </w:r>
    </w:p>
    <w:p w:rsidR="00B37294" w:rsidRDefault="00D20261">
      <w:pPr>
        <w:jc w:val="both"/>
        <w:rPr>
          <w:rFonts w:ascii="Times New Roman" w:hAnsi="Times New Roman"/>
          <w:noProof/>
          <w:sz w:val="24"/>
          <w:szCs w:val="24"/>
        </w:rPr>
      </w:pPr>
      <w:r>
        <w:rPr>
          <w:rFonts w:ascii="Times New Roman" w:hAnsi="Times New Roman"/>
          <w:noProof/>
          <w:sz w:val="24"/>
          <w:szCs w:val="24"/>
        </w:rPr>
        <w:t>Sur cette base,</w:t>
      </w:r>
      <w:r>
        <w:rPr>
          <w:rFonts w:ascii="Times New Roman" w:hAnsi="Times New Roman"/>
          <w:noProof/>
          <w:sz w:val="24"/>
          <w:szCs w:val="24"/>
        </w:rPr>
        <w:t xml:space="preserve"> trois États membres ont mené des enquêtes au cours de la période de référence: le Royaume-Uni, le Danemark et les Pays-Bas. Le Royaume-Uni a mené 41 enquêtes concernant des problèmes touchant à la sécurité et à l’environnement</w:t>
      </w:r>
      <w:r>
        <w:rPr>
          <w:rStyle w:val="FootnoteReference"/>
          <w:rFonts w:ascii="Times New Roman" w:hAnsi="Times New Roman"/>
          <w:noProof/>
          <w:sz w:val="24"/>
          <w:szCs w:val="24"/>
        </w:rPr>
        <w:footnoteReference w:id="7"/>
      </w:r>
      <w:r>
        <w:rPr>
          <w:rFonts w:ascii="Times New Roman" w:hAnsi="Times New Roman"/>
          <w:noProof/>
          <w:sz w:val="24"/>
          <w:szCs w:val="24"/>
        </w:rPr>
        <w:t xml:space="preserve"> et 5 enquêtes concernant de</w:t>
      </w:r>
      <w:r>
        <w:rPr>
          <w:rFonts w:ascii="Times New Roman" w:hAnsi="Times New Roman"/>
          <w:noProof/>
          <w:sz w:val="24"/>
          <w:szCs w:val="24"/>
        </w:rPr>
        <w:t>s accidents majeurs. Le Danemark a effectué 3 enquêtes concernant des problèmes touchant à la sécurité et à l’environnement et les Pays-Bas ont effectué une enquête portant sur un accident majeur. Principalement du fait de l’augmentation du nombre d’enquêt</w:t>
      </w:r>
      <w:r>
        <w:rPr>
          <w:rFonts w:ascii="Times New Roman" w:hAnsi="Times New Roman"/>
          <w:noProof/>
          <w:sz w:val="24"/>
          <w:szCs w:val="24"/>
        </w:rPr>
        <w:t>es au Royaume-Uni, le nombre total d’enquêtes a été sensiblement plus élevé en 2018 (50) qu’en 2017 (20) et en 2016 (23).</w:t>
      </w:r>
    </w:p>
    <w:p w:rsidR="00B37294" w:rsidRDefault="00D20261">
      <w:pPr>
        <w:jc w:val="both"/>
        <w:rPr>
          <w:rFonts w:ascii="Times New Roman" w:hAnsi="Times New Roman"/>
          <w:i/>
          <w:noProof/>
        </w:rPr>
      </w:pPr>
      <w:r>
        <w:rPr>
          <w:rFonts w:ascii="Times New Roman" w:hAnsi="Times New Roman"/>
          <w:noProof/>
          <w:sz w:val="24"/>
          <w:szCs w:val="24"/>
        </w:rPr>
        <w:t>Malgré l’augmentation du nombre des enquêtes, le nombre total de mesures d’exécution a été inférieur en 2018 par rapport à 2017. Alors</w:t>
      </w:r>
      <w:r>
        <w:rPr>
          <w:rFonts w:ascii="Times New Roman" w:hAnsi="Times New Roman"/>
          <w:noProof/>
          <w:sz w:val="24"/>
          <w:szCs w:val="24"/>
        </w:rPr>
        <w:t xml:space="preserve"> que les États membres ont pris 47 mesures d’exécution en 2017 (dont 45 pour le Royaume-Uni), en 2018, seul le Royaume-Uni a déclaré de telles mesures, au nombre de 34, un chiffre inférieur à celui de 2017. </w:t>
      </w:r>
    </w:p>
    <w:p w:rsidR="00B37294" w:rsidRDefault="00D20261">
      <w:pPr>
        <w:pStyle w:val="Heading1"/>
        <w:ind w:left="720" w:hanging="720"/>
        <w:rPr>
          <w:rFonts w:ascii="Times New Roman" w:hAnsi="Times New Roman"/>
        </w:rPr>
      </w:pPr>
      <w:bookmarkStart w:id="8" w:name="_Toc56767530"/>
      <w:r>
        <w:rPr>
          <w:rFonts w:ascii="Times New Roman" w:hAnsi="Times New Roman"/>
        </w:rPr>
        <w:t>5.</w:t>
      </w:r>
      <w:r>
        <w:tab/>
      </w:r>
      <w:r>
        <w:rPr>
          <w:rFonts w:ascii="Times New Roman" w:hAnsi="Times New Roman"/>
        </w:rPr>
        <w:t>DONNÉES RELATIVES AUX INCIDENTS ET PERFORMANC</w:t>
      </w:r>
      <w:r>
        <w:rPr>
          <w:rFonts w:ascii="Times New Roman" w:hAnsi="Times New Roman"/>
        </w:rPr>
        <w:t>ES DES OPÉRATIONS EN MER EN MATIÈRE DE SÉCURITÉ</w:t>
      </w:r>
      <w:bookmarkEnd w:id="8"/>
    </w:p>
    <w:p w:rsidR="00B37294" w:rsidRDefault="00D20261">
      <w:pPr>
        <w:jc w:val="both"/>
        <w:rPr>
          <w:rFonts w:ascii="Times New Roman" w:hAnsi="Times New Roman"/>
          <w:noProof/>
          <w:sz w:val="24"/>
          <w:szCs w:val="24"/>
        </w:rPr>
      </w:pPr>
      <w:r>
        <w:rPr>
          <w:rFonts w:ascii="Times New Roman" w:hAnsi="Times New Roman"/>
          <w:noProof/>
          <w:sz w:val="24"/>
          <w:szCs w:val="24"/>
        </w:rPr>
        <w:t>Les États membres ont déclaré les incidents suivants pour 2018, 124 au total, conformément à l’annexe IX de la directive sur la sécurité des opérations en mer.</w:t>
      </w:r>
    </w:p>
    <w:p w:rsidR="00B37294" w:rsidRDefault="00D20261">
      <w:pPr>
        <w:spacing w:after="0"/>
        <w:ind w:left="720" w:hanging="720"/>
        <w:jc w:val="both"/>
        <w:rPr>
          <w:rFonts w:ascii="Times New Roman" w:hAnsi="Times New Roman"/>
          <w:noProof/>
          <w:sz w:val="24"/>
          <w:szCs w:val="24"/>
        </w:rPr>
      </w:pPr>
      <w:r>
        <w:rPr>
          <w:rFonts w:ascii="Times New Roman" w:hAnsi="Times New Roman"/>
          <w:noProof/>
          <w:sz w:val="24"/>
          <w:szCs w:val="24"/>
        </w:rPr>
        <w:t>-</w:t>
      </w:r>
      <w:r>
        <w:rPr>
          <w:noProof/>
        </w:rPr>
        <w:tab/>
      </w:r>
      <w:r>
        <w:rPr>
          <w:rFonts w:ascii="Times New Roman" w:hAnsi="Times New Roman"/>
          <w:noProof/>
          <w:sz w:val="24"/>
          <w:szCs w:val="24"/>
        </w:rPr>
        <w:t>Au Royaume-Uni, 95 événements à signaler ont é</w:t>
      </w:r>
      <w:r>
        <w:rPr>
          <w:rFonts w:ascii="Times New Roman" w:hAnsi="Times New Roman"/>
          <w:noProof/>
          <w:sz w:val="24"/>
          <w:szCs w:val="24"/>
        </w:rPr>
        <w:t xml:space="preserve">té enregistrés, dont 5 accidents majeurs. </w:t>
      </w:r>
    </w:p>
    <w:p w:rsidR="00B37294" w:rsidRDefault="00D20261">
      <w:pPr>
        <w:spacing w:after="0"/>
        <w:ind w:left="720" w:hanging="720"/>
        <w:jc w:val="both"/>
        <w:rPr>
          <w:rFonts w:ascii="Times New Roman" w:hAnsi="Times New Roman"/>
          <w:noProof/>
          <w:sz w:val="24"/>
          <w:szCs w:val="24"/>
        </w:rPr>
      </w:pPr>
      <w:r>
        <w:rPr>
          <w:rFonts w:ascii="Times New Roman" w:hAnsi="Times New Roman"/>
          <w:noProof/>
          <w:sz w:val="24"/>
          <w:szCs w:val="24"/>
        </w:rPr>
        <w:t>-</w:t>
      </w:r>
      <w:r>
        <w:rPr>
          <w:noProof/>
        </w:rPr>
        <w:tab/>
      </w:r>
      <w:r>
        <w:rPr>
          <w:rFonts w:ascii="Times New Roman" w:hAnsi="Times New Roman"/>
          <w:noProof/>
          <w:sz w:val="24"/>
          <w:szCs w:val="24"/>
        </w:rPr>
        <w:t>Aux Pays-Bas, 14 événements à signaler</w:t>
      </w:r>
      <w:r>
        <w:rPr>
          <w:rStyle w:val="FootnoteReference"/>
          <w:rFonts w:ascii="Times New Roman" w:hAnsi="Times New Roman"/>
          <w:noProof/>
          <w:sz w:val="24"/>
          <w:szCs w:val="24"/>
        </w:rPr>
        <w:footnoteReference w:id="8"/>
      </w:r>
      <w:r>
        <w:rPr>
          <w:rFonts w:ascii="Times New Roman" w:hAnsi="Times New Roman"/>
          <w:noProof/>
          <w:sz w:val="24"/>
          <w:szCs w:val="24"/>
        </w:rPr>
        <w:t xml:space="preserve"> ont été enregistrés, dont un accident majeur. Ses causes n’ont pas été communiquées, l’affaire faisant encore l’objet d’une enquête au moment de la communication des données.</w:t>
      </w:r>
    </w:p>
    <w:p w:rsidR="00B37294" w:rsidRDefault="00D20261">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Au Danemark, 9 événements à signaler ont été enregistrés, et aucun accident maje</w:t>
      </w:r>
      <w:r>
        <w:rPr>
          <w:rFonts w:ascii="Times New Roman" w:hAnsi="Times New Roman"/>
          <w:noProof/>
          <w:sz w:val="24"/>
          <w:szCs w:val="24"/>
        </w:rPr>
        <w:t>ur.</w:t>
      </w:r>
    </w:p>
    <w:p w:rsidR="00B37294" w:rsidRDefault="00D20261">
      <w:pPr>
        <w:pStyle w:val="ListParagraph"/>
        <w:numPr>
          <w:ilvl w:val="0"/>
          <w:numId w:val="4"/>
        </w:numPr>
        <w:spacing w:after="0"/>
        <w:ind w:hanging="720"/>
        <w:jc w:val="both"/>
        <w:rPr>
          <w:rFonts w:ascii="Times New Roman" w:hAnsi="Times New Roman"/>
          <w:noProof/>
          <w:sz w:val="24"/>
          <w:szCs w:val="24"/>
        </w:rPr>
      </w:pPr>
      <w:r>
        <w:rPr>
          <w:rFonts w:ascii="Times New Roman" w:hAnsi="Times New Roman"/>
          <w:noProof/>
          <w:sz w:val="24"/>
          <w:szCs w:val="24"/>
        </w:rPr>
        <w:t>En France et en Irlande, un seul événement à signaler pour chacun, et aucun accident majeur.</w:t>
      </w:r>
    </w:p>
    <w:p w:rsidR="00B37294" w:rsidRDefault="00B37294">
      <w:pPr>
        <w:spacing w:after="0"/>
        <w:ind w:left="720" w:hanging="720"/>
        <w:jc w:val="both"/>
        <w:rPr>
          <w:rFonts w:ascii="Times New Roman" w:hAnsi="Times New Roman"/>
          <w:noProof/>
          <w:sz w:val="24"/>
          <w:szCs w:val="24"/>
        </w:rPr>
      </w:pPr>
    </w:p>
    <w:p w:rsidR="00B37294" w:rsidRDefault="00D20261">
      <w:pPr>
        <w:spacing w:after="0"/>
        <w:jc w:val="both"/>
        <w:rPr>
          <w:rFonts w:ascii="Times New Roman" w:hAnsi="Times New Roman"/>
          <w:noProof/>
          <w:sz w:val="24"/>
          <w:szCs w:val="24"/>
        </w:rPr>
      </w:pPr>
      <w:r>
        <w:rPr>
          <w:rFonts w:ascii="Times New Roman" w:hAnsi="Times New Roman"/>
          <w:noProof/>
          <w:sz w:val="24"/>
          <w:szCs w:val="24"/>
        </w:rPr>
        <w:t>Le nombre d’accidents majeurs englobe les incidents risquant très probablement de causer des décès ou des dommages corporels graves, même si cela ne s’est pas</w:t>
      </w:r>
      <w:r>
        <w:rPr>
          <w:rFonts w:ascii="Times New Roman" w:hAnsi="Times New Roman"/>
          <w:noProof/>
          <w:sz w:val="24"/>
          <w:szCs w:val="24"/>
        </w:rPr>
        <w:t xml:space="preserve"> avéré être le cas.</w:t>
      </w:r>
    </w:p>
    <w:p w:rsidR="00B37294" w:rsidRDefault="00B37294">
      <w:pPr>
        <w:spacing w:after="0"/>
        <w:jc w:val="both"/>
        <w:rPr>
          <w:rFonts w:ascii="Times New Roman" w:hAnsi="Times New Roman"/>
          <w:noProof/>
          <w:sz w:val="24"/>
          <w:szCs w:val="24"/>
        </w:rPr>
      </w:pPr>
    </w:p>
    <w:p w:rsidR="00B37294" w:rsidRDefault="00D20261">
      <w:pPr>
        <w:spacing w:after="0"/>
        <w:jc w:val="both"/>
        <w:rPr>
          <w:rFonts w:ascii="Times New Roman" w:hAnsi="Times New Roman"/>
          <w:noProof/>
          <w:sz w:val="24"/>
          <w:szCs w:val="24"/>
        </w:rPr>
      </w:pPr>
      <w:r>
        <w:rPr>
          <w:rFonts w:ascii="Times New Roman" w:hAnsi="Times New Roman"/>
          <w:noProof/>
          <w:sz w:val="24"/>
          <w:szCs w:val="24"/>
        </w:rPr>
        <w:t>La plupart des défaillances (80 %) observées lors des événements à signaler relèvent de la catégorie des rejets involontaires; 13,7 % concernaient la perte de contrôle d’un puits (éruption/activation du déflecteur); 1,6 % concernait de</w:t>
      </w:r>
      <w:r>
        <w:rPr>
          <w:rFonts w:ascii="Times New Roman" w:hAnsi="Times New Roman"/>
          <w:noProof/>
          <w:sz w:val="24"/>
          <w:szCs w:val="24"/>
        </w:rPr>
        <w:t>s défaillances d’éléments critiques pour la sécurité et l’environnement (SECE); et 1,6 % concernait la perte d’intégrité structurelle (déplacement involontaire). Deux incidents ont requis l’évacuation du personnel.</w:t>
      </w:r>
    </w:p>
    <w:p w:rsidR="00B37294" w:rsidRDefault="00B37294">
      <w:pPr>
        <w:pStyle w:val="Caption"/>
        <w:rPr>
          <w:noProof/>
        </w:rPr>
      </w:pPr>
    </w:p>
    <w:p w:rsidR="00B37294" w:rsidRDefault="00D20261">
      <w:pPr>
        <w:pStyle w:val="Caption"/>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Incid</w:t>
      </w:r>
      <w:r>
        <w:rPr>
          <w:noProof/>
        </w:rPr>
        <w:t>ents par catégories (annexe IX de la directive sur la sécurité en mer, au niveau de l’UE)</w:t>
      </w:r>
    </w:p>
    <w:tbl>
      <w:tblPr>
        <w:tblStyle w:val="TableGrid"/>
        <w:tblW w:w="0" w:type="auto"/>
        <w:tblLook w:val="04A0" w:firstRow="1" w:lastRow="0" w:firstColumn="1" w:lastColumn="0" w:noHBand="0" w:noVBand="1"/>
      </w:tblPr>
      <w:tblGrid>
        <w:gridCol w:w="494"/>
        <w:gridCol w:w="5373"/>
        <w:gridCol w:w="1357"/>
        <w:gridCol w:w="1270"/>
        <w:gridCol w:w="1468"/>
      </w:tblGrid>
      <w:tr w:rsidR="00B37294">
        <w:trPr>
          <w:trHeight w:val="300"/>
        </w:trPr>
        <w:tc>
          <w:tcPr>
            <w:tcW w:w="6629" w:type="dxa"/>
            <w:gridSpan w:val="2"/>
            <w:noWrap/>
            <w:hideMark/>
          </w:tcPr>
          <w:p w:rsidR="00B37294" w:rsidRDefault="00D20261">
            <w:pPr>
              <w:rPr>
                <w:b/>
                <w:noProof/>
              </w:rPr>
            </w:pPr>
            <w:r>
              <w:rPr>
                <w:b/>
                <w:noProof/>
              </w:rPr>
              <w:t>Catégories de l’annexe IX</w:t>
            </w:r>
          </w:p>
        </w:tc>
        <w:tc>
          <w:tcPr>
            <w:tcW w:w="992" w:type="dxa"/>
            <w:noWrap/>
            <w:hideMark/>
          </w:tcPr>
          <w:p w:rsidR="00B37294" w:rsidRDefault="00D20261">
            <w:pPr>
              <w:rPr>
                <w:b/>
                <w:noProof/>
              </w:rPr>
            </w:pPr>
            <w:r>
              <w:rPr>
                <w:b/>
                <w:noProof/>
              </w:rPr>
              <w:t>Nombre d’événements</w:t>
            </w:r>
          </w:p>
        </w:tc>
        <w:tc>
          <w:tcPr>
            <w:tcW w:w="1418" w:type="dxa"/>
            <w:noWrap/>
            <w:hideMark/>
          </w:tcPr>
          <w:p w:rsidR="00B37294" w:rsidRDefault="00D20261">
            <w:pPr>
              <w:rPr>
                <w:b/>
                <w:noProof/>
              </w:rPr>
            </w:pPr>
            <w:r>
              <w:rPr>
                <w:b/>
                <w:noProof/>
              </w:rPr>
              <w:t>Pourcentage (du total de la catégorie)</w:t>
            </w:r>
          </w:p>
        </w:tc>
        <w:tc>
          <w:tcPr>
            <w:tcW w:w="1643" w:type="dxa"/>
            <w:noWrap/>
            <w:hideMark/>
          </w:tcPr>
          <w:p w:rsidR="00B37294" w:rsidRDefault="00D20261">
            <w:pPr>
              <w:rPr>
                <w:b/>
                <w:noProof/>
              </w:rPr>
            </w:pPr>
            <w:r>
              <w:rPr>
                <w:b/>
                <w:noProof/>
              </w:rPr>
              <w:t>Pourcentage (du total des événements)</w:t>
            </w:r>
          </w:p>
        </w:tc>
      </w:tr>
      <w:tr w:rsidR="00B37294">
        <w:trPr>
          <w:trHeight w:val="300"/>
        </w:trPr>
        <w:tc>
          <w:tcPr>
            <w:tcW w:w="533" w:type="dxa"/>
            <w:tcBorders>
              <w:right w:val="single" w:sz="4" w:space="0" w:color="FFFFFF" w:themeColor="background1"/>
            </w:tcBorders>
            <w:noWrap/>
            <w:hideMark/>
          </w:tcPr>
          <w:p w:rsidR="00B37294" w:rsidRDefault="00D20261">
            <w:pPr>
              <w:rPr>
                <w:b/>
                <w:noProof/>
              </w:rPr>
            </w:pPr>
            <w:r>
              <w:rPr>
                <w:b/>
                <w:noProof/>
              </w:rPr>
              <w:t>(a)</w:t>
            </w:r>
          </w:p>
        </w:tc>
        <w:tc>
          <w:tcPr>
            <w:tcW w:w="6096" w:type="dxa"/>
            <w:tcBorders>
              <w:left w:val="single" w:sz="4" w:space="0" w:color="FFFFFF" w:themeColor="background1"/>
            </w:tcBorders>
            <w:noWrap/>
            <w:hideMark/>
          </w:tcPr>
          <w:p w:rsidR="00B37294" w:rsidRDefault="00D20261">
            <w:pPr>
              <w:rPr>
                <w:b/>
                <w:noProof/>
              </w:rPr>
            </w:pPr>
            <w:r>
              <w:rPr>
                <w:b/>
                <w:noProof/>
              </w:rPr>
              <w:t>Rejets involontaires — Total</w:t>
            </w:r>
          </w:p>
        </w:tc>
        <w:tc>
          <w:tcPr>
            <w:tcW w:w="992" w:type="dxa"/>
            <w:noWrap/>
            <w:hideMark/>
          </w:tcPr>
          <w:p w:rsidR="00B37294" w:rsidRDefault="00D20261">
            <w:pPr>
              <w:rPr>
                <w:b/>
                <w:noProof/>
              </w:rPr>
            </w:pPr>
            <w:r>
              <w:rPr>
                <w:b/>
                <w:noProof/>
              </w:rPr>
              <w:t>99</w:t>
            </w:r>
          </w:p>
        </w:tc>
        <w:tc>
          <w:tcPr>
            <w:tcW w:w="1418" w:type="dxa"/>
            <w:noWrap/>
            <w:hideMark/>
          </w:tcPr>
          <w:p w:rsidR="00B37294" w:rsidRDefault="00D20261">
            <w:pPr>
              <w:rPr>
                <w:b/>
                <w:noProof/>
              </w:rPr>
            </w:pPr>
            <w:r>
              <w:rPr>
                <w:b/>
                <w:noProof/>
              </w:rPr>
              <w:t>100,0 %</w:t>
            </w:r>
          </w:p>
        </w:tc>
        <w:tc>
          <w:tcPr>
            <w:tcW w:w="1643" w:type="dxa"/>
            <w:noWrap/>
            <w:hideMark/>
          </w:tcPr>
          <w:p w:rsidR="00B37294" w:rsidRDefault="00D20261">
            <w:pPr>
              <w:rPr>
                <w:b/>
                <w:noProof/>
              </w:rPr>
            </w:pPr>
            <w:r>
              <w:rPr>
                <w:b/>
                <w:noProof/>
              </w:rPr>
              <w:t>79,8 %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Rejets de pétrole/gaz enflammé — incendies</w:t>
            </w:r>
          </w:p>
        </w:tc>
        <w:tc>
          <w:tcPr>
            <w:tcW w:w="992" w:type="dxa"/>
            <w:noWrap/>
            <w:hideMark/>
          </w:tcPr>
          <w:p w:rsidR="00B37294" w:rsidRDefault="00D20261">
            <w:pPr>
              <w:rPr>
                <w:noProof/>
              </w:rPr>
            </w:pPr>
            <w:r>
              <w:rPr>
                <w:noProof/>
              </w:rPr>
              <w:t>1</w:t>
            </w:r>
          </w:p>
        </w:tc>
        <w:tc>
          <w:tcPr>
            <w:tcW w:w="1418" w:type="dxa"/>
            <w:noWrap/>
            <w:hideMark/>
          </w:tcPr>
          <w:p w:rsidR="00B37294" w:rsidRDefault="00D20261">
            <w:pPr>
              <w:rPr>
                <w:noProof/>
              </w:rPr>
            </w:pPr>
            <w:r>
              <w:rPr>
                <w:noProof/>
              </w:rPr>
              <w:t>1,06 %</w:t>
            </w:r>
          </w:p>
        </w:tc>
        <w:tc>
          <w:tcPr>
            <w:tcW w:w="1643" w:type="dxa"/>
            <w:noWrap/>
            <w:hideMark/>
          </w:tcPr>
          <w:p w:rsidR="00B37294" w:rsidRDefault="00D20261">
            <w:pPr>
              <w:rPr>
                <w:noProof/>
              </w:rPr>
            </w:pPr>
            <w:r>
              <w:rPr>
                <w:noProof/>
              </w:rPr>
              <w:t>0,8 %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Rejets de pétrole/gaz enflammé — explosions</w:t>
            </w:r>
          </w:p>
        </w:tc>
        <w:tc>
          <w:tcPr>
            <w:tcW w:w="992" w:type="dxa"/>
            <w:noWrap/>
            <w:hideMark/>
          </w:tcPr>
          <w:p w:rsidR="00B37294" w:rsidRDefault="00D20261">
            <w:pPr>
              <w:rPr>
                <w:noProof/>
              </w:rPr>
            </w:pPr>
            <w:r>
              <w:rPr>
                <w:noProof/>
              </w:rPr>
              <w:t>0</w:t>
            </w:r>
          </w:p>
        </w:tc>
        <w:tc>
          <w:tcPr>
            <w:tcW w:w="1418" w:type="dxa"/>
            <w:noWrap/>
            <w:hideMark/>
          </w:tcPr>
          <w:p w:rsidR="00B37294" w:rsidRDefault="00D20261">
            <w:pPr>
              <w:rPr>
                <w:noProof/>
              </w:rPr>
            </w:pPr>
            <w:r>
              <w:rPr>
                <w:noProof/>
              </w:rPr>
              <w:t>0,0 %</w:t>
            </w:r>
          </w:p>
        </w:tc>
        <w:tc>
          <w:tcPr>
            <w:tcW w:w="1643" w:type="dxa"/>
            <w:noWrap/>
            <w:hideMark/>
          </w:tcPr>
          <w:p w:rsidR="00B37294" w:rsidRDefault="00D20261">
            <w:pPr>
              <w:rPr>
                <w:noProof/>
              </w:rPr>
            </w:pPr>
            <w:r>
              <w:rPr>
                <w:noProof/>
              </w:rPr>
              <w:t>0,0 %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Rejets de gaz non enflammé</w:t>
            </w:r>
          </w:p>
        </w:tc>
        <w:tc>
          <w:tcPr>
            <w:tcW w:w="992" w:type="dxa"/>
            <w:noWrap/>
            <w:hideMark/>
          </w:tcPr>
          <w:p w:rsidR="00B37294" w:rsidRDefault="00D20261">
            <w:pPr>
              <w:rPr>
                <w:noProof/>
              </w:rPr>
            </w:pPr>
            <w:r>
              <w:rPr>
                <w:noProof/>
              </w:rPr>
              <w:t>56</w:t>
            </w:r>
          </w:p>
        </w:tc>
        <w:tc>
          <w:tcPr>
            <w:tcW w:w="1418" w:type="dxa"/>
            <w:noWrap/>
            <w:hideMark/>
          </w:tcPr>
          <w:p w:rsidR="00B37294" w:rsidRDefault="00D20261">
            <w:pPr>
              <w:rPr>
                <w:noProof/>
              </w:rPr>
            </w:pPr>
            <w:r>
              <w:rPr>
                <w:noProof/>
              </w:rPr>
              <w:t>56,5 %</w:t>
            </w:r>
          </w:p>
        </w:tc>
        <w:tc>
          <w:tcPr>
            <w:tcW w:w="1643" w:type="dxa"/>
            <w:noWrap/>
            <w:hideMark/>
          </w:tcPr>
          <w:p w:rsidR="00B37294" w:rsidRDefault="00D20261">
            <w:pPr>
              <w:rPr>
                <w:noProof/>
              </w:rPr>
            </w:pPr>
            <w:r>
              <w:rPr>
                <w:noProof/>
              </w:rPr>
              <w:t>45,2 %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Rejets de pétrole non enflammé</w:t>
            </w:r>
          </w:p>
        </w:tc>
        <w:tc>
          <w:tcPr>
            <w:tcW w:w="992" w:type="dxa"/>
            <w:noWrap/>
            <w:hideMark/>
          </w:tcPr>
          <w:p w:rsidR="00B37294" w:rsidRDefault="00D20261">
            <w:pPr>
              <w:rPr>
                <w:noProof/>
              </w:rPr>
            </w:pPr>
            <w:r>
              <w:rPr>
                <w:noProof/>
              </w:rPr>
              <w:t>31</w:t>
            </w:r>
          </w:p>
        </w:tc>
        <w:tc>
          <w:tcPr>
            <w:tcW w:w="1418" w:type="dxa"/>
            <w:noWrap/>
            <w:hideMark/>
          </w:tcPr>
          <w:p w:rsidR="00B37294" w:rsidRDefault="00D20261">
            <w:pPr>
              <w:rPr>
                <w:noProof/>
              </w:rPr>
            </w:pPr>
            <w:r>
              <w:rPr>
                <w:noProof/>
              </w:rPr>
              <w:t>31,3 %</w:t>
            </w:r>
          </w:p>
        </w:tc>
        <w:tc>
          <w:tcPr>
            <w:tcW w:w="1643" w:type="dxa"/>
            <w:noWrap/>
            <w:hideMark/>
          </w:tcPr>
          <w:p w:rsidR="00B37294" w:rsidRDefault="00D20261">
            <w:pPr>
              <w:rPr>
                <w:noProof/>
              </w:rPr>
            </w:pPr>
            <w:r>
              <w:rPr>
                <w:noProof/>
              </w:rPr>
              <w:t>25,0 %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 xml:space="preserve">Rejets de substances </w:t>
            </w:r>
            <w:r>
              <w:rPr>
                <w:noProof/>
              </w:rPr>
              <w:t>dangereuses</w:t>
            </w:r>
          </w:p>
        </w:tc>
        <w:tc>
          <w:tcPr>
            <w:tcW w:w="992" w:type="dxa"/>
            <w:noWrap/>
            <w:hideMark/>
          </w:tcPr>
          <w:p w:rsidR="00B37294" w:rsidRDefault="00D20261">
            <w:pPr>
              <w:rPr>
                <w:noProof/>
              </w:rPr>
            </w:pPr>
            <w:r>
              <w:rPr>
                <w:noProof/>
              </w:rPr>
              <w:t>11</w:t>
            </w:r>
          </w:p>
        </w:tc>
        <w:tc>
          <w:tcPr>
            <w:tcW w:w="1418" w:type="dxa"/>
            <w:noWrap/>
            <w:hideMark/>
          </w:tcPr>
          <w:p w:rsidR="00B37294" w:rsidRDefault="00D20261">
            <w:pPr>
              <w:rPr>
                <w:noProof/>
              </w:rPr>
            </w:pPr>
            <w:r>
              <w:rPr>
                <w:noProof/>
              </w:rPr>
              <w:t>11,1 %</w:t>
            </w:r>
          </w:p>
        </w:tc>
        <w:tc>
          <w:tcPr>
            <w:tcW w:w="1643" w:type="dxa"/>
            <w:noWrap/>
            <w:hideMark/>
          </w:tcPr>
          <w:p w:rsidR="00B37294" w:rsidRDefault="00D20261">
            <w:pPr>
              <w:rPr>
                <w:noProof/>
              </w:rPr>
            </w:pPr>
            <w:r>
              <w:rPr>
                <w:noProof/>
              </w:rPr>
              <w:t>8,9 %</w:t>
            </w:r>
          </w:p>
        </w:tc>
      </w:tr>
      <w:tr w:rsidR="00B37294">
        <w:trPr>
          <w:trHeight w:val="300"/>
        </w:trPr>
        <w:tc>
          <w:tcPr>
            <w:tcW w:w="533" w:type="dxa"/>
            <w:tcBorders>
              <w:right w:val="single" w:sz="4" w:space="0" w:color="FFFFFF" w:themeColor="background1"/>
            </w:tcBorders>
            <w:noWrap/>
            <w:hideMark/>
          </w:tcPr>
          <w:p w:rsidR="00B37294" w:rsidRDefault="00D20261">
            <w:pPr>
              <w:rPr>
                <w:b/>
                <w:noProof/>
              </w:rPr>
            </w:pPr>
            <w:r>
              <w:rPr>
                <w:b/>
                <w:noProof/>
              </w:rPr>
              <w:t>(b)</w:t>
            </w:r>
          </w:p>
        </w:tc>
        <w:tc>
          <w:tcPr>
            <w:tcW w:w="6096" w:type="dxa"/>
            <w:tcBorders>
              <w:left w:val="single" w:sz="4" w:space="0" w:color="FFFFFF" w:themeColor="background1"/>
            </w:tcBorders>
            <w:noWrap/>
            <w:hideMark/>
          </w:tcPr>
          <w:p w:rsidR="00B37294" w:rsidRDefault="00D20261">
            <w:pPr>
              <w:rPr>
                <w:b/>
                <w:noProof/>
              </w:rPr>
            </w:pPr>
            <w:r>
              <w:rPr>
                <w:b/>
                <w:noProof/>
              </w:rPr>
              <w:t>Perte de contrôle d’un puits — Total</w:t>
            </w:r>
          </w:p>
        </w:tc>
        <w:tc>
          <w:tcPr>
            <w:tcW w:w="992" w:type="dxa"/>
            <w:noWrap/>
            <w:hideMark/>
          </w:tcPr>
          <w:p w:rsidR="00B37294" w:rsidRDefault="00D20261">
            <w:pPr>
              <w:rPr>
                <w:b/>
                <w:noProof/>
              </w:rPr>
            </w:pPr>
            <w:r>
              <w:rPr>
                <w:b/>
                <w:noProof/>
              </w:rPr>
              <w:t>17</w:t>
            </w:r>
          </w:p>
        </w:tc>
        <w:tc>
          <w:tcPr>
            <w:tcW w:w="1418" w:type="dxa"/>
            <w:noWrap/>
            <w:hideMark/>
          </w:tcPr>
          <w:p w:rsidR="00B37294" w:rsidRDefault="00D20261">
            <w:pPr>
              <w:rPr>
                <w:b/>
                <w:noProof/>
              </w:rPr>
            </w:pPr>
            <w:r>
              <w:rPr>
                <w:b/>
                <w:noProof/>
              </w:rPr>
              <w:t>100,0 %</w:t>
            </w:r>
          </w:p>
        </w:tc>
        <w:tc>
          <w:tcPr>
            <w:tcW w:w="1643" w:type="dxa"/>
            <w:noWrap/>
            <w:hideMark/>
          </w:tcPr>
          <w:p w:rsidR="00B37294" w:rsidRDefault="00D20261">
            <w:pPr>
              <w:rPr>
                <w:b/>
                <w:noProof/>
              </w:rPr>
            </w:pPr>
            <w:r>
              <w:rPr>
                <w:b/>
                <w:noProof/>
              </w:rPr>
              <w:t>13,7 %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Éruptions</w:t>
            </w:r>
          </w:p>
        </w:tc>
        <w:tc>
          <w:tcPr>
            <w:tcW w:w="992" w:type="dxa"/>
            <w:noWrap/>
            <w:hideMark/>
          </w:tcPr>
          <w:p w:rsidR="00B37294" w:rsidRDefault="00D20261">
            <w:pPr>
              <w:rPr>
                <w:noProof/>
              </w:rPr>
            </w:pPr>
            <w:r>
              <w:rPr>
                <w:noProof/>
              </w:rPr>
              <w:t>0</w:t>
            </w:r>
          </w:p>
        </w:tc>
        <w:tc>
          <w:tcPr>
            <w:tcW w:w="1418" w:type="dxa"/>
            <w:noWrap/>
            <w:hideMark/>
          </w:tcPr>
          <w:p w:rsidR="00B37294" w:rsidRDefault="00D20261">
            <w:pPr>
              <w:rPr>
                <w:noProof/>
              </w:rPr>
            </w:pPr>
            <w:r>
              <w:rPr>
                <w:noProof/>
              </w:rPr>
              <w:t>0,0 %</w:t>
            </w:r>
          </w:p>
        </w:tc>
        <w:tc>
          <w:tcPr>
            <w:tcW w:w="1643" w:type="dxa"/>
            <w:noWrap/>
            <w:hideMark/>
          </w:tcPr>
          <w:p w:rsidR="00B37294" w:rsidRDefault="00D20261">
            <w:pPr>
              <w:rPr>
                <w:noProof/>
              </w:rPr>
            </w:pPr>
            <w:r>
              <w:rPr>
                <w:noProof/>
              </w:rPr>
              <w:t>0,0 %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Éruption/activation du déflecteur</w:t>
            </w:r>
          </w:p>
        </w:tc>
        <w:tc>
          <w:tcPr>
            <w:tcW w:w="992" w:type="dxa"/>
            <w:noWrap/>
            <w:hideMark/>
          </w:tcPr>
          <w:p w:rsidR="00B37294" w:rsidRDefault="00D20261">
            <w:pPr>
              <w:rPr>
                <w:noProof/>
              </w:rPr>
            </w:pPr>
            <w:r>
              <w:rPr>
                <w:noProof/>
              </w:rPr>
              <w:t>8</w:t>
            </w:r>
          </w:p>
        </w:tc>
        <w:tc>
          <w:tcPr>
            <w:tcW w:w="1418" w:type="dxa"/>
            <w:noWrap/>
            <w:hideMark/>
          </w:tcPr>
          <w:p w:rsidR="00B37294" w:rsidRDefault="00D20261">
            <w:pPr>
              <w:rPr>
                <w:noProof/>
              </w:rPr>
            </w:pPr>
            <w:r>
              <w:rPr>
                <w:noProof/>
              </w:rPr>
              <w:t>47,1 %</w:t>
            </w:r>
          </w:p>
        </w:tc>
        <w:tc>
          <w:tcPr>
            <w:tcW w:w="1643" w:type="dxa"/>
            <w:noWrap/>
            <w:hideMark/>
          </w:tcPr>
          <w:p w:rsidR="00B37294" w:rsidRDefault="00D20261">
            <w:pPr>
              <w:rPr>
                <w:noProof/>
              </w:rPr>
            </w:pPr>
            <w:r>
              <w:rPr>
                <w:noProof/>
              </w:rPr>
              <w:t>6,4 %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Défaillance d’une barrière de puits</w:t>
            </w:r>
          </w:p>
        </w:tc>
        <w:tc>
          <w:tcPr>
            <w:tcW w:w="992" w:type="dxa"/>
            <w:noWrap/>
            <w:hideMark/>
          </w:tcPr>
          <w:p w:rsidR="00B37294" w:rsidRDefault="00D20261">
            <w:pPr>
              <w:rPr>
                <w:noProof/>
              </w:rPr>
            </w:pPr>
            <w:r>
              <w:rPr>
                <w:noProof/>
              </w:rPr>
              <w:t>9</w:t>
            </w:r>
          </w:p>
        </w:tc>
        <w:tc>
          <w:tcPr>
            <w:tcW w:w="1418" w:type="dxa"/>
            <w:noWrap/>
            <w:hideMark/>
          </w:tcPr>
          <w:p w:rsidR="00B37294" w:rsidRDefault="00D20261">
            <w:pPr>
              <w:rPr>
                <w:noProof/>
              </w:rPr>
            </w:pPr>
            <w:r>
              <w:rPr>
                <w:noProof/>
              </w:rPr>
              <w:t>52,9 %</w:t>
            </w:r>
          </w:p>
        </w:tc>
        <w:tc>
          <w:tcPr>
            <w:tcW w:w="1643" w:type="dxa"/>
            <w:noWrap/>
            <w:hideMark/>
          </w:tcPr>
          <w:p w:rsidR="00B37294" w:rsidRDefault="00D20261">
            <w:pPr>
              <w:rPr>
                <w:noProof/>
              </w:rPr>
            </w:pPr>
            <w:r>
              <w:rPr>
                <w:noProof/>
              </w:rPr>
              <w:t>7,3 %</w:t>
            </w:r>
          </w:p>
        </w:tc>
      </w:tr>
      <w:tr w:rsidR="00B37294">
        <w:trPr>
          <w:trHeight w:val="300"/>
        </w:trPr>
        <w:tc>
          <w:tcPr>
            <w:tcW w:w="533" w:type="dxa"/>
            <w:tcBorders>
              <w:right w:val="single" w:sz="4" w:space="0" w:color="FFFFFF" w:themeColor="background1"/>
            </w:tcBorders>
            <w:noWrap/>
            <w:hideMark/>
          </w:tcPr>
          <w:p w:rsidR="00B37294" w:rsidRDefault="00D20261">
            <w:pPr>
              <w:rPr>
                <w:b/>
                <w:noProof/>
              </w:rPr>
            </w:pPr>
            <w:r>
              <w:rPr>
                <w:b/>
                <w:noProof/>
              </w:rPr>
              <w:t xml:space="preserve">(c) </w:t>
            </w:r>
          </w:p>
        </w:tc>
        <w:tc>
          <w:tcPr>
            <w:tcW w:w="6096" w:type="dxa"/>
            <w:tcBorders>
              <w:left w:val="single" w:sz="4" w:space="0" w:color="FFFFFF" w:themeColor="background1"/>
            </w:tcBorders>
            <w:noWrap/>
            <w:hideMark/>
          </w:tcPr>
          <w:p w:rsidR="00B37294" w:rsidRDefault="00D20261">
            <w:pPr>
              <w:rPr>
                <w:b/>
                <w:noProof/>
              </w:rPr>
            </w:pPr>
            <w:r>
              <w:rPr>
                <w:b/>
                <w:noProof/>
              </w:rPr>
              <w:t>Défaillance de SECE</w:t>
            </w:r>
          </w:p>
        </w:tc>
        <w:tc>
          <w:tcPr>
            <w:tcW w:w="992" w:type="dxa"/>
            <w:noWrap/>
            <w:hideMark/>
          </w:tcPr>
          <w:p w:rsidR="00B37294" w:rsidRDefault="00D20261">
            <w:pPr>
              <w:rPr>
                <w:b/>
                <w:noProof/>
              </w:rPr>
            </w:pPr>
            <w:r>
              <w:rPr>
                <w:b/>
                <w:noProof/>
              </w:rPr>
              <w:t>2</w:t>
            </w:r>
          </w:p>
        </w:tc>
        <w:tc>
          <w:tcPr>
            <w:tcW w:w="1418" w:type="dxa"/>
            <w:noWrap/>
            <w:hideMark/>
          </w:tcPr>
          <w:p w:rsidR="00B37294" w:rsidRDefault="00D20261">
            <w:pPr>
              <w:rPr>
                <w:b/>
                <w:noProof/>
              </w:rPr>
            </w:pPr>
            <w:r>
              <w:rPr>
                <w:b/>
                <w:noProof/>
              </w:rPr>
              <w:t>100,0 %</w:t>
            </w:r>
          </w:p>
        </w:tc>
        <w:tc>
          <w:tcPr>
            <w:tcW w:w="1643" w:type="dxa"/>
            <w:noWrap/>
            <w:hideMark/>
          </w:tcPr>
          <w:p w:rsidR="00B37294" w:rsidRDefault="00D20261">
            <w:pPr>
              <w:rPr>
                <w:b/>
                <w:noProof/>
              </w:rPr>
            </w:pPr>
            <w:r>
              <w:rPr>
                <w:b/>
                <w:noProof/>
              </w:rPr>
              <w:t>1,6 %</w:t>
            </w:r>
          </w:p>
        </w:tc>
      </w:tr>
      <w:tr w:rsidR="00B37294">
        <w:trPr>
          <w:trHeight w:val="300"/>
        </w:trPr>
        <w:tc>
          <w:tcPr>
            <w:tcW w:w="533" w:type="dxa"/>
            <w:tcBorders>
              <w:right w:val="single" w:sz="4" w:space="0" w:color="FFFFFF" w:themeColor="background1"/>
            </w:tcBorders>
            <w:noWrap/>
            <w:hideMark/>
          </w:tcPr>
          <w:p w:rsidR="00B37294" w:rsidRDefault="00D20261">
            <w:pPr>
              <w:rPr>
                <w:b/>
                <w:noProof/>
              </w:rPr>
            </w:pPr>
            <w:r>
              <w:rPr>
                <w:b/>
                <w:noProof/>
              </w:rPr>
              <w:t>(d)</w:t>
            </w:r>
          </w:p>
        </w:tc>
        <w:tc>
          <w:tcPr>
            <w:tcW w:w="6096" w:type="dxa"/>
            <w:tcBorders>
              <w:left w:val="single" w:sz="4" w:space="0" w:color="FFFFFF" w:themeColor="background1"/>
            </w:tcBorders>
            <w:noWrap/>
            <w:hideMark/>
          </w:tcPr>
          <w:p w:rsidR="00B37294" w:rsidRDefault="00D20261">
            <w:pPr>
              <w:rPr>
                <w:b/>
                <w:noProof/>
              </w:rPr>
            </w:pPr>
            <w:r>
              <w:rPr>
                <w:b/>
                <w:noProof/>
              </w:rPr>
              <w:t>Perte d’intégrité structurelle — Total</w:t>
            </w:r>
          </w:p>
        </w:tc>
        <w:tc>
          <w:tcPr>
            <w:tcW w:w="992" w:type="dxa"/>
            <w:noWrap/>
            <w:hideMark/>
          </w:tcPr>
          <w:p w:rsidR="00B37294" w:rsidRDefault="00D20261">
            <w:pPr>
              <w:rPr>
                <w:b/>
                <w:noProof/>
              </w:rPr>
            </w:pPr>
            <w:r>
              <w:rPr>
                <w:b/>
                <w:noProof/>
              </w:rPr>
              <w:t>2</w:t>
            </w:r>
          </w:p>
        </w:tc>
        <w:tc>
          <w:tcPr>
            <w:tcW w:w="1418" w:type="dxa"/>
            <w:noWrap/>
            <w:hideMark/>
          </w:tcPr>
          <w:p w:rsidR="00B37294" w:rsidRDefault="00D20261">
            <w:pPr>
              <w:rPr>
                <w:b/>
                <w:noProof/>
              </w:rPr>
            </w:pPr>
            <w:r>
              <w:rPr>
                <w:b/>
                <w:noProof/>
              </w:rPr>
              <w:t>100,0 %</w:t>
            </w:r>
          </w:p>
        </w:tc>
        <w:tc>
          <w:tcPr>
            <w:tcW w:w="1643" w:type="dxa"/>
            <w:noWrap/>
            <w:hideMark/>
          </w:tcPr>
          <w:p w:rsidR="00B37294" w:rsidRDefault="00D20261">
            <w:pPr>
              <w:rPr>
                <w:b/>
                <w:noProof/>
              </w:rPr>
            </w:pPr>
            <w:r>
              <w:rPr>
                <w:b/>
                <w:noProof/>
              </w:rPr>
              <w:t>1,6 %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Perte d’intégrité structurelle</w:t>
            </w:r>
          </w:p>
        </w:tc>
        <w:tc>
          <w:tcPr>
            <w:tcW w:w="992" w:type="dxa"/>
            <w:noWrap/>
            <w:hideMark/>
          </w:tcPr>
          <w:p w:rsidR="00B37294" w:rsidRDefault="00D20261">
            <w:pPr>
              <w:rPr>
                <w:noProof/>
              </w:rPr>
            </w:pPr>
            <w:r>
              <w:rPr>
                <w:noProof/>
              </w:rPr>
              <w:t>0</w:t>
            </w:r>
          </w:p>
        </w:tc>
        <w:tc>
          <w:tcPr>
            <w:tcW w:w="1418" w:type="dxa"/>
            <w:noWrap/>
            <w:hideMark/>
          </w:tcPr>
          <w:p w:rsidR="00B37294" w:rsidRDefault="00D20261">
            <w:pPr>
              <w:rPr>
                <w:noProof/>
              </w:rPr>
            </w:pPr>
            <w:r>
              <w:rPr>
                <w:noProof/>
              </w:rPr>
              <w:t>0,0 %</w:t>
            </w:r>
          </w:p>
        </w:tc>
        <w:tc>
          <w:tcPr>
            <w:tcW w:w="1643" w:type="dxa"/>
            <w:noWrap/>
            <w:hideMark/>
          </w:tcPr>
          <w:p w:rsidR="00B37294" w:rsidRDefault="00D20261">
            <w:pPr>
              <w:rPr>
                <w:noProof/>
              </w:rPr>
            </w:pPr>
            <w:r>
              <w:rPr>
                <w:noProof/>
              </w:rPr>
              <w:t>0,0 %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Perte de stabilité/flottabilité</w:t>
            </w:r>
          </w:p>
        </w:tc>
        <w:tc>
          <w:tcPr>
            <w:tcW w:w="992" w:type="dxa"/>
            <w:noWrap/>
            <w:hideMark/>
          </w:tcPr>
          <w:p w:rsidR="00B37294" w:rsidRDefault="00D20261">
            <w:pPr>
              <w:rPr>
                <w:noProof/>
              </w:rPr>
            </w:pPr>
            <w:r>
              <w:rPr>
                <w:noProof/>
              </w:rPr>
              <w:t>0</w:t>
            </w:r>
          </w:p>
        </w:tc>
        <w:tc>
          <w:tcPr>
            <w:tcW w:w="1418" w:type="dxa"/>
            <w:noWrap/>
            <w:hideMark/>
          </w:tcPr>
          <w:p w:rsidR="00B37294" w:rsidRDefault="00D20261">
            <w:pPr>
              <w:rPr>
                <w:noProof/>
              </w:rPr>
            </w:pPr>
            <w:r>
              <w:rPr>
                <w:noProof/>
              </w:rPr>
              <w:t>0,0 %</w:t>
            </w:r>
          </w:p>
        </w:tc>
        <w:tc>
          <w:tcPr>
            <w:tcW w:w="1643" w:type="dxa"/>
            <w:noWrap/>
            <w:hideMark/>
          </w:tcPr>
          <w:p w:rsidR="00B37294" w:rsidRDefault="00D20261">
            <w:pPr>
              <w:rPr>
                <w:noProof/>
              </w:rPr>
            </w:pPr>
            <w:r>
              <w:rPr>
                <w:noProof/>
              </w:rPr>
              <w:t>0,0 %</w:t>
            </w:r>
          </w:p>
        </w:tc>
      </w:tr>
      <w:tr w:rsidR="00B37294">
        <w:trPr>
          <w:trHeight w:val="300"/>
        </w:trPr>
        <w:tc>
          <w:tcPr>
            <w:tcW w:w="533" w:type="dxa"/>
            <w:tcBorders>
              <w:right w:val="single" w:sz="4" w:space="0" w:color="FFFFFF" w:themeColor="background1"/>
            </w:tcBorders>
            <w:noWrap/>
            <w:hideMark/>
          </w:tcPr>
          <w:p w:rsidR="00B37294" w:rsidRDefault="00B37294">
            <w:pPr>
              <w:rPr>
                <w:noProof/>
              </w:rPr>
            </w:pPr>
          </w:p>
        </w:tc>
        <w:tc>
          <w:tcPr>
            <w:tcW w:w="6096" w:type="dxa"/>
            <w:tcBorders>
              <w:left w:val="single" w:sz="4" w:space="0" w:color="FFFFFF" w:themeColor="background1"/>
            </w:tcBorders>
            <w:noWrap/>
            <w:hideMark/>
          </w:tcPr>
          <w:p w:rsidR="00B37294" w:rsidRDefault="00D20261">
            <w:pPr>
              <w:rPr>
                <w:noProof/>
              </w:rPr>
            </w:pPr>
            <w:r>
              <w:rPr>
                <w:noProof/>
              </w:rPr>
              <w:t>Déplacement involontaire</w:t>
            </w:r>
          </w:p>
        </w:tc>
        <w:tc>
          <w:tcPr>
            <w:tcW w:w="992" w:type="dxa"/>
            <w:noWrap/>
            <w:hideMark/>
          </w:tcPr>
          <w:p w:rsidR="00B37294" w:rsidRDefault="00D20261">
            <w:pPr>
              <w:rPr>
                <w:noProof/>
              </w:rPr>
            </w:pPr>
            <w:r>
              <w:rPr>
                <w:noProof/>
              </w:rPr>
              <w:t>2</w:t>
            </w:r>
          </w:p>
        </w:tc>
        <w:tc>
          <w:tcPr>
            <w:tcW w:w="1418" w:type="dxa"/>
            <w:noWrap/>
            <w:hideMark/>
          </w:tcPr>
          <w:p w:rsidR="00B37294" w:rsidRDefault="00D20261">
            <w:pPr>
              <w:rPr>
                <w:noProof/>
              </w:rPr>
            </w:pPr>
            <w:r>
              <w:rPr>
                <w:noProof/>
              </w:rPr>
              <w:t>100,0 %</w:t>
            </w:r>
          </w:p>
        </w:tc>
        <w:tc>
          <w:tcPr>
            <w:tcW w:w="1643" w:type="dxa"/>
            <w:noWrap/>
            <w:hideMark/>
          </w:tcPr>
          <w:p w:rsidR="00B37294" w:rsidRDefault="00D20261">
            <w:pPr>
              <w:rPr>
                <w:noProof/>
              </w:rPr>
            </w:pPr>
            <w:r>
              <w:rPr>
                <w:noProof/>
              </w:rPr>
              <w:t>1,6 %</w:t>
            </w:r>
          </w:p>
        </w:tc>
      </w:tr>
      <w:tr w:rsidR="00B37294">
        <w:trPr>
          <w:trHeight w:val="300"/>
        </w:trPr>
        <w:tc>
          <w:tcPr>
            <w:tcW w:w="533" w:type="dxa"/>
            <w:tcBorders>
              <w:right w:val="single" w:sz="4" w:space="0" w:color="FFFFFF" w:themeColor="background1"/>
            </w:tcBorders>
            <w:noWrap/>
            <w:hideMark/>
          </w:tcPr>
          <w:p w:rsidR="00B37294" w:rsidRDefault="00D20261">
            <w:pPr>
              <w:rPr>
                <w:b/>
                <w:noProof/>
              </w:rPr>
            </w:pPr>
            <w:r>
              <w:rPr>
                <w:b/>
                <w:noProof/>
              </w:rPr>
              <w:t xml:space="preserve">(e) </w:t>
            </w:r>
          </w:p>
        </w:tc>
        <w:tc>
          <w:tcPr>
            <w:tcW w:w="6096" w:type="dxa"/>
            <w:tcBorders>
              <w:left w:val="single" w:sz="4" w:space="0" w:color="FFFFFF" w:themeColor="background1"/>
            </w:tcBorders>
            <w:noWrap/>
            <w:hideMark/>
          </w:tcPr>
          <w:p w:rsidR="00B37294" w:rsidRDefault="00D20261">
            <w:pPr>
              <w:rPr>
                <w:b/>
                <w:noProof/>
              </w:rPr>
            </w:pPr>
            <w:r>
              <w:rPr>
                <w:b/>
                <w:noProof/>
              </w:rPr>
              <w:t>Collisions impliquant des navires</w:t>
            </w:r>
          </w:p>
        </w:tc>
        <w:tc>
          <w:tcPr>
            <w:tcW w:w="992" w:type="dxa"/>
            <w:noWrap/>
            <w:hideMark/>
          </w:tcPr>
          <w:p w:rsidR="00B37294" w:rsidRDefault="00D20261">
            <w:pPr>
              <w:rPr>
                <w:b/>
                <w:noProof/>
              </w:rPr>
            </w:pPr>
            <w:r>
              <w:rPr>
                <w:b/>
                <w:noProof/>
              </w:rPr>
              <w:t>0</w:t>
            </w:r>
          </w:p>
        </w:tc>
        <w:tc>
          <w:tcPr>
            <w:tcW w:w="1418" w:type="dxa"/>
            <w:noWrap/>
            <w:hideMark/>
          </w:tcPr>
          <w:p w:rsidR="00B37294" w:rsidRDefault="00D20261">
            <w:pPr>
              <w:rPr>
                <w:b/>
                <w:noProof/>
              </w:rPr>
            </w:pPr>
            <w:r>
              <w:rPr>
                <w:b/>
                <w:noProof/>
              </w:rPr>
              <w:t>0,0 %</w:t>
            </w:r>
          </w:p>
        </w:tc>
        <w:tc>
          <w:tcPr>
            <w:tcW w:w="1643" w:type="dxa"/>
            <w:noWrap/>
            <w:hideMark/>
          </w:tcPr>
          <w:p w:rsidR="00B37294" w:rsidRDefault="00D20261">
            <w:pPr>
              <w:rPr>
                <w:b/>
                <w:noProof/>
              </w:rPr>
            </w:pPr>
            <w:r>
              <w:rPr>
                <w:b/>
                <w:noProof/>
              </w:rPr>
              <w:t>0,0 %</w:t>
            </w:r>
          </w:p>
        </w:tc>
      </w:tr>
      <w:tr w:rsidR="00B37294">
        <w:trPr>
          <w:trHeight w:val="300"/>
        </w:trPr>
        <w:tc>
          <w:tcPr>
            <w:tcW w:w="533" w:type="dxa"/>
            <w:tcBorders>
              <w:right w:val="single" w:sz="4" w:space="0" w:color="FFFFFF" w:themeColor="background1"/>
            </w:tcBorders>
            <w:noWrap/>
            <w:hideMark/>
          </w:tcPr>
          <w:p w:rsidR="00B37294" w:rsidRDefault="00D20261">
            <w:pPr>
              <w:rPr>
                <w:b/>
                <w:noProof/>
              </w:rPr>
            </w:pPr>
            <w:r>
              <w:rPr>
                <w:b/>
                <w:noProof/>
              </w:rPr>
              <w:t>(f)</w:t>
            </w:r>
          </w:p>
        </w:tc>
        <w:tc>
          <w:tcPr>
            <w:tcW w:w="6096" w:type="dxa"/>
            <w:tcBorders>
              <w:left w:val="single" w:sz="4" w:space="0" w:color="FFFFFF" w:themeColor="background1"/>
            </w:tcBorders>
            <w:noWrap/>
            <w:hideMark/>
          </w:tcPr>
          <w:p w:rsidR="00B37294" w:rsidRDefault="00D20261">
            <w:pPr>
              <w:rPr>
                <w:b/>
                <w:noProof/>
              </w:rPr>
            </w:pPr>
            <w:r>
              <w:rPr>
                <w:b/>
                <w:noProof/>
              </w:rPr>
              <w:t>Accidents d’hélicoptère</w:t>
            </w:r>
          </w:p>
        </w:tc>
        <w:tc>
          <w:tcPr>
            <w:tcW w:w="992" w:type="dxa"/>
            <w:noWrap/>
            <w:hideMark/>
          </w:tcPr>
          <w:p w:rsidR="00B37294" w:rsidRDefault="00D20261">
            <w:pPr>
              <w:rPr>
                <w:b/>
                <w:noProof/>
              </w:rPr>
            </w:pPr>
            <w:r>
              <w:rPr>
                <w:b/>
                <w:noProof/>
              </w:rPr>
              <w:t>0</w:t>
            </w:r>
          </w:p>
        </w:tc>
        <w:tc>
          <w:tcPr>
            <w:tcW w:w="1418" w:type="dxa"/>
            <w:noWrap/>
            <w:hideMark/>
          </w:tcPr>
          <w:p w:rsidR="00B37294" w:rsidRDefault="00D20261">
            <w:pPr>
              <w:rPr>
                <w:b/>
                <w:noProof/>
              </w:rPr>
            </w:pPr>
            <w:r>
              <w:rPr>
                <w:b/>
                <w:noProof/>
              </w:rPr>
              <w:t>0,0 %</w:t>
            </w:r>
          </w:p>
        </w:tc>
        <w:tc>
          <w:tcPr>
            <w:tcW w:w="1643" w:type="dxa"/>
            <w:noWrap/>
            <w:hideMark/>
          </w:tcPr>
          <w:p w:rsidR="00B37294" w:rsidRDefault="00D20261">
            <w:pPr>
              <w:rPr>
                <w:b/>
                <w:noProof/>
              </w:rPr>
            </w:pPr>
            <w:r>
              <w:rPr>
                <w:b/>
                <w:noProof/>
              </w:rPr>
              <w:t>0,0 %</w:t>
            </w:r>
          </w:p>
        </w:tc>
      </w:tr>
      <w:tr w:rsidR="00B37294">
        <w:trPr>
          <w:trHeight w:val="300"/>
        </w:trPr>
        <w:tc>
          <w:tcPr>
            <w:tcW w:w="533" w:type="dxa"/>
            <w:tcBorders>
              <w:right w:val="single" w:sz="4" w:space="0" w:color="FFFFFF" w:themeColor="background1"/>
            </w:tcBorders>
            <w:noWrap/>
            <w:hideMark/>
          </w:tcPr>
          <w:p w:rsidR="00B37294" w:rsidRDefault="00D20261">
            <w:pPr>
              <w:rPr>
                <w:b/>
                <w:noProof/>
              </w:rPr>
            </w:pPr>
            <w:r>
              <w:rPr>
                <w:b/>
                <w:noProof/>
              </w:rPr>
              <w:t>(g)</w:t>
            </w:r>
          </w:p>
        </w:tc>
        <w:tc>
          <w:tcPr>
            <w:tcW w:w="6096" w:type="dxa"/>
            <w:tcBorders>
              <w:left w:val="single" w:sz="4" w:space="0" w:color="FFFFFF" w:themeColor="background1"/>
            </w:tcBorders>
            <w:noWrap/>
            <w:hideMark/>
          </w:tcPr>
          <w:p w:rsidR="00B37294" w:rsidRDefault="00D20261">
            <w:pPr>
              <w:rPr>
                <w:b/>
                <w:noProof/>
              </w:rPr>
            </w:pPr>
            <w:r>
              <w:rPr>
                <w:b/>
                <w:noProof/>
              </w:rPr>
              <w:t>Accidents mortels</w:t>
            </w:r>
            <w:r>
              <w:rPr>
                <w:b/>
                <w:noProof/>
                <w:vertAlign w:val="superscript"/>
              </w:rPr>
              <w:t>(*)</w:t>
            </w:r>
          </w:p>
        </w:tc>
        <w:tc>
          <w:tcPr>
            <w:tcW w:w="992" w:type="dxa"/>
            <w:noWrap/>
            <w:hideMark/>
          </w:tcPr>
          <w:p w:rsidR="00B37294" w:rsidRDefault="00D20261">
            <w:pPr>
              <w:rPr>
                <w:b/>
                <w:noProof/>
              </w:rPr>
            </w:pPr>
            <w:r>
              <w:rPr>
                <w:b/>
                <w:noProof/>
              </w:rPr>
              <w:t>0</w:t>
            </w:r>
          </w:p>
        </w:tc>
        <w:tc>
          <w:tcPr>
            <w:tcW w:w="1418" w:type="dxa"/>
            <w:noWrap/>
            <w:hideMark/>
          </w:tcPr>
          <w:p w:rsidR="00B37294" w:rsidRDefault="00D20261">
            <w:pPr>
              <w:rPr>
                <w:b/>
                <w:noProof/>
              </w:rPr>
            </w:pPr>
            <w:r>
              <w:rPr>
                <w:b/>
                <w:noProof/>
              </w:rPr>
              <w:t>0,0 %</w:t>
            </w:r>
          </w:p>
        </w:tc>
        <w:tc>
          <w:tcPr>
            <w:tcW w:w="1643" w:type="dxa"/>
            <w:noWrap/>
            <w:hideMark/>
          </w:tcPr>
          <w:p w:rsidR="00B37294" w:rsidRDefault="00D20261">
            <w:pPr>
              <w:rPr>
                <w:b/>
                <w:noProof/>
              </w:rPr>
            </w:pPr>
            <w:r>
              <w:rPr>
                <w:b/>
                <w:noProof/>
              </w:rPr>
              <w:t>0,0 %</w:t>
            </w:r>
          </w:p>
        </w:tc>
      </w:tr>
      <w:tr w:rsidR="00B37294">
        <w:trPr>
          <w:trHeight w:val="300"/>
        </w:trPr>
        <w:tc>
          <w:tcPr>
            <w:tcW w:w="533" w:type="dxa"/>
            <w:tcBorders>
              <w:right w:val="single" w:sz="4" w:space="0" w:color="FFFFFF" w:themeColor="background1"/>
            </w:tcBorders>
            <w:noWrap/>
            <w:hideMark/>
          </w:tcPr>
          <w:p w:rsidR="00B37294" w:rsidRDefault="00D20261">
            <w:pPr>
              <w:rPr>
                <w:b/>
                <w:noProof/>
              </w:rPr>
            </w:pPr>
            <w:r>
              <w:rPr>
                <w:b/>
                <w:noProof/>
              </w:rPr>
              <w:t>(h)</w:t>
            </w:r>
          </w:p>
        </w:tc>
        <w:tc>
          <w:tcPr>
            <w:tcW w:w="6096" w:type="dxa"/>
            <w:tcBorders>
              <w:left w:val="single" w:sz="4" w:space="0" w:color="FFFFFF" w:themeColor="background1"/>
            </w:tcBorders>
            <w:noWrap/>
            <w:hideMark/>
          </w:tcPr>
          <w:p w:rsidR="00B37294" w:rsidRDefault="00D20261">
            <w:pPr>
              <w:rPr>
                <w:b/>
                <w:noProof/>
              </w:rPr>
            </w:pPr>
            <w:r>
              <w:rPr>
                <w:b/>
                <w:noProof/>
              </w:rPr>
              <w:t>5 blessés graves ou plus dans le même accident</w:t>
            </w:r>
          </w:p>
        </w:tc>
        <w:tc>
          <w:tcPr>
            <w:tcW w:w="992" w:type="dxa"/>
            <w:noWrap/>
            <w:hideMark/>
          </w:tcPr>
          <w:p w:rsidR="00B37294" w:rsidRDefault="00D20261">
            <w:pPr>
              <w:rPr>
                <w:b/>
                <w:noProof/>
              </w:rPr>
            </w:pPr>
            <w:r>
              <w:rPr>
                <w:b/>
                <w:noProof/>
              </w:rPr>
              <w:t>0</w:t>
            </w:r>
          </w:p>
        </w:tc>
        <w:tc>
          <w:tcPr>
            <w:tcW w:w="1418" w:type="dxa"/>
            <w:noWrap/>
            <w:hideMark/>
          </w:tcPr>
          <w:p w:rsidR="00B37294" w:rsidRDefault="00D20261">
            <w:pPr>
              <w:rPr>
                <w:b/>
                <w:noProof/>
              </w:rPr>
            </w:pPr>
            <w:r>
              <w:rPr>
                <w:b/>
                <w:noProof/>
              </w:rPr>
              <w:t>0,0 %</w:t>
            </w:r>
          </w:p>
        </w:tc>
        <w:tc>
          <w:tcPr>
            <w:tcW w:w="1643" w:type="dxa"/>
            <w:noWrap/>
            <w:hideMark/>
          </w:tcPr>
          <w:p w:rsidR="00B37294" w:rsidRDefault="00D20261">
            <w:pPr>
              <w:rPr>
                <w:b/>
                <w:noProof/>
              </w:rPr>
            </w:pPr>
            <w:r>
              <w:rPr>
                <w:b/>
                <w:noProof/>
              </w:rPr>
              <w:t>0,0 %</w:t>
            </w:r>
          </w:p>
        </w:tc>
      </w:tr>
      <w:tr w:rsidR="00B37294">
        <w:trPr>
          <w:trHeight w:val="300"/>
        </w:trPr>
        <w:tc>
          <w:tcPr>
            <w:tcW w:w="533" w:type="dxa"/>
            <w:tcBorders>
              <w:right w:val="single" w:sz="4" w:space="0" w:color="FFFFFF" w:themeColor="background1"/>
            </w:tcBorders>
            <w:noWrap/>
            <w:hideMark/>
          </w:tcPr>
          <w:p w:rsidR="00B37294" w:rsidRDefault="00D20261">
            <w:pPr>
              <w:rPr>
                <w:b/>
                <w:noProof/>
              </w:rPr>
            </w:pPr>
            <w:r>
              <w:rPr>
                <w:b/>
                <w:noProof/>
              </w:rPr>
              <w:t>(i)</w:t>
            </w:r>
          </w:p>
        </w:tc>
        <w:tc>
          <w:tcPr>
            <w:tcW w:w="6096" w:type="dxa"/>
            <w:tcBorders>
              <w:left w:val="single" w:sz="4" w:space="0" w:color="FFFFFF" w:themeColor="background1"/>
            </w:tcBorders>
            <w:noWrap/>
            <w:hideMark/>
          </w:tcPr>
          <w:p w:rsidR="00B37294" w:rsidRDefault="00D20261">
            <w:pPr>
              <w:rPr>
                <w:b/>
                <w:noProof/>
              </w:rPr>
            </w:pPr>
            <w:r>
              <w:rPr>
                <w:b/>
                <w:noProof/>
              </w:rPr>
              <w:t>Évacuations du personnel</w:t>
            </w:r>
          </w:p>
        </w:tc>
        <w:tc>
          <w:tcPr>
            <w:tcW w:w="992" w:type="dxa"/>
            <w:noWrap/>
            <w:hideMark/>
          </w:tcPr>
          <w:p w:rsidR="00B37294" w:rsidRDefault="00D20261">
            <w:pPr>
              <w:rPr>
                <w:b/>
                <w:noProof/>
              </w:rPr>
            </w:pPr>
            <w:r>
              <w:rPr>
                <w:b/>
                <w:noProof/>
              </w:rPr>
              <w:t>2</w:t>
            </w:r>
          </w:p>
        </w:tc>
        <w:tc>
          <w:tcPr>
            <w:tcW w:w="1418" w:type="dxa"/>
            <w:noWrap/>
            <w:hideMark/>
          </w:tcPr>
          <w:p w:rsidR="00B37294" w:rsidRDefault="00D20261">
            <w:pPr>
              <w:rPr>
                <w:b/>
                <w:noProof/>
              </w:rPr>
            </w:pPr>
            <w:r>
              <w:rPr>
                <w:b/>
                <w:noProof/>
              </w:rPr>
              <w:t>100,0 %</w:t>
            </w:r>
          </w:p>
        </w:tc>
        <w:tc>
          <w:tcPr>
            <w:tcW w:w="1643" w:type="dxa"/>
            <w:noWrap/>
            <w:hideMark/>
          </w:tcPr>
          <w:p w:rsidR="00B37294" w:rsidRDefault="00D20261">
            <w:pPr>
              <w:rPr>
                <w:b/>
                <w:noProof/>
              </w:rPr>
            </w:pPr>
            <w:r>
              <w:rPr>
                <w:b/>
                <w:noProof/>
              </w:rPr>
              <w:t>1,6 %</w:t>
            </w:r>
          </w:p>
        </w:tc>
      </w:tr>
      <w:tr w:rsidR="00B37294">
        <w:trPr>
          <w:trHeight w:val="300"/>
        </w:trPr>
        <w:tc>
          <w:tcPr>
            <w:tcW w:w="533" w:type="dxa"/>
            <w:tcBorders>
              <w:right w:val="single" w:sz="4" w:space="0" w:color="FFFFFF" w:themeColor="background1"/>
            </w:tcBorders>
            <w:noWrap/>
            <w:hideMark/>
          </w:tcPr>
          <w:p w:rsidR="00B37294" w:rsidRDefault="00D20261">
            <w:pPr>
              <w:rPr>
                <w:b/>
                <w:noProof/>
              </w:rPr>
            </w:pPr>
            <w:r>
              <w:rPr>
                <w:b/>
                <w:noProof/>
              </w:rPr>
              <w:t>(j)</w:t>
            </w:r>
          </w:p>
        </w:tc>
        <w:tc>
          <w:tcPr>
            <w:tcW w:w="6096" w:type="dxa"/>
            <w:tcBorders>
              <w:left w:val="single" w:sz="4" w:space="0" w:color="FFFFFF" w:themeColor="background1"/>
            </w:tcBorders>
            <w:noWrap/>
            <w:hideMark/>
          </w:tcPr>
          <w:p w:rsidR="00B37294" w:rsidRDefault="00D20261">
            <w:pPr>
              <w:rPr>
                <w:b/>
                <w:noProof/>
              </w:rPr>
            </w:pPr>
            <w:r>
              <w:rPr>
                <w:b/>
                <w:noProof/>
              </w:rPr>
              <w:t>Accidents environnementaux</w:t>
            </w:r>
            <w:r>
              <w:rPr>
                <w:b/>
                <w:noProof/>
                <w:vertAlign w:val="superscript"/>
              </w:rPr>
              <w:t>(**)</w:t>
            </w:r>
          </w:p>
        </w:tc>
        <w:tc>
          <w:tcPr>
            <w:tcW w:w="992" w:type="dxa"/>
            <w:noWrap/>
            <w:hideMark/>
          </w:tcPr>
          <w:p w:rsidR="00B37294" w:rsidRDefault="00D20261">
            <w:pPr>
              <w:rPr>
                <w:b/>
                <w:noProof/>
              </w:rPr>
            </w:pPr>
            <w:r>
              <w:rPr>
                <w:b/>
                <w:noProof/>
              </w:rPr>
              <w:t>2</w:t>
            </w:r>
          </w:p>
        </w:tc>
        <w:tc>
          <w:tcPr>
            <w:tcW w:w="1418" w:type="dxa"/>
            <w:noWrap/>
            <w:hideMark/>
          </w:tcPr>
          <w:p w:rsidR="00B37294" w:rsidRDefault="00D20261">
            <w:pPr>
              <w:rPr>
                <w:b/>
                <w:noProof/>
              </w:rPr>
            </w:pPr>
            <w:r>
              <w:rPr>
                <w:b/>
                <w:noProof/>
              </w:rPr>
              <w:t>100,0 %</w:t>
            </w:r>
          </w:p>
        </w:tc>
        <w:tc>
          <w:tcPr>
            <w:tcW w:w="1643" w:type="dxa"/>
            <w:noWrap/>
            <w:hideMark/>
          </w:tcPr>
          <w:p w:rsidR="00B37294" w:rsidRDefault="00D20261">
            <w:pPr>
              <w:rPr>
                <w:b/>
                <w:noProof/>
              </w:rPr>
            </w:pPr>
            <w:r>
              <w:rPr>
                <w:b/>
                <w:noProof/>
              </w:rPr>
              <w:t>1,6 %</w:t>
            </w:r>
          </w:p>
        </w:tc>
      </w:tr>
      <w:tr w:rsidR="00B37294">
        <w:trPr>
          <w:trHeight w:val="300"/>
        </w:trPr>
        <w:tc>
          <w:tcPr>
            <w:tcW w:w="6629" w:type="dxa"/>
            <w:gridSpan w:val="2"/>
            <w:noWrap/>
            <w:hideMark/>
          </w:tcPr>
          <w:p w:rsidR="00B37294" w:rsidRDefault="00D20261">
            <w:pPr>
              <w:rPr>
                <w:b/>
                <w:noProof/>
              </w:rPr>
            </w:pPr>
            <w:r>
              <w:rPr>
                <w:b/>
                <w:noProof/>
              </w:rPr>
              <w:t>Total</w:t>
            </w:r>
            <w:r>
              <w:rPr>
                <w:rStyle w:val="FootnoteReference"/>
                <w:b/>
                <w:noProof/>
              </w:rPr>
              <w:footnoteReference w:id="9"/>
            </w:r>
          </w:p>
        </w:tc>
        <w:tc>
          <w:tcPr>
            <w:tcW w:w="992" w:type="dxa"/>
            <w:noWrap/>
            <w:hideMark/>
          </w:tcPr>
          <w:p w:rsidR="00B37294" w:rsidRDefault="00D20261">
            <w:pPr>
              <w:rPr>
                <w:b/>
                <w:noProof/>
              </w:rPr>
            </w:pPr>
            <w:r>
              <w:rPr>
                <w:b/>
                <w:noProof/>
              </w:rPr>
              <w:t>124</w:t>
            </w:r>
          </w:p>
        </w:tc>
        <w:tc>
          <w:tcPr>
            <w:tcW w:w="1418" w:type="dxa"/>
            <w:noWrap/>
            <w:hideMark/>
          </w:tcPr>
          <w:p w:rsidR="00B37294" w:rsidRDefault="00D20261">
            <w:pPr>
              <w:rPr>
                <w:b/>
                <w:noProof/>
              </w:rPr>
            </w:pPr>
            <w:r>
              <w:rPr>
                <w:b/>
                <w:noProof/>
              </w:rPr>
              <w:t>100,0 %</w:t>
            </w:r>
          </w:p>
        </w:tc>
        <w:tc>
          <w:tcPr>
            <w:tcW w:w="1643" w:type="dxa"/>
            <w:noWrap/>
            <w:hideMark/>
          </w:tcPr>
          <w:p w:rsidR="00B37294" w:rsidRDefault="00D20261">
            <w:pPr>
              <w:rPr>
                <w:b/>
                <w:noProof/>
              </w:rPr>
            </w:pPr>
            <w:r>
              <w:rPr>
                <w:b/>
                <w:noProof/>
              </w:rPr>
              <w:t>100,0 %</w:t>
            </w:r>
          </w:p>
        </w:tc>
      </w:tr>
      <w:tr w:rsidR="00B37294">
        <w:trPr>
          <w:trHeight w:val="300"/>
        </w:trPr>
        <w:tc>
          <w:tcPr>
            <w:tcW w:w="10682" w:type="dxa"/>
            <w:gridSpan w:val="5"/>
            <w:noWrap/>
          </w:tcPr>
          <w:p w:rsidR="00B37294" w:rsidRDefault="00D20261">
            <w:pPr>
              <w:spacing w:after="0"/>
              <w:rPr>
                <w:i/>
                <w:noProof/>
                <w:sz w:val="20"/>
              </w:rPr>
            </w:pPr>
            <w:r>
              <w:rPr>
                <w:noProof/>
                <w:sz w:val="20"/>
              </w:rPr>
              <w:t xml:space="preserve">(*) </w:t>
            </w:r>
            <w:r>
              <w:rPr>
                <w:i/>
                <w:noProof/>
                <w:sz w:val="20"/>
              </w:rPr>
              <w:t>Uniquement en lien avec un accident majeur.</w:t>
            </w:r>
          </w:p>
          <w:p w:rsidR="00B37294" w:rsidRDefault="00D20261">
            <w:pPr>
              <w:rPr>
                <w:noProof/>
              </w:rPr>
            </w:pPr>
            <w:r>
              <w:rPr>
                <w:noProof/>
                <w:sz w:val="20"/>
              </w:rPr>
              <w:t xml:space="preserve">(**) </w:t>
            </w:r>
            <w:r>
              <w:rPr>
                <w:i/>
                <w:noProof/>
                <w:sz w:val="20"/>
              </w:rPr>
              <w:t>Selon les rapports des États membres, ces accidents majeurs ne pouvaient pas être qualifiés d’accidents environnementaux.</w:t>
            </w:r>
          </w:p>
        </w:tc>
      </w:tr>
    </w:tbl>
    <w:p w:rsidR="00B37294" w:rsidRDefault="00B37294">
      <w:pPr>
        <w:spacing w:after="0"/>
        <w:jc w:val="both"/>
        <w:rPr>
          <w:rFonts w:ascii="Times New Roman" w:hAnsi="Times New Roman"/>
          <w:noProof/>
          <w:sz w:val="24"/>
          <w:szCs w:val="24"/>
        </w:rPr>
      </w:pPr>
    </w:p>
    <w:p w:rsidR="00B37294" w:rsidRDefault="00D20261">
      <w:pPr>
        <w:jc w:val="both"/>
        <w:rPr>
          <w:rFonts w:ascii="Times New Roman" w:hAnsi="Times New Roman"/>
          <w:noProof/>
          <w:sz w:val="24"/>
          <w:szCs w:val="24"/>
        </w:rPr>
      </w:pPr>
      <w:r>
        <w:rPr>
          <w:rFonts w:ascii="Times New Roman" w:hAnsi="Times New Roman"/>
          <w:noProof/>
          <w:sz w:val="24"/>
          <w:szCs w:val="24"/>
        </w:rPr>
        <w:t>Dans l’UE, le nombre total d’incidents signalés est</w:t>
      </w:r>
      <w:r>
        <w:rPr>
          <w:rFonts w:ascii="Times New Roman" w:hAnsi="Times New Roman"/>
          <w:noProof/>
          <w:sz w:val="24"/>
          <w:szCs w:val="24"/>
        </w:rPr>
        <w:t xml:space="preserve"> passé de 42 en 2016 à 59 en 2017, puis à 124 en 2018, en grande partie en raison d’un nombre accru de rejets involontaires. Les incidents de «perte de contrôle d’un puits» ont augmenté, passant à 17, alors qu’ils avaient diminué de 11 en 2016 à 8 en 2017.</w:t>
      </w:r>
      <w:r>
        <w:rPr>
          <w:rFonts w:ascii="Times New Roman" w:hAnsi="Times New Roman"/>
          <w:noProof/>
          <w:sz w:val="24"/>
          <w:szCs w:val="24"/>
        </w:rPr>
        <w:t xml:space="preserve"> Les «défaillances d’éléments critiques pour la sécurité et l’environnement» étaient au nombre de 2, contre 3 en 2016 et 1 en 2017. 2 cas de perte d’intégrité structurelle ont été signalés en 2018, contre 0 en 2017 et 2 en 2016. En outre, 2 évacuations du </w:t>
      </w:r>
      <w:r>
        <w:rPr>
          <w:rFonts w:ascii="Times New Roman" w:hAnsi="Times New Roman"/>
          <w:noProof/>
          <w:sz w:val="24"/>
          <w:szCs w:val="24"/>
        </w:rPr>
        <w:t>personnel ont eu lieu en 2018, alors qu’aucune n’avait été signalée pour 2017 et qu’une seule avait été signalée en 2016.</w:t>
      </w:r>
    </w:p>
    <w:p w:rsidR="00B37294" w:rsidRDefault="00D20261">
      <w:pPr>
        <w:jc w:val="both"/>
        <w:rPr>
          <w:rFonts w:ascii="Times New Roman" w:hAnsi="Times New Roman"/>
          <w:noProof/>
          <w:sz w:val="24"/>
          <w:szCs w:val="24"/>
        </w:rPr>
      </w:pPr>
      <w:r>
        <w:rPr>
          <w:rFonts w:ascii="Times New Roman" w:hAnsi="Times New Roman"/>
          <w:noProof/>
          <w:sz w:val="24"/>
          <w:szCs w:val="24"/>
        </w:rPr>
        <w:t>Aucune collision impliquant des navires n’a été signalée pour 2018, contre 3 en 2017, et aucune pour 2016; 9 défaillances d’une barriè</w:t>
      </w:r>
      <w:r>
        <w:rPr>
          <w:rFonts w:ascii="Times New Roman" w:hAnsi="Times New Roman"/>
          <w:noProof/>
          <w:sz w:val="24"/>
          <w:szCs w:val="24"/>
        </w:rPr>
        <w:t>re de puits ont été signalées contre 2 en 2017 et aucune pour 2016. En 2018, 6 incidents au total ont été classés parmi les accidents majeurs</w:t>
      </w:r>
      <w:r>
        <w:rPr>
          <w:rStyle w:val="FootnoteReference"/>
          <w:rFonts w:ascii="Times New Roman" w:hAnsi="Times New Roman"/>
          <w:noProof/>
          <w:sz w:val="24"/>
          <w:szCs w:val="24"/>
        </w:rPr>
        <w:footnoteReference w:id="10"/>
      </w:r>
      <w:r>
        <w:rPr>
          <w:rFonts w:ascii="Times New Roman" w:hAnsi="Times New Roman"/>
          <w:noProof/>
          <w:sz w:val="24"/>
          <w:szCs w:val="24"/>
        </w:rPr>
        <w:t>, étant donné qu’ils auraient pu causer des décès ou des dommages corporels graves. En 2017, 4 accidents majeurs s</w:t>
      </w:r>
      <w:r>
        <w:rPr>
          <w:rFonts w:ascii="Times New Roman" w:hAnsi="Times New Roman"/>
          <w:noProof/>
          <w:sz w:val="24"/>
          <w:szCs w:val="24"/>
        </w:rPr>
        <w:t>ont survenus et 2 accidents majeurs ont été signalés en 2016.</w:t>
      </w:r>
    </w:p>
    <w:p w:rsidR="00B37294" w:rsidRDefault="00D20261">
      <w:pPr>
        <w:jc w:val="both"/>
        <w:rPr>
          <w:rFonts w:ascii="Times New Roman" w:hAnsi="Times New Roman"/>
          <w:noProof/>
          <w:sz w:val="24"/>
          <w:szCs w:val="24"/>
        </w:rPr>
      </w:pPr>
      <w:r>
        <w:rPr>
          <w:rFonts w:ascii="Times New Roman" w:hAnsi="Times New Roman"/>
          <w:noProof/>
          <w:sz w:val="24"/>
          <w:szCs w:val="24"/>
        </w:rPr>
        <w:t>Constatant la hausse du nombre des accidents, la Commission coopère étroitement avec les autorités compétentes concernées afin de déterminer les causes de cette évolution et d’envisager les suit</w:t>
      </w:r>
      <w:r>
        <w:rPr>
          <w:rFonts w:ascii="Times New Roman" w:hAnsi="Times New Roman"/>
          <w:noProof/>
          <w:sz w:val="24"/>
          <w:szCs w:val="24"/>
        </w:rPr>
        <w:t>es éventuelles à donner pour relever le niveau des performances en matière de sécurité dès que possible.</w:t>
      </w:r>
      <w:r>
        <w:rPr>
          <w:noProof/>
        </w:rPr>
        <w:t xml:space="preserve"> </w:t>
      </w:r>
      <w:r>
        <w:rPr>
          <w:rFonts w:ascii="Times New Roman" w:hAnsi="Times New Roman"/>
          <w:noProof/>
          <w:sz w:val="24"/>
          <w:szCs w:val="24"/>
        </w:rPr>
        <w:t>Une coopération bilatérale est en place, ainsi que dans le cadre du groupe européen des autorités pour les opérations en mer (European Offshore Authori</w:t>
      </w:r>
      <w:r>
        <w:rPr>
          <w:rFonts w:ascii="Times New Roman" w:hAnsi="Times New Roman"/>
          <w:noProof/>
          <w:sz w:val="24"/>
          <w:szCs w:val="24"/>
        </w:rPr>
        <w:t>ties Group — EUOAG).</w:t>
      </w:r>
    </w:p>
    <w:p w:rsidR="00B37294" w:rsidRDefault="00B37294">
      <w:pPr>
        <w:jc w:val="both"/>
        <w:rPr>
          <w:rFonts w:ascii="Times New Roman" w:hAnsi="Times New Roman"/>
          <w:noProof/>
          <w:sz w:val="24"/>
          <w:szCs w:val="24"/>
          <w:lang w:val="fr-BE"/>
        </w:rPr>
      </w:pPr>
    </w:p>
    <w:p w:rsidR="00B37294" w:rsidRDefault="00D20261">
      <w:pPr>
        <w:pStyle w:val="Heading1"/>
        <w:spacing w:before="0"/>
        <w:rPr>
          <w:rFonts w:ascii="Times New Roman" w:hAnsi="Times New Roman"/>
        </w:rPr>
      </w:pPr>
      <w:bookmarkStart w:id="9" w:name="_Toc56767531"/>
      <w:r>
        <w:rPr>
          <w:rFonts w:ascii="Times New Roman" w:hAnsi="Times New Roman"/>
        </w:rPr>
        <w:t>6.</w:t>
      </w:r>
      <w:r>
        <w:tab/>
      </w:r>
      <w:r>
        <w:rPr>
          <w:rFonts w:ascii="Times New Roman" w:hAnsi="Times New Roman"/>
        </w:rPr>
        <w:t>CONCLUSION</w:t>
      </w:r>
      <w:bookmarkEnd w:id="9"/>
    </w:p>
    <w:p w:rsidR="00B37294" w:rsidRDefault="00D20261">
      <w:pPr>
        <w:jc w:val="both"/>
        <w:rPr>
          <w:rFonts w:ascii="Times New Roman" w:hAnsi="Times New Roman"/>
          <w:noProof/>
          <w:sz w:val="24"/>
          <w:szCs w:val="24"/>
        </w:rPr>
      </w:pPr>
      <w:r>
        <w:rPr>
          <w:rFonts w:ascii="Times New Roman" w:hAnsi="Times New Roman"/>
          <w:noProof/>
          <w:sz w:val="24"/>
          <w:szCs w:val="24"/>
        </w:rPr>
        <w:t xml:space="preserve">Avec 556 installations dans l’UE (les chiffres de 2018 comprennent le Royaume-Uni), le nombre d’installations est resté relativement stable. Il était passé de 586 en 2016 à 554 en 2017. Le niveau global de production de </w:t>
      </w:r>
      <w:r>
        <w:rPr>
          <w:rFonts w:ascii="Times New Roman" w:hAnsi="Times New Roman"/>
          <w:noProof/>
          <w:sz w:val="24"/>
          <w:szCs w:val="24"/>
        </w:rPr>
        <w:t>pétrole et de gaz a légèrement diminué, passant de 113 051 kilotonnes d’équivalent pétrole à 112 217 kilotonnes d’équivalent pétrole en 2018.</w:t>
      </w:r>
    </w:p>
    <w:p w:rsidR="00B37294" w:rsidRDefault="00D20261">
      <w:pPr>
        <w:jc w:val="both"/>
        <w:rPr>
          <w:rFonts w:ascii="Times New Roman" w:hAnsi="Times New Roman"/>
          <w:noProof/>
          <w:sz w:val="24"/>
          <w:szCs w:val="24"/>
        </w:rPr>
      </w:pPr>
      <w:r>
        <w:rPr>
          <w:rFonts w:ascii="Times New Roman" w:hAnsi="Times New Roman"/>
          <w:noProof/>
          <w:sz w:val="24"/>
          <w:szCs w:val="24"/>
        </w:rPr>
        <w:t xml:space="preserve">La Commission évalue la sécurité des opérations pétrolières et gazières en mer dans l’UE sur la base des données </w:t>
      </w:r>
      <w:r>
        <w:rPr>
          <w:rFonts w:ascii="Times New Roman" w:hAnsi="Times New Roman"/>
          <w:noProof/>
          <w:sz w:val="24"/>
          <w:szCs w:val="24"/>
        </w:rPr>
        <w:t>communiquées par les États membres conformément aux dispositions du règlement d’exécution sur la communication des informations. Il s’ensuit que la précision de l’évaluation de la Commission dépend des informations soumises par les États membres.</w:t>
      </w:r>
    </w:p>
    <w:p w:rsidR="00B37294" w:rsidRDefault="00D20261">
      <w:pPr>
        <w:jc w:val="both"/>
        <w:rPr>
          <w:rFonts w:ascii="Times New Roman" w:hAnsi="Times New Roman"/>
          <w:noProof/>
          <w:sz w:val="24"/>
          <w:szCs w:val="24"/>
        </w:rPr>
      </w:pPr>
      <w:r>
        <w:rPr>
          <w:rFonts w:ascii="Times New Roman" w:hAnsi="Times New Roman"/>
          <w:noProof/>
          <w:sz w:val="24"/>
          <w:szCs w:val="24"/>
        </w:rPr>
        <w:t>Le nombre</w:t>
      </w:r>
      <w:r>
        <w:rPr>
          <w:rFonts w:ascii="Times New Roman" w:hAnsi="Times New Roman"/>
          <w:noProof/>
          <w:sz w:val="24"/>
          <w:szCs w:val="24"/>
        </w:rPr>
        <w:t xml:space="preserve"> d’inspections et d’enquêtes effectuées a légèrement diminué par rapport à l’année précédente (moins 6 %). Par rapport à 2017, les États membres ont procédé à un nombre inférieur d’actions d’exécution.</w:t>
      </w:r>
    </w:p>
    <w:p w:rsidR="00B37294" w:rsidRDefault="00D20261">
      <w:pPr>
        <w:jc w:val="both"/>
        <w:rPr>
          <w:rFonts w:ascii="Times New Roman" w:hAnsi="Times New Roman"/>
          <w:noProof/>
          <w:sz w:val="24"/>
          <w:szCs w:val="24"/>
        </w:rPr>
      </w:pPr>
      <w:r>
        <w:rPr>
          <w:rFonts w:ascii="Times New Roman" w:hAnsi="Times New Roman"/>
          <w:noProof/>
          <w:sz w:val="24"/>
          <w:szCs w:val="24"/>
        </w:rPr>
        <w:t>Le nombre d’incidents a fortement augmenté, passant de</w:t>
      </w:r>
      <w:r>
        <w:rPr>
          <w:rFonts w:ascii="Times New Roman" w:hAnsi="Times New Roman"/>
          <w:noProof/>
          <w:sz w:val="24"/>
          <w:szCs w:val="24"/>
        </w:rPr>
        <w:t xml:space="preserve"> 59 en 2017 à 124 en 2018. L’intégration de l’ensemble des installations en mer du Royaume-Uni dans le système de communication des données ne peut expliquer qu’une faible partie de cette augmentation</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Le nombre d’incidents est passé au Royaume-Uni de 30 </w:t>
      </w:r>
      <w:r>
        <w:rPr>
          <w:rFonts w:ascii="Times New Roman" w:hAnsi="Times New Roman"/>
          <w:noProof/>
          <w:sz w:val="24"/>
          <w:szCs w:val="24"/>
        </w:rPr>
        <w:t>à 99, aux Pays-Bas de 13 à 14 et en Grèce et en Irlande, de zéro à un. Par contre ce chiffre a diminué pour le Danemark, passant de 14 à 9. Les accidents majeurs sont passés de 4 à 6 entre 2017 et 2018.</w:t>
      </w:r>
    </w:p>
    <w:p w:rsidR="00B37294" w:rsidRDefault="00D20261">
      <w:pPr>
        <w:jc w:val="both"/>
        <w:rPr>
          <w:rFonts w:ascii="Times New Roman" w:hAnsi="Times New Roman"/>
          <w:noProof/>
          <w:sz w:val="24"/>
          <w:szCs w:val="24"/>
        </w:rPr>
      </w:pPr>
      <w:r>
        <w:rPr>
          <w:rFonts w:ascii="Times New Roman" w:hAnsi="Times New Roman"/>
          <w:noProof/>
          <w:sz w:val="24"/>
          <w:szCs w:val="24"/>
        </w:rPr>
        <w:t xml:space="preserve">Comme en 2016 et 2017, aucun accident mortel n’a été </w:t>
      </w:r>
      <w:r>
        <w:rPr>
          <w:rFonts w:ascii="Times New Roman" w:hAnsi="Times New Roman"/>
          <w:noProof/>
          <w:sz w:val="24"/>
          <w:szCs w:val="24"/>
        </w:rPr>
        <w:t>signalé en 2018, mais 12 blessés et 17 blessés graves ont été signalés. Il ressort des rapports des autorités compétentes que le nombre d’accidents a sensiblement augmenté au Royaume-Uni, ce qui impose d’effectuer une analyse approfondie des causes et de d</w:t>
      </w:r>
      <w:r>
        <w:rPr>
          <w:rFonts w:ascii="Times New Roman" w:hAnsi="Times New Roman"/>
          <w:noProof/>
          <w:sz w:val="24"/>
          <w:szCs w:val="24"/>
        </w:rPr>
        <w:t>éfinir les suites à donner par l’autorité compétente. La Commission coopérera avec les États membres et cherchera à coopérer avec le Royaume-Uni afin d’assurer un niveau de sécurité très élevé pour les opérations pétrolières et gazières en mer.</w:t>
      </w:r>
    </w:p>
    <w:sectPr w:rsidR="00B37294">
      <w:headerReference w:type="even" r:id="rId21"/>
      <w:headerReference w:type="default" r:id="rId22"/>
      <w:footerReference w:type="even" r:id="rId23"/>
      <w:footerReference w:type="default" r:id="rId24"/>
      <w:headerReference w:type="first" r:id="rId25"/>
      <w:footerReference w:type="first" r:id="rId26"/>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294" w:rsidRDefault="00D20261">
      <w:pPr>
        <w:spacing w:after="0" w:line="240" w:lineRule="auto"/>
      </w:pPr>
      <w:r>
        <w:separator/>
      </w:r>
    </w:p>
  </w:endnote>
  <w:endnote w:type="continuationSeparator" w:id="0">
    <w:p w:rsidR="00B37294" w:rsidRDefault="00D2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61" w:rsidRPr="00D20261" w:rsidRDefault="00D20261" w:rsidP="00D20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61" w:rsidRPr="00D20261" w:rsidRDefault="00D20261" w:rsidP="00D20261">
    <w:pPr>
      <w:pStyle w:val="FooterCoverPage"/>
      <w:rPr>
        <w:rFonts w:ascii="Arial" w:hAnsi="Arial" w:cs="Arial"/>
        <w:b/>
        <w:sz w:val="48"/>
      </w:rPr>
    </w:pPr>
    <w:r w:rsidRPr="00D20261">
      <w:rPr>
        <w:rFonts w:ascii="Arial" w:hAnsi="Arial" w:cs="Arial"/>
        <w:b/>
        <w:sz w:val="48"/>
      </w:rPr>
      <w:t>FR</w:t>
    </w:r>
    <w:r w:rsidRPr="00D20261">
      <w:rPr>
        <w:rFonts w:ascii="Arial" w:hAnsi="Arial" w:cs="Arial"/>
        <w:b/>
        <w:sz w:val="48"/>
      </w:rPr>
      <w:tab/>
    </w:r>
    <w:r w:rsidRPr="00D20261">
      <w:rPr>
        <w:rFonts w:ascii="Arial" w:hAnsi="Arial" w:cs="Arial"/>
        <w:b/>
        <w:sz w:val="48"/>
      </w:rPr>
      <w:tab/>
    </w:r>
    <w:r w:rsidRPr="00D20261">
      <w:tab/>
    </w:r>
    <w:r w:rsidRPr="00D20261">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61" w:rsidRPr="00D20261" w:rsidRDefault="00D20261" w:rsidP="00D20261">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B372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D20261">
    <w:pPr>
      <w:pStyle w:val="Footer"/>
      <w:jc w:val="center"/>
    </w:pPr>
    <w:r>
      <w:fldChar w:fldCharType="begin"/>
    </w:r>
    <w:r>
      <w:instrText xml:space="preserve"> PAGE   \* MERGEFORMAT </w:instrText>
    </w:r>
    <w:r>
      <w:fldChar w:fldCharType="separate"/>
    </w:r>
    <w:r>
      <w:rPr>
        <w:noProof/>
      </w:rPr>
      <w:t>1</w:t>
    </w:r>
    <w:r>
      <w:fldChar w:fldCharType="end"/>
    </w:r>
  </w:p>
  <w:p w:rsidR="00B37294" w:rsidRDefault="00B372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B372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B3729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D20261">
    <w:pPr>
      <w:pStyle w:val="Footer"/>
      <w:jc w:val="center"/>
    </w:pPr>
    <w:r>
      <w:fldChar w:fldCharType="begin"/>
    </w:r>
    <w:r>
      <w:instrText xml:space="preserve"> PAGE   </w:instrText>
    </w:r>
    <w:r>
      <w:instrText xml:space="preserve">\* MERGEFORMAT </w:instrText>
    </w:r>
    <w:r>
      <w:fldChar w:fldCharType="separate"/>
    </w:r>
    <w:r>
      <w:rPr>
        <w:noProof/>
      </w:rPr>
      <w:t>2</w:t>
    </w:r>
    <w:r>
      <w:fldChar w:fldCharType="end"/>
    </w:r>
  </w:p>
  <w:p w:rsidR="00B37294" w:rsidRDefault="00B3729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B37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294" w:rsidRDefault="00D20261">
      <w:pPr>
        <w:spacing w:after="0" w:line="240" w:lineRule="auto"/>
      </w:pPr>
      <w:r>
        <w:separator/>
      </w:r>
    </w:p>
  </w:footnote>
  <w:footnote w:type="continuationSeparator" w:id="0">
    <w:p w:rsidR="00B37294" w:rsidRDefault="00D20261">
      <w:pPr>
        <w:spacing w:after="0" w:line="240" w:lineRule="auto"/>
      </w:pPr>
      <w:r>
        <w:continuationSeparator/>
      </w:r>
    </w:p>
  </w:footnote>
  <w:footnote w:id="1">
    <w:p w:rsidR="00B37294" w:rsidRDefault="00D20261">
      <w:pPr>
        <w:pStyle w:val="FootnoteText"/>
      </w:pPr>
      <w:r>
        <w:rPr>
          <w:rStyle w:val="FootnoteReference"/>
        </w:rPr>
        <w:footnoteRef/>
      </w:r>
      <w:r>
        <w:t xml:space="preserve"> JO L 178 du 28 juin 2013, p. 66.</w:t>
      </w:r>
    </w:p>
  </w:footnote>
  <w:footnote w:id="2">
    <w:p w:rsidR="00B37294" w:rsidRDefault="00D20261">
      <w:pPr>
        <w:pStyle w:val="FootnoteText"/>
      </w:pPr>
      <w:r>
        <w:rPr>
          <w:rStyle w:val="FootnoteReference"/>
        </w:rPr>
        <w:footnoteRef/>
      </w:r>
      <w:r>
        <w:t xml:space="preserve"> JO L 302 du 22 octobre 2014, p. 2.</w:t>
      </w:r>
    </w:p>
  </w:footnote>
  <w:footnote w:id="3">
    <w:p w:rsidR="00B37294" w:rsidRDefault="00D20261">
      <w:pPr>
        <w:pStyle w:val="FootnoteText"/>
      </w:pPr>
      <w:r>
        <w:rPr>
          <w:rStyle w:val="FootnoteReference"/>
        </w:rPr>
        <w:footnoteRef/>
      </w:r>
      <w:r>
        <w:t>https://euoag.jrc.ec.europa.eu/files/attachments/2015_11_25_implementing_regulation_guidance_document_final.pdf.</w:t>
      </w:r>
    </w:p>
  </w:footnote>
  <w:footnote w:id="4">
    <w:p w:rsidR="00B37294" w:rsidRDefault="00D20261">
      <w:pPr>
        <w:pStyle w:val="FootnoteText"/>
        <w:rPr>
          <w:rFonts w:asciiTheme="minorHAnsi" w:hAnsiTheme="minorHAnsi" w:cstheme="minorHAnsi"/>
        </w:rPr>
      </w:pPr>
      <w:r>
        <w:rPr>
          <w:rStyle w:val="FootnoteReference"/>
        </w:rPr>
        <w:footnoteRef/>
      </w:r>
      <w:r>
        <w:t xml:space="preserve"> Les unités mobiles de forage au large ne </w:t>
      </w:r>
      <w:r>
        <w:t>font pas partie de l’analyse du point 4.1.</w:t>
      </w:r>
    </w:p>
  </w:footnote>
  <w:footnote w:id="5">
    <w:p w:rsidR="00B37294" w:rsidRDefault="00D20261">
      <w:pPr>
        <w:pStyle w:val="FootnoteText"/>
      </w:pPr>
      <w:r>
        <w:rPr>
          <w:rStyle w:val="FootnoteReference"/>
        </w:rPr>
        <w:footnoteRef/>
      </w:r>
      <w:r>
        <w:t xml:space="preserve"> Des données détaillées figurent au chapitre 4.1.</w:t>
      </w:r>
    </w:p>
  </w:footnote>
  <w:footnote w:id="6">
    <w:p w:rsidR="00B37294" w:rsidRDefault="00D20261">
      <w:pPr>
        <w:pStyle w:val="FootnoteText"/>
      </w:pPr>
      <w:r>
        <w:rPr>
          <w:rStyle w:val="FootnoteReference"/>
        </w:rPr>
        <w:footnoteRef/>
      </w:r>
      <w:r>
        <w:t xml:space="preserve"> Malgré le retrait du service de 13 installations et la mise en service d’une seule nouvelle installation, le nombre total d’installations a augmenté de deux uni</w:t>
      </w:r>
      <w:r>
        <w:t>tés. Si toutes les données communiquées étaient exactes, le nombre d’installations aurait dû diminuer de 12 unités.</w:t>
      </w:r>
    </w:p>
  </w:footnote>
  <w:footnote w:id="7">
    <w:p w:rsidR="00B37294" w:rsidRDefault="00D20261">
      <w:pPr>
        <w:pStyle w:val="FootnoteText"/>
      </w:pPr>
      <w:r>
        <w:rPr>
          <w:rStyle w:val="FootnoteReference"/>
        </w:rPr>
        <w:footnoteRef/>
      </w:r>
      <w:r>
        <w:t xml:space="preserve"> Les problèmes touchant à la sécurité et à l’environnement sont ceux signalés par la main-d’œuvre lorsqu’elle en constate sur le lieu de tr</w:t>
      </w:r>
      <w:r>
        <w:t>avail et qu’elle considère qu’ils pourraient constituer des infractions à la législation en matière de santé et de sécurité et sont susceptibles de causer des dommages.</w:t>
      </w:r>
    </w:p>
  </w:footnote>
  <w:footnote w:id="8">
    <w:p w:rsidR="00B37294" w:rsidRDefault="00D20261">
      <w:pPr>
        <w:pStyle w:val="FootnoteText"/>
      </w:pPr>
      <w:r>
        <w:rPr>
          <w:rStyle w:val="FootnoteReference"/>
        </w:rPr>
        <w:footnoteRef/>
      </w:r>
      <w:r>
        <w:t xml:space="preserve"> Un seul et même événement à signaler peut entraîner plusieurs incidents, par exemple,</w:t>
      </w:r>
      <w:r>
        <w:t xml:space="preserve"> un rejet de gaz non concerté peut entraîner l’évacuation du personnel. </w:t>
      </w:r>
    </w:p>
  </w:footnote>
  <w:footnote w:id="9">
    <w:p w:rsidR="00B37294" w:rsidRDefault="00D20261">
      <w:pPr>
        <w:pStyle w:val="FootnoteText"/>
        <w:rPr>
          <w:rFonts w:ascii="Times New Roman" w:hAnsi="Times New Roman"/>
        </w:rPr>
      </w:pPr>
      <w:r>
        <w:rPr>
          <w:rStyle w:val="FootnoteReference"/>
        </w:rPr>
        <w:footnoteRef/>
      </w:r>
      <w:r>
        <w:t xml:space="preserve"> </w:t>
      </w:r>
      <w:r>
        <w:rPr>
          <w:rFonts w:ascii="Times New Roman" w:hAnsi="Times New Roman"/>
        </w:rPr>
        <w:t>Un même incident peut apparaître plus d’une fois, par exemple: l’évacuation des personnes liées à la perte de contrôle d’un puits comptera pour deux points.</w:t>
      </w:r>
    </w:p>
  </w:footnote>
  <w:footnote w:id="10">
    <w:p w:rsidR="00B37294" w:rsidRDefault="00D20261">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JO L 178 du 28.6.2013,</w:t>
      </w:r>
      <w:r>
        <w:rPr>
          <w:rFonts w:ascii="Times New Roman" w:hAnsi="Times New Roman"/>
        </w:rPr>
        <w:t xml:space="preserve"> p. 73: Article 2, paragraphe 1: [on entend par] «accident majeur», dans le cadre d’une installation ou d’infrastructures connectées:</w:t>
      </w:r>
    </w:p>
    <w:p w:rsidR="00B37294" w:rsidRDefault="00D20261">
      <w:pPr>
        <w:pStyle w:val="FootnoteText"/>
        <w:jc w:val="both"/>
        <w:rPr>
          <w:rFonts w:ascii="Times New Roman" w:hAnsi="Times New Roman"/>
        </w:rPr>
      </w:pPr>
      <w:r>
        <w:rPr>
          <w:rFonts w:ascii="Times New Roman" w:hAnsi="Times New Roman"/>
        </w:rPr>
        <w:t>a) un incident impliquant une explosion, un incendie, la perte de contrôle d’un puits, ou une fuite de pétrole ou de gaz o</w:t>
      </w:r>
      <w:r>
        <w:rPr>
          <w:rFonts w:ascii="Times New Roman" w:hAnsi="Times New Roman"/>
        </w:rPr>
        <w:t>u le rejet de substances dangereuses causant ou risquant très probablement de causer des décès ou des dommages corporels graves;</w:t>
      </w:r>
    </w:p>
    <w:p w:rsidR="00B37294" w:rsidRDefault="00D20261">
      <w:pPr>
        <w:pStyle w:val="FootnoteText"/>
        <w:jc w:val="both"/>
        <w:rPr>
          <w:rFonts w:ascii="Times New Roman" w:hAnsi="Times New Roman"/>
        </w:rPr>
      </w:pPr>
      <w:r>
        <w:rPr>
          <w:rFonts w:ascii="Times New Roman" w:hAnsi="Times New Roman"/>
        </w:rPr>
        <w:t>b) un incident entraînant des dommages graves pour l’installation ou les infrastructures connectées, causant ou risquant très p</w:t>
      </w:r>
      <w:r>
        <w:rPr>
          <w:rFonts w:ascii="Times New Roman" w:hAnsi="Times New Roman"/>
        </w:rPr>
        <w:t>robablement de causer des décès ou des dommages corporels graves;</w:t>
      </w:r>
    </w:p>
    <w:p w:rsidR="00B37294" w:rsidRDefault="00D20261">
      <w:pPr>
        <w:pStyle w:val="FootnoteText"/>
        <w:jc w:val="both"/>
        <w:rPr>
          <w:rFonts w:ascii="Times New Roman" w:hAnsi="Times New Roman"/>
        </w:rPr>
      </w:pPr>
      <w:r>
        <w:rPr>
          <w:rFonts w:ascii="Times New Roman" w:hAnsi="Times New Roman"/>
        </w:rPr>
        <w:t>c) tout autre incident entraînant le décès de cinq personnes ou plus ou causant des blessures graves à cinq personnes ou plus, qui sont présentes sur l’installation en mer où se situe la sou</w:t>
      </w:r>
      <w:r>
        <w:rPr>
          <w:rFonts w:ascii="Times New Roman" w:hAnsi="Times New Roman"/>
        </w:rPr>
        <w:t>rce du danger ou qui participent à une opération pétrolière ou gazière en mer en rapport avec l’installation ou les infrastructures connectées; ou</w:t>
      </w:r>
    </w:p>
    <w:p w:rsidR="00B37294" w:rsidRDefault="00D20261">
      <w:pPr>
        <w:pStyle w:val="FootnoteText"/>
        <w:jc w:val="both"/>
        <w:rPr>
          <w:rFonts w:ascii="Times New Roman" w:hAnsi="Times New Roman"/>
        </w:rPr>
      </w:pPr>
      <w:r>
        <w:rPr>
          <w:rFonts w:ascii="Times New Roman" w:hAnsi="Times New Roman"/>
        </w:rPr>
        <w:t>d) tout incident environnemental majeur résultant d’incidents visés aux points a), b) et c).</w:t>
      </w:r>
    </w:p>
    <w:p w:rsidR="00B37294" w:rsidRDefault="00D20261">
      <w:pPr>
        <w:pStyle w:val="FootnoteText"/>
        <w:jc w:val="both"/>
        <w:rPr>
          <w:rFonts w:ascii="Times New Roman" w:hAnsi="Times New Roman"/>
        </w:rPr>
      </w:pPr>
      <w:r>
        <w:rPr>
          <w:rFonts w:ascii="Times New Roman" w:hAnsi="Times New Roman"/>
        </w:rPr>
        <w:t xml:space="preserve">Aux fins de </w:t>
      </w:r>
      <w:r>
        <w:rPr>
          <w:rFonts w:ascii="Times New Roman" w:hAnsi="Times New Roman"/>
        </w:rPr>
        <w:t>déterminer si un incident constitue un accident majeur au sens des points a), b) ou d), une installation qui est, en règle générale, laissée sans surveillance est réputée faire l’objet d’une surveillance.</w:t>
      </w:r>
    </w:p>
  </w:footnote>
  <w:footnote w:id="11">
    <w:p w:rsidR="00B37294" w:rsidRDefault="00D20261">
      <w:pPr>
        <w:pStyle w:val="FootnoteText"/>
        <w:rPr>
          <w:rFonts w:asciiTheme="minorHAnsi" w:hAnsiTheme="minorHAnsi" w:cstheme="minorHAnsi"/>
        </w:rPr>
      </w:pPr>
      <w:r>
        <w:rPr>
          <w:rStyle w:val="FootnoteReference"/>
        </w:rPr>
        <w:footnoteRef/>
      </w:r>
      <w:r>
        <w:t xml:space="preserve"> </w:t>
      </w:r>
      <w:r>
        <w:rPr>
          <w:rFonts w:asciiTheme="minorHAnsi" w:hAnsiTheme="minorHAnsi"/>
        </w:rPr>
        <w:t xml:space="preserve">Dans l’hypothèse d’une performance de sécurité </w:t>
      </w:r>
      <w:r>
        <w:rPr>
          <w:rFonts w:asciiTheme="minorHAnsi" w:hAnsiTheme="minorHAnsi"/>
        </w:rPr>
        <w:t>inchangée par installation, seuls 10 incidents supplémentaires peuvent être imputés à cette intégration.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61" w:rsidRPr="00D20261" w:rsidRDefault="00D20261" w:rsidP="00D20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61" w:rsidRPr="00D20261" w:rsidRDefault="00D20261" w:rsidP="00D20261">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61" w:rsidRPr="00D20261" w:rsidRDefault="00D20261" w:rsidP="00D20261">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B372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B372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B372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B372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B372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294" w:rsidRDefault="00B37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812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6A04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B2BA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825A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68D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AAD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D03E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A62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FAD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E6A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6675A"/>
    <w:multiLevelType w:val="hybridMultilevel"/>
    <w:tmpl w:val="0CA473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B282E53"/>
    <w:multiLevelType w:val="hybridMultilevel"/>
    <w:tmpl w:val="D6C4DF5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3D0569"/>
    <w:multiLevelType w:val="hybridMultilevel"/>
    <w:tmpl w:val="708C29DA"/>
    <w:lvl w:ilvl="0" w:tplc="D08C0E2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04368"/>
    <w:multiLevelType w:val="hybridMultilevel"/>
    <w:tmpl w:val="DE44938A"/>
    <w:lvl w:ilvl="0" w:tplc="AC0E200C">
      <w:start w:val="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8179E0"/>
    <w:multiLevelType w:val="hybridMultilevel"/>
    <w:tmpl w:val="B518FD42"/>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92971"/>
    <w:multiLevelType w:val="hybridMultilevel"/>
    <w:tmpl w:val="0C12691A"/>
    <w:lvl w:ilvl="0" w:tplc="EF6E0B48">
      <w:start w:val="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5264B"/>
    <w:multiLevelType w:val="hybridMultilevel"/>
    <w:tmpl w:val="DE9C802C"/>
    <w:lvl w:ilvl="0" w:tplc="4998C5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0FD4CA5"/>
    <w:multiLevelType w:val="hybridMultilevel"/>
    <w:tmpl w:val="ADBA36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66F21C5"/>
    <w:multiLevelType w:val="hybridMultilevel"/>
    <w:tmpl w:val="549A0660"/>
    <w:lvl w:ilvl="0" w:tplc="ED987C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CD34AD6"/>
    <w:multiLevelType w:val="hybridMultilevel"/>
    <w:tmpl w:val="8F4CC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57452"/>
    <w:multiLevelType w:val="hybridMultilevel"/>
    <w:tmpl w:val="34644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8"/>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0"/>
  </w:num>
  <w:num w:numId="20">
    <w:abstractNumId w:val="17"/>
  </w:num>
  <w:num w:numId="21">
    <w:abstractNumId w:val="16"/>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doNotTrackFormatting/>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CORRIGENDUM_x000b_This document corrects document COM(2020) 263 of 25 June 2020._x000b_Concerns all language versions._x000b_The last two paragraphs in Section 6 - Conclusions, have been corrected._x000b_The text shall read as follows:_x000b_"/>
    <w:docVar w:name="LW_COVERPAGE_EXISTS" w:val="True"/>
    <w:docVar w:name="LW_COVERPAGE_GUID" w:val="2C9A01D7-2AE0-451F-95FA-6751EC3BEC15"/>
    <w:docVar w:name="LW_COVERPAGE_TYPE" w:val="1"/>
    <w:docVar w:name="LW_CROSSREFERENCE" w:val="&lt;UNUSED&gt;"/>
    <w:docVar w:name="LW_DocType" w:val="NORMAL"/>
    <w:docVar w:name="LW_EMISSION" w:val="30.11.2020"/>
    <w:docVar w:name="LW_EMISSION_ISODATE" w:val="2020-11-3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20) 2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Rapport annuel sur la sécurité des opérations pétrolières et gazières en mer dans l'Union européenne pour l'année 2018_x000d__x000d__x000d__x000d__x000d__x000d__x000d__x000d__x000d__x000d__x000d__x000b_"/>
    <w:docVar w:name="LW_TYPE.DOC.CP" w:val="RAPPORT DE LA COMMISSION"/>
    <w:docVar w:name="Stamp" w:val="\\dossiers.dgt.cec.eu.int\dossiers\MOVE\MOVE-2018-00531\MOVE-2018-00531-00-00-EN-EDT-00.201805230858395479302.DOCX"/>
  </w:docVars>
  <w:rsids>
    <w:rsidRoot w:val="00B37294"/>
    <w:rsid w:val="00B37294"/>
    <w:rsid w:val="00D20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E8A179B4-B622-45B3-BBD4-9BC5CA41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360"/>
      <w:outlineLvl w:val="0"/>
    </w:pPr>
    <w:rPr>
      <w:rFonts w:ascii="Cambria" w:eastAsia="Times New Roman" w:hAnsi="Cambria"/>
      <w:noProof/>
      <w:color w:val="365F9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unhideWhenUsed/>
    <w:qFormat/>
    <w:pPr>
      <w:keepNext/>
      <w:keepLines/>
      <w:spacing w:before="40" w:after="0" w:line="259" w:lineRule="auto"/>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uiPriority w:val="99"/>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keepNext/>
      <w:spacing w:line="240" w:lineRule="auto"/>
    </w:pPr>
    <w:rPr>
      <w:rFonts w:ascii="Times New Roman" w:hAnsi="Times New Roman"/>
      <w:i/>
      <w:iCs/>
      <w:sz w:val="24"/>
      <w:szCs w:val="24"/>
    </w:rPr>
  </w:style>
  <w:style w:type="table" w:customStyle="1" w:styleId="TByColumn">
    <w:name w:val="TByColumn"/>
    <w:basedOn w:val="TableNormal"/>
    <w:uiPriority w:val="99"/>
    <w:tblPr>
      <w:tblBorders>
        <w:left w:val="single" w:sz="18" w:space="0" w:color="auto"/>
        <w:right w:val="single" w:sz="18" w:space="0" w:color="auto"/>
        <w:insideH w:val="single" w:sz="2" w:space="0" w:color="A6A6A6"/>
        <w:insideV w:val="single" w:sz="18" w:space="0" w:color="auto"/>
      </w:tblBorders>
    </w:tblPr>
    <w:tblStylePr w:type="firstRow">
      <w:rPr>
        <w:color w:val="F2F2F2"/>
      </w:rPr>
      <w:tblPr/>
      <w:tcPr>
        <w:shd w:val="clear" w:color="auto" w:fill="365F91"/>
      </w:tcPr>
    </w:tblStylePr>
    <w:tblStylePr w:type="lastRow">
      <w:rPr>
        <w:b/>
      </w:rPr>
      <w:tblPr/>
      <w:tcPr>
        <w:shd w:val="clear" w:color="auto" w:fill="DBE5F1"/>
      </w:tcPr>
    </w:tblStylePr>
    <w:tblStylePr w:type="lastCol">
      <w:rPr>
        <w:b/>
        <w:i w:val="0"/>
      </w:rPr>
      <w:tblPr/>
      <w:tcPr>
        <w:shd w:val="clear" w:color="auto" w:fill="DBE5F1"/>
      </w:tcPr>
    </w:tblStyle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3Char">
    <w:name w:val="Heading 3 Char"/>
    <w:link w:val="Heading3"/>
    <w:uiPriority w:val="9"/>
    <w:rPr>
      <w:rFonts w:ascii="Cambria" w:eastAsia="Times New Roman" w:hAnsi="Cambria" w:cs="Times New Roman"/>
      <w:color w:val="243F60"/>
      <w:sz w:val="24"/>
      <w:szCs w:val="24"/>
      <w:lang w:val="fr-FR"/>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link w:val="CommentText"/>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character" w:customStyle="1" w:styleId="Heading1Char">
    <w:name w:val="Heading 1 Char"/>
    <w:link w:val="Heading1"/>
    <w:uiPriority w:val="9"/>
    <w:rPr>
      <w:rFonts w:ascii="Cambria" w:eastAsia="Times New Roman" w:hAnsi="Cambria" w:cs="Times New Roman"/>
      <w:noProof/>
      <w:color w:val="365F91"/>
      <w:sz w:val="32"/>
      <w:szCs w:val="32"/>
    </w:rPr>
  </w:style>
  <w:style w:type="character" w:customStyle="1" w:styleId="Heading2Char">
    <w:name w:val="Heading 2 Char"/>
    <w:link w:val="Heading2"/>
    <w:uiPriority w:val="9"/>
    <w:rPr>
      <w:rFonts w:ascii="Cambria" w:eastAsia="Times New Roman" w:hAnsi="Cambria" w:cs="Times New Roman"/>
      <w:color w:val="365F91"/>
      <w:sz w:val="26"/>
      <w:szCs w:val="26"/>
    </w:rPr>
  </w:style>
  <w:style w:type="paragraph" w:styleId="TOCHeading">
    <w:name w:val="TOC Heading"/>
    <w:basedOn w:val="Heading1"/>
    <w:next w:val="Normal"/>
    <w:uiPriority w:val="39"/>
    <w:unhideWhenUsed/>
    <w:qFormat/>
    <w:pPr>
      <w:spacing w:line="259" w:lineRule="auto"/>
      <w:outlineLvl w:val="9"/>
    </w:pPr>
  </w:style>
  <w:style w:type="paragraph" w:styleId="TOC2">
    <w:name w:val="toc 2"/>
    <w:basedOn w:val="Normal"/>
    <w:next w:val="Normal"/>
    <w:autoRedefine/>
    <w:uiPriority w:val="39"/>
    <w:unhideWhenUsed/>
    <w:pPr>
      <w:spacing w:after="100" w:line="259" w:lineRule="auto"/>
      <w:ind w:left="220"/>
    </w:pPr>
    <w:rPr>
      <w:rFonts w:eastAsia="Times New Roman"/>
    </w:rPr>
  </w:style>
  <w:style w:type="paragraph" w:styleId="TOC1">
    <w:name w:val="toc 1"/>
    <w:basedOn w:val="Normal"/>
    <w:next w:val="Normal"/>
    <w:autoRedefine/>
    <w:uiPriority w:val="39"/>
    <w:unhideWhenUsed/>
    <w:pPr>
      <w:tabs>
        <w:tab w:val="left" w:pos="440"/>
        <w:tab w:val="right" w:leader="dot" w:pos="9736"/>
      </w:tabs>
      <w:spacing w:after="100" w:line="259" w:lineRule="auto"/>
    </w:pPr>
    <w:rPr>
      <w:rFonts w:eastAsia="Times New Roman"/>
    </w:rPr>
  </w:style>
  <w:style w:type="paragraph" w:styleId="TOC3">
    <w:name w:val="toc 3"/>
    <w:basedOn w:val="Normal"/>
    <w:next w:val="Normal"/>
    <w:autoRedefine/>
    <w:uiPriority w:val="39"/>
    <w:unhideWhenUsed/>
    <w:pPr>
      <w:spacing w:after="100" w:line="259" w:lineRule="auto"/>
      <w:ind w:left="440"/>
    </w:pPr>
    <w:rPr>
      <w:rFonts w:eastAsia="Times New Roman"/>
    </w:rPr>
  </w:style>
  <w:style w:type="character" w:styleId="Hyperlink">
    <w:name w:val="Hyperlink"/>
    <w:uiPriority w:val="99"/>
    <w:unhideWhenUsed/>
    <w:rPr>
      <w:color w:val="0000FF"/>
      <w:u w:val="single"/>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styleId="NoSpacing">
    <w:name w:val="No Spacing"/>
    <w:uiPriority w:val="1"/>
    <w:qFormat/>
    <w:rPr>
      <w:sz w:val="22"/>
      <w:szCs w:val="22"/>
    </w:rPr>
  </w:style>
  <w:style w:type="table" w:customStyle="1" w:styleId="COMREP-TBL-STYLE-1">
    <w:name w:val="COMREP-TBL-STYLE-1"/>
    <w:basedOn w:val="TableGrid"/>
    <w:uiPriority w:val="99"/>
    <w:rPr>
      <w:sz w:val="22"/>
      <w:szCs w:val="22"/>
    </w:rPr>
    <w:tblPr/>
    <w:tblStylePr w:type="firstRow">
      <w:rPr>
        <w:b/>
      </w:rPr>
    </w:tblStylePr>
    <w:tblStylePr w:type="firstCol">
      <w:rPr>
        <w:b/>
      </w:rPr>
    </w:tblStylePr>
  </w:style>
  <w:style w:type="table" w:customStyle="1" w:styleId="COMREP-TBL-STYLE-11">
    <w:name w:val="COMREP-TBL-STYLE-11"/>
    <w:basedOn w:val="TableGrid"/>
    <w:uiPriority w:val="99"/>
    <w:rPr>
      <w:sz w:val="22"/>
      <w:szCs w:val="22"/>
    </w:rPr>
    <w:tblPr/>
    <w:tblStylePr w:type="firstRow">
      <w:rPr>
        <w:b/>
      </w:rPr>
    </w:tblStylePr>
    <w:tblStylePr w:type="firstCol">
      <w:rPr>
        <w:b/>
      </w:rPr>
    </w:tblStylePr>
  </w:style>
  <w:style w:type="table" w:customStyle="1" w:styleId="TableGrid1">
    <w:name w:val="Table Grid1"/>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table" w:customStyle="1" w:styleId="TableGrid2">
    <w:name w:val="Table Grid2"/>
    <w:basedOn w:val="TableNormal"/>
    <w:next w:val="TableGrid"/>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rPr>
        <w:b/>
      </w:rPr>
    </w:tblStyle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fr-FR" w:eastAsia="en-US"/>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648418">
      <w:bodyDiv w:val="1"/>
      <w:marLeft w:val="0"/>
      <w:marRight w:val="0"/>
      <w:marTop w:val="0"/>
      <w:marBottom w:val="0"/>
      <w:divBdr>
        <w:top w:val="none" w:sz="0" w:space="0" w:color="auto"/>
        <w:left w:val="none" w:sz="0" w:space="0" w:color="auto"/>
        <w:bottom w:val="none" w:sz="0" w:space="0" w:color="auto"/>
        <w:right w:val="none" w:sz="0" w:space="0" w:color="auto"/>
      </w:divBdr>
    </w:div>
    <w:div w:id="420182961">
      <w:bodyDiv w:val="1"/>
      <w:marLeft w:val="0"/>
      <w:marRight w:val="0"/>
      <w:marTop w:val="0"/>
      <w:marBottom w:val="0"/>
      <w:divBdr>
        <w:top w:val="none" w:sz="0" w:space="0" w:color="auto"/>
        <w:left w:val="none" w:sz="0" w:space="0" w:color="auto"/>
        <w:bottom w:val="none" w:sz="0" w:space="0" w:color="auto"/>
        <w:right w:val="none" w:sz="0" w:space="0" w:color="auto"/>
      </w:divBdr>
    </w:div>
    <w:div w:id="576207011">
      <w:bodyDiv w:val="1"/>
      <w:marLeft w:val="0"/>
      <w:marRight w:val="0"/>
      <w:marTop w:val="0"/>
      <w:marBottom w:val="0"/>
      <w:divBdr>
        <w:top w:val="none" w:sz="0" w:space="0" w:color="auto"/>
        <w:left w:val="none" w:sz="0" w:space="0" w:color="auto"/>
        <w:bottom w:val="none" w:sz="0" w:space="0" w:color="auto"/>
        <w:right w:val="none" w:sz="0" w:space="0" w:color="auto"/>
      </w:divBdr>
    </w:div>
    <w:div w:id="1298951759">
      <w:bodyDiv w:val="1"/>
      <w:marLeft w:val="0"/>
      <w:marRight w:val="0"/>
      <w:marTop w:val="0"/>
      <w:marBottom w:val="0"/>
      <w:divBdr>
        <w:top w:val="none" w:sz="0" w:space="0" w:color="auto"/>
        <w:left w:val="none" w:sz="0" w:space="0" w:color="auto"/>
        <w:bottom w:val="none" w:sz="0" w:space="0" w:color="auto"/>
        <w:right w:val="none" w:sz="0" w:space="0" w:color="auto"/>
      </w:divBdr>
    </w:div>
    <w:div w:id="1371808522">
      <w:bodyDiv w:val="1"/>
      <w:marLeft w:val="0"/>
      <w:marRight w:val="0"/>
      <w:marTop w:val="0"/>
      <w:marBottom w:val="0"/>
      <w:divBdr>
        <w:top w:val="none" w:sz="0" w:space="0" w:color="auto"/>
        <w:left w:val="none" w:sz="0" w:space="0" w:color="auto"/>
        <w:bottom w:val="none" w:sz="0" w:space="0" w:color="auto"/>
        <w:right w:val="none" w:sz="0" w:space="0" w:color="auto"/>
      </w:divBdr>
    </w:div>
    <w:div w:id="1480152975">
      <w:bodyDiv w:val="1"/>
      <w:marLeft w:val="0"/>
      <w:marRight w:val="0"/>
      <w:marTop w:val="0"/>
      <w:marBottom w:val="0"/>
      <w:divBdr>
        <w:top w:val="none" w:sz="0" w:space="0" w:color="auto"/>
        <w:left w:val="none" w:sz="0" w:space="0" w:color="auto"/>
        <w:bottom w:val="none" w:sz="0" w:space="0" w:color="auto"/>
        <w:right w:val="none" w:sz="0" w:space="0" w:color="auto"/>
      </w:divBdr>
    </w:div>
    <w:div w:id="1601838447">
      <w:bodyDiv w:val="1"/>
      <w:marLeft w:val="0"/>
      <w:marRight w:val="0"/>
      <w:marTop w:val="0"/>
      <w:marBottom w:val="0"/>
      <w:divBdr>
        <w:top w:val="none" w:sz="0" w:space="0" w:color="auto"/>
        <w:left w:val="none" w:sz="0" w:space="0" w:color="auto"/>
        <w:bottom w:val="none" w:sz="0" w:space="0" w:color="auto"/>
        <w:right w:val="none" w:sz="0" w:space="0" w:color="auto"/>
      </w:divBdr>
    </w:div>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 w:id="2020042664">
      <w:bodyDiv w:val="1"/>
      <w:marLeft w:val="0"/>
      <w:marRight w:val="0"/>
      <w:marTop w:val="0"/>
      <w:marBottom w:val="0"/>
      <w:divBdr>
        <w:top w:val="none" w:sz="0" w:space="0" w:color="auto"/>
        <w:left w:val="none" w:sz="0" w:space="0" w:color="auto"/>
        <w:bottom w:val="none" w:sz="0" w:space="0" w:color="auto"/>
        <w:right w:val="none" w:sz="0" w:space="0" w:color="auto"/>
      </w:divBdr>
    </w:div>
    <w:div w:id="214172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2A92-DB1A-446F-9D1A-78D0850B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3819</Words>
  <Characters>19401</Characters>
  <Application>Microsoft Office Word</Application>
  <DocSecurity>0</DocSecurity>
  <Lines>776</Lines>
  <Paragraphs>580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22640</CharactersWithSpaces>
  <SharedDoc>false</SharedDoc>
  <HLinks>
    <vt:vector size="48" baseType="variant">
      <vt:variant>
        <vt:i4>1572915</vt:i4>
      </vt:variant>
      <vt:variant>
        <vt:i4>44</vt:i4>
      </vt:variant>
      <vt:variant>
        <vt:i4>0</vt:i4>
      </vt:variant>
      <vt:variant>
        <vt:i4>5</vt:i4>
      </vt:variant>
      <vt:variant>
        <vt:lpwstr/>
      </vt:variant>
      <vt:variant>
        <vt:lpwstr>_Toc520821446</vt:lpwstr>
      </vt:variant>
      <vt:variant>
        <vt:i4>1572915</vt:i4>
      </vt:variant>
      <vt:variant>
        <vt:i4>38</vt:i4>
      </vt:variant>
      <vt:variant>
        <vt:i4>0</vt:i4>
      </vt:variant>
      <vt:variant>
        <vt:i4>5</vt:i4>
      </vt:variant>
      <vt:variant>
        <vt:lpwstr/>
      </vt:variant>
      <vt:variant>
        <vt:lpwstr>_Toc520821445</vt:lpwstr>
      </vt:variant>
      <vt:variant>
        <vt:i4>1572915</vt:i4>
      </vt:variant>
      <vt:variant>
        <vt:i4>32</vt:i4>
      </vt:variant>
      <vt:variant>
        <vt:i4>0</vt:i4>
      </vt:variant>
      <vt:variant>
        <vt:i4>5</vt:i4>
      </vt:variant>
      <vt:variant>
        <vt:lpwstr/>
      </vt:variant>
      <vt:variant>
        <vt:lpwstr>_Toc520821444</vt:lpwstr>
      </vt:variant>
      <vt:variant>
        <vt:i4>1572915</vt:i4>
      </vt:variant>
      <vt:variant>
        <vt:i4>26</vt:i4>
      </vt:variant>
      <vt:variant>
        <vt:i4>0</vt:i4>
      </vt:variant>
      <vt:variant>
        <vt:i4>5</vt:i4>
      </vt:variant>
      <vt:variant>
        <vt:lpwstr/>
      </vt:variant>
      <vt:variant>
        <vt:lpwstr>_Toc520821443</vt:lpwstr>
      </vt:variant>
      <vt:variant>
        <vt:i4>1572915</vt:i4>
      </vt:variant>
      <vt:variant>
        <vt:i4>20</vt:i4>
      </vt:variant>
      <vt:variant>
        <vt:i4>0</vt:i4>
      </vt:variant>
      <vt:variant>
        <vt:i4>5</vt:i4>
      </vt:variant>
      <vt:variant>
        <vt:lpwstr/>
      </vt:variant>
      <vt:variant>
        <vt:lpwstr>_Toc520821442</vt:lpwstr>
      </vt:variant>
      <vt:variant>
        <vt:i4>1572915</vt:i4>
      </vt:variant>
      <vt:variant>
        <vt:i4>14</vt:i4>
      </vt:variant>
      <vt:variant>
        <vt:i4>0</vt:i4>
      </vt:variant>
      <vt:variant>
        <vt:i4>5</vt:i4>
      </vt:variant>
      <vt:variant>
        <vt:lpwstr/>
      </vt:variant>
      <vt:variant>
        <vt:lpwstr>_Toc520821441</vt:lpwstr>
      </vt:variant>
      <vt:variant>
        <vt:i4>1572915</vt:i4>
      </vt:variant>
      <vt:variant>
        <vt:i4>8</vt:i4>
      </vt:variant>
      <vt:variant>
        <vt:i4>0</vt:i4>
      </vt:variant>
      <vt:variant>
        <vt:i4>5</vt:i4>
      </vt:variant>
      <vt:variant>
        <vt:lpwstr/>
      </vt:variant>
      <vt:variant>
        <vt:lpwstr>_Toc520821440</vt:lpwstr>
      </vt:variant>
      <vt:variant>
        <vt:i4>2031667</vt:i4>
      </vt:variant>
      <vt:variant>
        <vt:i4>2</vt:i4>
      </vt:variant>
      <vt:variant>
        <vt:i4>0</vt:i4>
      </vt:variant>
      <vt:variant>
        <vt:i4>5</vt:i4>
      </vt:variant>
      <vt:variant>
        <vt:lpwstr/>
      </vt:variant>
      <vt:variant>
        <vt:lpwstr>_Toc520821439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WADHWANIA Nadia (SG)</cp:lastModifiedBy>
  <cp:revision>18</cp:revision>
  <cp:lastPrinted>2019-03-25T15:47:00Z</cp:lastPrinted>
  <dcterms:created xsi:type="dcterms:W3CDTF">2020-11-19T10:51:00Z</dcterms:created>
  <dcterms:modified xsi:type="dcterms:W3CDTF">2020-11-30T14:32:00Z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