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53F35AD-77BF-428A-8D95-7FBA010250D8"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hAnsi="Times New Roman" w:cs="Times New Roman"/>
          <w:noProof/>
        </w:rPr>
        <w:id w:val="-946919066"/>
        <w:docPartObj>
          <w:docPartGallery w:val="Table of Contents"/>
          <w:docPartUnique/>
        </w:docPartObj>
      </w:sdtPr>
      <w:sdtEndPr>
        <w:rPr>
          <w:b/>
          <w:bCs/>
        </w:rPr>
      </w:sdtEndPr>
      <w:sdtContent>
        <w:p>
          <w:pPr>
            <w:keepNext/>
            <w:keepLines/>
            <w:spacing w:before="240" w:after="0"/>
            <w:jc w:val="both"/>
            <w:rPr>
              <w:rFonts w:ascii="Times New Roman" w:eastAsiaTheme="majorEastAsia" w:hAnsi="Times New Roman" w:cs="Times New Roman"/>
              <w:noProof/>
              <w:color w:val="365F91" w:themeColor="accent1" w:themeShade="BF"/>
              <w:sz w:val="32"/>
              <w:szCs w:val="32"/>
            </w:rPr>
          </w:pPr>
          <w:r>
            <w:rPr>
              <w:rFonts w:ascii="Times New Roman" w:hAnsi="Times New Roman"/>
              <w:noProof/>
              <w:color w:val="365F91" w:themeColor="accent1" w:themeShade="BF"/>
              <w:sz w:val="32"/>
              <w:szCs w:val="32"/>
            </w:rPr>
            <w:t>Съдържание</w:t>
          </w:r>
        </w:p>
        <w:p>
          <w:pPr>
            <w:pStyle w:val="TOC1"/>
            <w:rPr>
              <w:rFonts w:eastAsiaTheme="minorEastAsia"/>
              <w:noProof/>
              <w:lang w:val="en-US"/>
            </w:rPr>
          </w:pPr>
          <w:r>
            <w:rPr>
              <w:rFonts w:eastAsiaTheme="minorEastAsia"/>
              <w:noProof/>
            </w:rPr>
            <w:fldChar w:fldCharType="begin"/>
          </w:r>
          <w:r>
            <w:rPr>
              <w:rFonts w:eastAsiaTheme="minorEastAsia"/>
              <w:noProof/>
            </w:rPr>
            <w:instrText xml:space="preserve"> TOC \o "1-3" \h \z \u </w:instrText>
          </w:r>
          <w:r>
            <w:rPr>
              <w:rFonts w:eastAsiaTheme="minorEastAsia"/>
              <w:noProof/>
            </w:rPr>
            <w:fldChar w:fldCharType="separate"/>
          </w:r>
          <w:hyperlink w:anchor="_Toc51773403" w:history="1">
            <w:r>
              <w:rPr>
                <w:rStyle w:val="Hyperlink"/>
                <w:rFonts w:asciiTheme="majorHAnsi" w:eastAsiaTheme="majorEastAsia" w:hAnsiTheme="majorHAnsi" w:cstheme="majorBidi"/>
                <w:noProof/>
              </w:rPr>
              <w:t>1.</w:t>
            </w:r>
            <w:r>
              <w:rPr>
                <w:rFonts w:eastAsiaTheme="minorEastAsia"/>
                <w:noProof/>
                <w:lang w:val="en-US"/>
              </w:rPr>
              <w:tab/>
            </w:r>
            <w:r>
              <w:rPr>
                <w:rStyle w:val="Hyperlink"/>
                <w:rFonts w:asciiTheme="majorHAnsi" w:hAnsiTheme="majorHAnsi"/>
                <w:noProof/>
              </w:rPr>
              <w:t>Въведение</w:t>
            </w:r>
            <w:r>
              <w:rPr>
                <w:noProof/>
                <w:webHidden/>
              </w:rPr>
              <w:tab/>
            </w:r>
            <w:r>
              <w:rPr>
                <w:noProof/>
                <w:webHidden/>
              </w:rPr>
              <w:fldChar w:fldCharType="begin"/>
            </w:r>
            <w:r>
              <w:rPr>
                <w:noProof/>
                <w:webHidden/>
              </w:rPr>
              <w:instrText xml:space="preserve"> PAGEREF _Toc51773403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lang w:val="en-US"/>
            </w:rPr>
          </w:pPr>
          <w:hyperlink w:anchor="_Toc51773404" w:history="1">
            <w:r>
              <w:rPr>
                <w:rStyle w:val="Hyperlink"/>
                <w:rFonts w:asciiTheme="majorHAnsi" w:eastAsiaTheme="majorEastAsia" w:hAnsiTheme="majorHAnsi" w:cstheme="majorBidi"/>
                <w:noProof/>
              </w:rPr>
              <w:t>2.</w:t>
            </w:r>
            <w:r>
              <w:rPr>
                <w:rFonts w:eastAsiaTheme="minorEastAsia"/>
                <w:noProof/>
                <w:lang w:val="en-US"/>
              </w:rPr>
              <w:tab/>
            </w:r>
            <w:r>
              <w:rPr>
                <w:rStyle w:val="Hyperlink"/>
                <w:rFonts w:asciiTheme="majorHAnsi" w:hAnsiTheme="majorHAnsi"/>
                <w:noProof/>
              </w:rPr>
              <w:t>Цели и методология</w:t>
            </w:r>
            <w:r>
              <w:rPr>
                <w:noProof/>
                <w:webHidden/>
              </w:rPr>
              <w:tab/>
            </w:r>
            <w:r>
              <w:rPr>
                <w:noProof/>
                <w:webHidden/>
              </w:rPr>
              <w:fldChar w:fldCharType="begin"/>
            </w:r>
            <w:r>
              <w:rPr>
                <w:noProof/>
                <w:webHidden/>
              </w:rPr>
              <w:instrText xml:space="preserve"> PAGEREF _Toc51773404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51773405" w:history="1">
            <w:r>
              <w:rPr>
                <w:rStyle w:val="Hyperlink"/>
                <w:rFonts w:asciiTheme="majorHAnsi" w:hAnsiTheme="majorHAnsi"/>
                <w:noProof/>
              </w:rPr>
              <w:t>2.1 Цели</w:t>
            </w:r>
            <w:r>
              <w:rPr>
                <w:noProof/>
                <w:webHidden/>
              </w:rPr>
              <w:tab/>
            </w:r>
            <w:r>
              <w:rPr>
                <w:noProof/>
                <w:webHidden/>
              </w:rPr>
              <w:fldChar w:fldCharType="begin"/>
            </w:r>
            <w:r>
              <w:rPr>
                <w:noProof/>
                <w:webHidden/>
              </w:rPr>
              <w:instrText xml:space="preserve"> PAGEREF _Toc51773405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51773406" w:history="1">
            <w:r>
              <w:rPr>
                <w:rStyle w:val="Hyperlink"/>
                <w:rFonts w:asciiTheme="majorHAnsi" w:hAnsiTheme="majorHAnsi"/>
                <w:noProof/>
              </w:rPr>
              <w:t>2.2 Методология</w:t>
            </w:r>
            <w:r>
              <w:rPr>
                <w:noProof/>
                <w:webHidden/>
              </w:rPr>
              <w:tab/>
            </w:r>
            <w:r>
              <w:rPr>
                <w:noProof/>
                <w:webHidden/>
              </w:rPr>
              <w:fldChar w:fldCharType="begin"/>
            </w:r>
            <w:r>
              <w:rPr>
                <w:noProof/>
                <w:webHidden/>
              </w:rPr>
              <w:instrText xml:space="preserve"> PAGEREF _Toc51773406 \h </w:instrText>
            </w:r>
            <w:r>
              <w:rPr>
                <w:noProof/>
                <w:webHidden/>
              </w:rPr>
            </w:r>
            <w:r>
              <w:rPr>
                <w:noProof/>
                <w:webHidden/>
              </w:rPr>
              <w:fldChar w:fldCharType="separate"/>
            </w:r>
            <w:r>
              <w:rPr>
                <w:noProof/>
                <w:webHidden/>
              </w:rPr>
              <w:t>3</w:t>
            </w:r>
            <w:r>
              <w:rPr>
                <w:noProof/>
                <w:webHidden/>
              </w:rPr>
              <w:fldChar w:fldCharType="end"/>
            </w:r>
          </w:hyperlink>
        </w:p>
        <w:p>
          <w:pPr>
            <w:pStyle w:val="TOC1"/>
            <w:rPr>
              <w:rFonts w:eastAsiaTheme="minorEastAsia"/>
              <w:noProof/>
              <w:lang w:val="en-US"/>
            </w:rPr>
          </w:pPr>
          <w:hyperlink w:anchor="_Toc51773407" w:history="1">
            <w:r>
              <w:rPr>
                <w:rStyle w:val="Hyperlink"/>
                <w:rFonts w:asciiTheme="majorHAnsi" w:eastAsiaTheme="majorEastAsia" w:hAnsiTheme="majorHAnsi" w:cstheme="majorBidi"/>
                <w:noProof/>
              </w:rPr>
              <w:t>3.</w:t>
            </w:r>
            <w:r>
              <w:rPr>
                <w:rFonts w:eastAsiaTheme="minorEastAsia"/>
                <w:noProof/>
                <w:lang w:val="en-US"/>
              </w:rPr>
              <w:tab/>
            </w:r>
            <w:r>
              <w:rPr>
                <w:rStyle w:val="Hyperlink"/>
                <w:rFonts w:asciiTheme="majorHAnsi" w:hAnsiTheme="majorHAnsi"/>
                <w:noProof/>
              </w:rPr>
              <w:t>Сътрудничество между EURid и EUIPO за справяне с неправомерните и спекулативните регистрации на имена на домейни</w:t>
            </w:r>
            <w:r>
              <w:rPr>
                <w:noProof/>
                <w:webHidden/>
              </w:rPr>
              <w:tab/>
            </w:r>
            <w:r>
              <w:rPr>
                <w:noProof/>
                <w:webHidden/>
              </w:rPr>
              <w:fldChar w:fldCharType="begin"/>
            </w:r>
            <w:r>
              <w:rPr>
                <w:noProof/>
                <w:webHidden/>
              </w:rPr>
              <w:instrText xml:space="preserve"> PAGEREF _Toc51773407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51773408" w:history="1">
            <w:r>
              <w:rPr>
                <w:rStyle w:val="Hyperlink"/>
                <w:rFonts w:asciiTheme="majorHAnsi" w:hAnsiTheme="majorHAnsi"/>
                <w:noProof/>
              </w:rPr>
              <w:t>3.1 Сътрудничество на ранен етап</w:t>
            </w:r>
            <w:r>
              <w:rPr>
                <w:noProof/>
                <w:webHidden/>
              </w:rPr>
              <w:tab/>
            </w:r>
            <w:r>
              <w:rPr>
                <w:noProof/>
                <w:webHidden/>
              </w:rPr>
              <w:fldChar w:fldCharType="begin"/>
            </w:r>
            <w:r>
              <w:rPr>
                <w:noProof/>
                <w:webHidden/>
              </w:rPr>
              <w:instrText xml:space="preserve"> PAGEREF _Toc51773408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51773409" w:history="1">
            <w:r>
              <w:rPr>
                <w:rStyle w:val="Hyperlink"/>
                <w:rFonts w:asciiTheme="majorHAnsi" w:hAnsiTheme="majorHAnsi"/>
                <w:noProof/>
              </w:rPr>
              <w:t>3.2 Скорошно съдействие</w:t>
            </w:r>
            <w:r>
              <w:rPr>
                <w:noProof/>
                <w:webHidden/>
              </w:rPr>
              <w:tab/>
            </w:r>
            <w:r>
              <w:rPr>
                <w:noProof/>
                <w:webHidden/>
              </w:rPr>
              <w:fldChar w:fldCharType="begin"/>
            </w:r>
            <w:r>
              <w:rPr>
                <w:noProof/>
                <w:webHidden/>
              </w:rPr>
              <w:instrText xml:space="preserve"> PAGEREF _Toc51773409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16"/>
            </w:tabs>
            <w:rPr>
              <w:rFonts w:eastAsiaTheme="minorEastAsia"/>
              <w:noProof/>
              <w:lang w:val="en-US"/>
            </w:rPr>
          </w:pPr>
          <w:hyperlink w:anchor="_Toc51773410" w:history="1">
            <w:r>
              <w:rPr>
                <w:rStyle w:val="Hyperlink"/>
                <w:rFonts w:asciiTheme="majorHAnsi" w:hAnsiTheme="majorHAnsi"/>
                <w:noProof/>
              </w:rPr>
              <w:t>3.3 Планирани дейности в периода 2020—2022 г.</w:t>
            </w:r>
            <w:r>
              <w:rPr>
                <w:noProof/>
                <w:webHidden/>
              </w:rPr>
              <w:tab/>
            </w:r>
            <w:r>
              <w:rPr>
                <w:noProof/>
                <w:webHidden/>
              </w:rPr>
              <w:fldChar w:fldCharType="begin"/>
            </w:r>
            <w:r>
              <w:rPr>
                <w:noProof/>
                <w:webHidden/>
              </w:rPr>
              <w:instrText xml:space="preserve"> PAGEREF _Toc51773410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16"/>
            </w:tabs>
            <w:rPr>
              <w:rFonts w:eastAsiaTheme="minorEastAsia"/>
              <w:noProof/>
              <w:lang w:val="en-US"/>
            </w:rPr>
          </w:pPr>
          <w:hyperlink w:anchor="_Toc51773411" w:history="1">
            <w:r>
              <w:rPr>
                <w:rStyle w:val="Hyperlink"/>
                <w:rFonts w:asciiTheme="majorHAnsi" w:hAnsiTheme="majorHAnsi"/>
                <w:noProof/>
              </w:rPr>
              <w:t>3.4 Оценка на сътрудничеството между EURid и EUIPO и препоръки за подобрения</w:t>
            </w:r>
            <w:r>
              <w:rPr>
                <w:noProof/>
                <w:webHidden/>
              </w:rPr>
              <w:tab/>
            </w:r>
            <w:r>
              <w:rPr>
                <w:noProof/>
                <w:webHidden/>
              </w:rPr>
              <w:fldChar w:fldCharType="begin"/>
            </w:r>
            <w:r>
              <w:rPr>
                <w:noProof/>
                <w:webHidden/>
              </w:rPr>
              <w:instrText xml:space="preserve"> PAGEREF _Toc51773411 \h </w:instrText>
            </w:r>
            <w:r>
              <w:rPr>
                <w:noProof/>
                <w:webHidden/>
              </w:rPr>
            </w:r>
            <w:r>
              <w:rPr>
                <w:noProof/>
                <w:webHidden/>
              </w:rPr>
              <w:fldChar w:fldCharType="separate"/>
            </w:r>
            <w:r>
              <w:rPr>
                <w:noProof/>
                <w:webHidden/>
              </w:rPr>
              <w:t>6</w:t>
            </w:r>
            <w:r>
              <w:rPr>
                <w:noProof/>
                <w:webHidden/>
              </w:rPr>
              <w:fldChar w:fldCharType="end"/>
            </w:r>
          </w:hyperlink>
        </w:p>
        <w:p>
          <w:pPr>
            <w:pStyle w:val="TOC1"/>
            <w:rPr>
              <w:rFonts w:eastAsiaTheme="minorEastAsia"/>
              <w:noProof/>
              <w:lang w:val="en-US"/>
            </w:rPr>
          </w:pPr>
          <w:hyperlink w:anchor="_Toc51773412" w:history="1">
            <w:r>
              <w:rPr>
                <w:rStyle w:val="Hyperlink"/>
                <w:rFonts w:asciiTheme="majorHAnsi" w:eastAsiaTheme="majorEastAsia" w:hAnsiTheme="majorHAnsi" w:cstheme="majorBidi"/>
                <w:noProof/>
              </w:rPr>
              <w:t>4.</w:t>
            </w:r>
            <w:r>
              <w:rPr>
                <w:rFonts w:eastAsiaTheme="minorEastAsia"/>
                <w:noProof/>
                <w:lang w:val="en-US"/>
              </w:rPr>
              <w:tab/>
            </w:r>
            <w:r>
              <w:rPr>
                <w:rStyle w:val="Hyperlink"/>
                <w:rFonts w:asciiTheme="majorHAnsi" w:hAnsiTheme="majorHAnsi"/>
                <w:noProof/>
              </w:rPr>
              <w:t>Сътрудничество с други органи на Съюза и национални или международни организации</w:t>
            </w:r>
            <w:r>
              <w:rPr>
                <w:noProof/>
                <w:webHidden/>
              </w:rPr>
              <w:tab/>
            </w:r>
            <w:r>
              <w:rPr>
                <w:noProof/>
                <w:webHidden/>
              </w:rPr>
              <w:fldChar w:fldCharType="begin"/>
            </w:r>
            <w:r>
              <w:rPr>
                <w:noProof/>
                <w:webHidden/>
              </w:rPr>
              <w:instrText xml:space="preserve"> PAGEREF _Toc51773412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16"/>
            </w:tabs>
            <w:rPr>
              <w:rFonts w:eastAsiaTheme="minorEastAsia"/>
              <w:noProof/>
              <w:lang w:val="en-US"/>
            </w:rPr>
          </w:pPr>
          <w:hyperlink w:anchor="_Toc51773413" w:history="1">
            <w:r>
              <w:rPr>
                <w:rStyle w:val="Hyperlink"/>
                <w:rFonts w:asciiTheme="majorHAnsi" w:hAnsiTheme="majorHAnsi"/>
                <w:noProof/>
              </w:rPr>
              <w:t>4.1 Сътрудничество с Европол</w:t>
            </w:r>
            <w:r>
              <w:rPr>
                <w:noProof/>
                <w:webHidden/>
              </w:rPr>
              <w:tab/>
            </w:r>
            <w:r>
              <w:rPr>
                <w:noProof/>
                <w:webHidden/>
              </w:rPr>
              <w:fldChar w:fldCharType="begin"/>
            </w:r>
            <w:r>
              <w:rPr>
                <w:noProof/>
                <w:webHidden/>
              </w:rPr>
              <w:instrText xml:space="preserve"> PAGEREF _Toc51773413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16"/>
            </w:tabs>
            <w:rPr>
              <w:rFonts w:eastAsiaTheme="minorEastAsia"/>
              <w:noProof/>
              <w:lang w:val="en-US"/>
            </w:rPr>
          </w:pPr>
          <w:hyperlink w:anchor="_Toc51773414" w:history="1">
            <w:r>
              <w:rPr>
                <w:rStyle w:val="Hyperlink"/>
                <w:rFonts w:asciiTheme="majorHAnsi" w:hAnsiTheme="majorHAnsi"/>
                <w:noProof/>
              </w:rPr>
              <w:t>4.2 Сътрудничество с други органи</w:t>
            </w:r>
            <w:r>
              <w:rPr>
                <w:noProof/>
                <w:webHidden/>
              </w:rPr>
              <w:tab/>
            </w:r>
            <w:r>
              <w:rPr>
                <w:noProof/>
                <w:webHidden/>
              </w:rPr>
              <w:fldChar w:fldCharType="begin"/>
            </w:r>
            <w:r>
              <w:rPr>
                <w:noProof/>
                <w:webHidden/>
              </w:rPr>
              <w:instrText xml:space="preserve"> PAGEREF _Toc51773414 \h </w:instrText>
            </w:r>
            <w:r>
              <w:rPr>
                <w:noProof/>
                <w:webHidden/>
              </w:rPr>
            </w:r>
            <w:r>
              <w:rPr>
                <w:noProof/>
                <w:webHidden/>
              </w:rPr>
              <w:fldChar w:fldCharType="separate"/>
            </w:r>
            <w:r>
              <w:rPr>
                <w:noProof/>
                <w:webHidden/>
              </w:rPr>
              <w:t>8</w:t>
            </w:r>
            <w:r>
              <w:rPr>
                <w:noProof/>
                <w:webHidden/>
              </w:rPr>
              <w:fldChar w:fldCharType="end"/>
            </w:r>
          </w:hyperlink>
        </w:p>
        <w:p>
          <w:pPr>
            <w:pStyle w:val="TOC1"/>
            <w:rPr>
              <w:rFonts w:eastAsiaTheme="minorEastAsia"/>
              <w:noProof/>
              <w:lang w:val="en-US"/>
            </w:rPr>
          </w:pPr>
          <w:hyperlink w:anchor="_Toc51773415" w:history="1">
            <w:r>
              <w:rPr>
                <w:rStyle w:val="Hyperlink"/>
                <w:rFonts w:asciiTheme="majorHAnsi" w:eastAsiaTheme="majorEastAsia" w:hAnsiTheme="majorHAnsi" w:cstheme="majorBidi"/>
                <w:noProof/>
              </w:rPr>
              <w:t>5.</w:t>
            </w:r>
            <w:r>
              <w:rPr>
                <w:rFonts w:eastAsiaTheme="minorEastAsia"/>
                <w:noProof/>
                <w:lang w:val="en-US"/>
              </w:rPr>
              <w:tab/>
            </w:r>
            <w:r>
              <w:rPr>
                <w:rStyle w:val="Hyperlink"/>
                <w:rFonts w:asciiTheme="majorHAnsi" w:hAnsiTheme="majorHAnsi"/>
                <w:noProof/>
              </w:rPr>
              <w:t>Малки и средни предприятия</w:t>
            </w:r>
            <w:r>
              <w:rPr>
                <w:noProof/>
                <w:webHidden/>
              </w:rPr>
              <w:tab/>
            </w:r>
            <w:r>
              <w:rPr>
                <w:noProof/>
                <w:webHidden/>
              </w:rPr>
              <w:fldChar w:fldCharType="begin"/>
            </w:r>
            <w:r>
              <w:rPr>
                <w:noProof/>
                <w:webHidden/>
              </w:rPr>
              <w:instrText xml:space="preserve"> PAGEREF _Toc51773415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51773416" w:history="1">
            <w:r>
              <w:rPr>
                <w:rStyle w:val="Hyperlink"/>
                <w:rFonts w:asciiTheme="majorHAnsi" w:hAnsiTheme="majorHAnsi"/>
                <w:noProof/>
              </w:rPr>
              <w:t>5.1 Процедура по регистрация</w:t>
            </w:r>
            <w:r>
              <w:rPr>
                <w:noProof/>
                <w:webHidden/>
              </w:rPr>
              <w:tab/>
            </w:r>
            <w:r>
              <w:rPr>
                <w:noProof/>
                <w:webHidden/>
              </w:rPr>
              <w:fldChar w:fldCharType="begin"/>
            </w:r>
            <w:r>
              <w:rPr>
                <w:noProof/>
                <w:webHidden/>
              </w:rPr>
              <w:instrText xml:space="preserve"> PAGEREF _Toc51773416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51773417" w:history="1">
            <w:r>
              <w:rPr>
                <w:rStyle w:val="Hyperlink"/>
                <w:rFonts w:asciiTheme="majorHAnsi" w:hAnsiTheme="majorHAnsi"/>
                <w:noProof/>
              </w:rPr>
              <w:t>5.2 Алтернативно решаване на спорове</w:t>
            </w:r>
            <w:r>
              <w:rPr>
                <w:noProof/>
                <w:webHidden/>
              </w:rPr>
              <w:tab/>
            </w:r>
            <w:r>
              <w:rPr>
                <w:noProof/>
                <w:webHidden/>
              </w:rPr>
              <w:fldChar w:fldCharType="begin"/>
            </w:r>
            <w:r>
              <w:rPr>
                <w:noProof/>
                <w:webHidden/>
              </w:rPr>
              <w:instrText xml:space="preserve"> PAGEREF _Toc51773417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noProof/>
              <w:lang w:val="en-US"/>
            </w:rPr>
          </w:pPr>
          <w:hyperlink w:anchor="_Toc51773418" w:history="1">
            <w:r>
              <w:rPr>
                <w:rStyle w:val="Hyperlink"/>
                <w:rFonts w:asciiTheme="majorHAnsi" w:eastAsiaTheme="majorEastAsia" w:hAnsiTheme="majorHAnsi" w:cstheme="majorBidi"/>
                <w:noProof/>
              </w:rPr>
              <w:t>6.</w:t>
            </w:r>
            <w:r>
              <w:rPr>
                <w:rFonts w:eastAsiaTheme="minorEastAsia"/>
                <w:noProof/>
                <w:lang w:val="en-US"/>
              </w:rPr>
              <w:tab/>
            </w:r>
            <w:r>
              <w:rPr>
                <w:rStyle w:val="Hyperlink"/>
                <w:rFonts w:asciiTheme="majorHAnsi" w:hAnsiTheme="majorHAnsi"/>
                <w:noProof/>
              </w:rPr>
              <w:t>Заключения</w:t>
            </w:r>
            <w:r>
              <w:rPr>
                <w:noProof/>
                <w:webHidden/>
              </w:rPr>
              <w:tab/>
            </w:r>
            <w:r>
              <w:rPr>
                <w:noProof/>
                <w:webHidden/>
              </w:rPr>
              <w:fldChar w:fldCharType="begin"/>
            </w:r>
            <w:r>
              <w:rPr>
                <w:noProof/>
                <w:webHidden/>
              </w:rPr>
              <w:instrText xml:space="preserve"> PAGEREF _Toc51773418 \h </w:instrText>
            </w:r>
            <w:r>
              <w:rPr>
                <w:noProof/>
                <w:webHidden/>
              </w:rPr>
            </w:r>
            <w:r>
              <w:rPr>
                <w:noProof/>
                <w:webHidden/>
              </w:rPr>
              <w:fldChar w:fldCharType="separate"/>
            </w:r>
            <w:r>
              <w:rPr>
                <w:noProof/>
                <w:webHidden/>
              </w:rPr>
              <w:t>11</w:t>
            </w:r>
            <w:r>
              <w:rPr>
                <w:noProof/>
                <w:webHidden/>
              </w:rPr>
              <w:fldChar w:fldCharType="end"/>
            </w:r>
          </w:hyperlink>
        </w:p>
        <w:p>
          <w:pPr>
            <w:jc w:val="both"/>
            <w:rPr>
              <w:rFonts w:ascii="Times New Roman" w:hAnsi="Times New Roman" w:cs="Times New Roman"/>
              <w:noProof/>
            </w:rPr>
          </w:pPr>
          <w:r>
            <w:rPr>
              <w:rFonts w:ascii="Times New Roman" w:hAnsi="Times New Roman" w:cs="Times New Roman"/>
              <w:b/>
              <w:bCs/>
              <w:noProof/>
            </w:rPr>
            <w:fldChar w:fldCharType="end"/>
          </w:r>
        </w:p>
      </w:sdtContent>
    </w:sdt>
    <w:p>
      <w:pPr>
        <w:rPr>
          <w:rFonts w:ascii="Times New Roman" w:hAnsi="Times New Roman" w:cs="Times New Roman"/>
          <w:noProof/>
        </w:rPr>
      </w:pPr>
    </w:p>
    <w:p>
      <w:pPr>
        <w:rPr>
          <w:rFonts w:ascii="Times New Roman" w:hAnsi="Times New Roman" w:cs="Times New Roman"/>
          <w:noProof/>
        </w:rPr>
      </w:pPr>
    </w:p>
    <w:p>
      <w:pPr>
        <w:rPr>
          <w:rFonts w:asciiTheme="majorHAnsi" w:eastAsiaTheme="majorEastAsia" w:hAnsiTheme="majorHAnsi" w:cstheme="majorBidi"/>
          <w:noProof/>
          <w:color w:val="365F91" w:themeColor="accent1" w:themeShade="BF"/>
          <w:sz w:val="32"/>
          <w:szCs w:val="32"/>
        </w:rPr>
      </w:pPr>
      <w:r>
        <w:rPr>
          <w:noProof/>
        </w:rPr>
        <w:br w:type="page"/>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2" w:name="_Toc51773403"/>
      <w:r>
        <w:rPr>
          <w:rFonts w:asciiTheme="majorHAnsi" w:hAnsiTheme="majorHAnsi"/>
          <w:noProof/>
          <w:color w:val="365F91" w:themeColor="accent1" w:themeShade="BF"/>
          <w:sz w:val="32"/>
          <w:szCs w:val="32"/>
        </w:rPr>
        <w:t>Въведение</w:t>
      </w:r>
      <w:bookmarkEnd w:id="2"/>
    </w:p>
    <w:p>
      <w:pPr>
        <w:jc w:val="both"/>
        <w:rPr>
          <w:rFonts w:ascii="Times New Roman" w:hAnsi="Times New Roman" w:cs="Times New Roman"/>
          <w:noProof/>
          <w:sz w:val="24"/>
          <w:szCs w:val="24"/>
        </w:rPr>
      </w:pPr>
      <w:r>
        <w:rPr>
          <w:rFonts w:ascii="Times New Roman" w:hAnsi="Times New Roman"/>
          <w:noProof/>
          <w:sz w:val="24"/>
          <w:szCs w:val="24"/>
        </w:rPr>
        <w:t>Комисията отговаря за домейна от първо ниво .eu, който понастоящем се използва от 3,6 милиона крайни потребители в ЕС</w:t>
      </w:r>
      <w:r>
        <w:rPr>
          <w:rFonts w:ascii="Times New Roman" w:hAnsi="Times New Roman" w:cs="Times New Roman"/>
          <w:noProof/>
          <w:sz w:val="24"/>
          <w:szCs w:val="24"/>
          <w:vertAlign w:val="superscript"/>
        </w:rPr>
        <w:footnoteReference w:id="1"/>
      </w:r>
      <w:r>
        <w:rPr>
          <w:rFonts w:ascii="Times New Roman" w:hAnsi="Times New Roman"/>
          <w:noProof/>
          <w:sz w:val="24"/>
          <w:szCs w:val="24"/>
        </w:rPr>
        <w:t>. Домейнът .eu е създаден с Регламент (ЕО) № 733/2002 и с Регламент (ЕО) № 874/2004 на Комисията. Наскоро актовете бяха отменени с Регламент (ЕС) 2019/517</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„Регламента относно домейна .eu“, който влезе в сила на 18 април 2019 г. и ще се прилага от 13 октомври 2022 г.</w:t>
      </w:r>
    </w:p>
    <w:p>
      <w:pPr>
        <w:jc w:val="both"/>
        <w:rPr>
          <w:rFonts w:ascii="Times New Roman" w:hAnsi="Times New Roman" w:cs="Times New Roman"/>
          <w:noProof/>
          <w:sz w:val="24"/>
          <w:szCs w:val="24"/>
        </w:rPr>
      </w:pPr>
      <w:r>
        <w:rPr>
          <w:rFonts w:ascii="Times New Roman" w:hAnsi="Times New Roman"/>
          <w:noProof/>
          <w:sz w:val="24"/>
          <w:szCs w:val="24"/>
        </w:rPr>
        <w:t>Името на домейна .eu се управлява от регистъра за .eu. Понастоящем тази функция се изпълнява от частната и независима организация с нестопанска цел EURid въз основа на концесионен договор за услуги, сключен с Комисията, който ще бъде в сила до 12 октомври 2022 г. В съответствие с член 19, параграф 2 от Регламента относно домейна .eu Комисията ще избере и ще сключи договор със субекта, който ще изпълнява ролята на регистър за .eu от 13 октомври 2022 г.</w:t>
      </w:r>
    </w:p>
    <w:p>
      <w:pPr>
        <w:jc w:val="both"/>
        <w:rPr>
          <w:rFonts w:ascii="Times New Roman" w:hAnsi="Times New Roman" w:cs="Times New Roman"/>
          <w:noProof/>
          <w:sz w:val="24"/>
          <w:szCs w:val="24"/>
        </w:rPr>
      </w:pPr>
      <w:r>
        <w:rPr>
          <w:rFonts w:ascii="Times New Roman" w:hAnsi="Times New Roman"/>
          <w:noProof/>
          <w:sz w:val="24"/>
          <w:szCs w:val="24"/>
        </w:rPr>
        <w:t xml:space="preserve">В Регламента относно домейна .eu е поставено изискване регистърът да приема политики и да прилага мерки, чиято цел е избягване </w:t>
      </w:r>
      <w:r>
        <w:rPr>
          <w:rFonts w:ascii="Times New Roman" w:hAnsi="Times New Roman"/>
          <w:b/>
          <w:noProof/>
          <w:sz w:val="24"/>
          <w:szCs w:val="24"/>
        </w:rPr>
        <w:t>на спекулативна и неправомерна регистрация</w:t>
      </w:r>
      <w:r>
        <w:rPr>
          <w:rFonts w:ascii="Times New Roman" w:hAnsi="Times New Roman"/>
          <w:noProof/>
          <w:sz w:val="24"/>
          <w:szCs w:val="24"/>
        </w:rPr>
        <w:t xml:space="preserve"> на имена на домейни.</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„Спекулативна и неправомерна регистрация“ се определя като регистриране на име на домейн, което е </w:t>
      </w:r>
      <w:r>
        <w:rPr>
          <w:rFonts w:ascii="Times New Roman" w:hAnsi="Times New Roman"/>
          <w:b/>
          <w:noProof/>
          <w:sz w:val="24"/>
          <w:szCs w:val="24"/>
        </w:rPr>
        <w:t>идентично или объркващо сходно</w:t>
      </w:r>
      <w:r>
        <w:rPr>
          <w:rFonts w:ascii="Times New Roman" w:hAnsi="Times New Roman"/>
          <w:noProof/>
          <w:sz w:val="24"/>
          <w:szCs w:val="24"/>
        </w:rPr>
        <w:t xml:space="preserve"> с име, правото за което е признато или установено от националното право и/или от правото на Съюза, и което: а) е регистрирано от неговия притежател без никакво свързано право или законен интерес; или б) е регистрирано или се използва недобросъвестно.</w:t>
      </w:r>
      <w:r>
        <w:rPr>
          <w:noProof/>
          <w:vertAlign w:val="superscript"/>
        </w:rPr>
        <w:footnoteReference w:id="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Защитените права на равнище ЕС включват, </w:t>
      </w:r>
      <w:r>
        <w:rPr>
          <w:rFonts w:ascii="Times New Roman" w:hAnsi="Times New Roman"/>
          <w:i/>
          <w:noProof/>
          <w:sz w:val="24"/>
          <w:szCs w:val="24"/>
        </w:rPr>
        <w:t>inter alia</w:t>
      </w:r>
      <w:r>
        <w:rPr>
          <w:rFonts w:ascii="Times New Roman" w:hAnsi="Times New Roman"/>
          <w:noProof/>
          <w:sz w:val="24"/>
          <w:szCs w:val="24"/>
        </w:rPr>
        <w:t xml:space="preserve">, регистрирани национални търговски марки и търговски марки на Общността, географски указания и наименования за произход, както и следните права върху интелектуалната собственост (ПИС), защитени на национално равнище: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нерегистрирани търговски марки;</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търговски наименования;</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търговски идентификатори;</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наименования на дружества;</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фамилни имена;</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точни заглавия на защитени литературни и художествени произведения.</w:t>
      </w:r>
      <w:r>
        <w:rPr>
          <w:noProof/>
          <w:vertAlign w:val="superscript"/>
        </w:rPr>
        <w:footnoteReference w:id="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Спекулативните и неправомерни регистрации в домейна .eu трябва да бъдат отменени с помощта на процедурата за алтернативно решаване на спорове (АРС) по отношение на домейна .eu или съдебна процедура, инициирана от носителите на права.</w:t>
      </w:r>
    </w:p>
    <w:p>
      <w:pPr>
        <w:jc w:val="both"/>
        <w:rPr>
          <w:rFonts w:ascii="Times New Roman" w:hAnsi="Times New Roman" w:cs="Times New Roman"/>
          <w:noProof/>
          <w:sz w:val="24"/>
          <w:szCs w:val="24"/>
        </w:rPr>
      </w:pPr>
      <w:r>
        <w:rPr>
          <w:rFonts w:ascii="Times New Roman" w:hAnsi="Times New Roman"/>
          <w:noProof/>
          <w:sz w:val="24"/>
          <w:szCs w:val="24"/>
        </w:rPr>
        <w:t>В Регламента относно домейна .eu е поставено изискване Комисията да насърчава сътрудничеството между регистъра за .eu, Службата на Европейския съюз за интелектуална собственост (EUIPO) и другите органи на Съюза с цел да се води борба със спекулативните и неправомерните регистрации на имена на домейни, включително кибернастаняването (узурпирането на домейни), и да се осигуряват опростени административни процедури, по-специално за малките и средните предприятия (МСП).</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В Регламента относно домейна .eu също така е поставено изискване до 30 юни 2020 г. Комисията да изготви оценка на това сътрудничество и да прецени дали регистърът следва да изготви по-опростени административни процедури за МСП и по какъв начин да го осъществи.</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Впоследствие Комисията следва да докладва на Европейския парламент и на Съвета за своята оценка.</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Комисията изготви настоящия доклад, за да изпълни това правно задължение.</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3" w:name="_Toc51773404"/>
      <w:r>
        <w:rPr>
          <w:rFonts w:asciiTheme="majorHAnsi" w:hAnsiTheme="majorHAnsi"/>
          <w:noProof/>
          <w:color w:val="365F91" w:themeColor="accent1" w:themeShade="BF"/>
          <w:sz w:val="32"/>
          <w:szCs w:val="32"/>
        </w:rPr>
        <w:t>Цели и методология</w:t>
      </w:r>
      <w:bookmarkEnd w:id="3"/>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4" w:name="_Toc51773405"/>
      <w:r>
        <w:rPr>
          <w:rFonts w:asciiTheme="majorHAnsi" w:hAnsiTheme="majorHAnsi"/>
          <w:noProof/>
          <w:color w:val="365F91" w:themeColor="accent1" w:themeShade="BF"/>
          <w:sz w:val="26"/>
          <w:szCs w:val="26"/>
        </w:rPr>
        <w:t>2.1 Цели</w:t>
      </w:r>
      <w:bookmarkEnd w:id="4"/>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noProof/>
          <w:sz w:val="24"/>
          <w:szCs w:val="24"/>
        </w:rPr>
        <w:t>Със системата за имена на домейни (DNS) се поддържа достъпен, функционален и надежден интернет, но тя не е имунизирана срещу опити за злоупотреба. Името на домейна .eu не е изключение, затова в регламентите относно домейна .eu са поставени изисквания да се прилагат политики и мерки за предотвратяване на неправомерните и спекулативните регистрации на имена на домейни.</w:t>
      </w:r>
    </w:p>
    <w:p>
      <w:pPr>
        <w:jc w:val="both"/>
        <w:rPr>
          <w:rFonts w:ascii="Times New Roman" w:hAnsi="Times New Roman" w:cs="Times New Roman"/>
          <w:noProof/>
          <w:sz w:val="24"/>
          <w:szCs w:val="24"/>
        </w:rPr>
      </w:pPr>
      <w:r>
        <w:rPr>
          <w:rFonts w:ascii="Times New Roman" w:hAnsi="Times New Roman"/>
          <w:noProof/>
          <w:sz w:val="24"/>
          <w:szCs w:val="24"/>
        </w:rPr>
        <w:t>С настоящия доклад:</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се прави оценка на </w:t>
      </w:r>
      <w:r>
        <w:rPr>
          <w:rFonts w:ascii="Times New Roman" w:hAnsi="Times New Roman"/>
          <w:b/>
          <w:noProof/>
          <w:sz w:val="24"/>
          <w:szCs w:val="24"/>
        </w:rPr>
        <w:t>сътрудничеството</w:t>
      </w:r>
      <w:r>
        <w:rPr>
          <w:rFonts w:ascii="Times New Roman" w:hAnsi="Times New Roman"/>
          <w:noProof/>
          <w:sz w:val="24"/>
          <w:szCs w:val="24"/>
        </w:rPr>
        <w:t xml:space="preserve"> между регистъра за .eu (EURid) и EUIPO и други органи на Съюза или международни организации за справяне със спекулативните и неправомерните регистрации; </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се оценява дали това сътрудничество би могло да се </w:t>
      </w:r>
      <w:r>
        <w:rPr>
          <w:rFonts w:ascii="Times New Roman" w:hAnsi="Times New Roman"/>
          <w:b/>
          <w:noProof/>
          <w:sz w:val="24"/>
          <w:szCs w:val="24"/>
        </w:rPr>
        <w:t xml:space="preserve">подобри </w:t>
      </w:r>
      <w:r>
        <w:rPr>
          <w:rFonts w:ascii="Times New Roman" w:hAnsi="Times New Roman"/>
          <w:noProof/>
          <w:sz w:val="24"/>
          <w:szCs w:val="24"/>
        </w:rPr>
        <w:t xml:space="preserve">и по какъв начин, за да се поддържа сигурна, прозрачна и надеждна онлайн среда на домейна .eu; </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се взема под внимание настоящата </w:t>
      </w:r>
      <w:r>
        <w:rPr>
          <w:rFonts w:ascii="Times New Roman" w:hAnsi="Times New Roman"/>
          <w:b/>
          <w:noProof/>
          <w:sz w:val="24"/>
          <w:szCs w:val="24"/>
        </w:rPr>
        <w:t>индустриална практика</w:t>
      </w:r>
      <w:r>
        <w:rPr>
          <w:rFonts w:ascii="Times New Roman" w:hAnsi="Times New Roman"/>
          <w:noProof/>
          <w:sz w:val="24"/>
          <w:szCs w:val="24"/>
        </w:rPr>
        <w:t xml:space="preserve"> в тази област;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 xml:space="preserve">се установяват възможни аспекти на процедурата за регистрация на .eu или други процедури за управление на имена на домейни (като например алтернативно решаване на спорове), които могат да бъдат </w:t>
      </w:r>
      <w:r>
        <w:rPr>
          <w:rFonts w:ascii="Times New Roman" w:hAnsi="Times New Roman"/>
          <w:b/>
          <w:noProof/>
          <w:sz w:val="24"/>
          <w:szCs w:val="24"/>
        </w:rPr>
        <w:t>опростени</w:t>
      </w:r>
      <w:r>
        <w:rPr>
          <w:rFonts w:ascii="Times New Roman" w:hAnsi="Times New Roman"/>
          <w:noProof/>
          <w:sz w:val="24"/>
          <w:szCs w:val="24"/>
        </w:rPr>
        <w:t xml:space="preserve"> по ползотворен начин, за да се улеснят регистрациите на имена на домейни и да се увеличи защитата на носителите на права в полза на МСП.</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5" w:name="_Toc51773406"/>
      <w:r>
        <w:rPr>
          <w:rFonts w:asciiTheme="majorHAnsi" w:hAnsiTheme="majorHAnsi"/>
          <w:noProof/>
          <w:color w:val="365F91" w:themeColor="accent1" w:themeShade="BF"/>
          <w:sz w:val="26"/>
          <w:szCs w:val="26"/>
        </w:rPr>
        <w:t>2.2 Методология</w:t>
      </w:r>
      <w:bookmarkEnd w:id="5"/>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Докладът се основава както на оценката на Комисията, така и на резултатите от </w:t>
      </w:r>
      <w:r>
        <w:rPr>
          <w:rFonts w:ascii="Times New Roman" w:hAnsi="Times New Roman"/>
          <w:b/>
          <w:noProof/>
          <w:sz w:val="24"/>
          <w:szCs w:val="24"/>
        </w:rPr>
        <w:t>външно проучване,</w:t>
      </w:r>
      <w:r>
        <w:rPr>
          <w:rFonts w:ascii="Times New Roman" w:hAnsi="Times New Roman"/>
          <w:noProof/>
          <w:sz w:val="24"/>
          <w:szCs w:val="24"/>
        </w:rPr>
        <w:t xml:space="preserve"> проведено между декември 2019 г. и април 2020 г., с което се прави оценка на практиките за справяне със спекулативните и неправомерните регистрации на имена на домейни</w:t>
      </w:r>
      <w:r>
        <w:rPr>
          <w:rFonts w:ascii="Times New Roman" w:hAnsi="Times New Roman" w:cs="Times New Roman"/>
          <w:noProof/>
          <w:sz w:val="24"/>
          <w:szCs w:val="24"/>
          <w:vertAlign w:val="superscript"/>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Авторите на проучването извършиха обширен преглед на съответните отраслови доклади и събраха и анализираха данни и информация от множество заинтересовани страни, участващи в борбата със спекулативните/неправомерните регистрации. По-специално те направиха пазарен анализ и сравнение между практиките на регистъра за .eu и на други регистри за имена на домейни с помощта както на качествени, така и на количествени методи. Включена беше и оценка на административните процедури, които биха позволили на МСП по ефективен начин да се борят със спекулативните и неправомерните регистрации в името на домейна .eu. </w:t>
      </w:r>
    </w:p>
    <w:p>
      <w:pPr>
        <w:jc w:val="both"/>
        <w:rPr>
          <w:rFonts w:ascii="Times New Roman" w:hAnsi="Times New Roman" w:cs="Times New Roman"/>
          <w:noProof/>
          <w:sz w:val="24"/>
          <w:szCs w:val="24"/>
        </w:rPr>
      </w:pPr>
      <w:r>
        <w:rPr>
          <w:rFonts w:ascii="Times New Roman" w:hAnsi="Times New Roman"/>
          <w:noProof/>
          <w:sz w:val="24"/>
          <w:szCs w:val="24"/>
        </w:rPr>
        <w:t>В доклада също така е обърнато внимание на официалното докладване от страна на регистъра за .eu пред Комисията</w:t>
      </w:r>
      <w:r>
        <w:rPr>
          <w:rFonts w:ascii="Times New Roman" w:hAnsi="Times New Roman" w:cs="Times New Roman"/>
          <w:noProof/>
          <w:sz w:val="24"/>
          <w:szCs w:val="24"/>
          <w:vertAlign w:val="superscript"/>
        </w:rPr>
        <w:footnoteReference w:id="10"/>
      </w:r>
      <w:r>
        <w:rPr>
          <w:rFonts w:ascii="Times New Roman" w:hAnsi="Times New Roman"/>
          <w:noProof/>
          <w:sz w:val="24"/>
          <w:szCs w:val="24"/>
        </w:rPr>
        <w:t xml:space="preserve"> и на информацията, събрана от Комисията по време на редовния обмен с регистъра като част от нейните надзорни задължения.</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6" w:name="_Toc51773407"/>
      <w:r>
        <w:rPr>
          <w:rFonts w:asciiTheme="majorHAnsi" w:hAnsiTheme="majorHAnsi"/>
          <w:noProof/>
          <w:color w:val="365F91" w:themeColor="accent1" w:themeShade="BF"/>
          <w:sz w:val="32"/>
          <w:szCs w:val="32"/>
        </w:rPr>
        <w:t>Сътрудничество между EURid и EUIPO за справяне с неправомерните и спекулативните регистрации на имена на домейни</w:t>
      </w:r>
      <w:bookmarkEnd w:id="6"/>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7" w:name="_Toc51773408"/>
      <w:r>
        <w:rPr>
          <w:rFonts w:asciiTheme="majorHAnsi" w:hAnsiTheme="majorHAnsi"/>
          <w:noProof/>
          <w:color w:val="365F91" w:themeColor="accent1" w:themeShade="BF"/>
          <w:sz w:val="26"/>
          <w:szCs w:val="26"/>
        </w:rPr>
        <w:t>3.1 Сътрудничество на ранен етап</w:t>
      </w:r>
      <w:bookmarkEnd w:id="7"/>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rPr>
      </w:pPr>
      <w:r>
        <w:rPr>
          <w:rFonts w:ascii="Times New Roman" w:hAnsi="Times New Roman"/>
          <w:noProof/>
          <w:sz w:val="24"/>
          <w:szCs w:val="24"/>
        </w:rPr>
        <w:t xml:space="preserve">Сътрудничеството между EURid и EUIPO за първи път е изложено официално на 23 юни 2016 г. в </w:t>
      </w:r>
      <w:r>
        <w:rPr>
          <w:rFonts w:ascii="Times New Roman" w:hAnsi="Times New Roman"/>
          <w:b/>
          <w:noProof/>
          <w:sz w:val="24"/>
          <w:szCs w:val="24"/>
        </w:rPr>
        <w:t>писмо за сътрудничество</w:t>
      </w:r>
      <w:r>
        <w:rPr>
          <w:rFonts w:ascii="Times New Roman" w:hAnsi="Times New Roman"/>
          <w:noProof/>
          <w:sz w:val="24"/>
          <w:szCs w:val="24"/>
        </w:rPr>
        <w:t>.</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Целта му е справяне с измамническите дейности след получаване на доказателства, че трети страни систематично са преглеждали базата данни на EUIPO в търсене на нови заявки за марки на ЕС и са извършвали спекулативни или неправомерни регистрации на имена на домейни .eu за тези термини, като тази практика е позната като </w:t>
      </w:r>
      <w:r>
        <w:rPr>
          <w:rFonts w:ascii="Times New Roman" w:hAnsi="Times New Roman"/>
          <w:b/>
          <w:noProof/>
          <w:sz w:val="24"/>
          <w:szCs w:val="24"/>
        </w:rPr>
        <w:t>кибернастаняване</w:t>
      </w:r>
      <w:r>
        <w:rPr>
          <w:rFonts w:ascii="Times New Roman" w:hAnsi="Times New Roman"/>
          <w:noProof/>
          <w:sz w:val="24"/>
          <w:szCs w:val="24"/>
        </w:rPr>
        <w:t>. Двете страни се споразумяха да приложат промени в системата с цел повишаване на осведомеността на притежателите на марка на ЕС и намаляване на кибернастаняването.</w:t>
      </w:r>
    </w:p>
    <w:p>
      <w:pPr>
        <w:jc w:val="both"/>
        <w:rPr>
          <w:rFonts w:ascii="Times New Roman" w:hAnsi="Times New Roman" w:cs="Times New Roman"/>
          <w:noProof/>
        </w:rPr>
      </w:pPr>
      <w:r>
        <w:rPr>
          <w:rFonts w:ascii="Times New Roman" w:hAnsi="Times New Roman"/>
          <w:noProof/>
          <w:sz w:val="24"/>
          <w:szCs w:val="24"/>
        </w:rPr>
        <w:t>През ранните етапи на сътрудничество между EURid и EUIPO се поставяше акцент върху споделянето на информация и сътрудничеството в области от взаимен интерес. По-специално EURid препращаше подозрителни фактури към EUIPO и двете организации добавиха връзки на съответните си портали и инструменти, включително връзка към инструмент за търсене на търговска марка на уебсайта на EURid; връзка към уебсайта на EUIPO на страницата WHOIS на .eu; и връзка към инструмента за търсене на наличие на .eu в инструмента за електронно подаване на марка на ЕС.</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8" w:name="_Toc51773409"/>
      <w:bookmarkStart w:id="9" w:name="_Toc35909928"/>
      <w:bookmarkStart w:id="10" w:name="_Toc36236539"/>
      <w:bookmarkStart w:id="11" w:name="_Toc36236793"/>
      <w:bookmarkStart w:id="12" w:name="_Toc37767069"/>
      <w:bookmarkStart w:id="13" w:name="_Toc37771543"/>
      <w:bookmarkStart w:id="14" w:name="_Toc38506107"/>
      <w:bookmarkStart w:id="15" w:name="_Toc39589303"/>
      <w:bookmarkStart w:id="16" w:name="_Toc450320344"/>
      <w:bookmarkStart w:id="17" w:name="_Toc39606867"/>
      <w:bookmarkStart w:id="18" w:name="_Toc40282515"/>
      <w:bookmarkStart w:id="19" w:name="_Toc40286519"/>
      <w:bookmarkStart w:id="20" w:name="_Toc40820391"/>
      <w:bookmarkStart w:id="21" w:name="_Toc41001860"/>
      <w:bookmarkStart w:id="22" w:name="_Toc41071099"/>
      <w:r>
        <w:rPr>
          <w:rFonts w:asciiTheme="majorHAnsi" w:hAnsiTheme="majorHAnsi"/>
          <w:noProof/>
          <w:color w:val="365F91" w:themeColor="accent1" w:themeShade="BF"/>
          <w:sz w:val="26"/>
          <w:szCs w:val="26"/>
        </w:rPr>
        <w:t>3.2 Скорошно съдействие</w:t>
      </w:r>
      <w:bookmarkEnd w:id="8"/>
      <w:r>
        <w:rPr>
          <w:rFonts w:asciiTheme="majorHAnsi" w:hAnsiTheme="majorHAnsi"/>
          <w:noProof/>
          <w:color w:val="365F91" w:themeColor="accent1" w:themeShade="BF"/>
          <w:sz w:val="26"/>
          <w:szCs w:val="26"/>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jc w:val="both"/>
        <w:rPr>
          <w:rFonts w:ascii="Times New Roman" w:hAnsi="Times New Roman" w:cs="Times New Roman"/>
          <w:noProof/>
          <w:sz w:val="24"/>
          <w:szCs w:val="24"/>
        </w:rPr>
      </w:pPr>
      <w:r>
        <w:rPr>
          <w:rFonts w:ascii="Times New Roman" w:hAnsi="Times New Roman"/>
          <w:noProof/>
          <w:sz w:val="24"/>
          <w:szCs w:val="24"/>
        </w:rPr>
        <w:t xml:space="preserve">На 20 май 2019 г. EURid и EUIPO разшириха възможностите за сътрудничество помежду си с подписването на първо </w:t>
      </w:r>
      <w:r>
        <w:rPr>
          <w:rFonts w:ascii="Times New Roman" w:hAnsi="Times New Roman"/>
          <w:b/>
          <w:noProof/>
          <w:sz w:val="24"/>
          <w:szCs w:val="24"/>
        </w:rPr>
        <w:t>споразумение за сътрудничество</w:t>
      </w:r>
      <w:r>
        <w:rPr>
          <w:rFonts w:ascii="Times New Roman" w:hAnsi="Times New Roman"/>
          <w:noProof/>
          <w:sz w:val="24"/>
          <w:szCs w:val="24"/>
        </w:rPr>
        <w:t>.</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Две нови функции бяха предоставени на притежателите на марка на ЕС: </w:t>
      </w:r>
    </w:p>
    <w:p>
      <w:pPr>
        <w:pStyle w:val="ListParagraph"/>
        <w:numPr>
          <w:ilvl w:val="0"/>
          <w:numId w:val="5"/>
        </w:numPr>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проверка за наличие</w:t>
      </w:r>
      <w:r>
        <w:rPr>
          <w:rFonts w:ascii="Times New Roman" w:hAnsi="Times New Roman"/>
          <w:noProof/>
          <w:sz w:val="24"/>
          <w:szCs w:val="24"/>
        </w:rPr>
        <w:t xml:space="preserve"> на съответното име на домейн, когато подават заявка за марка на ЕС;</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уведомление (известяване)</w:t>
      </w:r>
      <w:r>
        <w:rPr>
          <w:rFonts w:ascii="Times New Roman" w:hAnsi="Times New Roman"/>
          <w:noProof/>
          <w:sz w:val="24"/>
          <w:szCs w:val="24"/>
        </w:rPr>
        <w:t xml:space="preserve"> при регистриране на име на домейн, кореспондиращо на марка на ЕС.</w:t>
      </w:r>
    </w:p>
    <w:p>
      <w:pPr>
        <w:jc w:val="both"/>
        <w:rPr>
          <w:rFonts w:ascii="Times New Roman" w:hAnsi="Times New Roman" w:cs="Times New Roman"/>
          <w:i/>
          <w:noProof/>
          <w:sz w:val="24"/>
          <w:szCs w:val="24"/>
        </w:rPr>
      </w:pPr>
      <w:bookmarkStart w:id="23" w:name="_1fob9te"/>
      <w:bookmarkEnd w:id="23"/>
      <w:r>
        <w:rPr>
          <w:rFonts w:ascii="Times New Roman" w:hAnsi="Times New Roman"/>
          <w:i/>
          <w:noProof/>
          <w:sz w:val="24"/>
          <w:szCs w:val="24"/>
        </w:rPr>
        <w:t>Проверка за наличие</w:t>
      </w:r>
    </w:p>
    <w:p>
      <w:pPr>
        <w:jc w:val="both"/>
        <w:rPr>
          <w:rFonts w:ascii="Times New Roman" w:hAnsi="Times New Roman" w:cs="Times New Roman"/>
          <w:noProof/>
          <w:sz w:val="24"/>
          <w:szCs w:val="24"/>
        </w:rPr>
      </w:pPr>
      <w:r>
        <w:rPr>
          <w:rFonts w:ascii="Times New Roman" w:hAnsi="Times New Roman"/>
          <w:noProof/>
          <w:sz w:val="24"/>
          <w:szCs w:val="24"/>
        </w:rPr>
        <w:t>Добавена към инструмента за електронно подаване на марка на ЕС, тази функция директно информира потребителите веднага щом завършат подаването на търговската си марка, дали тяхната търговска марка е налична като име на домейн .eu. По този начин те могат да изберат незабавно да регистрират името на домейна, преди да бъде публикувана тяхната заявка за марка на ЕС.</w:t>
      </w:r>
    </w:p>
    <w:p>
      <w:pPr>
        <w:jc w:val="both"/>
        <w:rPr>
          <w:rFonts w:ascii="Times New Roman" w:hAnsi="Times New Roman" w:cs="Times New Roman"/>
          <w:noProof/>
          <w:sz w:val="24"/>
          <w:szCs w:val="24"/>
        </w:rPr>
      </w:pPr>
      <w:r>
        <w:rPr>
          <w:rFonts w:ascii="Times New Roman" w:hAnsi="Times New Roman"/>
          <w:i/>
          <w:noProof/>
          <w:sz w:val="24"/>
          <w:szCs w:val="24"/>
        </w:rPr>
        <w:t>Известяване</w:t>
      </w:r>
    </w:p>
    <w:p>
      <w:pPr>
        <w:jc w:val="both"/>
        <w:rPr>
          <w:rFonts w:ascii="Times New Roman" w:hAnsi="Times New Roman" w:cs="Times New Roman"/>
          <w:noProof/>
          <w:sz w:val="24"/>
          <w:szCs w:val="24"/>
        </w:rPr>
      </w:pPr>
      <w:r>
        <w:rPr>
          <w:rFonts w:ascii="Times New Roman" w:hAnsi="Times New Roman"/>
          <w:noProof/>
          <w:sz w:val="24"/>
          <w:szCs w:val="24"/>
        </w:rPr>
        <w:t>Притежателите на марка на ЕС разполагат и с възможността да бъдат известени при регистриране на име на домейн .eu, което е идентично с тяхната марка, като те могат да се възползват от тази възможност само ако изрично са я заявили. Системата се основава на ежедневното изпращане от EUIPO на актуален списък със заявки за марка на ЕС до EURid чрез услугата за изтегляне на EUIPO</w:t>
      </w:r>
      <w:r>
        <w:rPr>
          <w:rFonts w:ascii="Times New Roman" w:hAnsi="Times New Roman" w:cs="Times New Roman"/>
          <w:noProof/>
          <w:sz w:val="24"/>
          <w:szCs w:val="24"/>
          <w:vertAlign w:val="superscript"/>
        </w:rPr>
        <w:footnoteReference w:id="13"/>
      </w:r>
      <w:r>
        <w:rPr>
          <w:rFonts w:ascii="Times New Roman" w:hAnsi="Times New Roman"/>
          <w:noProof/>
          <w:sz w:val="24"/>
          <w:szCs w:val="24"/>
        </w:rPr>
        <w:t>. Всяка нова регистрация на име на домейн .eu се проверява от EURid за съвпадение с имената в този списък и в случай на съвпадение е необходимо EUIPO да се уведоми, а потребителите получават известие чрез своята потребителска зона на EUIPO.</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4" w:name="_Toc51773410"/>
      <w:r>
        <w:rPr>
          <w:rFonts w:asciiTheme="majorHAnsi" w:hAnsiTheme="majorHAnsi"/>
          <w:noProof/>
          <w:color w:val="365F91" w:themeColor="accent1" w:themeShade="BF"/>
          <w:sz w:val="26"/>
          <w:szCs w:val="26"/>
        </w:rPr>
        <w:t>3.3 Планирани дейности в периода 2020—2022 г.</w:t>
      </w:r>
      <w:bookmarkEnd w:id="24"/>
    </w:p>
    <w:p>
      <w:pPr>
        <w:jc w:val="both"/>
        <w:rPr>
          <w:rFonts w:ascii="Times New Roman" w:hAnsi="Times New Roman" w:cs="Times New Roman"/>
          <w:noProof/>
          <w:sz w:val="24"/>
          <w:szCs w:val="24"/>
        </w:rPr>
      </w:pPr>
      <w:r>
        <w:rPr>
          <w:rFonts w:ascii="Times New Roman" w:hAnsi="Times New Roman"/>
          <w:noProof/>
          <w:sz w:val="24"/>
          <w:szCs w:val="24"/>
        </w:rPr>
        <w:t>Съгласно съвместната си работна програма за периода 2020—2022 г.</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EUIPO и EURid ще проучат възможността за прилагане на </w:t>
      </w:r>
      <w:r>
        <w:rPr>
          <w:rFonts w:ascii="Times New Roman" w:hAnsi="Times New Roman"/>
          <w:b/>
          <w:noProof/>
          <w:sz w:val="24"/>
          <w:szCs w:val="24"/>
        </w:rPr>
        <w:t>реципрочен процес</w:t>
      </w:r>
      <w:r>
        <w:rPr>
          <w:rFonts w:ascii="Times New Roman" w:hAnsi="Times New Roman"/>
          <w:noProof/>
          <w:sz w:val="24"/>
          <w:szCs w:val="24"/>
        </w:rPr>
        <w:t xml:space="preserve">, когато се регистрира име на домейн .eu, който да дава възможност на притежателите на имена на домейни да разберат дали търговска марка с подобно име е налична в EUIPO. </w:t>
      </w:r>
    </w:p>
    <w:p>
      <w:pPr>
        <w:jc w:val="both"/>
        <w:rPr>
          <w:rFonts w:ascii="Times New Roman" w:hAnsi="Times New Roman" w:cs="Times New Roman"/>
          <w:noProof/>
          <w:sz w:val="24"/>
          <w:szCs w:val="24"/>
        </w:rPr>
      </w:pPr>
      <w:r>
        <w:rPr>
          <w:rFonts w:ascii="Times New Roman" w:hAnsi="Times New Roman"/>
          <w:noProof/>
          <w:sz w:val="24"/>
          <w:szCs w:val="24"/>
        </w:rPr>
        <w:t xml:space="preserve">Освен това и двете организации ще работят по </w:t>
      </w:r>
      <w:r>
        <w:rPr>
          <w:rFonts w:ascii="Times New Roman" w:hAnsi="Times New Roman"/>
          <w:b/>
          <w:noProof/>
          <w:sz w:val="24"/>
          <w:szCs w:val="24"/>
        </w:rPr>
        <w:t>съвместно проучване на поведението на подаване на заявки</w:t>
      </w:r>
      <w:r>
        <w:rPr>
          <w:rFonts w:ascii="Times New Roman" w:hAnsi="Times New Roman"/>
          <w:noProof/>
          <w:sz w:val="24"/>
          <w:szCs w:val="24"/>
        </w:rPr>
        <w:t xml:space="preserve">, за да разберат дали първо се регистрират търговски марки или имена на домейни. Проучването ще им помогне да се справят със злоупотребата с имена на домейни и с недобросъвестните регистрации. </w:t>
      </w:r>
    </w:p>
    <w:p>
      <w:pPr>
        <w:jc w:val="both"/>
        <w:rPr>
          <w:rFonts w:ascii="Times New Roman" w:hAnsi="Times New Roman" w:cs="Times New Roman"/>
          <w:noProof/>
          <w:sz w:val="24"/>
          <w:szCs w:val="24"/>
        </w:rPr>
      </w:pPr>
      <w:r>
        <w:rPr>
          <w:rFonts w:ascii="Times New Roman" w:hAnsi="Times New Roman"/>
          <w:noProof/>
          <w:sz w:val="24"/>
          <w:szCs w:val="24"/>
        </w:rPr>
        <w:t xml:space="preserve">Също така ще започне работа по </w:t>
      </w:r>
      <w:r>
        <w:rPr>
          <w:rFonts w:ascii="Times New Roman" w:hAnsi="Times New Roman"/>
          <w:b/>
          <w:noProof/>
          <w:sz w:val="24"/>
          <w:szCs w:val="24"/>
        </w:rPr>
        <w:t>проучване за осъществимост</w:t>
      </w:r>
      <w:r>
        <w:rPr>
          <w:rFonts w:ascii="Times New Roman" w:hAnsi="Times New Roman"/>
          <w:noProof/>
          <w:sz w:val="24"/>
          <w:szCs w:val="24"/>
        </w:rPr>
        <w:t xml:space="preserve"> с цел създаване на инструмент за информиране на потребителите, че търсените от тях термини са налични както като търговска марка, така и като име на домейн. EUIPO и EURid също така ще проучат възможността за разширяване на текущата проверка за наличие въз основа на „идентично търсене“</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към „сходно търсене</w:t>
      </w:r>
      <w:bookmarkStart w:id="25" w:name="_3dy6vkm"/>
      <w:bookmarkEnd w:id="25"/>
      <w:r>
        <w:rPr>
          <w:rFonts w:ascii="Times New Roman" w:hAnsi="Times New Roman"/>
          <w:noProof/>
          <w:sz w:val="24"/>
          <w:szCs w:val="24"/>
        </w:rPr>
        <w:t>“, за да бъдат откривани възможни съвпадения в базата данни на EURid</w:t>
      </w:r>
      <w:r>
        <w:rPr>
          <w:rFonts w:ascii="Times New Roman" w:hAnsi="Times New Roman"/>
          <w:noProof/>
        </w:rPr>
        <w:t xml:space="preserve"> </w:t>
      </w:r>
      <w:r>
        <w:rPr>
          <w:rFonts w:ascii="Times New Roman" w:hAnsi="Times New Roman"/>
          <w:noProof/>
          <w:sz w:val="24"/>
          <w:szCs w:val="24"/>
        </w:rPr>
        <w:t>след подаване на заявка за марка на ЕС онлайн.</w:t>
      </w:r>
    </w:p>
    <w:p>
      <w:pPr>
        <w:jc w:val="both"/>
        <w:rPr>
          <w:rFonts w:ascii="Times New Roman" w:hAnsi="Times New Roman" w:cs="Times New Roman"/>
          <w:noProof/>
          <w:sz w:val="24"/>
          <w:szCs w:val="24"/>
        </w:rPr>
      </w:pPr>
      <w:r>
        <w:rPr>
          <w:rFonts w:ascii="Times New Roman" w:hAnsi="Times New Roman"/>
          <w:noProof/>
          <w:sz w:val="24"/>
          <w:szCs w:val="24"/>
        </w:rPr>
        <w:t xml:space="preserve">В работната програма се съдържа и връзка към </w:t>
      </w:r>
      <w:r>
        <w:rPr>
          <w:rFonts w:ascii="Times New Roman" w:hAnsi="Times New Roman"/>
          <w:b/>
          <w:noProof/>
          <w:sz w:val="24"/>
          <w:szCs w:val="24"/>
        </w:rPr>
        <w:t>програмата за МСП</w:t>
      </w:r>
      <w:r>
        <w:rPr>
          <w:rFonts w:ascii="Times New Roman" w:hAnsi="Times New Roman"/>
          <w:noProof/>
          <w:sz w:val="24"/>
          <w:szCs w:val="24"/>
        </w:rPr>
        <w:t xml:space="preserve"> на EUIPO, в която ще бъдат включени инициативи като:</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чатбот, който предоставя информация по полезни за МСП бизнес въпроси, като се започва от въпросите, свързани с интелектуалната собственост;</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ръководства за разясняване, които предоставят подкрепа и насоки за МСП, желаещи да регистрират марка на ЕС, и които подчертават значението на имената на домейни; </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уебинари, насочени към МСП и разпространителски организации.</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6" w:name="_Toc51773411"/>
      <w:r>
        <w:rPr>
          <w:rFonts w:asciiTheme="majorHAnsi" w:hAnsiTheme="majorHAnsi"/>
          <w:noProof/>
          <w:color w:val="365F91" w:themeColor="accent1" w:themeShade="BF"/>
          <w:sz w:val="26"/>
          <w:szCs w:val="26"/>
        </w:rPr>
        <w:t>3.4 Оценка на сътрудничеството между EURid и EUIPO и препоръки за подобрения</w:t>
      </w:r>
      <w:bookmarkEnd w:id="26"/>
    </w:p>
    <w:p>
      <w:pPr>
        <w:jc w:val="both"/>
        <w:rPr>
          <w:rFonts w:ascii="Times New Roman" w:hAnsi="Times New Roman" w:cs="Times New Roman"/>
          <w:noProof/>
          <w:sz w:val="24"/>
          <w:szCs w:val="24"/>
        </w:rPr>
      </w:pPr>
      <w:r>
        <w:rPr>
          <w:rFonts w:ascii="Times New Roman" w:hAnsi="Times New Roman"/>
          <w:noProof/>
          <w:sz w:val="24"/>
          <w:szCs w:val="24"/>
        </w:rPr>
        <w:t>EURid и EUIPO постигнаха ползотворно сътрудничество в борбата със спекулативните и неправомерните регистрации на имена на домейни, включително кибернастаняването, и планираните от двете организации бъдещи действия се очаква да спомогнат за по-нататъшно намаляване на спекулативните и неправомерните регистрации и да подобрят подкрепата за МСП.</w:t>
      </w:r>
    </w:p>
    <w:p>
      <w:pPr>
        <w:jc w:val="both"/>
        <w:rPr>
          <w:rFonts w:ascii="Times New Roman" w:hAnsi="Times New Roman" w:cs="Times New Roman"/>
          <w:noProof/>
          <w:sz w:val="24"/>
          <w:szCs w:val="24"/>
        </w:rPr>
      </w:pPr>
      <w:r>
        <w:rPr>
          <w:rFonts w:ascii="Times New Roman" w:hAnsi="Times New Roman"/>
          <w:noProof/>
          <w:sz w:val="24"/>
          <w:szCs w:val="24"/>
        </w:rPr>
        <w:t>В следващия етап на сътрудничеството си двете организации следва да се стремят да опростят процедурата за регистрация на име на домейн .eu и на марка на ЕС и да насърчат осведомеността за връзката между имената на домейни и търговските марки. Всички инструменти или мерки, които те предлагат, следва да бъдат опростени, лесни за ползване, достъпни и ефективни за МСП.</w:t>
      </w:r>
    </w:p>
    <w:p>
      <w:pPr>
        <w:jc w:val="both"/>
        <w:rPr>
          <w:rFonts w:ascii="Times New Roman" w:hAnsi="Times New Roman" w:cs="Times New Roman"/>
          <w:noProof/>
          <w:sz w:val="24"/>
          <w:szCs w:val="24"/>
        </w:rPr>
      </w:pPr>
      <w:r>
        <w:rPr>
          <w:rFonts w:ascii="Times New Roman" w:hAnsi="Times New Roman"/>
          <w:noProof/>
          <w:sz w:val="24"/>
          <w:szCs w:val="24"/>
        </w:rPr>
        <w:t>По-конкретно те биха могли да въведат следните подобрения:</w:t>
      </w: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Повече дейности, целящи </w:t>
      </w:r>
      <w:r>
        <w:rPr>
          <w:rFonts w:ascii="Times New Roman" w:hAnsi="Times New Roman"/>
          <w:b/>
          <w:noProof/>
          <w:sz w:val="24"/>
          <w:szCs w:val="24"/>
        </w:rPr>
        <w:t>повишаване на осведомеността</w:t>
      </w:r>
      <w:r>
        <w:rPr>
          <w:rFonts w:ascii="Times New Roman" w:hAnsi="Times New Roman"/>
          <w:noProof/>
          <w:sz w:val="24"/>
          <w:szCs w:val="24"/>
        </w:rPr>
        <w:t xml:space="preserve"> и придобиване на знания, така че носителите на права и притежателите на имена на домейни .eu да бъдат запознати със съществуващите мерки и инструменти и да ги използват в по-голяма степен. Примерите включват курсове за обучение и уебинари, особено насочени към МСП. Ще бъде важно да се съберат отзиви от МСП, да се разберат техните нужди и да се подобрят дейностите за повишаване на осведомеността.</w:t>
      </w:r>
    </w:p>
    <w:p>
      <w:pPr>
        <w:pStyle w:val="ListParagraph"/>
        <w:numPr>
          <w:ilvl w:val="0"/>
          <w:numId w:val="10"/>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Предоставяне </w:t>
      </w:r>
      <w:r>
        <w:rPr>
          <w:rFonts w:ascii="Times New Roman" w:hAnsi="Times New Roman"/>
          <w:b/>
          <w:noProof/>
          <w:sz w:val="24"/>
          <w:szCs w:val="24"/>
        </w:rPr>
        <w:t>на повече информация</w:t>
      </w:r>
      <w:r>
        <w:rPr>
          <w:rFonts w:ascii="Times New Roman" w:hAnsi="Times New Roman"/>
          <w:noProof/>
          <w:sz w:val="24"/>
          <w:szCs w:val="24"/>
        </w:rPr>
        <w:t xml:space="preserve"> на потребителите, когато </w:t>
      </w:r>
      <w:r>
        <w:rPr>
          <w:rFonts w:ascii="Times New Roman" w:hAnsi="Times New Roman"/>
          <w:b/>
          <w:noProof/>
          <w:sz w:val="24"/>
          <w:szCs w:val="24"/>
        </w:rPr>
        <w:t>подават заявка за марка на ЕС</w:t>
      </w:r>
      <w:r>
        <w:rPr>
          <w:rFonts w:ascii="Times New Roman" w:hAnsi="Times New Roman"/>
          <w:noProof/>
          <w:sz w:val="24"/>
          <w:szCs w:val="24"/>
        </w:rPr>
        <w:t>. Например заедно с окончателното получаване и официалната регистрация на заявката EUIPO може да предоставя на кандидатите документи, които съдържат повече информация за имената на домейни .eu и начини за защита на ПИС.</w:t>
      </w:r>
    </w:p>
    <w:p>
      <w:pPr>
        <w:numPr>
          <w:ilvl w:val="0"/>
          <w:numId w:val="1"/>
        </w:numPr>
        <w:spacing w:after="0" w:line="240" w:lineRule="auto"/>
        <w:ind w:left="426" w:hanging="426"/>
        <w:contextualSpacing/>
        <w:rPr>
          <w:rFonts w:ascii="Times New Roman" w:eastAsia="Times New Roman" w:hAnsi="Times New Roman" w:cs="Times New Roman"/>
          <w:noProof/>
          <w:sz w:val="24"/>
          <w:szCs w:val="24"/>
        </w:rPr>
      </w:pPr>
      <w:r>
        <w:rPr>
          <w:rFonts w:ascii="Times New Roman" w:hAnsi="Times New Roman"/>
          <w:noProof/>
          <w:sz w:val="24"/>
          <w:szCs w:val="24"/>
        </w:rPr>
        <w:t xml:space="preserve">Подобряване на </w:t>
      </w:r>
      <w:r>
        <w:rPr>
          <w:rFonts w:ascii="Times New Roman" w:hAnsi="Times New Roman"/>
          <w:b/>
          <w:noProof/>
          <w:sz w:val="24"/>
          <w:szCs w:val="24"/>
        </w:rPr>
        <w:t>съществуващите инструменти</w:t>
      </w:r>
      <w:r>
        <w:rPr>
          <w:rFonts w:ascii="Times New Roman" w:hAnsi="Times New Roman"/>
          <w:noProof/>
          <w:sz w:val="24"/>
          <w:szCs w:val="24"/>
        </w:rPr>
        <w:t>:</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За пълното внедряване на функциите за проверка за наличие и известяване ще бъдат необходими допълнителни технически подобрения. Тези функции предлагат лесен и ефективен начин за носителите на права, включително МСП, да запазват имената на домейни, които съответстват на техните търговски марки, или да действат в случай на неправомерни/спекулативни регистрации.</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По-широка употреба на системата за известяване. Предоставените от EURid и EUIPO статистически данни показват, че има съществено разминаване между броя на намерените съвпадения между регистрациите на марки на ЕС и имена на домейни .eu и броя на изпратените известия до притежателите на марка на ЕС. Необходимо е да се повиши нивото на осведоменост относно тази функция и да се увеличи нейното използване.</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Проучване на възможностите за разширяване на съществуващите инструменти за проверка за наличие и функциите за известяване, за да се обхванат географските указания.</w:t>
      </w:r>
    </w:p>
    <w:p>
      <w:pPr>
        <w:spacing w:after="0" w:line="240" w:lineRule="auto"/>
        <w:ind w:left="993"/>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Разработване на </w:t>
      </w:r>
      <w:r>
        <w:rPr>
          <w:rFonts w:ascii="Times New Roman" w:hAnsi="Times New Roman"/>
          <w:b/>
          <w:noProof/>
          <w:sz w:val="24"/>
          <w:szCs w:val="24"/>
        </w:rPr>
        <w:t>нови инструменти</w:t>
      </w:r>
      <w:r>
        <w:rPr>
          <w:rFonts w:ascii="Times New Roman" w:hAnsi="Times New Roman"/>
          <w:noProof/>
          <w:sz w:val="24"/>
          <w:szCs w:val="24"/>
        </w:rPr>
        <w:t xml:space="preserve"> за улесняване на </w:t>
      </w:r>
      <w:r>
        <w:rPr>
          <w:rFonts w:ascii="Times New Roman" w:hAnsi="Times New Roman"/>
          <w:b/>
          <w:noProof/>
          <w:sz w:val="24"/>
          <w:szCs w:val="24"/>
        </w:rPr>
        <w:t>едновременната регистрация</w:t>
      </w:r>
      <w:r>
        <w:rPr>
          <w:rFonts w:ascii="Times New Roman" w:hAnsi="Times New Roman"/>
          <w:noProof/>
          <w:sz w:val="24"/>
          <w:szCs w:val="24"/>
        </w:rPr>
        <w:t xml:space="preserve"> на марка на ЕС и на имена на домейни .eu:</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Разработване на съвместен инструмент за търсене, който позволява на потребителите да проверяват дали термините са налични както като марка на ЕС, така и като име на домейн .eu.</w:t>
      </w:r>
    </w:p>
    <w:p>
      <w:pPr>
        <w:numPr>
          <w:ilvl w:val="1"/>
          <w:numId w:val="1"/>
        </w:numPr>
        <w:spacing w:after="0" w:line="240" w:lineRule="auto"/>
        <w:ind w:left="993" w:hanging="284"/>
        <w:contextualSpacing/>
        <w:jc w:val="both"/>
        <w:rPr>
          <w:rFonts w:ascii="Times New Roman" w:eastAsia="Times New Roman" w:hAnsi="Times New Roman" w:cs="Times New Roman"/>
          <w:noProof/>
          <w:sz w:val="24"/>
          <w:szCs w:val="24"/>
        </w:rPr>
      </w:pPr>
      <w:r>
        <w:rPr>
          <w:rFonts w:ascii="Times New Roman" w:hAnsi="Times New Roman"/>
          <w:noProof/>
          <w:sz w:val="24"/>
          <w:szCs w:val="24"/>
        </w:rPr>
        <w:t>Изготвяне на оценка на възможността EUIPO да изпълнява ролята на акредитиран регистратор на домейни .eu и да интегрира регистрацията на имена на домейни .eu в заявките за марки на ЕС. По този начин носителите на права ще имат възможността за регистрация от типа „на едно гише“.</w:t>
      </w:r>
    </w:p>
    <w:p>
      <w:pPr>
        <w:spacing w:after="0" w:line="240" w:lineRule="auto"/>
        <w:ind w:left="1440"/>
        <w:contextualSpacing/>
        <w:jc w:val="both"/>
        <w:rPr>
          <w:rFonts w:ascii="Times New Roman" w:eastAsia="Times New Roman" w:hAnsi="Times New Roman" w:cs="Times New Roman"/>
          <w:noProof/>
          <w:sz w:val="24"/>
          <w:szCs w:val="24"/>
          <w:lang w:eastAsia="it-IT"/>
        </w:rPr>
      </w:pPr>
    </w:p>
    <w:p>
      <w:pPr>
        <w:jc w:val="both"/>
        <w:rPr>
          <w:rFonts w:ascii="Times New Roman" w:hAnsi="Times New Roman" w:cs="Times New Roman"/>
          <w:noProof/>
          <w:sz w:val="24"/>
          <w:szCs w:val="24"/>
        </w:rPr>
      </w:pPr>
      <w:r>
        <w:rPr>
          <w:rFonts w:ascii="Times New Roman" w:hAnsi="Times New Roman"/>
          <w:noProof/>
          <w:sz w:val="24"/>
          <w:szCs w:val="24"/>
        </w:rPr>
        <w:t>Комисията ще проследи предприетите действия от EURid и EUIPO във връзка с тези препоръки и ще следи отблизо как се развива тяхното сътрудничество и доколко ефективни са мерките, които те предприемат за борба със спекулативните и неправомерните регистрации. За тази цел тя ще обърне специално внимание на мерките, приети за МСП.</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27" w:name="_Toc51773412"/>
      <w:r>
        <w:rPr>
          <w:rFonts w:asciiTheme="majorHAnsi" w:hAnsiTheme="majorHAnsi"/>
          <w:noProof/>
          <w:color w:val="365F91" w:themeColor="accent1" w:themeShade="BF"/>
          <w:sz w:val="32"/>
          <w:szCs w:val="32"/>
        </w:rPr>
        <w:t>Сътрудничество с други органи на Съюза и национални или международни организации</w:t>
      </w:r>
      <w:bookmarkEnd w:id="27"/>
      <w:r>
        <w:rPr>
          <w:rFonts w:asciiTheme="majorHAnsi" w:hAnsiTheme="majorHAnsi"/>
          <w:noProof/>
          <w:color w:val="365F91" w:themeColor="accent1" w:themeShade="BF"/>
          <w:sz w:val="32"/>
          <w:szCs w:val="32"/>
        </w:rPr>
        <w:t xml:space="preserve"> </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8" w:name="_Toc51773413"/>
      <w:r>
        <w:rPr>
          <w:rFonts w:asciiTheme="majorHAnsi" w:hAnsiTheme="majorHAnsi"/>
          <w:noProof/>
          <w:color w:val="365F91" w:themeColor="accent1" w:themeShade="BF"/>
          <w:sz w:val="26"/>
          <w:szCs w:val="26"/>
        </w:rPr>
        <w:t>4.1 Сътрудничество с Европол</w:t>
      </w:r>
      <w:bookmarkEnd w:id="28"/>
    </w:p>
    <w:p>
      <w:pPr>
        <w:jc w:val="both"/>
        <w:rPr>
          <w:rFonts w:ascii="Times New Roman" w:hAnsi="Times New Roman" w:cs="Times New Roman"/>
          <w:noProof/>
          <w:sz w:val="24"/>
          <w:szCs w:val="24"/>
        </w:rPr>
      </w:pPr>
      <w:r>
        <w:rPr>
          <w:rFonts w:ascii="Times New Roman" w:hAnsi="Times New Roman"/>
          <w:noProof/>
          <w:sz w:val="24"/>
          <w:szCs w:val="24"/>
        </w:rPr>
        <w:t>EURid и Европол разполагат с меморандум за разбирателство</w:t>
      </w:r>
      <w:r>
        <w:rPr>
          <w:rFonts w:ascii="Times New Roman" w:hAnsi="Times New Roman" w:cs="Times New Roman"/>
          <w:noProof/>
          <w:sz w:val="24"/>
          <w:szCs w:val="24"/>
          <w:vertAlign w:val="superscript"/>
        </w:rPr>
        <w:footnoteReference w:id="16"/>
      </w:r>
      <w:r>
        <w:rPr>
          <w:rFonts w:ascii="Times New Roman" w:hAnsi="Times New Roman"/>
          <w:noProof/>
          <w:sz w:val="24"/>
          <w:szCs w:val="24"/>
        </w:rPr>
        <w:t>, подписан през 2016 г. Съгласно това споразумение те обменят информация за подозрителни имена на домейни .eu, включително домейни, установени от системата на EURid за ранно предупреждение и предотвратяване на злоупотреби (APEWS)</w:t>
      </w:r>
      <w:r>
        <w:rPr>
          <w:rFonts w:ascii="Times New Roman" w:hAnsi="Times New Roman" w:cs="Times New Roman"/>
          <w:noProof/>
          <w:sz w:val="24"/>
          <w:szCs w:val="24"/>
          <w:vertAlign w:val="superscript"/>
        </w:rPr>
        <w:footnoteReference w:id="1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Сътрудничеството между EURid и Европол може да бъде допълнително засилено, като се започне с официалното оформяне на тези договорености. Това ще включва:</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официално оформяне на обхвата и ангажиментите на всяка страна;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установяване на точки за контакт и канали за комуникация от двете страни;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описване на действията, които всяка страна трябва да предприеме в случай на установяване на подозрително име на домейн;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определяне на последващи действия и механизми за докладване.</w:t>
      </w:r>
    </w:p>
    <w:p>
      <w:pPr>
        <w:jc w:val="both"/>
        <w:rPr>
          <w:rFonts w:ascii="Times New Roman" w:hAnsi="Times New Roman" w:cs="Times New Roman"/>
          <w:noProof/>
          <w:sz w:val="24"/>
          <w:szCs w:val="24"/>
        </w:rPr>
      </w:pPr>
      <w:r>
        <w:rPr>
          <w:rFonts w:ascii="Times New Roman" w:hAnsi="Times New Roman"/>
          <w:noProof/>
          <w:sz w:val="24"/>
          <w:szCs w:val="24"/>
        </w:rPr>
        <w:t xml:space="preserve">Двете организации биха могли също да извършват съвместни дейности за повишаване на осведомеността и изграждане на знания, за да информират широката общественост и да обучат експертите по киберсигурност и служителите на правоприлагащите органи за заплахите от киберпрестъпления, свързани със спекулативните и неправомерните регистрации на имена на домейни, и за наличните контрамерки. По-конкретно те биха могли да разработят казуси, свързани с интелектуалната собственост, за да обучават носителите на права и техните представители, като поставят акцент върху МСП. </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9" w:name="_Toc51773414"/>
      <w:r>
        <w:rPr>
          <w:rFonts w:asciiTheme="majorHAnsi" w:hAnsiTheme="majorHAnsi"/>
          <w:noProof/>
          <w:color w:val="365F91" w:themeColor="accent1" w:themeShade="BF"/>
          <w:sz w:val="26"/>
          <w:szCs w:val="26"/>
        </w:rPr>
        <w:t>4.2 Сътрудничество с други органи</w:t>
      </w:r>
      <w:bookmarkEnd w:id="29"/>
    </w:p>
    <w:p>
      <w:pPr>
        <w:jc w:val="both"/>
        <w:rPr>
          <w:rFonts w:ascii="Times New Roman" w:hAnsi="Times New Roman" w:cs="Times New Roman"/>
          <w:noProof/>
          <w:sz w:val="24"/>
          <w:szCs w:val="24"/>
        </w:rPr>
      </w:pPr>
      <w:r>
        <w:rPr>
          <w:rFonts w:ascii="Times New Roman" w:hAnsi="Times New Roman"/>
          <w:noProof/>
          <w:sz w:val="24"/>
          <w:szCs w:val="24"/>
        </w:rPr>
        <w:t xml:space="preserve">EURid си сътрудничи с международни и европейски органи и организации с цел предотвратяване на незаконни дейности онлайн. Някои от тях включват: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белгийските митнически органи (срещу фалшиви уебсайтове);</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белгийската прокуратура и правоприлагащите органи (срещу киберпрестъпността);</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Асоциацията за безопасни онлайн аптеки;</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Международната коалиция за борба с фалшифицирането</w:t>
      </w:r>
      <w:r>
        <w:rPr>
          <w:noProof/>
          <w:vertAlign w:val="superscript"/>
        </w:rPr>
        <w:footnoteReference w:id="18"/>
      </w:r>
      <w:r>
        <w:rPr>
          <w:rFonts w:ascii="Times New Roman" w:hAnsi="Times New Roman"/>
          <w:noProof/>
          <w:sz w:val="24"/>
          <w:szCs w:val="24"/>
        </w:rPr>
        <w:t>;</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Фондацията за електронна търговия (срещу фалшиви електронни магазини);</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работната група за борба с фишинга;</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белгийския екип за незабавно реагиране при компютърни инциденти.</w:t>
      </w:r>
    </w:p>
    <w:p>
      <w:pPr>
        <w:jc w:val="both"/>
        <w:rPr>
          <w:rFonts w:ascii="Times New Roman" w:hAnsi="Times New Roman" w:cs="Times New Roman"/>
          <w:noProof/>
          <w:sz w:val="24"/>
          <w:szCs w:val="24"/>
        </w:rPr>
      </w:pPr>
      <w:r>
        <w:rPr>
          <w:rFonts w:ascii="Times New Roman" w:hAnsi="Times New Roman"/>
          <w:noProof/>
          <w:sz w:val="24"/>
          <w:szCs w:val="24"/>
        </w:rPr>
        <w:t>Националните регистрирани марки са защитени съгласно регулаторната рамка на .eu в същата степен като марките на ЕС. Не съществува обаче структурирано сътрудничество между регистъра за .eu и компетентните служби на държавите членки по въпросите на марките. Тази степен на сътрудничество може да бъде установена евентуално чрез мрежата на Европейския съюз за интелектуална собственост (EUIPN), създадена от EUIPO</w:t>
      </w:r>
      <w:r>
        <w:rPr>
          <w:rFonts w:ascii="Times New Roman" w:hAnsi="Times New Roman" w:cs="Times New Roman"/>
          <w:noProof/>
          <w:sz w:val="24"/>
          <w:szCs w:val="24"/>
          <w:vertAlign w:val="superscript"/>
        </w:rPr>
        <w:footnoteReference w:id="19"/>
      </w:r>
      <w:r>
        <w:rPr>
          <w:rFonts w:ascii="Times New Roman" w:hAnsi="Times New Roman"/>
          <w:noProof/>
          <w:sz w:val="24"/>
          <w:szCs w:val="24"/>
        </w:rPr>
        <w:t>. Сътрудничеството на EURid с EUIPO би могло да се разшири и до компетентните служби на държавите членки по въпросите на марките, които да предлагат функциите за проверка за наличие и/или за известяване и на своите потребители.</w:t>
      </w:r>
    </w:p>
    <w:p>
      <w:pPr>
        <w:jc w:val="both"/>
        <w:rPr>
          <w:rFonts w:ascii="Times New Roman" w:hAnsi="Times New Roman" w:cs="Times New Roman"/>
          <w:noProof/>
          <w:sz w:val="24"/>
          <w:szCs w:val="24"/>
        </w:rPr>
      </w:pPr>
      <w:r>
        <w:rPr>
          <w:rFonts w:ascii="Times New Roman" w:hAnsi="Times New Roman"/>
          <w:noProof/>
          <w:sz w:val="24"/>
          <w:szCs w:val="24"/>
        </w:rPr>
        <w:t xml:space="preserve">Понастоящем носителите на ПИС, различни от търговски марки (например </w:t>
      </w:r>
      <w:r>
        <w:rPr>
          <w:rFonts w:ascii="Times New Roman" w:hAnsi="Times New Roman"/>
          <w:noProof/>
          <w:color w:val="000000"/>
          <w:sz w:val="24"/>
          <w:szCs w:val="24"/>
        </w:rPr>
        <w:t>географски указания и наименования за произход, търговски имена, търговски идентификатори и наименования на дружества)</w:t>
      </w:r>
      <w:r>
        <w:rPr>
          <w:rFonts w:ascii="Times New Roman" w:hAnsi="Times New Roman"/>
          <w:noProof/>
          <w:sz w:val="24"/>
          <w:szCs w:val="24"/>
        </w:rPr>
        <w:t>, имат достъп до коригиращи мерки само в случай на неправомерна регистрация в .eu. С цел да се подобри тази ситуация регистърът за .eu може да установи по-нататъшно сътрудничество със съответните органи и агенции. Това може да включва извършване на проверки в техните бази данни на ПИС</w:t>
      </w:r>
      <w:r>
        <w:rPr>
          <w:rFonts w:ascii="Times New Roman" w:hAnsi="Times New Roman" w:cs="Times New Roman"/>
          <w:noProof/>
          <w:color w:val="000000"/>
          <w:sz w:val="24"/>
          <w:szCs w:val="24"/>
          <w:vertAlign w:val="superscript"/>
        </w:rPr>
        <w:footnoteReference w:id="20"/>
      </w:r>
      <w:r>
        <w:rPr>
          <w:rFonts w:ascii="Times New Roman" w:hAnsi="Times New Roman"/>
          <w:noProof/>
          <w:sz w:val="24"/>
          <w:szCs w:val="24"/>
        </w:rPr>
        <w:t>. Когато регистърът намери имена, които са идентични или подобни на имената на домейни .eu, той може или да уведоми носителите на права (за да имат възможност да предприемат действия), или сам да предприеме действия (</w:t>
      </w:r>
      <w:r>
        <w:rPr>
          <w:rFonts w:ascii="Times New Roman" w:hAnsi="Times New Roman"/>
          <w:i/>
          <w:noProof/>
          <w:sz w:val="24"/>
          <w:szCs w:val="24"/>
        </w:rPr>
        <w:t>ex officio</w:t>
      </w:r>
      <w:r>
        <w:rPr>
          <w:rFonts w:ascii="Times New Roman" w:hAnsi="Times New Roman"/>
          <w:noProof/>
          <w:sz w:val="24"/>
          <w:szCs w:val="24"/>
        </w:rPr>
        <w:t xml:space="preserve">). На практика това би означавало разширяване на функцията за известяване и към тези ПИС. По отношение на търговските наименования, търговските идентификатори и наименованията на дружества може да се даде начало на проучване, с което да се оцени ползата от създаването на сътрудничество с мрежата от търговски регистри на ЕС. </w:t>
      </w:r>
    </w:p>
    <w:p>
      <w:pPr>
        <w:jc w:val="both"/>
        <w:rPr>
          <w:rFonts w:ascii="Times New Roman" w:hAnsi="Times New Roman" w:cs="Times New Roman"/>
          <w:noProof/>
          <w:sz w:val="24"/>
          <w:szCs w:val="24"/>
        </w:rPr>
      </w:pPr>
      <w:r>
        <w:rPr>
          <w:rFonts w:ascii="Times New Roman" w:hAnsi="Times New Roman"/>
          <w:noProof/>
          <w:sz w:val="24"/>
          <w:szCs w:val="24"/>
        </w:rPr>
        <w:t>Разширяването на обхвата на сътрудничество с органи и организации, които отговарят за други ПИС, различни от свързаните с марки на ЕС, може да бъде особено полезно за МСП.</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30" w:name="_Toc51773415"/>
      <w:r>
        <w:rPr>
          <w:rFonts w:asciiTheme="majorHAnsi" w:hAnsiTheme="majorHAnsi"/>
          <w:noProof/>
          <w:color w:val="365F91" w:themeColor="accent1" w:themeShade="BF"/>
          <w:sz w:val="32"/>
          <w:szCs w:val="32"/>
        </w:rPr>
        <w:t>Малки и средни предприятия</w:t>
      </w:r>
      <w:bookmarkEnd w:id="30"/>
    </w:p>
    <w:p>
      <w:pPr>
        <w:jc w:val="both"/>
        <w:rPr>
          <w:rFonts w:ascii="Times New Roman" w:hAnsi="Times New Roman" w:cs="Times New Roman"/>
          <w:noProof/>
          <w:sz w:val="24"/>
          <w:szCs w:val="24"/>
        </w:rPr>
      </w:pPr>
      <w:r>
        <w:rPr>
          <w:rFonts w:ascii="Times New Roman" w:hAnsi="Times New Roman"/>
          <w:noProof/>
          <w:sz w:val="24"/>
          <w:szCs w:val="24"/>
        </w:rPr>
        <w:t xml:space="preserve">Всички аспекти, анализирани в настоящия доклад, предвиждат на малките и средните предприятия да се обърне специално внимание. </w:t>
      </w:r>
    </w:p>
    <w:p>
      <w:pPr>
        <w:jc w:val="both"/>
        <w:rPr>
          <w:rFonts w:ascii="Times New Roman" w:hAnsi="Times New Roman" w:cs="Times New Roman"/>
          <w:noProof/>
          <w:sz w:val="24"/>
          <w:szCs w:val="24"/>
        </w:rPr>
      </w:pPr>
      <w:r>
        <w:rPr>
          <w:rFonts w:ascii="Times New Roman" w:hAnsi="Times New Roman"/>
          <w:noProof/>
          <w:sz w:val="24"/>
          <w:szCs w:val="24"/>
        </w:rPr>
        <w:t>Освен това в този раздел се поставя акцент върху аспекти, свързани с процедурите за регистрация на .eu за МСП и средствата за защита, с които те разполагат, особено алтернативното решаване на спорове, за справяне с неправомерните/спекулативните регистрации на имена на домейни.</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31" w:name="_Toc39589358"/>
      <w:bookmarkStart w:id="32" w:name="_Toc450320399"/>
      <w:bookmarkStart w:id="33" w:name="_Toc39606922"/>
      <w:bookmarkStart w:id="34" w:name="_Toc40282570"/>
      <w:bookmarkStart w:id="35" w:name="_Toc40286574"/>
      <w:bookmarkStart w:id="36" w:name="_Toc40820446"/>
      <w:bookmarkStart w:id="37" w:name="_Toc41001915"/>
      <w:bookmarkStart w:id="38" w:name="_Toc41071154"/>
      <w:bookmarkStart w:id="39" w:name="_Toc51773416"/>
      <w:r>
        <w:rPr>
          <w:rFonts w:asciiTheme="majorHAnsi" w:hAnsiTheme="majorHAnsi"/>
          <w:noProof/>
          <w:color w:val="365F91" w:themeColor="accent1" w:themeShade="BF"/>
          <w:sz w:val="26"/>
          <w:szCs w:val="26"/>
        </w:rPr>
        <w:t>5.1 Процедура по регистрация</w:t>
      </w:r>
      <w:bookmarkEnd w:id="31"/>
      <w:bookmarkEnd w:id="32"/>
      <w:bookmarkEnd w:id="33"/>
      <w:bookmarkEnd w:id="34"/>
      <w:bookmarkEnd w:id="35"/>
      <w:bookmarkEnd w:id="36"/>
      <w:bookmarkEnd w:id="37"/>
      <w:bookmarkEnd w:id="38"/>
      <w:bookmarkEnd w:id="39"/>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noProof/>
          <w:sz w:val="24"/>
          <w:szCs w:val="24"/>
        </w:rPr>
        <w:t>Като цяло процедурата за регистрация на домейни .eu е съвсем лесна и ясна. Въпреки това, като се има предвид значението на превантивните мерки за справяне със спекулативните и неправомерните регистрации, тя може да бъде подобрена по отношение на МСП, по-специално чрез:</w:t>
      </w: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Въвеждането на услуги, които дават възможност на носителите на ПИС подобно на други индустриалци </w:t>
      </w:r>
      <w:r>
        <w:rPr>
          <w:rFonts w:ascii="Times New Roman" w:hAnsi="Times New Roman"/>
          <w:b/>
          <w:noProof/>
          <w:sz w:val="24"/>
          <w:szCs w:val="24"/>
        </w:rPr>
        <w:t>превантивно да блокират</w:t>
      </w:r>
      <w:r>
        <w:rPr>
          <w:rFonts w:ascii="Times New Roman" w:hAnsi="Times New Roman"/>
          <w:noProof/>
          <w:sz w:val="24"/>
          <w:szCs w:val="24"/>
        </w:rPr>
        <w:t xml:space="preserve"> регистрации на имена на домейни, осъществяващи правонарушение</w:t>
      </w:r>
      <w:r>
        <w:rPr>
          <w:rFonts w:ascii="Times New Roman" w:eastAsia="Times New Roman" w:hAnsi="Times New Roman" w:cs="Times New Roman"/>
          <w:noProof/>
          <w:color w:val="000000"/>
          <w:sz w:val="24"/>
          <w:szCs w:val="24"/>
          <w:vertAlign w:val="superscript"/>
          <w:lang w:eastAsia="it-IT"/>
        </w:rPr>
        <w:footnoteReference w:id="21"/>
      </w:r>
      <w:r>
        <w:rPr>
          <w:rFonts w:ascii="Times New Roman" w:hAnsi="Times New Roman"/>
          <w:noProof/>
          <w:sz w:val="24"/>
          <w:szCs w:val="24"/>
        </w:rPr>
        <w:t>. Такива услуги помагат на носителите на права да защитят предишните си права и да предпазят своите марки от тайпоскуотинг</w:t>
      </w:r>
      <w:r>
        <w:rPr>
          <w:rStyle w:val="FootnoteReference"/>
          <w:rFonts w:ascii="Times New Roman" w:eastAsia="Times New Roman" w:hAnsi="Times New Roman" w:cs="Times New Roman"/>
          <w:noProof/>
          <w:sz w:val="24"/>
          <w:szCs w:val="24"/>
          <w:lang w:eastAsia="it-IT"/>
        </w:rPr>
        <w:footnoteReference w:id="22"/>
      </w:r>
      <w:r>
        <w:rPr>
          <w:rFonts w:ascii="Times New Roman" w:hAnsi="Times New Roman"/>
          <w:noProof/>
          <w:sz w:val="24"/>
          <w:szCs w:val="24"/>
        </w:rPr>
        <w:t>;</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Разширяването на използването на </w:t>
      </w:r>
      <w:r>
        <w:rPr>
          <w:rFonts w:ascii="Times New Roman" w:hAnsi="Times New Roman"/>
          <w:b/>
          <w:noProof/>
          <w:color w:val="000000"/>
          <w:sz w:val="24"/>
          <w:szCs w:val="24"/>
        </w:rPr>
        <w:t>алгоритми за прогнозиране</w:t>
      </w:r>
      <w:r>
        <w:rPr>
          <w:rFonts w:ascii="Times New Roman" w:hAnsi="Times New Roman"/>
          <w:noProof/>
          <w:color w:val="000000"/>
          <w:sz w:val="24"/>
          <w:szCs w:val="24"/>
        </w:rPr>
        <w:t xml:space="preserve"> с цел предотвратяване на спекулативните и неправомерните регистрации в допълнение към зловредните регистрации</w:t>
      </w:r>
      <w:r>
        <w:rPr>
          <w:rStyle w:val="FootnoteReference"/>
          <w:rFonts w:ascii="Times New Roman" w:eastAsia="Times New Roman" w:hAnsi="Times New Roman" w:cs="Times New Roman"/>
          <w:noProof/>
          <w:color w:val="000000"/>
          <w:sz w:val="24"/>
          <w:szCs w:val="24"/>
          <w:lang w:eastAsia="it-IT"/>
        </w:rPr>
        <w:footnoteReference w:id="23"/>
      </w:r>
      <w:r>
        <w:rPr>
          <w:rFonts w:ascii="Times New Roman" w:hAnsi="Times New Roman"/>
          <w:noProof/>
          <w:sz w:val="24"/>
          <w:szCs w:val="24"/>
        </w:rPr>
        <w:t>, както е в момента;</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Повишаването на осведомеността на носителите на права относно съществуващите </w:t>
      </w:r>
      <w:r>
        <w:rPr>
          <w:rFonts w:ascii="Times New Roman" w:hAnsi="Times New Roman"/>
          <w:b/>
          <w:noProof/>
          <w:color w:val="000000"/>
          <w:sz w:val="24"/>
          <w:szCs w:val="24"/>
        </w:rPr>
        <w:t>инструменти за</w:t>
      </w:r>
      <w:r>
        <w:rPr>
          <w:rFonts w:ascii="Times New Roman" w:hAnsi="Times New Roman"/>
          <w:noProof/>
          <w:color w:val="000000"/>
          <w:sz w:val="24"/>
          <w:szCs w:val="24"/>
        </w:rPr>
        <w:t xml:space="preserve"> </w:t>
      </w:r>
      <w:r>
        <w:rPr>
          <w:rFonts w:ascii="Times New Roman" w:hAnsi="Times New Roman"/>
          <w:b/>
          <w:noProof/>
          <w:color w:val="000000"/>
          <w:sz w:val="24"/>
          <w:szCs w:val="24"/>
        </w:rPr>
        <w:t>търсене на сходство</w:t>
      </w:r>
      <w:r>
        <w:rPr>
          <w:rFonts w:ascii="Times New Roman" w:hAnsi="Times New Roman"/>
          <w:noProof/>
          <w:color w:val="000000"/>
          <w:sz w:val="24"/>
          <w:szCs w:val="24"/>
        </w:rPr>
        <w:t>, като например възможността за справка в WHOIS за домейн .be, за да могат да търсят подобни имена на домейни, които може да нарушават техните права;</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Осигуряването на леснодостъпна информация за потребителите за това </w:t>
      </w:r>
      <w:r>
        <w:rPr>
          <w:rFonts w:ascii="Times New Roman" w:hAnsi="Times New Roman"/>
          <w:b/>
          <w:noProof/>
          <w:color w:val="000000"/>
          <w:sz w:val="24"/>
          <w:szCs w:val="24"/>
        </w:rPr>
        <w:t>как да докладват</w:t>
      </w:r>
      <w:r>
        <w:rPr>
          <w:rFonts w:ascii="Times New Roman" w:hAnsi="Times New Roman"/>
          <w:noProof/>
          <w:color w:val="000000"/>
          <w:sz w:val="24"/>
          <w:szCs w:val="24"/>
        </w:rPr>
        <w:t xml:space="preserve"> за различни видове злоупотреби</w:t>
      </w:r>
      <w:r>
        <w:rPr>
          <w:rFonts w:ascii="Times New Roman" w:eastAsia="Times New Roman" w:hAnsi="Times New Roman" w:cs="Times New Roman"/>
          <w:noProof/>
          <w:color w:val="000000"/>
          <w:sz w:val="24"/>
          <w:szCs w:val="24"/>
          <w:vertAlign w:val="superscript"/>
          <w:lang w:eastAsia="it-IT"/>
        </w:rPr>
        <w:footnoteReference w:id="24"/>
      </w:r>
      <w:r>
        <w:rPr>
          <w:rFonts w:ascii="Times New Roman" w:hAnsi="Times New Roman"/>
          <w:noProof/>
          <w:color w:val="000000"/>
          <w:sz w:val="24"/>
          <w:szCs w:val="24"/>
        </w:rPr>
        <w:t>.</w:t>
      </w:r>
    </w:p>
    <w:p>
      <w:pPr>
        <w:spacing w:after="0" w:line="240" w:lineRule="auto"/>
        <w:ind w:left="720"/>
        <w:contextualSpacing/>
        <w:jc w:val="both"/>
        <w:rPr>
          <w:rFonts w:ascii="Times New Roman" w:eastAsia="Times New Roman" w:hAnsi="Times New Roman" w:cs="Times New Roman"/>
          <w:noProof/>
          <w:sz w:val="24"/>
          <w:szCs w:val="24"/>
          <w:lang w:eastAsia="it-IT"/>
        </w:rPr>
      </w:pP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40" w:name="_Toc39589359"/>
      <w:bookmarkStart w:id="41" w:name="_Toc450320400"/>
      <w:bookmarkStart w:id="42" w:name="_Toc39606923"/>
      <w:bookmarkStart w:id="43" w:name="_Toc40282571"/>
      <w:bookmarkStart w:id="44" w:name="_Toc40286575"/>
      <w:bookmarkStart w:id="45" w:name="_Toc40820447"/>
      <w:bookmarkStart w:id="46" w:name="_Toc41001916"/>
      <w:bookmarkStart w:id="47" w:name="_Toc41071155"/>
      <w:bookmarkStart w:id="48" w:name="_Toc51773417"/>
      <w:r>
        <w:rPr>
          <w:rFonts w:asciiTheme="majorHAnsi" w:hAnsiTheme="majorHAnsi"/>
          <w:noProof/>
          <w:color w:val="365F91" w:themeColor="accent1" w:themeShade="BF"/>
          <w:sz w:val="26"/>
          <w:szCs w:val="26"/>
        </w:rPr>
        <w:t xml:space="preserve">5.2 </w:t>
      </w:r>
      <w:bookmarkEnd w:id="40"/>
      <w:bookmarkEnd w:id="41"/>
      <w:bookmarkEnd w:id="42"/>
      <w:bookmarkEnd w:id="43"/>
      <w:bookmarkEnd w:id="44"/>
      <w:bookmarkEnd w:id="45"/>
      <w:bookmarkEnd w:id="46"/>
      <w:bookmarkEnd w:id="47"/>
      <w:r>
        <w:rPr>
          <w:rFonts w:asciiTheme="majorHAnsi" w:hAnsiTheme="majorHAnsi"/>
          <w:noProof/>
          <w:color w:val="365F91" w:themeColor="accent1" w:themeShade="BF"/>
          <w:sz w:val="26"/>
          <w:szCs w:val="26"/>
        </w:rPr>
        <w:t>Алтернативно решаване на спорове</w:t>
      </w:r>
      <w:bookmarkEnd w:id="48"/>
    </w:p>
    <w:p>
      <w:pPr>
        <w:jc w:val="both"/>
        <w:rPr>
          <w:rFonts w:ascii="Times New Roman" w:hAnsi="Times New Roman" w:cs="Times New Roman"/>
          <w:noProof/>
          <w:sz w:val="24"/>
          <w:szCs w:val="24"/>
        </w:rPr>
      </w:pPr>
      <w:r>
        <w:rPr>
          <w:rFonts w:ascii="Times New Roman" w:hAnsi="Times New Roman"/>
          <w:noProof/>
          <w:sz w:val="24"/>
          <w:szCs w:val="24"/>
        </w:rPr>
        <w:t>Тъй като интернет е с глобален обхват и решаването на трансгранични спорове относно домейни чрез съдебни производства е скъпо и продължително, извънсъдебните (алтернативни) механизми за решаване на подобни спорове са международно признати като ефективни коригиращи мерки срещу спекулативните и неправомерните регистрации.</w:t>
      </w:r>
    </w:p>
    <w:p>
      <w:pPr>
        <w:jc w:val="both"/>
        <w:rPr>
          <w:rFonts w:ascii="Times New Roman" w:hAnsi="Times New Roman" w:cs="Times New Roman"/>
          <w:noProof/>
          <w:sz w:val="24"/>
          <w:szCs w:val="24"/>
        </w:rPr>
      </w:pPr>
      <w:r>
        <w:rPr>
          <w:rFonts w:ascii="Times New Roman" w:hAnsi="Times New Roman"/>
          <w:noProof/>
          <w:sz w:val="24"/>
          <w:szCs w:val="24"/>
        </w:rPr>
        <w:t>Алтернативното решаване на спорове относно .eu</w:t>
      </w:r>
      <w:r>
        <w:rPr>
          <w:rFonts w:ascii="Times New Roman" w:hAnsi="Times New Roman" w:cs="Times New Roman"/>
          <w:noProof/>
          <w:sz w:val="24"/>
          <w:szCs w:val="24"/>
          <w:vertAlign w:val="superscript"/>
        </w:rPr>
        <w:footnoteReference w:id="25"/>
      </w:r>
      <w:r>
        <w:rPr>
          <w:rFonts w:ascii="Times New Roman" w:hAnsi="Times New Roman"/>
          <w:noProof/>
          <w:sz w:val="24"/>
          <w:szCs w:val="24"/>
        </w:rPr>
        <w:t xml:space="preserve"> се урежда от конкретни правила</w:t>
      </w:r>
      <w:r>
        <w:rPr>
          <w:rFonts w:ascii="Times New Roman" w:hAnsi="Times New Roman" w:cs="Times New Roman"/>
          <w:noProof/>
          <w:sz w:val="24"/>
          <w:szCs w:val="24"/>
          <w:vertAlign w:val="superscript"/>
        </w:rPr>
        <w:footnoteReference w:id="26"/>
      </w:r>
      <w:r>
        <w:rPr>
          <w:rFonts w:ascii="Times New Roman" w:hAnsi="Times New Roman"/>
          <w:noProof/>
          <w:sz w:val="24"/>
          <w:szCs w:val="24"/>
        </w:rPr>
        <w:t xml:space="preserve"> и се извършва от независима организация, а именно от Чешкия арбитражен съд (ЧАС), от 2006 г. насам. Услугата се извършва и от Световната организация за интелектуална собственост (СОИС) от 2017 г. насам. Процедурата за решаване на спорове относно .eu продължава приблизително 3 месеца.</w:t>
      </w:r>
    </w:p>
    <w:p>
      <w:pPr>
        <w:jc w:val="both"/>
        <w:rPr>
          <w:rFonts w:ascii="Times New Roman" w:hAnsi="Times New Roman" w:cs="Times New Roman"/>
          <w:noProof/>
          <w:sz w:val="24"/>
          <w:szCs w:val="24"/>
        </w:rPr>
      </w:pPr>
      <w:r>
        <w:rPr>
          <w:rFonts w:ascii="Times New Roman" w:hAnsi="Times New Roman"/>
          <w:noProof/>
          <w:sz w:val="24"/>
          <w:szCs w:val="24"/>
        </w:rPr>
        <w:t>Като цяло свързаното с .eu алтернативно решаване на спорове работи по предназначение</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но биха могли да бъдат приложени някои промени, които да го направят по-опростено, по-достъпно и по-олекотено във финансово отношение за МСП. Например: </w:t>
      </w: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Предоставяне </w:t>
      </w:r>
      <w:r>
        <w:rPr>
          <w:rFonts w:ascii="Times New Roman" w:hAnsi="Times New Roman"/>
          <w:noProof/>
          <w:sz w:val="24"/>
          <w:szCs w:val="24"/>
        </w:rPr>
        <w:t>на</w:t>
      </w:r>
      <w:r>
        <w:rPr>
          <w:rFonts w:ascii="Times New Roman" w:hAnsi="Times New Roman"/>
          <w:noProof/>
          <w:color w:val="000000"/>
          <w:sz w:val="24"/>
          <w:szCs w:val="24"/>
        </w:rPr>
        <w:t xml:space="preserve"> разположение на </w:t>
      </w:r>
      <w:r>
        <w:rPr>
          <w:rFonts w:ascii="Times New Roman" w:hAnsi="Times New Roman"/>
          <w:b/>
          <w:noProof/>
          <w:color w:val="000000"/>
          <w:sz w:val="24"/>
          <w:szCs w:val="24"/>
        </w:rPr>
        <w:t>онлайн портал за управление на спорове</w:t>
      </w:r>
      <w:r>
        <w:rPr>
          <w:rFonts w:ascii="Times New Roman" w:hAnsi="Times New Roman"/>
          <w:noProof/>
          <w:color w:val="000000"/>
          <w:sz w:val="24"/>
          <w:szCs w:val="24"/>
        </w:rPr>
        <w:t xml:space="preserve"> с цел да се даде възможност на страните да се справят със свързаните с .eu спорове изцяло онлайн (понастоящем не всички организации за решаване на спорове относно .eu го предоставят);</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Съкращаване</w:t>
      </w:r>
      <w:r>
        <w:rPr>
          <w:rFonts w:ascii="Times New Roman" w:hAnsi="Times New Roman"/>
          <w:noProof/>
          <w:color w:val="000000"/>
          <w:sz w:val="24"/>
          <w:szCs w:val="24"/>
        </w:rPr>
        <w:t xml:space="preserve"> на процедурата (когато е възможно) в съответствие с единната процедура за решаване на спорове по отношение на имена на домейни (UDRP); </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Запазване на </w:t>
      </w:r>
      <w:r>
        <w:rPr>
          <w:rFonts w:ascii="Times New Roman" w:hAnsi="Times New Roman"/>
          <w:b/>
          <w:noProof/>
          <w:color w:val="000000"/>
          <w:sz w:val="24"/>
          <w:szCs w:val="24"/>
        </w:rPr>
        <w:t>таксите за подаване на документи</w:t>
      </w:r>
      <w:r>
        <w:rPr>
          <w:rFonts w:ascii="Times New Roman" w:hAnsi="Times New Roman"/>
          <w:noProof/>
          <w:color w:val="000000"/>
          <w:sz w:val="24"/>
          <w:szCs w:val="24"/>
        </w:rPr>
        <w:t xml:space="preserve"> за започване на процедура по решаване на спор относно .eu на ниво във финансовите възможности на МСП;</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Въвеждане на </w:t>
      </w:r>
      <w:r>
        <w:rPr>
          <w:rFonts w:ascii="Times New Roman" w:hAnsi="Times New Roman"/>
          <w:b/>
          <w:noProof/>
          <w:color w:val="000000"/>
          <w:sz w:val="24"/>
          <w:szCs w:val="24"/>
        </w:rPr>
        <w:t>механизма „загубилият плаща“</w:t>
      </w:r>
      <w:r>
        <w:rPr>
          <w:rFonts w:ascii="Times New Roman" w:hAnsi="Times New Roman"/>
          <w:noProof/>
          <w:color w:val="000000"/>
          <w:sz w:val="24"/>
          <w:szCs w:val="24"/>
        </w:rPr>
        <w:t xml:space="preserve"> с цел възпиране на спекулативните/неправомерните регистрации и предоставяне на възможност спечелилата страна да възстанови разходите за започване на процедура по решаване на спор относно .eu;</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Осигуряване на </w:t>
      </w:r>
      <w:r>
        <w:rPr>
          <w:rFonts w:ascii="Times New Roman" w:hAnsi="Times New Roman"/>
          <w:b/>
          <w:noProof/>
          <w:color w:val="000000"/>
          <w:sz w:val="24"/>
          <w:szCs w:val="24"/>
        </w:rPr>
        <w:t>ускорени процедури</w:t>
      </w:r>
      <w:r>
        <w:rPr>
          <w:rFonts w:ascii="Times New Roman" w:hAnsi="Times New Roman"/>
          <w:noProof/>
          <w:color w:val="000000"/>
          <w:sz w:val="24"/>
          <w:szCs w:val="24"/>
        </w:rPr>
        <w:t>, като например спиране на имена на домейни от регистъра при очевидни случаи на тайпоскуотинг, или процедури, подобни на единната система за бързо спиране (URS)</w:t>
      </w:r>
      <w:r>
        <w:rPr>
          <w:rFonts w:ascii="Times New Roman" w:eastAsia="Times New Roman" w:hAnsi="Times New Roman" w:cs="Times New Roman"/>
          <w:noProof/>
          <w:color w:val="000000"/>
          <w:sz w:val="24"/>
          <w:szCs w:val="24"/>
          <w:vertAlign w:val="superscript"/>
          <w:lang w:eastAsia="it-IT"/>
        </w:rPr>
        <w:footnoteReference w:id="28"/>
      </w:r>
      <w:r>
        <w:rPr>
          <w:rFonts w:ascii="Times New Roman" w:hAnsi="Times New Roman"/>
          <w:noProof/>
          <w:color w:val="000000"/>
          <w:sz w:val="24"/>
          <w:szCs w:val="24"/>
        </w:rPr>
        <w:t>;</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Предоставяне на разположение на </w:t>
      </w:r>
      <w:r>
        <w:rPr>
          <w:rFonts w:ascii="Times New Roman" w:hAnsi="Times New Roman"/>
          <w:b/>
          <w:noProof/>
          <w:color w:val="000000"/>
          <w:sz w:val="24"/>
          <w:szCs w:val="24"/>
        </w:rPr>
        <w:t>предварителни процедури</w:t>
      </w:r>
      <w:r>
        <w:rPr>
          <w:rFonts w:ascii="Times New Roman" w:hAnsi="Times New Roman"/>
          <w:noProof/>
          <w:color w:val="000000"/>
          <w:sz w:val="24"/>
          <w:szCs w:val="24"/>
        </w:rPr>
        <w:t xml:space="preserve"> преди официалното започване на спора относно името на домейна.</w:t>
      </w:r>
      <w:r>
        <w:rPr>
          <w:rFonts w:ascii="Times New Roman" w:eastAsia="Times New Roman" w:hAnsi="Times New Roman" w:cs="Times New Roman"/>
          <w:noProof/>
          <w:color w:val="000000"/>
          <w:sz w:val="24"/>
          <w:szCs w:val="24"/>
          <w:vertAlign w:val="superscript"/>
          <w:lang w:eastAsia="it-IT"/>
        </w:rPr>
        <w:footnoteReference w:id="29"/>
      </w:r>
      <w:r>
        <w:rPr>
          <w:rFonts w:ascii="Times New Roman" w:hAnsi="Times New Roman"/>
          <w:noProof/>
          <w:color w:val="000000"/>
          <w:sz w:val="24"/>
          <w:szCs w:val="24"/>
        </w:rPr>
        <w:t xml:space="preserve"> </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49" w:name="_Toc51773418"/>
      <w:r>
        <w:rPr>
          <w:rFonts w:asciiTheme="majorHAnsi" w:hAnsiTheme="majorHAnsi"/>
          <w:noProof/>
          <w:color w:val="365F91" w:themeColor="accent1" w:themeShade="BF"/>
          <w:sz w:val="32"/>
          <w:szCs w:val="32"/>
        </w:rPr>
        <w:t>Заключения</w:t>
      </w:r>
      <w:bookmarkEnd w:id="49"/>
    </w:p>
    <w:p>
      <w:pPr>
        <w:jc w:val="both"/>
        <w:rPr>
          <w:rFonts w:ascii="Times New Roman" w:hAnsi="Times New Roman" w:cs="Times New Roman"/>
          <w:noProof/>
          <w:sz w:val="24"/>
          <w:szCs w:val="24"/>
        </w:rPr>
      </w:pPr>
      <w:r>
        <w:rPr>
          <w:rFonts w:ascii="Times New Roman" w:hAnsi="Times New Roman"/>
          <w:noProof/>
          <w:sz w:val="24"/>
          <w:szCs w:val="24"/>
        </w:rPr>
        <w:t>Като цяло сътрудничеството между регистъра за .eu и EUIPO за справяне с неправомерните и спекулативните регистрации на имена на домейни е задоволително. В доклада са изложени предложения за допълнителни подобрения по отношение на:</w:t>
      </w: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noProof/>
          <w:color w:val="000000"/>
          <w:sz w:val="24"/>
          <w:szCs w:val="24"/>
        </w:rPr>
        <w:t>Сътрудничеството</w:t>
      </w:r>
      <w:r>
        <w:rPr>
          <w:rFonts w:ascii="Times New Roman" w:hAnsi="Times New Roman"/>
          <w:noProof/>
          <w:sz w:val="24"/>
          <w:szCs w:val="24"/>
        </w:rPr>
        <w:t xml:space="preserve"> между EURid и EUIPO, по-специално чрез подобряване на дейностите за повишаване на осведомеността и изграждане на знания и чрез подобряване на съществуващите инструменти и разработване на нови инструменти с цел улесняване на едновременната регистрация на марки на ЕС и на имена на домейни .eu;</w:t>
      </w:r>
    </w:p>
    <w:p>
      <w:pPr>
        <w:spacing w:after="0" w:line="240" w:lineRule="auto"/>
        <w:ind w:left="426"/>
        <w:contextualSpacing/>
        <w:jc w:val="both"/>
        <w:rPr>
          <w:rFonts w:ascii="Times New Roman" w:hAnsi="Times New Roman" w:cs="Times New Roman"/>
          <w:noProof/>
          <w:sz w:val="24"/>
          <w:szCs w:val="24"/>
        </w:rPr>
      </w:pP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Сътрудничеството с други субекти: съществуващото сътрудничество като това с Европол може да бъде засилено; може да се започне ново сътрудничество, като например с националните компетентни служби по въпросите на марките;</w:t>
      </w:r>
    </w:p>
    <w:p>
      <w:pPr>
        <w:spacing w:after="0" w:line="240" w:lineRule="auto"/>
        <w:contextualSpacing/>
        <w:jc w:val="both"/>
        <w:rPr>
          <w:rFonts w:ascii="Times New Roman" w:hAnsi="Times New Roman" w:cs="Times New Roman"/>
          <w:noProof/>
          <w:sz w:val="24"/>
          <w:szCs w:val="24"/>
        </w:rPr>
      </w:pP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Действащите мерки за МСП, по-специално чрез допълнително подобряване на процедурите за регистрация и алтернативно решаване на спорове.</w:t>
      </w:r>
    </w:p>
    <w:p>
      <w:pPr>
        <w:jc w:val="both"/>
        <w:rPr>
          <w:rFonts w:ascii="Times New Roman" w:hAnsi="Times New Roman" w:cs="Times New Roman"/>
          <w:noProof/>
          <w:sz w:val="24"/>
          <w:szCs w:val="24"/>
          <w:highlight w:val="yellow"/>
        </w:rPr>
      </w:pPr>
    </w:p>
    <w:p>
      <w:pPr>
        <w:jc w:val="both"/>
        <w:rPr>
          <w:rFonts w:ascii="Times New Roman" w:hAnsi="Times New Roman" w:cs="Times New Roman"/>
          <w:noProof/>
          <w:sz w:val="24"/>
          <w:szCs w:val="24"/>
        </w:rPr>
      </w:pPr>
      <w:r>
        <w:rPr>
          <w:rFonts w:ascii="Times New Roman" w:hAnsi="Times New Roman"/>
          <w:noProof/>
          <w:sz w:val="24"/>
          <w:szCs w:val="24"/>
        </w:rPr>
        <w:t>Всички препоръки за подобрение, представени в настоящия доклад, могат да бъдат осъществени посредством комбинация от:</w:t>
      </w:r>
    </w:p>
    <w:p>
      <w:pPr>
        <w:pStyle w:val="ListParagraph"/>
        <w:numPr>
          <w:ilvl w:val="0"/>
          <w:numId w:val="9"/>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изпълнение на съществуващи мерки;</w:t>
      </w:r>
    </w:p>
    <w:p>
      <w:pPr>
        <w:pStyle w:val="ListParagraph"/>
        <w:numPr>
          <w:ilvl w:val="0"/>
          <w:numId w:val="9"/>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изпълнение на нови мерки за сътрудничество между EURid и EUIPO и други органи, служби и организации на Съюза на национално или международно равнище; </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и актуализиране на процедурите на EURid. </w:t>
      </w:r>
    </w:p>
    <w:p>
      <w:pPr>
        <w:jc w:val="both"/>
        <w:rPr>
          <w:rFonts w:ascii="Times New Roman" w:hAnsi="Times New Roman" w:cs="Times New Roman"/>
          <w:noProof/>
          <w:sz w:val="24"/>
          <w:szCs w:val="24"/>
        </w:rPr>
      </w:pPr>
      <w:r>
        <w:rPr>
          <w:rFonts w:ascii="Times New Roman" w:hAnsi="Times New Roman"/>
          <w:noProof/>
          <w:sz w:val="24"/>
          <w:szCs w:val="24"/>
        </w:rPr>
        <w:t xml:space="preserve">Те </w:t>
      </w:r>
      <w:r>
        <w:rPr>
          <w:rFonts w:ascii="Times New Roman" w:hAnsi="Times New Roman"/>
          <w:b/>
          <w:noProof/>
          <w:sz w:val="24"/>
          <w:szCs w:val="24"/>
        </w:rPr>
        <w:t>не изискват допълнителни законодателни мерки</w:t>
      </w:r>
      <w:r>
        <w:rPr>
          <w:rFonts w:ascii="Times New Roman" w:hAnsi="Times New Roman"/>
          <w:noProof/>
          <w:sz w:val="24"/>
          <w:szCs w:val="24"/>
        </w:rPr>
        <w:t>, а по-скоро конкретно изпълнение и последващи действия. Някои от тези мерки могат да бъдат включени в концесионния договор за услуги, сключен между регистъра за .eu и Комисията (и да се прилагат, след като Регламент (ЕС) 2019/517 е вече в действие).</w:t>
      </w:r>
    </w:p>
    <w:p>
      <w:pPr>
        <w:jc w:val="both"/>
        <w:rPr>
          <w:noProof/>
        </w:rPr>
      </w:pPr>
      <w:r>
        <w:rPr>
          <w:rFonts w:ascii="Times New Roman" w:hAnsi="Times New Roman"/>
          <w:noProof/>
          <w:sz w:val="24"/>
          <w:szCs w:val="24"/>
        </w:rPr>
        <w:t xml:space="preserve">Комисията ще предприеме последващи действия с регистъра за .eu и EUIPO във връзка с предложените подобрения, като ще обърне специално внимание на целящите опростяване мерки за МСП, и ще докладва на Европейския парламент и на Съвета за постигнатия напредък като част от редовното докладване за функционирането на името на домейна .eu.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603848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 xml:space="preserve">Тримесечен доклад на EURid (2-ро тримесечие на 2020 г.): </w:t>
      </w:r>
      <w:hyperlink r:id="rId1" w:history="1">
        <w:r>
          <w:rPr>
            <w:rStyle w:val="Hyperlink"/>
            <w:rFonts w:ascii="Times New Roman" w:hAnsi="Times New Roman"/>
          </w:rPr>
          <w:t>https://eurid.eu/media/filer_public/43/77/43778dd5-5afa-42ce-8213-0c8d661ec26f/quarterly_q22020.pdf</w:t>
        </w:r>
      </w:hyperlink>
    </w:p>
  </w:footnote>
  <w:footnote w:id="2">
    <w:p>
      <w:pPr>
        <w:pStyle w:val="FootnoteText"/>
        <w:jc w:val="both"/>
      </w:pPr>
      <w:r>
        <w:rPr>
          <w:rStyle w:val="FootnoteReference"/>
          <w:rFonts w:ascii="Times New Roman" w:hAnsi="Times New Roman" w:cs="Times New Roman"/>
        </w:rPr>
        <w:footnoteRef/>
      </w:r>
      <w:r>
        <w:rPr>
          <w:rFonts w:ascii="Times New Roman" w:hAnsi="Times New Roman"/>
        </w:rPr>
        <w:t xml:space="preserve"> </w:t>
      </w:r>
      <w:r>
        <w:t xml:space="preserve">  </w:t>
      </w:r>
      <w:r>
        <w:rPr>
          <w:rFonts w:ascii="Times New Roman" w:hAnsi="Times New Roman"/>
        </w:rPr>
        <w:t>Регламент (ЕС) 2019/517 относно реализацията и функционирането на домейна от първо ниво .eu и</w:t>
      </w:r>
      <w:r>
        <w:br/>
      </w:r>
      <w:r>
        <w:rPr>
          <w:rFonts w:ascii="Times New Roman" w:hAnsi="Times New Roman"/>
        </w:rPr>
        <w:t xml:space="preserve">      за изменение и отмяна на Регламент (ЕО) № 733/2002 и отмяна на Регламент (ЕО) № 874/2004 на</w:t>
      </w:r>
      <w:r>
        <w:br/>
      </w:r>
      <w:r>
        <w:rPr>
          <w:rFonts w:ascii="Times New Roman" w:hAnsi="Times New Roman"/>
        </w:rPr>
        <w:t xml:space="preserve">      Комисията (ОВ L 91,</w:t>
      </w:r>
      <w:r>
        <w:t xml:space="preserve"> </w:t>
      </w:r>
      <w:r>
        <w:rPr>
          <w:rFonts w:ascii="Times New Roman" w:hAnsi="Times New Roman"/>
        </w:rPr>
        <w:t>29.3.2019 г., стр. 25).</w:t>
      </w:r>
    </w:p>
  </w:footnote>
  <w:footnote w:id="3">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член 5 от Регламент (ЕО) № 874/2004 и член 11 от Регламент (ЕС) 2019/517.</w:t>
      </w:r>
    </w:p>
  </w:footnote>
  <w:footnote w:id="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член 21 от Регламент (ЕО) № 874/2004 и член 4 от Регламент (ЕС) 2019/517.</w:t>
      </w:r>
    </w:p>
  </w:footnote>
  <w:footnote w:id="5">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член 10, параграф 1 от Регламент (ЕО) № 874/2004.</w:t>
      </w:r>
    </w:p>
  </w:footnote>
  <w:footnote w:id="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съображение 7 от Регламент (ЕС) 2019/517.</w:t>
      </w:r>
    </w:p>
  </w:footnote>
  <w:footnote w:id="7">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член 16, параграф 2 от Регламент (ЕС) 2019/517.</w:t>
      </w:r>
    </w:p>
  </w:footnote>
  <w:footnote w:id="8">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Вж. член 16, параграф 4 от Регламент (ЕС) 2019/517.</w:t>
      </w:r>
    </w:p>
  </w:footnote>
  <w:footnote w:id="9">
    <w:p>
      <w:pPr>
        <w:ind w:left="284" w:hanging="284"/>
        <w:jc w:val="both"/>
        <w:rPr>
          <w:color w:val="0000FF"/>
          <w:u w:val="single"/>
        </w:rPr>
      </w:pPr>
      <w:r>
        <w:rPr>
          <w:rStyle w:val="FootnoteReference"/>
          <w:rFonts w:ascii="Times New Roman" w:hAnsi="Times New Roman" w:cs="Times New Roman"/>
          <w:sz w:val="20"/>
          <w:szCs w:val="20"/>
        </w:rPr>
        <w:footnoteRef/>
      </w:r>
      <w:r>
        <w:tab/>
      </w:r>
      <w:r>
        <w:rPr>
          <w:rFonts w:ascii="Times New Roman" w:hAnsi="Times New Roman"/>
          <w:sz w:val="20"/>
          <w:szCs w:val="20"/>
        </w:rPr>
        <w:t xml:space="preserve">Проучването може да бъде намерено тук: </w:t>
      </w:r>
      <w:hyperlink r:id="rId2" w:history="1">
        <w:r>
          <w:rPr>
            <w:rStyle w:val="Hyperlink"/>
            <w:rFonts w:ascii="Times New Roman" w:hAnsi="Times New Roman"/>
            <w:color w:val="0000FF"/>
            <w:sz w:val="20"/>
            <w:szCs w:val="20"/>
          </w:rPr>
          <w:t>https://dx.publications.europa.eu/10.2759/428574</w:t>
        </w:r>
      </w:hyperlink>
    </w:p>
  </w:footnote>
  <w:footnote w:id="10">
    <w:p>
      <w:pPr>
        <w:pStyle w:val="FootnoteText"/>
        <w:spacing w:after="60"/>
        <w:ind w:left="284" w:hanging="284"/>
        <w:jc w:val="both"/>
      </w:pPr>
      <w:r>
        <w:rPr>
          <w:rStyle w:val="FootnoteReference"/>
          <w:rFonts w:ascii="Times New Roman" w:hAnsi="Times New Roman" w:cs="Times New Roman"/>
        </w:rPr>
        <w:footnoteRef/>
      </w:r>
      <w:r>
        <w:tab/>
      </w:r>
      <w:r>
        <w:rPr>
          <w:rFonts w:ascii="Times New Roman" w:hAnsi="Times New Roman"/>
        </w:rPr>
        <w:t xml:space="preserve">Последният публичен доклад на EURid е наличен тук: </w:t>
      </w:r>
      <w:hyperlink r:id="rId3" w:history="1">
        <w:r>
          <w:rPr>
            <w:rStyle w:val="Hyperlink"/>
            <w:rFonts w:ascii="Times New Roman" w:hAnsi="Times New Roman"/>
          </w:rPr>
          <w:t>https://eurid.eu/bg/novini/2019-annual-report/</w:t>
        </w:r>
      </w:hyperlink>
      <w:r>
        <w:rPr>
          <w:rFonts w:ascii="Times New Roman" w:hAnsi="Times New Roman"/>
        </w:rPr>
        <w:t xml:space="preserve">. Комисията също така изготви доклад до Европейския парламент относно изпълнението, функционирането и ефективността на домейна от първо ниво .eu от април 2017 г. до април 2019 г., който може да бъде намерен на </w:t>
      </w:r>
      <w:hyperlink r:id="rId4" w:history="1">
        <w:r>
          <w:rPr>
            <w:rStyle w:val="Hyperlink"/>
            <w:rFonts w:ascii="Times New Roman" w:hAnsi="Times New Roman"/>
          </w:rPr>
          <w:t>https://eur-lex.europa.eu/legal-content/BG/TXT/?uri=COM%3A2020%3A0063%3AFIN</w:t>
        </w:r>
      </w:hyperlink>
      <w:r>
        <w:t xml:space="preserve"> </w:t>
      </w:r>
    </w:p>
  </w:footnote>
  <w:footnote w:id="1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5" w:history="1">
        <w:r>
          <w:rPr>
            <w:rStyle w:val="Hyperlink"/>
            <w:rFonts w:ascii="Times New Roman" w:hAnsi="Times New Roman"/>
          </w:rPr>
          <w:t>https://eurid.eu/en/news/eurid-and-the-euipo-sign-letter-of-collaboration/</w:t>
        </w:r>
      </w:hyperlink>
      <w:r>
        <w:rPr>
          <w:rFonts w:ascii="Times New Roman" w:hAnsi="Times New Roman"/>
        </w:rPr>
        <w:t xml:space="preserve"> </w:t>
      </w:r>
    </w:p>
  </w:footnote>
  <w:footnote w:id="12">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 w:history="1">
        <w:r>
          <w:rPr>
            <w:rStyle w:val="Hyperlink"/>
            <w:rFonts w:ascii="Times New Roman" w:hAnsi="Times New Roman"/>
          </w:rPr>
          <w:t>https://euipo.europa.eu/ohimportal/bg/news/-/action/view/5140548</w:t>
        </w:r>
      </w:hyperlink>
      <w:r>
        <w:rPr>
          <w:rFonts w:ascii="Times New Roman" w:hAnsi="Times New Roman"/>
        </w:rPr>
        <w:t xml:space="preserve">  </w:t>
      </w:r>
    </w:p>
  </w:footnote>
  <w:footnote w:id="13">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Услугата за изтегляне на EUIPO се състои от база данни, която може да бъде изтеглена от сървъра на EUIPO и интегрирана във вътрешните системи на потребителя. Тя съдържа данни за всички марки на ЕС, система за каталогизиране и разпространение на ресурси и международни регистрации, въведени във вътрешната база данни на EUIPO.</w:t>
      </w:r>
    </w:p>
  </w:footnote>
  <w:footnote w:id="1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 w:history="1">
        <w:r>
          <w:rPr>
            <w:rStyle w:val="Hyperlink"/>
            <w:rFonts w:ascii="Times New Roman" w:hAnsi="Times New Roman"/>
          </w:rPr>
          <w:t>https://euipo.europa.eu/ohimportal/bg/web/guest/news/-/action/view/5772664</w:t>
        </w:r>
      </w:hyperlink>
      <w:r>
        <w:rPr>
          <w:rFonts w:ascii="Times New Roman" w:hAnsi="Times New Roman"/>
        </w:rPr>
        <w:t xml:space="preserve">  </w:t>
      </w:r>
    </w:p>
  </w:footnote>
  <w:footnote w:id="15">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Върнатите на потребителите резултати са базирани на почти точно съвпадение в базата данни на EURid с незначителни разлики (като тирета и числа).</w:t>
      </w:r>
    </w:p>
  </w:footnote>
  <w:footnote w:id="1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https://www.europol.europa.eu/newsroom/news/europol-enhances-cybercrime-and-internet-security-cooperation-signing-mou-eurid</w:t>
        </w:r>
      </w:hyperlink>
      <w:r>
        <w:rPr>
          <w:rFonts w:ascii="Times New Roman" w:hAnsi="Times New Roman"/>
        </w:rPr>
        <w:t xml:space="preserve"> </w:t>
      </w:r>
    </w:p>
  </w:footnote>
  <w:footnote w:id="17">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Системата за ранно предупреждение и предотвратяване на злоупотреби (APEWS) е инструмент с машинно обучение, разработен от EURid в сътрудничество с университета в Льовен, който проверява всички новорегистрирани домейни .eu с цел откриване и предотвратяване на делегирането на зловредни домейни (т.е. фишинг, спам, разпространение на зловреден софтуер, управление и контрол на ботнет).</w:t>
      </w:r>
    </w:p>
  </w:footnote>
  <w:footnote w:id="18">
    <w:p>
      <w:pPr>
        <w:pStyle w:val="FootnoteText"/>
        <w:spacing w:after="60"/>
        <w:ind w:left="284" w:hanging="284"/>
        <w:jc w:val="both"/>
        <w:rPr>
          <w:rFonts w:ascii="Times New Roman" w:hAnsi="Times New Roman" w:cs="Times New Roman"/>
          <w:color w:val="000000"/>
        </w:rPr>
      </w:pPr>
      <w:r>
        <w:rPr>
          <w:rFonts w:ascii="Times New Roman" w:hAnsi="Times New Roman" w:cs="Times New Roman"/>
          <w:vertAlign w:val="superscript"/>
        </w:rPr>
        <w:footnoteRef/>
      </w:r>
      <w:r>
        <w:rPr>
          <w:rFonts w:ascii="Times New Roman" w:hAnsi="Times New Roman"/>
          <w:color w:val="000000"/>
        </w:rPr>
        <w:t xml:space="preserve"> </w:t>
      </w:r>
      <w:r>
        <w:tab/>
      </w:r>
      <w:hyperlink r:id="rId9">
        <w:r>
          <w:rPr>
            <w:rStyle w:val="Hyperlink"/>
            <w:rFonts w:ascii="Times New Roman" w:hAnsi="Times New Roman"/>
          </w:rPr>
          <w:t>https://eurid.eu/bg/novini/eurid-and-iacc-team-up-to-fight-cybercrime/</w:t>
        </w:r>
      </w:hyperlink>
    </w:p>
  </w:footnote>
  <w:footnote w:id="19">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0" w:history="1">
        <w:r>
          <w:rPr>
            <w:rStyle w:val="Hyperlink"/>
            <w:rFonts w:ascii="Times New Roman" w:hAnsi="Times New Roman"/>
          </w:rPr>
          <w:t>https://euipo.europa.eu/ohimportal/en/european-cooperation</w:t>
        </w:r>
      </w:hyperlink>
    </w:p>
  </w:footnote>
  <w:footnote w:id="20">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Като</w:t>
      </w:r>
      <w:r>
        <w:rPr>
          <w:rFonts w:ascii="Times New Roman" w:hAnsi="Times New Roman"/>
          <w:color w:val="000000"/>
        </w:rPr>
        <w:t xml:space="preserve"> регистъра </w:t>
      </w:r>
      <w:r>
        <w:rPr>
          <w:rFonts w:ascii="Times New Roman" w:hAnsi="Times New Roman"/>
        </w:rPr>
        <w:t>на географските означения на ЕС </w:t>
      </w:r>
      <w:r>
        <w:rPr>
          <w:rFonts w:ascii="Times New Roman" w:hAnsi="Times New Roman"/>
          <w:color w:val="000000"/>
        </w:rPr>
        <w:t>— eAmbrosia,</w:t>
      </w:r>
      <w:r>
        <w:rPr>
          <w:rFonts w:ascii="Times New Roman" w:hAnsi="Times New Roman"/>
        </w:rPr>
        <w:t xml:space="preserve"> поддържан от Комисията </w:t>
      </w:r>
      <w:hyperlink r:id="rId11" w:history="1">
        <w:r>
          <w:rPr>
            <w:rStyle w:val="Hyperlink"/>
            <w:rFonts w:ascii="Times New Roman" w:hAnsi="Times New Roman"/>
          </w:rPr>
          <w:t>https://ec.europa.eu/info/food-farming-fisheries/food-safety-and-quality/certification/quality-labels/geographical-indications-register/</w:t>
        </w:r>
      </w:hyperlink>
    </w:p>
  </w:footnote>
  <w:footnote w:id="2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 xml:space="preserve">Понастоящем на пазара на общите домейни от първо ниво има няколко услуги за блокиране на домейни като </w:t>
      </w:r>
      <w:hyperlink r:id="rId12" w:history="1">
        <w:r>
          <w:rPr>
            <w:rStyle w:val="Hyperlink"/>
            <w:rFonts w:ascii="Times New Roman" w:hAnsi="Times New Roman"/>
          </w:rPr>
          <w:t>Domain Protected Marks List (DPML)</w:t>
        </w:r>
      </w:hyperlink>
      <w:r>
        <w:rPr>
          <w:rFonts w:ascii="Times New Roman" w:hAnsi="Times New Roman"/>
          <w:color w:val="000000"/>
        </w:rPr>
        <w:t xml:space="preserve"> на Donut, </w:t>
      </w:r>
      <w:hyperlink r:id="rId13" w:history="1">
        <w:r>
          <w:rPr>
            <w:rStyle w:val="Hyperlink"/>
            <w:rFonts w:ascii="Times New Roman" w:hAnsi="Times New Roman"/>
          </w:rPr>
          <w:t>TMCH TREx</w:t>
        </w:r>
      </w:hyperlink>
      <w:r>
        <w:rPr>
          <w:rFonts w:ascii="Times New Roman" w:hAnsi="Times New Roman"/>
          <w:color w:val="000000"/>
        </w:rPr>
        <w:t xml:space="preserve"> на Trademark Clearinghouse, </w:t>
      </w:r>
      <w:hyperlink r:id="rId14" w:history="1">
        <w:r>
          <w:rPr>
            <w:rStyle w:val="Hyperlink"/>
            <w:rFonts w:ascii="Times New Roman" w:hAnsi="Times New Roman"/>
          </w:rPr>
          <w:t>Uni EPS</w:t>
        </w:r>
      </w:hyperlink>
      <w:r>
        <w:rPr>
          <w:rFonts w:ascii="Times New Roman" w:hAnsi="Times New Roman"/>
          <w:color w:val="000000"/>
        </w:rPr>
        <w:t xml:space="preserve"> на Uniregistry, </w:t>
      </w:r>
      <w:hyperlink r:id="rId15" w:history="1">
        <w:r>
          <w:rPr>
            <w:rStyle w:val="Hyperlink"/>
            <w:rFonts w:ascii="Times New Roman" w:hAnsi="Times New Roman"/>
          </w:rPr>
          <w:t>AdultBlock</w:t>
        </w:r>
      </w:hyperlink>
      <w:r>
        <w:rPr>
          <w:rFonts w:ascii="Times New Roman" w:hAnsi="Times New Roman"/>
          <w:color w:val="000000"/>
        </w:rPr>
        <w:t xml:space="preserve"> на ICM Registry, </w:t>
      </w:r>
      <w:hyperlink r:id="rId16" w:history="1">
        <w:r>
          <w:rPr>
            <w:rStyle w:val="Hyperlink"/>
            <w:rFonts w:ascii="Times New Roman" w:hAnsi="Times New Roman"/>
          </w:rPr>
          <w:t>.club Trademark Sentry</w:t>
        </w:r>
      </w:hyperlink>
      <w:r>
        <w:rPr>
          <w:rFonts w:ascii="Times New Roman" w:hAnsi="Times New Roman"/>
          <w:color w:val="000000"/>
        </w:rPr>
        <w:t xml:space="preserve"> на .club Registry.</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Тайпоскуотинг представлява форма на кибернастаняване, при която се разчита на допускането на грешки от типа на печатните грешки, които интернет потребителите правят при въвеждане на адрес на уебсайт в уеб браузър. Името на домейна,използван за тайпоскуотинг, съдържа правописна грешка в търговската марка, която е често срещана, очевидна или умишлена (например натискане на съседни букви на клавиатурата, заместване на символи, които изглеждат по подобен начин, обръщане на букви и цифри, добавяне или смесване на други термини или цифри). </w:t>
      </w:r>
    </w:p>
  </w:footnote>
  <w:footnote w:id="23">
    <w:p>
      <w:pPr>
        <w:pStyle w:val="FootnoteText"/>
        <w:spacing w:after="60"/>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Т.е. фишинг, спам, разпространение на зловреден софтуер, управление и контрол на ботнет.</w:t>
      </w:r>
    </w:p>
  </w:footnote>
  <w:footnote w:id="2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Като например при имената на домейни .be, .dk.</w:t>
      </w:r>
    </w:p>
  </w:footnote>
  <w:footnote w:id="25">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член 22, параграф 1, буква а) от Регламент (ЕО) № 874/2004 на Комисията.</w:t>
      </w:r>
    </w:p>
  </w:footnote>
  <w:footnote w:id="2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r>
          <w:rPr>
            <w:rStyle w:val="Hyperlink"/>
            <w:rFonts w:ascii="Times New Roman" w:hAnsi="Times New Roman"/>
          </w:rPr>
          <w:t>https://eurid.eu/d/7770495/EN_ADR_English_rules.pdf</w:t>
        </w:r>
      </w:hyperlink>
    </w:p>
  </w:footnote>
  <w:footnote w:id="27">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повече информация относно свързаното с .eu АРС разгледайте раздел 10.2 от външното проучване: </w:t>
      </w:r>
      <w:hyperlink r:id="rId18" w:history="1">
        <w:r>
          <w:rPr>
            <w:rStyle w:val="Hyperlink"/>
            <w:rFonts w:ascii="Times New Roman" w:hAnsi="Times New Roman"/>
          </w:rPr>
          <w:t>https://dx.publications.europa.eu/10.2759/428574</w:t>
        </w:r>
      </w:hyperlink>
      <w:r>
        <w:rPr>
          <w:rFonts w:ascii="Times New Roman" w:hAnsi="Times New Roman"/>
        </w:rPr>
        <w:t xml:space="preserve"> </w:t>
      </w:r>
    </w:p>
  </w:footnote>
  <w:footnote w:id="28">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9" w:history="1">
        <w:r>
          <w:rPr>
            <w:rStyle w:val="Hyperlink"/>
            <w:rFonts w:ascii="Times New Roman" w:hAnsi="Times New Roman"/>
          </w:rPr>
          <w:t>URS</w:t>
        </w:r>
      </w:hyperlink>
      <w:r>
        <w:rPr>
          <w:rFonts w:ascii="Times New Roman" w:hAnsi="Times New Roman"/>
        </w:rPr>
        <w:t xml:space="preserve"> е механизъм за защита на правата, стартиран от ICANN през 2013 г. с въвеждането на новите общи домейни от първо ниво. URS е евтина, бърза процедура за носителите на права, чиято търговска марка по безспорен начин е станала обект на нарушение, причинено от регистрации на имена на домейни. Тя води до временно сваляне (спиране) на името на домейна до изтичането му. В края на периода на регистрация името на домейна се анулира от оператора на регистъра.</w:t>
      </w:r>
    </w:p>
  </w:footnote>
  <w:footnote w:id="29">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Например подаване на възражение в регистъра за .eu срещу регистрацията на име на домейн (след делегиране), за да се заключи името на домейна (например както в името на домейна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398"/>
    <w:multiLevelType w:val="hybridMultilevel"/>
    <w:tmpl w:val="ACC6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866489"/>
    <w:multiLevelType w:val="hybridMultilevel"/>
    <w:tmpl w:val="55B0A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6B0BEC"/>
    <w:multiLevelType w:val="hybridMultilevel"/>
    <w:tmpl w:val="A4DAD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90828"/>
    <w:multiLevelType w:val="hybridMultilevel"/>
    <w:tmpl w:val="68C61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5D402B"/>
    <w:multiLevelType w:val="multilevel"/>
    <w:tmpl w:val="728E2BC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37E7A8A"/>
    <w:multiLevelType w:val="hybridMultilevel"/>
    <w:tmpl w:val="AD88B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FD47F9"/>
    <w:multiLevelType w:val="hybridMultilevel"/>
    <w:tmpl w:val="C0D4F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C726F23"/>
    <w:multiLevelType w:val="hybridMultilevel"/>
    <w:tmpl w:val="DDEE7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BB71B5"/>
    <w:multiLevelType w:val="hybridMultilevel"/>
    <w:tmpl w:val="D7568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445E5E"/>
    <w:multiLevelType w:val="hybridMultilevel"/>
    <w:tmpl w:val="2C809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8"/>
  </w:num>
  <w:num w:numId="6">
    <w:abstractNumId w:val="9"/>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3F35AD-77BF-428A-8D95-7FBA010250D8"/>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4?\u1094?\u1077?\u1085?\u1082?\u1072? \u1085?\u1072? \u1089?\u1098?\u1090?\u1088?\u1091?\u1076?\u1085?\u1080?\u1095?\u1077?\u1089?\u1090?\u1074?\u1086?\u1090?\u1086? \u1085?\u1072? \u1086?\u1087?\u1077?\u1088?\u1072?\u1090?\u1086?\u1088?\u1072? \u1085?\u1072? \u1088?\u1077?\u1075?\u1080?\u1089?\u1090?\u1098?\u1088?\u1072? \u1079?\u1072? \u1076?\u1086?\u1084?\u1077?\u1081?\u1085?\u1072? .eu \u1089? EUIPO \u1080? \u1076?\u1088?\u1091?\u1075?\u1080? \u1072?\u1075?\u1077?\u1085?\u1094?\u1080?\u1080? \u1085?\u1072? \u1057?\u1098?\u1102?\u1079?\u1072? \u1089? \u1086?\u1075?\u1083?\u1077?\u1076? \u1073?\u1086?\u1088?\u1073?\u1072?\u1090?\u1072? \u1089? \u1085?\u1077?\u1087?\u1088?\u1072?\u1074?\u1086?\u1084?\u1077?\u1088?\u1085?\u1080?\u1090?\u1077? \u1080? \u1089?\u1087?\u1077?\u1082?\u1091?\u1083?\u1072?\u1090?\u1080?\u1074?\u1085?\u1080?\u1090?\u1077? \u1088?\u1077?\u1075?\u1080?\u1089?\u1090?\u1088?\u1072?\u1094?\u1080?\u1080? \u1085?\u1072? \u1080?\u1084?\u1077?\u1085?\u1072? \u1085?\u1072? \u1076?\u1086?\u1084?\u1077?\u1081?\u1085?\u1080?, \u1089?\u1098?\u1075?\u1083?\u1072?\u1089?\u1085?\u1086? \u1095?\u1083?\u1077?\u1085? 16 \u1086?\u1090? \u1056?\u1077?\u1075?\u1083?\u1072?\u1084?\u1077?\u1085?\u1090? (\u1045?\u1057?) 2019/51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Pr>
      <w:vertAlign w:val="superscript"/>
    </w:rPr>
  </w:style>
  <w:style w:type="paragraph" w:customStyle="1" w:styleId="CharCharChar">
    <w:name w:val="Char Char Char"/>
    <w:basedOn w:val="Normal"/>
    <w:link w:val="FootnoteReference"/>
    <w:uiPriority w:val="99"/>
    <w:pPr>
      <w:spacing w:line="240" w:lineRule="exact"/>
      <w:jc w:val="both"/>
    </w:pPr>
    <w:rPr>
      <w:vertAlign w:val="superscript"/>
    </w:rPr>
  </w:style>
  <w:style w:type="paragraph" w:styleId="TOC1">
    <w:name w:val="toc 1"/>
    <w:basedOn w:val="Normal"/>
    <w:next w:val="Normal"/>
    <w:autoRedefine/>
    <w:uiPriority w:val="39"/>
    <w:unhideWhenUsed/>
    <w:pPr>
      <w:tabs>
        <w:tab w:val="left" w:pos="440"/>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Pr>
      <w:vertAlign w:val="superscript"/>
    </w:rPr>
  </w:style>
  <w:style w:type="paragraph" w:customStyle="1" w:styleId="CharCharChar">
    <w:name w:val="Char Char Char"/>
    <w:basedOn w:val="Normal"/>
    <w:link w:val="FootnoteReference"/>
    <w:uiPriority w:val="99"/>
    <w:pPr>
      <w:spacing w:line="240" w:lineRule="exact"/>
      <w:jc w:val="both"/>
    </w:pPr>
    <w:rPr>
      <w:vertAlign w:val="superscript"/>
    </w:rPr>
  </w:style>
  <w:style w:type="paragraph" w:styleId="TOC1">
    <w:name w:val="toc 1"/>
    <w:basedOn w:val="Normal"/>
    <w:next w:val="Normal"/>
    <w:autoRedefine/>
    <w:uiPriority w:val="39"/>
    <w:unhideWhenUsed/>
    <w:pPr>
      <w:tabs>
        <w:tab w:val="left" w:pos="440"/>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newsroom/news/europol-enhances-cybercrime-and-internet-security-cooperation-signing-mou-eurid" TargetMode="External"/><Relationship Id="rId13" Type="http://schemas.openxmlformats.org/officeDocument/2006/relationships/hyperlink" Target="https://www.trademark-clearinghouse.com/content/tmch-trex-trademark-registry-exchange" TargetMode="External"/><Relationship Id="rId18" Type="http://schemas.openxmlformats.org/officeDocument/2006/relationships/hyperlink" Target="https://dx.publications.europa.eu/10.2759/428574" TargetMode="External"/><Relationship Id="rId3" Type="http://schemas.openxmlformats.org/officeDocument/2006/relationships/hyperlink" Target="https://eurid.eu/bg/novini/2019-annual-report/" TargetMode="External"/><Relationship Id="rId7" Type="http://schemas.openxmlformats.org/officeDocument/2006/relationships/hyperlink" Target="https://euipo.europa.eu/ohimportal/bg/web/guest/news/-/action/view/5772664" TargetMode="External"/><Relationship Id="rId12" Type="http://schemas.openxmlformats.org/officeDocument/2006/relationships/hyperlink" Target="https://donuts.domains/what-we-do/brand-protection" TargetMode="External"/><Relationship Id="rId17" Type="http://schemas.openxmlformats.org/officeDocument/2006/relationships/hyperlink" Target="https://eurid.eu/d/7770495/EN_ADR_English_rules.pdf" TargetMode="External"/><Relationship Id="rId2" Type="http://schemas.openxmlformats.org/officeDocument/2006/relationships/hyperlink" Target="https://dx.publications.europa.eu/10.2759/428574" TargetMode="External"/><Relationship Id="rId16" Type="http://schemas.openxmlformats.org/officeDocument/2006/relationships/hyperlink" Target="https://trademarksentry.club/about/" TargetMode="External"/><Relationship Id="rId1" Type="http://schemas.openxmlformats.org/officeDocument/2006/relationships/hyperlink" Target="https://eurid.eu/media/filer_public/43/77/43778dd5-5afa-42ce-8213-0c8d661ec26f/quarterly_q22020.pdf" TargetMode="External"/><Relationship Id="rId6" Type="http://schemas.openxmlformats.org/officeDocument/2006/relationships/hyperlink" Target="https://euipo.europa.eu/ohimportal/bg/news/-/action/view/5140548" TargetMode="External"/><Relationship Id="rId11" Type="http://schemas.openxmlformats.org/officeDocument/2006/relationships/hyperlink" Target="https://ec.europa.eu/info/food-farming-fisheries/food-safety-and-quality/certification/quality-labels/geographical-indications-register/" TargetMode="External"/><Relationship Id="rId5" Type="http://schemas.openxmlformats.org/officeDocument/2006/relationships/hyperlink" Target="https://eurid.eu/bg/novini/eurid-and-the-euipo-sign-letter-of-collaboration/" TargetMode="External"/><Relationship Id="rId15" Type="http://schemas.openxmlformats.org/officeDocument/2006/relationships/hyperlink" Target="https://adultblock.icmregistry.com/" TargetMode="External"/><Relationship Id="rId10" Type="http://schemas.openxmlformats.org/officeDocument/2006/relationships/hyperlink" Target="https://euipo.europa.eu/ohimportal/bg/european-cooperation" TargetMode="External"/><Relationship Id="rId19" Type="http://schemas.openxmlformats.org/officeDocument/2006/relationships/hyperlink" Target="https://newgtlds.icann.org/en/applicants/urs" TargetMode="External"/><Relationship Id="rId4" Type="http://schemas.openxmlformats.org/officeDocument/2006/relationships/hyperlink" Target="https://eur-lex.europa.eu/legal-content/BG/TXT/?uri=COM:2020:0063:FIN" TargetMode="External"/><Relationship Id="rId9" Type="http://schemas.openxmlformats.org/officeDocument/2006/relationships/hyperlink" Target="https://eurid.eu/bg/novini/eurid-and-iacc-team-up-to-fight-cybercrime/" TargetMode="External"/><Relationship Id="rId14" Type="http://schemas.openxmlformats.org/officeDocument/2006/relationships/hyperlink" Target="https://www.unieps.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96B5-DF54-42FD-8D44-53315696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3622</Words>
  <Characters>20646</Characters>
  <Application>Microsoft Office Word</Application>
  <DocSecurity>0</DocSecurity>
  <Lines>404</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2020-09-02T13:59:00Z</dcterms:created>
  <dcterms:modified xsi:type="dcterms:W3CDTF">2020-11-23T10:17:00Z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