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940889C6-96B2-4100-A176-7F000B542B9D" style="width:451pt;height:465.95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 xml:space="preserve">ПРИЛОЖЕНИЕ </w:t>
      </w:r>
    </w:p>
    <w:p>
      <w:pPr>
        <w:rPr>
          <w:noProof/>
        </w:rPr>
      </w:pPr>
    </w:p>
    <w:p>
      <w:pPr>
        <w:spacing w:after="0"/>
        <w:jc w:val="center"/>
        <w:rPr>
          <w:rFonts w:eastAsia="Times New Roman"/>
          <w:b/>
          <w:noProof/>
          <w:color w:val="000000"/>
          <w:szCs w:val="24"/>
        </w:rPr>
      </w:pPr>
      <w:r>
        <w:rPr>
          <w:b/>
          <w:noProof/>
          <w:color w:val="000000"/>
          <w:szCs w:val="24"/>
        </w:rPr>
        <w:t>Решение № .../2020 на Съвместния комитет, създаден със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p>
    <w:p>
      <w:pPr>
        <w:spacing w:before="240"/>
        <w:jc w:val="center"/>
        <w:rPr>
          <w:rFonts w:eastAsia="Times New Roman"/>
          <w:b/>
          <w:bCs/>
          <w:noProof/>
          <w:color w:val="000000"/>
          <w:szCs w:val="24"/>
        </w:rPr>
      </w:pPr>
      <w:r>
        <w:rPr>
          <w:b/>
          <w:bCs/>
          <w:noProof/>
          <w:color w:val="000000"/>
          <w:szCs w:val="24"/>
        </w:rPr>
        <w:t>от ... година</w:t>
      </w:r>
    </w:p>
    <w:p>
      <w:pPr>
        <w:spacing w:before="240"/>
        <w:jc w:val="center"/>
        <w:rPr>
          <w:rFonts w:ascii="&amp;quot" w:eastAsia="Times New Roman" w:hAnsi="&amp;quot"/>
          <w:b/>
          <w:bCs/>
          <w:noProof/>
          <w:color w:val="000000"/>
          <w:szCs w:val="24"/>
        </w:rPr>
      </w:pPr>
      <w:r>
        <w:rPr>
          <w:b/>
          <w:noProof/>
        </w:rPr>
        <w:t>за определяне на датата, от която разпоредбите на втора част, дял III от Споразумението се прилагат за гражданите на Исландия, Княжество Лихтенщайн, Кралство Норвегия и Конфедерация Швейцария</w:t>
      </w:r>
    </w:p>
    <w:p>
      <w:pPr>
        <w:spacing w:after="0"/>
        <w:rPr>
          <w:rFonts w:eastAsia="Times New Roman"/>
          <w:noProof/>
          <w:color w:val="000000"/>
          <w:szCs w:val="24"/>
        </w:rPr>
      </w:pPr>
      <w:r>
        <w:rPr>
          <w:noProof/>
          <w:color w:val="000000"/>
          <w:szCs w:val="24"/>
        </w:rPr>
        <w:t>СЪВМЕСТНИЯТ КОМИТЕТ,</w:t>
      </w:r>
    </w:p>
    <w:p>
      <w:pPr>
        <w:spacing w:after="0"/>
        <w:rPr>
          <w:rFonts w:eastAsia="Times New Roman"/>
          <w:noProof/>
          <w:color w:val="000000"/>
          <w:szCs w:val="24"/>
        </w:rPr>
      </w:pPr>
      <w:r>
        <w:rPr>
          <w:noProof/>
          <w:color w:val="000000"/>
          <w:szCs w:val="24"/>
        </w:rPr>
        <w:t>като взе предвид Споразумението за оттеглянето на Обединеното кралство Великобритания и Северна Ирландия от Европейския съюз и Европейската общност за атомна енергия</w:t>
      </w:r>
      <w:r>
        <w:rPr>
          <w:rStyle w:val="FootnoteReference"/>
          <w:rFonts w:eastAsia="Times New Roman"/>
          <w:noProof/>
          <w:color w:val="000000"/>
          <w:szCs w:val="24"/>
        </w:rPr>
        <w:footnoteReference w:id="1"/>
      </w:r>
      <w:r>
        <w:rPr>
          <w:noProof/>
          <w:color w:val="000000"/>
          <w:szCs w:val="24"/>
        </w:rPr>
        <w:t xml:space="preserve"> („Споразумението за оттегляне“), и по-специално член 33, параграф 2 от него,</w:t>
      </w:r>
    </w:p>
    <w:p>
      <w:pPr>
        <w:spacing w:after="0"/>
        <w:rPr>
          <w:rFonts w:eastAsia="Times New Roman"/>
          <w:noProof/>
          <w:color w:val="000000"/>
          <w:szCs w:val="24"/>
        </w:rPr>
      </w:pPr>
      <w:r>
        <w:rPr>
          <w:noProof/>
          <w:color w:val="000000"/>
          <w:szCs w:val="24"/>
        </w:rPr>
        <w:t>като има предвид, че:</w:t>
      </w:r>
    </w:p>
    <w:p>
      <w:pPr>
        <w:pStyle w:val="Point0"/>
        <w:rPr>
          <w:noProof/>
        </w:rPr>
      </w:pPr>
      <w:r>
        <w:rPr>
          <w:noProof/>
        </w:rPr>
        <w:t>(1)</w:t>
      </w:r>
      <w:r>
        <w:rPr>
          <w:noProof/>
        </w:rPr>
        <w:tab/>
        <w:t>Съгласно член 33, параграф 1 от Споразумението за оттегляне разпоредбите на втора част, дял III от Споразумението, който дял се отнася до координацията на системите за социална сигурност, приложими за гражданите на Съюза, се прилагат за гражданите на Исландия, Княжество Лихтенщайн, Кралство Норвегия и Конфедерация Швейцария, при условие че тези държави са сключили и прилагат съответните споразумения, от една страна, с Обединеното кралство, които се прилагат за гражданите на Съюза, и, от друга страна, със Съюза, които се прилагат за гражданите на Обединеното кралство.</w:t>
      </w:r>
    </w:p>
    <w:p>
      <w:pPr>
        <w:pStyle w:val="Point0"/>
        <w:rPr>
          <w:noProof/>
        </w:rPr>
      </w:pPr>
      <w:r>
        <w:rPr>
          <w:noProof/>
        </w:rPr>
        <w:t>(2)</w:t>
      </w:r>
      <w:r>
        <w:rPr>
          <w:noProof/>
        </w:rPr>
        <w:tab/>
        <w:t>Съгласно член 33, параграф 2 от Споразумението за оттегляне след получаване на уведомление от Обединеното кралство и от Съюза за датата на влизане в сила на тези споразумения Съвместният комитет определя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 според случая.</w:t>
      </w:r>
    </w:p>
    <w:p>
      <w:pPr>
        <w:pStyle w:val="Point0"/>
        <w:rPr>
          <w:noProof/>
        </w:rPr>
      </w:pPr>
      <w:r>
        <w:rPr>
          <w:noProof/>
        </w:rPr>
        <w:t>(3)</w:t>
      </w:r>
      <w:r>
        <w:rPr>
          <w:noProof/>
        </w:rPr>
        <w:tab/>
        <w:t>Съюзът сключи съответните споразумения с Исландия, Княжество Лихтенщайн и Кралство Норвегия</w:t>
      </w:r>
      <w:r>
        <w:rPr>
          <w:rStyle w:val="FootnoteReference"/>
          <w:noProof/>
        </w:rPr>
        <w:footnoteReference w:id="2"/>
      </w:r>
      <w:r>
        <w:rPr>
          <w:noProof/>
        </w:rPr>
        <w:t xml:space="preserve"> и с Конфедерация Швейцария</w:t>
      </w:r>
      <w:r>
        <w:rPr>
          <w:rStyle w:val="FootnoteReference"/>
          <w:noProof/>
        </w:rPr>
        <w:footnoteReference w:id="3"/>
      </w:r>
      <w:r>
        <w:rPr>
          <w:noProof/>
        </w:rPr>
        <w:t>, които се прилагат за гражданите на Обединеното кралство. Обединеното кралство сключи съответните споразумения с Исландия, Княжество Лихтенщайн и Кралство Норвегия</w:t>
      </w:r>
      <w:r>
        <w:rPr>
          <w:rStyle w:val="FootnoteReference"/>
          <w:noProof/>
        </w:rPr>
        <w:footnoteReference w:id="4"/>
      </w:r>
      <w:r>
        <w:rPr>
          <w:noProof/>
        </w:rPr>
        <w:t xml:space="preserve"> и с Конфедерация Швейцария</w:t>
      </w:r>
      <w:r>
        <w:rPr>
          <w:rStyle w:val="FootnoteReference"/>
          <w:noProof/>
        </w:rPr>
        <w:footnoteReference w:id="5"/>
      </w:r>
      <w:r>
        <w:rPr>
          <w:noProof/>
        </w:rPr>
        <w:t xml:space="preserve">, които се прилагат за гражданите на Съюза. </w:t>
      </w:r>
    </w:p>
    <w:p>
      <w:pPr>
        <w:pStyle w:val="Point0"/>
        <w:rPr>
          <w:noProof/>
        </w:rPr>
      </w:pPr>
      <w:r>
        <w:rPr>
          <w:noProof/>
        </w:rPr>
        <w:lastRenderedPageBreak/>
        <w:t>(4)</w:t>
      </w:r>
      <w:r>
        <w:rPr>
          <w:noProof/>
        </w:rPr>
        <w:tab/>
        <w:t xml:space="preserve">Предвид уведомленията от Обединеното кралство и от Съюза за датата на влизане в сила на споразуменията, посочени в съображение 3, датата, от която разпоредбите на втора част, дял III от Споразумението се прилагат по отношение на гражданите на Исландия, Княжество Лихтенщайн, Кралство Норвегия и Конфедерация Швейцария, следва да бъде 1 януари 2021. </w:t>
      </w:r>
    </w:p>
    <w:p>
      <w:pPr>
        <w:spacing w:after="0"/>
        <w:rPr>
          <w:rFonts w:eastAsia="Times New Roman"/>
          <w:noProof/>
          <w:color w:val="000000"/>
          <w:szCs w:val="24"/>
        </w:rPr>
      </w:pPr>
      <w:r>
        <w:rPr>
          <w:noProof/>
          <w:color w:val="000000"/>
          <w:szCs w:val="24"/>
        </w:rPr>
        <w:t>ПРИЕ НАСТОЯЩОТО РЕШЕНИЕ:</w:t>
      </w:r>
    </w:p>
    <w:p>
      <w:pPr>
        <w:keepNext/>
        <w:spacing w:before="360"/>
        <w:jc w:val="center"/>
        <w:rPr>
          <w:rFonts w:eastAsia="Times New Roman"/>
          <w:i/>
          <w:iCs/>
          <w:noProof/>
          <w:color w:val="000000"/>
          <w:szCs w:val="24"/>
        </w:rPr>
      </w:pPr>
      <w:r>
        <w:rPr>
          <w:i/>
          <w:iCs/>
          <w:noProof/>
          <w:color w:val="000000"/>
          <w:szCs w:val="24"/>
        </w:rPr>
        <w:t>Член 1</w:t>
      </w:r>
    </w:p>
    <w:p>
      <w:pPr>
        <w:spacing w:before="360"/>
        <w:rPr>
          <w:noProof/>
        </w:rPr>
      </w:pPr>
      <w:r>
        <w:rPr>
          <w:noProof/>
          <w:color w:val="000000"/>
          <w:szCs w:val="24"/>
        </w:rPr>
        <w:t>Датата, от която разпоредбите на втора част, дял III от Споразумението се прилагат за гражданите на Исландия, Княжество Лихтенщайн, Кралство Норвегия и Конфедерация Швейцария, е 1 януари 2021.</w:t>
      </w:r>
      <w:r>
        <w:rPr>
          <w:noProof/>
        </w:rPr>
        <w:t xml:space="preserve"> </w:t>
      </w:r>
    </w:p>
    <w:p>
      <w:pPr>
        <w:spacing w:before="360"/>
        <w:jc w:val="center"/>
        <w:rPr>
          <w:rFonts w:eastAsia="Times New Roman"/>
          <w:i/>
          <w:iCs/>
          <w:noProof/>
          <w:color w:val="000000"/>
          <w:szCs w:val="24"/>
        </w:rPr>
      </w:pPr>
      <w:r>
        <w:rPr>
          <w:i/>
          <w:iCs/>
          <w:noProof/>
          <w:color w:val="000000"/>
          <w:szCs w:val="24"/>
        </w:rPr>
        <w:t>Член 2</w:t>
      </w:r>
    </w:p>
    <w:p>
      <w:pPr>
        <w:spacing w:after="0"/>
        <w:rPr>
          <w:rFonts w:eastAsia="Times New Roman"/>
          <w:noProof/>
          <w:color w:val="000000"/>
          <w:szCs w:val="24"/>
        </w:rPr>
      </w:pPr>
      <w:r>
        <w:rPr>
          <w:noProof/>
          <w:color w:val="000000"/>
          <w:szCs w:val="24"/>
        </w:rPr>
        <w:t xml:space="preserve">Настоящото решение влиза в сила в деня на приемането му. </w:t>
      </w:r>
    </w:p>
    <w:p>
      <w:pPr>
        <w:spacing w:after="0"/>
        <w:rPr>
          <w:noProof/>
          <w:color w:val="000000"/>
          <w:szCs w:val="24"/>
        </w:rPr>
      </w:pPr>
      <w:r>
        <w:rPr>
          <w:noProof/>
          <w:color w:val="000000"/>
          <w:szCs w:val="24"/>
        </w:rPr>
        <w:t>Съставено в Брюксел на […] година.</w:t>
      </w:r>
    </w:p>
    <w:p>
      <w:pPr>
        <w:spacing w:after="0"/>
        <w:rPr>
          <w:rFonts w:eastAsia="Times New Roman"/>
          <w:noProof/>
          <w:color w:val="000000"/>
          <w:szCs w:val="24"/>
        </w:rPr>
      </w:pPr>
    </w:p>
    <w:p>
      <w:pPr>
        <w:spacing w:before="60" w:after="60"/>
        <w:jc w:val="center"/>
        <w:rPr>
          <w:rFonts w:eastAsia="Times New Roman"/>
          <w:noProof/>
          <w:color w:val="000000"/>
          <w:szCs w:val="24"/>
        </w:rPr>
      </w:pPr>
      <w:r>
        <w:rPr>
          <w:i/>
          <w:iCs/>
          <w:noProof/>
          <w:color w:val="000000"/>
          <w:szCs w:val="24"/>
        </w:rPr>
        <w:t>За Съвместния комитет</w:t>
      </w:r>
      <w:r>
        <w:rPr>
          <w:noProof/>
          <w:color w:val="000000"/>
          <w:szCs w:val="24"/>
        </w:rPr>
        <w:t xml:space="preserve"> </w:t>
      </w:r>
    </w:p>
    <w:p>
      <w:pPr>
        <w:jc w:val="center"/>
        <w:rPr>
          <w:rFonts w:eastAsia="Times New Roman"/>
          <w:i/>
          <w:iCs/>
          <w:noProof/>
          <w:color w:val="000000"/>
          <w:szCs w:val="24"/>
        </w:rPr>
      </w:pPr>
      <w:r>
        <w:rPr>
          <w:i/>
          <w:iCs/>
          <w:noProof/>
          <w:color w:val="000000"/>
          <w:szCs w:val="24"/>
        </w:rPr>
        <w:t>Съпредседатели</w:t>
      </w:r>
    </w:p>
    <w:p>
      <w:pPr>
        <w:jc w:val="center"/>
        <w:rPr>
          <w:rFonts w:eastAsia="Times New Roman"/>
          <w:i/>
          <w:iCs/>
          <w:noProof/>
          <w:color w:val="000000"/>
          <w:szCs w:val="24"/>
        </w:rPr>
      </w:pPr>
    </w:p>
    <w:sectPr>
      <w:footerReference w:type="default" r:id="rId15"/>
      <w:footerReference w:type="first" r:id="rId16"/>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r>
      <w:hyperlink r:id="rId1" w:history="1">
        <w:r>
          <w:rPr>
            <w:rStyle w:val="Hyperlink"/>
          </w:rPr>
          <w:t>OВ L 29, 31.1.2020 г., стр. 7.</w:t>
        </w:r>
      </w:hyperlink>
    </w:p>
  </w:footnote>
  <w:footnote w:id="2">
    <w:p>
      <w:pPr>
        <w:pStyle w:val="FootnoteText"/>
      </w:pPr>
      <w:r>
        <w:rPr>
          <w:rStyle w:val="FootnoteReference"/>
        </w:rPr>
        <w:footnoteRef/>
      </w:r>
      <w:r>
        <w:tab/>
        <w:t>Решение № [...] от [...] на Съвместния комитет на ЕИП за изменение на приложение VI (Социална сигурност) към Споразумението за ЕИП.</w:t>
      </w:r>
    </w:p>
  </w:footnote>
  <w:footnote w:id="3">
    <w:p>
      <w:pPr>
        <w:pStyle w:val="FootnoteText"/>
      </w:pPr>
      <w:r>
        <w:rPr>
          <w:rStyle w:val="FootnoteReference"/>
        </w:rPr>
        <w:footnoteRef/>
      </w:r>
      <w:r>
        <w:tab/>
        <w:t>Решение № .../... на Съвместния комитет, създаден съгласно Споразумението между Европейската общност и нейните държави членки, от една страна, и Конфедерация Швейцария, от друга страна, относно свободното движение на хора, от [...], с което се изменя приложение II към посоченото споразумение, което приложение се отнася до координирането на схемите за социална сигурност.</w:t>
      </w:r>
    </w:p>
  </w:footnote>
  <w:footnote w:id="4">
    <w:p>
      <w:pPr>
        <w:pStyle w:val="FootnoteText"/>
      </w:pPr>
      <w:r>
        <w:rPr>
          <w:rStyle w:val="FootnoteReference"/>
        </w:rPr>
        <w:footnoteRef/>
      </w:r>
      <w:r>
        <w:tab/>
        <w:t>Споразумение относно договореностите между Исландия, Княжество Лихтенщайн, Кралство Норвегия и Обединеното кралство Великобритания и Северна Ирландия, след оттеглянето на Обединеното кралство от Европейския съюз, Споразумението за ЕИП, както и другите споразумения, приложими между Обединеното кралство и държавите от ЕИП/ЕАСТ по силата на членството на Обединеното кралство в Европейския съюз, подписано в Лондон на 28 януари 2020 г.</w:t>
      </w:r>
    </w:p>
  </w:footnote>
  <w:footnote w:id="5">
    <w:p>
      <w:pPr>
        <w:pStyle w:val="FootnoteText"/>
      </w:pPr>
      <w:r>
        <w:rPr>
          <w:rStyle w:val="FootnoteReference"/>
        </w:rPr>
        <w:footnoteRef/>
      </w:r>
      <w:r>
        <w:tab/>
        <w:t>Споразумение между Обединеното кралство Великобритания и Северна Ирландия и Конфедерация Швейцария относно правата на гражданите след оттеглянето на Обединеното кралство от Европейския съюз и Споразумението относно свободното движение на хора, подписано в Берн на 25 февруари 2019 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70C679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6DC7C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2A9E6E20"/>
    <w:lvl w:ilvl="0">
      <w:start w:val="1"/>
      <w:numFmt w:val="decimal"/>
      <w:pStyle w:val="ListNumber2"/>
      <w:lvlText w:val="%1."/>
      <w:lvlJc w:val="left"/>
      <w:pPr>
        <w:tabs>
          <w:tab w:val="num" w:pos="643"/>
        </w:tabs>
        <w:ind w:left="643" w:hanging="360"/>
      </w:pPr>
    </w:lvl>
  </w:abstractNum>
  <w:abstractNum w:abstractNumId="3">
    <w:nsid w:val="FFFFFF81"/>
    <w:multiLevelType w:val="singleLevel"/>
    <w:tmpl w:val="F202FBA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9BC53D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8"/>
    <w:multiLevelType w:val="singleLevel"/>
    <w:tmpl w:val="ECF2AC9A"/>
    <w:lvl w:ilvl="0">
      <w:start w:val="1"/>
      <w:numFmt w:val="decimal"/>
      <w:pStyle w:val="ListNumber"/>
      <w:lvlText w:val="%1."/>
      <w:lvlJc w:val="left"/>
      <w:pPr>
        <w:tabs>
          <w:tab w:val="num" w:pos="360"/>
        </w:tabs>
        <w:ind w:left="360" w:hanging="360"/>
      </w:pPr>
    </w:lvl>
  </w:abstractNum>
  <w:abstractNum w:abstractNumId="6">
    <w:nsid w:val="FFFFFF89"/>
    <w:multiLevelType w:val="singleLevel"/>
    <w:tmpl w:val="4C9EE070"/>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5">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6">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8">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0">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0"/>
  </w:num>
  <w:num w:numId="2">
    <w:abstractNumId w:val="6"/>
  </w:num>
  <w:num w:numId="3">
    <w:abstractNumId w:val="4"/>
  </w:num>
  <w:num w:numId="4">
    <w:abstractNumId w:val="3"/>
  </w:num>
  <w:num w:numId="5">
    <w:abstractNumId w:val="5"/>
  </w:num>
  <w:num w:numId="6">
    <w:abstractNumId w:val="2"/>
  </w:num>
  <w:num w:numId="7">
    <w:abstractNumId w:val="1"/>
  </w:num>
  <w:num w:numId="8">
    <w:abstractNumId w:val="0"/>
  </w:num>
  <w:num w:numId="9">
    <w:abstractNumId w:val="17"/>
  </w:num>
  <w:num w:numId="10">
    <w:abstractNumId w:val="11"/>
  </w:num>
  <w:num w:numId="11">
    <w:abstractNumId w:val="19"/>
  </w:num>
  <w:num w:numId="12">
    <w:abstractNumId w:val="10"/>
  </w:num>
  <w:num w:numId="13">
    <w:abstractNumId w:val="12"/>
  </w:num>
  <w:num w:numId="14">
    <w:abstractNumId w:val="8"/>
  </w:num>
  <w:num w:numId="15">
    <w:abstractNumId w:val="18"/>
  </w:num>
  <w:num w:numId="16">
    <w:abstractNumId w:val="7"/>
  </w:num>
  <w:num w:numId="17">
    <w:abstractNumId w:val="13"/>
  </w:num>
  <w:num w:numId="18">
    <w:abstractNumId w:val="15"/>
  </w:num>
  <w:num w:numId="19">
    <w:abstractNumId w:val="16"/>
  </w:num>
  <w:num w:numId="20">
    <w:abstractNumId w:val="9"/>
  </w:num>
  <w:num w:numId="21">
    <w:abstractNumId w:val="14"/>
  </w:num>
  <w:num w:numId="22">
    <w:abstractNumId w:val="21"/>
  </w:num>
  <w:num w:numId="23">
    <w:abstractNumId w:val="17"/>
  </w:num>
  <w:num w:numId="24">
    <w:abstractNumId w:val="11"/>
  </w:num>
  <w:num w:numId="25">
    <w:abstractNumId w:val="19"/>
  </w:num>
  <w:num w:numId="26">
    <w:abstractNumId w:val="10"/>
  </w:num>
  <w:num w:numId="27">
    <w:abstractNumId w:val="12"/>
  </w:num>
  <w:num w:numId="28">
    <w:abstractNumId w:val="8"/>
  </w:num>
  <w:num w:numId="29">
    <w:abstractNumId w:val="18"/>
  </w:num>
  <w:num w:numId="30">
    <w:abstractNumId w:val="7"/>
  </w:num>
  <w:num w:numId="31">
    <w:abstractNumId w:val="13"/>
  </w:num>
  <w:num w:numId="32">
    <w:abstractNumId w:val="15"/>
  </w:num>
  <w:num w:numId="33">
    <w:abstractNumId w:val="16"/>
  </w:num>
  <w:num w:numId="34">
    <w:abstractNumId w:val="9"/>
  </w:num>
  <w:num w:numId="35">
    <w:abstractNumId w:val="14"/>
  </w:num>
  <w:num w:numId="36">
    <w:abstractNumId w:val="21"/>
  </w:num>
  <w:num w:numId="37">
    <w:abstractNumId w:val="17"/>
  </w:num>
  <w:num w:numId="38">
    <w:abstractNumId w:val="11"/>
  </w:num>
  <w:num w:numId="39">
    <w:abstractNumId w:val="19"/>
  </w:num>
  <w:num w:numId="40">
    <w:abstractNumId w:val="10"/>
  </w:num>
  <w:num w:numId="41">
    <w:abstractNumId w:val="12"/>
  </w:num>
  <w:num w:numId="42">
    <w:abstractNumId w:val="8"/>
  </w:num>
  <w:num w:numId="43">
    <w:abstractNumId w:val="18"/>
  </w:num>
  <w:num w:numId="44">
    <w:abstractNumId w:val="7"/>
  </w:num>
  <w:num w:numId="45">
    <w:abstractNumId w:val="13"/>
  </w:num>
  <w:num w:numId="46">
    <w:abstractNumId w:val="15"/>
  </w:num>
  <w:num w:numId="47">
    <w:abstractNumId w:val="16"/>
  </w:num>
  <w:num w:numId="48">
    <w:abstractNumId w:val="9"/>
  </w:num>
  <w:num w:numId="49">
    <w:abstractNumId w:val="14"/>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ttachedTemplate r:id="rId1"/>
  <w:revisionView w:markup="0"/>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2 16:14:2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940889C6-96B2-4100-A176-7F000B542B9D"/>
    <w:docVar w:name="LW_COVERPAGE_TYPE" w:val="1"/>
    <w:docVar w:name="LW_CROSSREFERENCE" w:val="&lt;UNUSED&gt;"/>
    <w:docVar w:name="LW_DocType" w:val="ANNEX"/>
    <w:docVar w:name="LW_EMISSION" w:val="27.11.2020"/>
    <w:docVar w:name="LW_EMISSION_ISODATE" w:val="2020-11-27"/>
    <w:docVar w:name="LW_EMISSION_LOCATION" w:val="BRX"/>
    <w:docVar w:name="LW_EMISSION_PREFIX" w:val="Брюксел, "/>
    <w:docVar w:name="LW_EMISSION_SUFFIX" w:val=" \u1075?."/>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lt;FMT:Bold&gt;\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84?\u1077?\u1089?\u1090?\u1085?\u1080?\u1103? \u1082?\u1086?\u1084?\u1080?\u1090?\u1077?\u1090?, \u1089?\u1098?\u1079?\u1076?\u1072?\u1076?\u1077?\u1085? \u1089?\u1098?\u1089?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74?\u1098?\u1074? \u1074?\u1088?\u1098?\u1079?\u1082?\u1072? \u1089? \u1076?\u1072?\u1090?\u1072?\u1090?\u1072?, \u1086?\u1090? \u1082?\u1086?\u1103?\u1090?\u1086? \u1088?\u1072?\u1079?\u1087?\u1086?\u1088?\u1077?\u1076?\u1073?\u1080?\u1090?\u1077? \u1085?\u1072? \u1074?\u1090?\u1086?\u1088?\u1072? \u1095?\u1072?\u1089?\u1090?, \u1076?\u1103?\u1083? III \u1086?\u1090? \u1057?\u1087?\u1086?\u1088?\u1072?\u1079?\u1091?\u1084?\u1077?\u1085?\u1080?\u1077?\u1090?\u1086? \u1089?\u1077? \u1087?\u1088?\u1080?\u1083?\u1072?\u1075?\u1072?\u1090? \u1087?\u1086? \u1086?\u1090?\u1085?\u1086?\u1096?\u1077?\u1085?\u1080?\u1077? \u1085?\u1072? \u1075?\u1088?\u1072?\u1078?\u1076?\u1072?\u1085?\u1080?\u1090?\u1077? \u1085?\u1072? \u1048?\u1089?\u1083?\u1072?\u1085?\u1076?\u1080?\u1103?, \u1050?\u1085?\u1103?\u1078?\u1077?\u1089?\u1090?\u1074?\u1086? \u1051?\u1080?\u1093?\u1090?\u1077?\u1085?\u1097?\u1072?\u1081?\u1085?, \u1050?\u1088?\u1072?\u1083?\u1089?\u1090?\u1074?\u1086? \u1053?\u1086?\u1088?\u1074?\u1077?\u1075?\u1080?\u1103? \u1080? \u1050?\u1086?\u1085?\u1092?\u1077?\u1076?\u1077?\u1088?\u1072?\u1094?\u1080?\u1103? \u1064?\u1074?\u1077?\u1081?\u1094?\u1072?\u1088?\u1080?\u1103?&lt;/FMT&gt;_x000d__x000d__x000d__x000b_"/>
    <w:docVar w:name="LW_OBJETACTEPRINCIPAL.CP" w:val="&lt;FMT:Bold&gt;\u1086?\u1090?\u1085?\u1086?\u1089?\u1085?\u1086? \u1087?\u1086?\u1079?\u1080?\u1094?\u1080?\u1103?\u1090?\u1072?, \u1082?\u1086?\u1103?\u1090?\u1086? \u1090?\u1088?\u1103?\u1073?\u1074?\u1072? \u1076?\u1072? \u1089?\u1077? \u1079?\u1072?\u1077?\u1084?\u1077? \u1086?\u1090? \u1080?\u1084?\u1077?\u1090?\u1086? \u1085?\u1072? \u1057?\u1098?\u1102?\u1079?\u1072? \u1074? \u1088?\u1072?\u1084?\u1082?\u1080?\u1090?\u1077? \u1085?\u1072? \u1057?\u1098?\u1074?\u1084?\u1077?\u1089?\u1090?\u1085?\u1080?\u1103? \u1082?\u1086?\u1084?\u1080?\u1090?\u1077?\u1090?, \u1089?\u1098?\u1079?\u1076?\u1072?\u1076?\u1077?\u1085? \u1089?\u1098?\u1089? \u1057?\u1087?\u1086?\u1088?\u1072?\u1079?\u1091?\u1084?\u1077?\u1085?\u1080?\u1077?\u1090?\u1086? \u1079?\u1072? \u1086?\u1090?\u1090?\u1077?\u1075?\u1083?\u1103?\u1085?\u1077? \u1085?\u1072? \u1054?\u1073?\u1077?\u1076?\u1080?\u1085?\u1077?\u1085?\u1086?\u1090?\u1086? \u1082?\u1088?\u1072?\u1083?\u1089?\u1090?\u1074?\u1086? \u1042?\u1077?\u1083?\u1080?\u1082?\u1086?\u1073?\u1088?\u1080?\u1090?\u1072?\u1085?\u1080?\u1103? \u1080? \u1057?\u1077?\u1074?\u1077?\u1088?\u1085?\u1072? \u1048?\u1088?\u1083?\u1072?\u1085?\u1076?\u1080?\u1103? \u1086?\u1090? \u1045?\u1074?\u1088?\u1086?\u1087?\u1077?\u1081?\u1089?\u1082?\u1080?\u1103? \u1089?\u1098?\u1102?\u1079? \u1080? \u1045?\u1074?\u1088?\u1086?\u1087?\u1077?\u1081?\u1089?\u1082?\u1072?\u1090?\u1072? \u1086?\u1073?\u1097?\u1085?\u1086?\u1089?\u1090? \u1079?\u1072? \u1072?\u1090?\u1086?\u1084?\u1085?\u1072? \u1077?\u1085?\u1077?\u1088?\u1075?\u1080?\u1103?, \u1074?\u1098?\u1074? \u1074?\u1088?\u1098?\u1079?\u1082?\u1072? \u1089? \u1076?\u1072?\u1090?\u1072?\u1090?\u1072?, \u1086?\u1090? \u1082?\u1086?\u1103?\u1090?\u1086? \u1088?\u1072?\u1079?\u1087?\u1086?\u1088?\u1077?\u1076?\u1073?\u1080?\u1090?\u1077? \u1085?\u1072? \u1074?\u1090?\u1086?\u1088?\u1072? \u1095?\u1072?\u1089?\u1090?, \u1076?\u1103?\u1083? III \u1086?\u1090? \u1057?\u1087?\u1086?\u1088?\u1072?\u1079?\u1091?\u1084?\u1077?\u1085?\u1080?\u1077?\u1090?\u1086? \u1089?\u1077? \u1087?\u1088?\u1080?\u1083?\u1072?\u1075?\u1072?\u1090? \u1087?\u1086? \u1086?\u1090?\u1085?\u1086?\u1096?\u1077?\u1085?\u1080?\u1077? \u1085?\u1072? \u1075?\u1088?\u1072?\u1078?\u1076?\u1072?\u1085?\u1080?\u1090?\u1077? \u1085?\u1072? \u1048?\u1089?\u1083?\u1072?\u1085?\u1076?\u1080?\u1103?, \u1050?\u1085?\u1103?\u1078?\u1077?\u1089?\u1090?\u1074?\u1086? \u1051?\u1080?\u1093?\u1090?\u1077?\u1085?\u1097?\u1072?\u1081?\u1085?, \u1050?\u1088?\u1072?\u1083?\u1089?\u1090?\u1074?\u1086? \u1053?\u1086?\u1088?\u1074?\u1077?\u1075?\u1080?\u1103? \u1080? \u1050?\u1086?\u1085?\u1092?\u1077?\u1076?\u1077?\u1088?\u1072?\u1094?\u1080?\u1103? \u1064?\u1074?\u1077?\u1081?\u1094?\u1072?\u1088?\u1080?\u1103?&lt;/FMT&gt;_x000d__x000d__x000d__x000b_"/>
    <w:docVar w:name="LW_PART_NBR" w:val="1"/>
    <w:docVar w:name="LW_PART_NBR_TOTAL" w:val="1"/>
    <w:docVar w:name="LW_REF.INST.NEW" w:val="COM"/>
    <w:docVar w:name="LW_REF.INST.NEW_ADOPTED" w:val="final"/>
    <w:docVar w:name="LW_REF.INST.NEW_TEXT" w:val="(2020) 78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uiPriority w:val="99"/>
    <w:rPr>
      <w:color w:val="0000FF"/>
      <w:u w:val="single"/>
    </w:rPr>
  </w:style>
  <w:style w:type="paragraph" w:styleId="ListBullet2">
    <w:name w:val="List Bullet 2"/>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uiPriority w:val="99"/>
    <w:rPr>
      <w:color w:val="0000FF"/>
      <w:u w:val="single"/>
    </w:rPr>
  </w:style>
  <w:style w:type="paragraph" w:styleId="ListBullet2">
    <w:name w:val="List Bullet 2"/>
    <w:basedOn w:val="Normal"/>
    <w:pPr>
      <w:numPr>
        <w:numId w:val="1"/>
      </w:numPr>
    </w:pPr>
    <w:rPr>
      <w:rFonts w:eastAsia="Times New Roman"/>
      <w:lang w:eastAsia="en-GB"/>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BG/TXT/?uri=CELEX:12020W/TX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ANNEX.dotm</Template>
  <TotalTime>1</TotalTime>
  <Pages>3</Pages>
  <Words>400</Words>
  <Characters>2385</Characters>
  <Application>Microsoft Office Word</Application>
  <DocSecurity>0</DocSecurity>
  <Lines>54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MINNE Emmanuelle (UKTF)</dc:creator>
  <cp:keywords/>
  <dc:description/>
  <cp:lastModifiedBy>DIGIT/C6</cp:lastModifiedBy>
  <cp:revision>9</cp:revision>
  <dcterms:created xsi:type="dcterms:W3CDTF">2020-11-30T10:56:00Z</dcterms:created>
  <dcterms:modified xsi:type="dcterms:W3CDTF">2020-12-02T15:14:00Z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