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2775E807-4270-498F-8002-E203869C3D10" style="width:450.45pt;height:449.85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>Настоящото предложение се отнася до решението за определяне на позицията, която трябва да се заеме от името на Съюза в рамките на Съвместния комитет във връзка с предвиденото приемане на неговото решение за изменение на приложение II (относно координацията на схемите за социална сигурност) към Споразумението между Европейската общност и нейните държави членки, от една страна, и Швейцарската конфедерация, от друга страна, относно свободното движение на хора (по-нататък „Споразумението“).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Споразумение между Европейската общност и нейните държави членки, от една страна, и Швейцарската конфедерация, от друга страна, относно свободното движение на хора</w:t>
      </w:r>
    </w:p>
    <w:p>
      <w:pPr>
        <w:rPr>
          <w:noProof/>
        </w:rPr>
      </w:pPr>
      <w:r>
        <w:rPr>
          <w:noProof/>
        </w:rPr>
        <w:t xml:space="preserve">През 1999 г. Европейската общност и нейните държави членки, от една страна, и Швейцария, от друга страна, сключиха двустранно споразумение относно свободното движение на хора, което влезе в сила на 1 юни 2002 г. (вж. ОВ L 114, 30.4.2002 г., стр. 6). Споразумението бе сключено с първоначален срок на действие от седем години, който изтече на 31 май 2009 г. В резултат на проведения в Швейцария референдум от 8 февруари 2009 г. Споразумението беше подновено за неопределен срок. </w:t>
      </w:r>
    </w:p>
    <w:p>
      <w:pPr>
        <w:rPr>
          <w:noProof/>
        </w:rPr>
      </w:pPr>
      <w:r>
        <w:rPr>
          <w:noProof/>
          <w:color w:val="000000"/>
          <w:shd w:val="clear" w:color="auto" w:fill="FFFFFF"/>
        </w:rPr>
        <w:t>Споразумението установява принципа на</w:t>
      </w:r>
      <w:r>
        <w:rPr>
          <w:noProof/>
        </w:rPr>
        <w:t xml:space="preserve"> </w:t>
      </w:r>
      <w:hyperlink r:id="rId10" w:history="1">
        <w:r>
          <w:rPr>
            <w:noProof/>
            <w:color w:val="000000"/>
            <w:shd w:val="clear" w:color="auto" w:fill="FFFFFF"/>
          </w:rPr>
          <w:t>свободно движение на хора</w:t>
        </w:r>
      </w:hyperlink>
      <w:r>
        <w:rPr>
          <w:noProof/>
          <w:color w:val="000000"/>
          <w:shd w:val="clear" w:color="auto" w:fill="FFFFFF"/>
        </w:rPr>
        <w:t xml:space="preserve"> между територията на Европейския съюз и територията на Швейцария. Споразумението предоставя на гражданите на ЕС и на Швейцария реципрочни права на влизане, пребиваване, достъп до платена работа и установяване като самостоятелно заети лица, както и право на престой на територията на другата страна след приключване на трудовата им дейност.</w:t>
      </w:r>
      <w:r>
        <w:rPr>
          <w:noProof/>
        </w:rPr>
        <w:t xml:space="preserve"> </w:t>
      </w:r>
    </w:p>
    <w:p>
      <w:pPr>
        <w:rPr>
          <w:noProof/>
        </w:rPr>
      </w:pPr>
      <w:r>
        <w:rPr>
          <w:noProof/>
        </w:rPr>
        <w:t>Приложение II към това споразумение предвижда координацията на схемите за социална сигурност.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Съвместен комитет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С член 14 от Споразумението се създава Съвместен комитет, </w:t>
      </w:r>
      <w:r>
        <w:rPr>
          <w:noProof/>
          <w:color w:val="000000"/>
          <w:shd w:val="clear" w:color="auto" w:fill="FFFFFF"/>
        </w:rPr>
        <w:t>съставен от представители на двете страни</w:t>
      </w:r>
      <w:r>
        <w:rPr>
          <w:noProof/>
        </w:rPr>
        <w:t xml:space="preserve">, който носи отговорност за управлението и правилното прилагане на Споразумението. </w:t>
      </w:r>
      <w:r>
        <w:rPr>
          <w:noProof/>
          <w:color w:val="000000"/>
          <w:shd w:val="clear" w:color="auto" w:fill="FFFFFF"/>
        </w:rPr>
        <w:t>Той отговаря за уреждането на всички спорове, свързани със спазването на Споразумението</w:t>
      </w:r>
      <w:r>
        <w:rPr>
          <w:noProof/>
        </w:rPr>
        <w:t>. Той взима решения при обстоятелствата, предвидени в Споразумението. Съвместният комитет взима решенията си по взаимно съгласие.</w:t>
      </w:r>
    </w:p>
    <w:p>
      <w:pPr>
        <w:rPr>
          <w:b/>
          <w:bCs/>
          <w:noProof/>
          <w:shd w:val="clear" w:color="auto" w:fill="FFFFFF"/>
        </w:rPr>
      </w:pPr>
      <w:r>
        <w:rPr>
          <w:noProof/>
          <w:shd w:val="clear" w:color="auto" w:fill="FFFFFF"/>
        </w:rPr>
        <w:t xml:space="preserve">Съвместният комитет взема решения относно всяко необходимо изменение на конкретни приложения към Споразумението. Съгласно член 18 от Споразумението Съвместният комитет може да изменя приложение II към Споразумението. </w:t>
      </w:r>
    </w:p>
    <w:p>
      <w:pPr>
        <w:rPr>
          <w:b/>
          <w:bCs/>
          <w:noProof/>
          <w:shd w:val="clear" w:color="auto" w:fill="FFFFFF"/>
        </w:rPr>
      </w:pPr>
      <w:r>
        <w:rPr>
          <w:noProof/>
          <w:shd w:val="clear" w:color="auto" w:fill="FFFFFF"/>
        </w:rPr>
        <w:t>В член 2 от Решение 2002/309/ЕО</w:t>
      </w:r>
      <w:r>
        <w:rPr>
          <w:rStyle w:val="FootnoteReference"/>
          <w:noProof/>
        </w:rPr>
        <w:footnoteReference w:id="1"/>
      </w:r>
      <w:r>
        <w:rPr>
          <w:noProof/>
          <w:shd w:val="clear" w:color="auto" w:fill="FFFFFF"/>
        </w:rPr>
        <w:t xml:space="preserve"> се предвижда, че Съветът, след предложение от страна на Комисията, определя позицията, която да бъде заета от Съюза по отношение на решения на Съвместния комитет. За тази цел Комисията представя настоящото </w:t>
      </w:r>
      <w:r>
        <w:rPr>
          <w:noProof/>
          <w:shd w:val="clear" w:color="auto" w:fill="FFFFFF"/>
        </w:rPr>
        <w:lastRenderedPageBreak/>
        <w:t>предложение за решение на Съвета относно позицията, която Съюзът следва да заеме в рамките на Съвместния комитет.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Предвиденият акт на Съвместния комитет</w:t>
      </w:r>
    </w:p>
    <w:p>
      <w:pPr>
        <w:rPr>
          <w:rFonts w:eastAsia="Arial Unicode MS"/>
          <w:noProof/>
        </w:rPr>
      </w:pPr>
      <w:r>
        <w:rPr>
          <w:noProof/>
        </w:rPr>
        <w:t>Съвместният комитет трябва да приеме решение за изменение на приложение II към Споразумението относно координацията на схемите за социална сигурност (по-нататък „предвиденият акт“).</w:t>
      </w:r>
    </w:p>
    <w:p>
      <w:pPr>
        <w:rPr>
          <w:rFonts w:eastAsia="Arial Unicode MS"/>
          <w:noProof/>
        </w:rPr>
      </w:pPr>
      <w:r>
        <w:rPr>
          <w:noProof/>
        </w:rPr>
        <w:t>Измененията на приложение II се приемат с решение на Съвместния комитет и могат да влязат в сила веднага след това решение.</w:t>
      </w:r>
    </w:p>
    <w:p>
      <w:pPr>
        <w:rPr>
          <w:rFonts w:eastAsia="Arial Unicode MS"/>
          <w:noProof/>
        </w:rPr>
      </w:pPr>
      <w:r>
        <w:rPr>
          <w:noProof/>
        </w:rPr>
        <w:t>Целта на предвидения акт е да се предостави реципрочна защита на социалноосигурителните права на гражданите на Обединеното кралство, лицата без гражданство и бежанците, както и на членовете на техните семейства и преживелите ги лица, които към края на преходния период, определен в член 126 от Споразумението за оттегляне, са или са били в трансгранична ситуация, в която участват едновременно една или повече от договарящите се страни по Споразумението и Обединеното кралство.</w:t>
      </w:r>
      <w:r>
        <w:t xml:space="preserve"> 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rFonts w:eastAsia="Arial Unicode MS"/>
          <w:noProof/>
        </w:rPr>
      </w:pPr>
      <w:r>
        <w:rPr>
          <w:noProof/>
        </w:rPr>
        <w:t>Вследствие на оттеглянето на Обединеното кралство Великобритания и Северна Ирландия („Обединеното кралство“) от Европейския съюз Споразумението престава да се прилага за Обединеното кралство в края на преходния период, определен в член 126 от Споразумението за оттегляне, сключено между Европейския съюз и Европейската общност за атомна енергия и Обединеното кралство („Споразумението за оттегляне“).</w:t>
      </w:r>
    </w:p>
    <w:p>
      <w:pPr>
        <w:rPr>
          <w:noProof/>
        </w:rPr>
      </w:pPr>
      <w:r>
        <w:rPr>
          <w:noProof/>
        </w:rPr>
        <w:t>Съгласно член 23 от Споразумението правата, придобити от частни лица, не се повлияват в случай на прекратяване на Споразумението и договарящите се страни уреждат с взаимно съгласие действията, които се предприемат по отношение на правата в процеса на придобиването им.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член 33 от Споразумението за оттегляне се посочва, че дял III от Споразумението за оттегляне се прилага и за гражданите на Швейцария, при условие че Швейцария е сключила и прилага съответните споразумения с Обединеното кралство, които се прилагат за гражданите на Съюза, и съответните споразумения с Европейския съюз, които се прилагат за гражданите на Обединеното кралство.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член 26, буква б) от Споразумението между Обединеното кралство и Швейцария относно правата на гражданите („Споразумение за правата на гражданите“) след оттеглянето на Обединеното кралство от Европейския съюз и Споразумението за свободно движение на хора се посочва, че разпоредбите на част III от това споразумение се прилагат за гражданите на Съюза, при условие че Съюзът е сключил и прилага съответните споразумения с Обединеното кралство, които се прилагат за швейцарски граждани, както и съответните споразумения с Швейцария, които се прилагат за граждани на Обединеното кралство.</w:t>
      </w:r>
    </w:p>
    <w:p>
      <w:pPr>
        <w:rPr>
          <w:noProof/>
        </w:rPr>
      </w:pPr>
      <w:r>
        <w:rPr>
          <w:noProof/>
        </w:rPr>
        <w:t xml:space="preserve">Следователно е необходимо да се предостави реципрочна защита на социалноосигурителните права на гражданите на Обединеното кралство, лицата без гражданство и бежанците, както и на членовете на техните семейства и преживелите ги лица, които към края на преходния период, определен в член 126 от Споразумението за оттегляне, са или са били в трансгранична ситуация, в която участват едновременно </w:t>
      </w:r>
      <w:r>
        <w:rPr>
          <w:noProof/>
        </w:rPr>
        <w:lastRenderedPageBreak/>
        <w:t>една или повече от договарящите се страни по Споразумението и Обединеното кралство.</w:t>
      </w:r>
    </w:p>
    <w:p>
      <w:pPr>
        <w:rPr>
          <w:noProof/>
        </w:rPr>
      </w:pPr>
      <w:r>
        <w:rPr>
          <w:noProof/>
        </w:rPr>
        <w:t>В този контекст предложените изменения на приложение II (относно координацията на схемите за социална сигурност) към Споразумението, описани в приложения проект на решение на Съвместния комитет, разглеждат обяснения по-горе въпрос.</w:t>
      </w:r>
    </w:p>
    <w:p>
      <w:pPr>
        <w:rPr>
          <w:noProof/>
        </w:rPr>
      </w:pPr>
      <w:r>
        <w:rPr>
          <w:noProof/>
        </w:rPr>
        <w:t>Приложеният проект на решение на Съвместния комитет влиза в сила в деня на приемането му от Съвместния комитет и се прилага от края на преходния период, определен в член 126 от Споразумението за оттегляне.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които уреждат съответния орган. То включва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rFonts w:eastAsia="Arial Unicode MS"/>
          <w:noProof/>
        </w:rPr>
      </w:pPr>
      <w:r>
        <w:rPr>
          <w:noProof/>
        </w:rPr>
        <w:t>Съвместният комитет е орган, създаден със споразумение, а именно със Споразумението между Европейската общност и нейните държави членки, от една страна, и Швейцарската конфедерация, от друга страна, относно свободното движение на хора</w:t>
      </w:r>
    </w:p>
    <w:p>
      <w:pPr>
        <w:rPr>
          <w:noProof/>
        </w:rPr>
      </w:pPr>
      <w:r>
        <w:rPr>
          <w:noProof/>
        </w:rPr>
        <w:t xml:space="preserve">Актът, който Съвместният комитет има за задача да приеме, представлява акт с правно действие. Предвиденият акт ще бъде обвързващ по силата на международното право в съответствие с членове 14 и 18 от Споразумението. </w:t>
      </w:r>
    </w:p>
    <w:p>
      <w:pPr>
        <w:rPr>
          <w:noProof/>
        </w:rPr>
      </w:pPr>
      <w:r>
        <w:rPr>
          <w:noProof/>
        </w:rPr>
        <w:t>Предвиденият акт не допълва, нито изменя институционалната рамка на Споразумението. 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rPr>
          <w:noProof/>
        </w:rPr>
      </w:pPr>
      <w:r>
        <w:rPr>
          <w:noProof/>
        </w:rPr>
        <w:lastRenderedPageBreak/>
        <w:t>По отношение на предвиден акт, който преследва едновременно няколко цели или се състои от няколко части, които са неразривно свързани, без никоя от тях да е акцесорна по отношение на другите, материалноправното основание за решение съгласно член 218, параграф 9 от ДФЕС ще трябва, по изключение, да включва съответните различни правни основания.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Предвиденият акт преследва цели и се състои от части, отнасящи се до областта на социалната сигурност и предоставянето на правомощия. Тези елементи на предвидения акт са неразривно свързани, без никой от тях да е акцесорен по отношение на другия.</w:t>
      </w:r>
    </w:p>
    <w:p>
      <w:pPr>
        <w:rPr>
          <w:noProof/>
        </w:rPr>
      </w:pPr>
      <w:r>
        <w:rPr>
          <w:noProof/>
        </w:rPr>
        <w:t>Поради това материалноправното основание за предложеното решение включва следните разпоредби: член 48 и член 352 от Договора за функционирането на Европейския съюз</w:t>
      </w:r>
      <w:r>
        <w:t>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бъдат членове 48 и 352 от ДФЕС във връзка с член 218</w:t>
      </w:r>
      <w:r>
        <w:t>,</w:t>
      </w:r>
      <w:r>
        <w:rPr>
          <w:noProof/>
        </w:rPr>
        <w:t xml:space="preserve"> параграф 9 от ДФЕС.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Публикуване на предвидения акт</w:t>
      </w:r>
    </w:p>
    <w:p>
      <w:pPr>
        <w:rPr>
          <w:noProof/>
        </w:rPr>
      </w:pPr>
      <w:r>
        <w:rPr>
          <w:noProof/>
        </w:rPr>
        <w:t xml:space="preserve">Тъй като с акта на Съвместния комитет ще се измени приложение II към Споразумението, е целесъобразно той да бъде публикуван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след приемането му.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2020/0326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Европейския съюз в Съвместния комитет, създаден съгласно Споразумението между Европейската общност и нейните държави членки, от една страна, и Швейцарската конфедерация, от друга страна, относно свободното движение на хора, по отношение на изменението на приложение II към това споразумение относно координацията на схемите за социална сигурност</w:t>
      </w:r>
    </w:p>
    <w:p>
      <w:pPr>
        <w:pStyle w:val="IntrtEEE"/>
        <w:rPr>
          <w:noProof/>
        </w:rPr>
      </w:pPr>
      <w:r>
        <w:rPr>
          <w:noProof/>
        </w:rPr>
        <w:t>(текст от значение за ЕИП)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членове 48 и 352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Решение 2002/309/ЕО, Евратом на Съвета, а относно Споразумението за научно и технологично сътрудничество — и на Комисията, от 4 април 2002 г. за сключване на седем споразумения с Конфедерация Швейцария</w:t>
      </w:r>
      <w:r>
        <w:rPr>
          <w:rStyle w:val="FootnoteReference"/>
          <w:noProof/>
        </w:rPr>
        <w:footnoteReference w:id="3"/>
      </w:r>
      <w:r>
        <w:rPr>
          <w:noProof/>
        </w:rPr>
        <w:t>, и по-специално член 2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между Европейската общност и нейните държави членки, от една страна, и Швейцарската конфедерация, от друга страна, относно свободното движение на хора (по-нататък „Споразумението“) влезе в сила на 1 юни 2002 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В съответствие с член 18 от Споразумението Съвместният комитет може да реши да измени, </w:t>
      </w:r>
      <w:r>
        <w:rPr>
          <w:i/>
          <w:iCs/>
          <w:noProof/>
        </w:rPr>
        <w:t>inter alia</w:t>
      </w:r>
      <w:r>
        <w:rPr>
          <w:noProof/>
        </w:rPr>
        <w:t>, приложение II към Споразумението.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Споразумението престава да се прилага по отношение на Обединеното кралство Великобритания и Северна Ирландия (по-нататък „Обединеното кралство“) вследствие на оттеглянето на Обединеното кралство от Европейския съюз.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Съгласно член 23 от Споразумението правата, придобити от частни лица, не се повлияват в случай на прекратяване на Споразумението и договарящите се страни уреждат с взаимно съгласие действията, които се предприемат по отношение на правата в процеса на придобиването им.</w:t>
      </w:r>
    </w:p>
    <w:p>
      <w:pPr>
        <w:pStyle w:val="ManualConsidrant"/>
        <w:rPr>
          <w:rStyle w:val="CommentReference"/>
          <w:noProof/>
          <w:sz w:val="24"/>
          <w:szCs w:val="22"/>
        </w:rPr>
      </w:pPr>
      <w:r>
        <w:rPr>
          <w:rStyle w:val="CommentReference"/>
        </w:rPr>
        <w:t>(5)</w:t>
      </w:r>
      <w:r>
        <w:rPr>
          <w:rStyle w:val="CommentReference"/>
        </w:rPr>
        <w:tab/>
      </w:r>
      <w:r>
        <w:rPr>
          <w:noProof/>
        </w:rPr>
        <w:t xml:space="preserve">Следователно е необходимо да се предостави реципрочна защита на социалноосигурителните права на гражданите на Обединеното кралство, както и на членовете на техните семейства и преживелите ги лица, които към края на преходния период, определен в член 126 от Споразумението за оттегляне, са или </w:t>
      </w:r>
      <w:r>
        <w:rPr>
          <w:noProof/>
        </w:rPr>
        <w:lastRenderedPageBreak/>
        <w:t>са били в трансгранична ситуация, в която участват едновременно една или повече от договарящите се страни по Споразумението и Обединеното кралство.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Ето защо позицията на Съвета в Съвместния комитет следва да се основава на проекта на решение, посочен в приложение I към настоящото решение.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i/>
          <w:noProof/>
        </w:rPr>
      </w:pPr>
      <w:r>
        <w:rPr>
          <w:noProof/>
        </w:rPr>
        <w:t>Позицията, която трябва да се заеме от името на Съюза в рамките на Съвместния комитет по отношение на предложеното изменение на приложение II относно координацията на схемите за социална сигурност към Споразумението между Европейската общност и нейните държави членки, от една страна, и Швейцарската конфедерация, от друга страна, относно свободното движение на хора, се основава на проекта на решение на Съвместния комитет,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2002/309/ЕО, Евратом на Съвета, a относно Споразумението за научно и технологично сътрудничество — и на Комисията, за сключване на седем споразумения с Конфедерация Швейцария.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на Европейския съюз от 7 октомври 2014 г., Германия/Съвет, C-399/12, ECLI:EU:C:2014:2258, т. 61—64. 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OВ L 114, 30.4.2002 г., стр. 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1BE12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9140D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962EB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21842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17A61B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7DA3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9B231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D5E23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2-03 13:35:0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2775E807-4270-498F-8002-E203869C3D10"/>
    <w:docVar w:name="LW_COVERPAGE_TYPE" w:val="1"/>
    <w:docVar w:name="LW_CROSSREFERENCE" w:val="&lt;UNUSED&gt;"/>
    <w:docVar w:name="LW_DocType" w:val="COM"/>
    <w:docVar w:name="LW_EMISSION" w:val="12.11.2020"/>
    <w:docVar w:name="LW_EMISSION_ISODATE" w:val="2020-11-12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" w:val="(\u1090?\u1077?\u1082?\u1089?\u1090? \u1086?\u1090? \u1079?\u1085?\u1072?\u1095?\u1077?\u1085?\u1080?\u1077? \u1079?\u1072? \u1045?\u1048?\u1055?)"/>
    <w:docVar w:name="LW_INTERETEEE.CP" w:val="(\u1090?\u1077?\u1082?\u1089?\u1090? \u1086?\u1090? \u1079?\u1085?\u1072?\u1095?\u1077?\u1085?\u1080?\u1077? \u1079?\u1072? \u1045?\u1048?\u1055?)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26"/>
    <w:docVar w:name="LW_REF.II.NEW.CP_YEAR" w:val="2020"/>
    <w:docVar w:name="LW_REF.INST.NEW" w:val="COM"/>
    <w:docVar w:name="LW_REF.INST.NEW_ADOPTED" w:val="final"/>
    <w:docVar w:name="LW_REF.INST.NEW_TEXT" w:val="(2020) 73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" w:val="\u1055?\u1088?\u1077?\u1076?\u1083?\u1086?\u1078?\u1077?\u1085?\u1080?\u1077? \u1079?\u1072?"/>
    <w:docVar w:name="LW_STATUT.CP" w:val="\u1055?\u1088?\u1077?\u1076?\u1083?\u1086?\u1078?\u1077?\u1085?\u1080?\u1077? \u1079?\u1072?"/>
    <w:docVar w:name="LW_SUPERTITRE" w:val="&lt;UNUSED&gt;"/>
    <w:docVar w:name="LW_TITRE.OBJ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45?\u1074?\u1088?\u1086?\u1087?\u1077?\u1081?\u1089?\u1082?\u1080?\u1103? \u1089?\u1098?\u1102?\u1079? \u1074? \u1057?\u1098?\u1074?\u1084?\u1077?\u1089?\u1090?\u1085?\u1080?\u1103? \u1082?\u1086?\u1084?\u1080?\u1090?\u1077?\u1090?, \u1089?\u1098?\u1079?\u1076?\u1072?\u1076?\u1077?\u1085? \u1089?\u1098?\u1075?\u1083?\u1072?\u1089?\u1085?\u1086? \u1057?\u1087?\u1086?\u1088?\u1072?\u1079?\u1091?\u1084?\u1077?\u1085?\u1080?\u1077?\u1090?\u1086?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\u1064?\u1074?\u1077?\u1081?\u1094?\u1072?\u1088?\u1089?\u1082?\u1072?\u1090?\u1072? \u1082?\u1086?\u1085?\u1092?\u1077?\u1076?\u1077?\u1088?\u1072?\u1094?\u1080?\u1103?, \u1086?\u1090? \u1076?\u1088?\u1091?\u1075?\u1072? \u1089?\u1090?\u1088?\u1072?\u1085?\u1072?, \u1086?\u1090?\u1085?\u1086?\u1089?\u1085?\u1086? \u1089?\u1074?\u1086?\u1073?\u1086?\u1076?\u1085?\u1086?\u1090?\u1086? \u1076?\u1074?\u1080?\u1078?\u1077?\u1085?\u1080?\u1077? \u1085?\u1072? \u1093?\u1086?\u1088?\u1072?, \u1087?\u1086? \u1086?\u1090?\u1085?\u1086?\u1096?\u1077?\u1085?\u1080?\u1077? \u1085?\u1072? \u1080?\u1079?\u1084?\u1077?\u1085?\u1077?\u1085?\u1080?\u1077?\u1090?\u1086? \u1085?\u1072? \u1087?\u1088?\u1080?\u1083?\u1086?\u1078?\u1077?\u1085?\u1080?\u1077? II \u1082?\u1098?\u1084? \u1090?\u1086?\u1074?\u1072? \u1089?\u1087?\u1086?\u1088?\u1072?\u1079?\u1091?\u1084?\u1077?\u1085?\u1080?\u1077? \u1086?\u1090?\u1085?\u1086?\u1089?\u1085?\u1086? \u1082?\u1086?\u1086?\u1088?\u1076?\u1080?\u1085?\u1072?\u1094?\u1080?\u1103?\u1090?\u1072? \u1085?\u1072? \u1089?\u1093?\u1077?\u1084?\u1080?\u1090?\u1077? \u1079?\u1072? \u1089?\u1086?\u1094?\u1080?\u1072?\u1083?\u1085?\u1072? \u1089?\u1080?\u1075?\u1091?\u1088?\u1085?\u1086?\u1089?\u1090?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45?\u1074?\u1088?\u1086?\u1087?\u1077?\u1081?\u1089?\u1082?\u1080?\u1103? \u1089?\u1098?\u1102?\u1079? \u1074? \u1057?\u1098?\u1074?\u1084?\u1077?\u1089?\u1090?\u1085?\u1080?\u1103? \u1082?\u1086?\u1084?\u1080?\u1090?\u1077?\u1090?, \u1089?\u1098?\u1079?\u1076?\u1072?\u1076?\u1077?\u1085? \u1089?\u1098?\u1075?\u1083?\u1072?\u1089?\u1085?\u1086? \u1057?\u1087?\u1086?\u1088?\u1072?\u1079?\u1091?\u1084?\u1077?\u1085?\u1080?\u1077?\u1090?\u1086?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\u1064?\u1074?\u1077?\u1081?\u1094?\u1072?\u1088?\u1089?\u1082?\u1072?\u1090?\u1072? \u1082?\u1086?\u1085?\u1092?\u1077?\u1076?\u1077?\u1088?\u1072?\u1094?\u1080?\u1103?, \u1086?\u1090? \u1076?\u1088?\u1091?\u1075?\u1072? \u1089?\u1090?\u1088?\u1072?\u1085?\u1072?, \u1086?\u1090?\u1085?\u1086?\u1089?\u1085?\u1086? \u1089?\u1074?\u1086?\u1073?\u1086?\u1076?\u1085?\u1086?\u1090?\u1086? \u1076?\u1074?\u1080?\u1078?\u1077?\u1085?\u1080?\u1077? \u1085?\u1072? \u1093?\u1086?\u1088?\u1072?, \u1087?\u1086? \u1086?\u1090?\u1085?\u1086?\u1096?\u1077?\u1085?\u1080?\u1077? \u1085?\u1072? \u1080?\u1079?\u1084?\u1077?\u1085?\u1077?\u1085?\u1080?\u1077?\u1090?\u1086? \u1085?\u1072? \u1087?\u1088?\u1080?\u1083?\u1086?\u1078?\u1077?\u1085?\u1080?\u1077? II \u1082?\u1098?\u1084? \u1090?\u1086?\u1074?\u1072? \u1089?\u1087?\u1086?\u1088?\u1072?\u1079?\u1091?\u1084?\u1077?\u1085?\u1080?\u1077? \u1086?\u1090?\u1085?\u1086?\u1089?\u1085?\u1086? \u1082?\u1086?\u1086?\u1088?\u1076?\u1080?\u1085?\u1072?\u1094?\u1080?\u1103?\u1090?\u1072? \u1085?\u1072? \u1089?\u1093?\u1077?\u1084?\u1080?\u1090?\u1077? \u1079?\u1072? \u1089?\u1086?\u1094?\u1080?\u1072?\u1083?\u1085?\u1072? \u1089?\u1080?\u1075?\u1091?\u1088?\u1085?\u1086?\u1089?\u1090?"/>
    <w:docVar w:name="LW_TYPE.DOC" w:val="\u1056?\u1045?\u1064?\u1045?\u1053?\u1048?\u1045? \u1053?\u1040? \u1057?\u1066?\u1042?\u1045?\u1058?\u104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summary/glossary/free_movement_persons.html?locale=b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4</TotalTime>
  <Pages>7</Pages>
  <Words>1834</Words>
  <Characters>10717</Characters>
  <Application>Microsoft Office Word</Application>
  <DocSecurity>0</DocSecurity>
  <Lines>202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19</cp:revision>
  <dcterms:created xsi:type="dcterms:W3CDTF">2020-12-02T07:30:00Z</dcterms:created>
  <dcterms:modified xsi:type="dcterms:W3CDTF">2020-12-03T12:35:00Z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