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E8980CC-0889-4D8F-AA55-6E2AB99A193E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Проект на Решение № .../... на Съвместния комитет, създаден съгласно Споразумението между Европейската общност и нейните държави членки, от една страна, и Швейцарската конфедерация, от друга страна, относно свободното движение на хора</w:t>
      </w:r>
    </w:p>
    <w:p>
      <w:pPr>
        <w:jc w:val="center"/>
        <w:rPr>
          <w:b/>
          <w:noProof/>
        </w:rPr>
      </w:pPr>
      <w:r>
        <w:rPr>
          <w:b/>
          <w:noProof/>
        </w:rPr>
        <w:t>от ... година</w:t>
      </w:r>
    </w:p>
    <w:p>
      <w:pPr>
        <w:jc w:val="center"/>
        <w:rPr>
          <w:b/>
          <w:noProof/>
        </w:rPr>
      </w:pPr>
      <w:r>
        <w:rPr>
          <w:b/>
          <w:noProof/>
        </w:rPr>
        <w:t>за изменение на приложение II към посоченото споразумение относно координацията на схемите за социална сигурност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КОМИТЕТ,</w:t>
      </w:r>
    </w:p>
    <w:p>
      <w:pPr>
        <w:rPr>
          <w:noProof/>
        </w:rPr>
      </w:pPr>
      <w:r>
        <w:rPr>
          <w:noProof/>
        </w:rPr>
        <w:t>като взе предвид Споразумението между Европейската общност и нейните държави членки, от една страна, и Швейцарската конфедерация, от друга страна, относно свободното движение на хора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(наричано по-нататък „Споразумението“), и по-специално членове 14 и 18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23"/>
        </w:numPr>
        <w:rPr>
          <w:noProof/>
        </w:rPr>
      </w:pPr>
      <w:bookmarkStart w:id="1" w:name="DQPStarAt1DQPStarAtF621AB54EB3743EBB4ACE"/>
      <w:r>
        <w:rPr>
          <w:noProof/>
        </w:rPr>
        <w:t>Споразумението престава да се прилага по отношение на Обединеното кралство Великобритания и Северна Ирландия (по-нататък „Обединеното кралство“) вследствие на оттеглянето на Обединеното кралство от Европейския съюз,</w:t>
      </w:r>
    </w:p>
    <w:bookmarkEnd w:id="1"/>
    <w:p>
      <w:pPr>
        <w:pStyle w:val="Considrant"/>
        <w:rPr>
          <w:noProof/>
        </w:rPr>
      </w:pPr>
      <w:r>
        <w:rPr>
          <w:noProof/>
        </w:rPr>
        <w:t xml:space="preserve">Съгласно член 23 от Споразумението правата, придобити от частни лица, не се повлияват в случай на прекратяване на Споразумението и договарящите се страни уреждат с взаимно съгласие действията, които се предприемат по отношение на правата в процеса на придобиването им, </w:t>
      </w:r>
    </w:p>
    <w:p>
      <w:pPr>
        <w:pStyle w:val="Considrant"/>
        <w:rPr>
          <w:rFonts w:cstheme="minorHAnsi"/>
          <w:i/>
          <w:noProof/>
        </w:rPr>
      </w:pPr>
      <w:r>
        <w:rPr>
          <w:noProof/>
        </w:rPr>
        <w:t>В член 33 от Споразумението за оттегляне, сключено между Европейския съюз и Европейската общност за атомна енергия и Обединеното кралство (по-нататък „Споразумението за оттегляне“), се посочва, че част втора, дял III от Споразумението за оттегляне се прилага по отношение на гражданите на Исландия, Княжество Лихтенщайн, Кралство Норвегия и Швейцария, при условие че тези държави са сключили и прилагат съответните споразумения с Обединеното кралство, които се прилагат за гражданите на Съюза, както и съответните споразумения с Европейския съюз, които се прилагат за гражданите на Обединеното кралство,</w:t>
      </w:r>
    </w:p>
    <w:p>
      <w:pPr>
        <w:pStyle w:val="Considrant"/>
        <w:rPr>
          <w:noProof/>
        </w:rPr>
      </w:pPr>
      <w:r>
        <w:rPr>
          <w:noProof/>
        </w:rPr>
        <w:t xml:space="preserve">В член 26, буква б) от Споразумението между Обединеното кралство и Швейцария относно правата на гражданите („Споразумение за правата на гражданите“) след оттеглянето на Обединеното кралство от Европейския съюз и Споразумението за свободно движение на хора се посочва, че разпоредбите на част III от това споразумение се прилагат за гражданите на Съюза, при условие че Съюзът е сключил и прилага съответните споразумения с Обединеното кралство, които се прилагат за швейцарски граждани, както и съответните споразумения с Швейцария, които се прилагат за граждани на Обединеното кралство, </w:t>
      </w:r>
    </w:p>
    <w:p>
      <w:pPr>
        <w:pStyle w:val="Considrant"/>
        <w:rPr>
          <w:noProof/>
        </w:rPr>
      </w:pPr>
      <w:r>
        <w:rPr>
          <w:noProof/>
        </w:rPr>
        <w:t xml:space="preserve">Необходимо е да се предостави реципрочна защита на социалноосигурителните права на гражданите на Обединеното кралство, както и на членовете на техните семейства и преживелите ги лица, които към края на преходния период, определен в член 126 от Споразумението за оттегляне, са или са били в трансгранична ситуация, в която участват една или повече от договарящите се страни по Споразумението и Обединеното кралство, </w:t>
      </w:r>
    </w:p>
    <w:p>
      <w:pPr>
        <w:pStyle w:val="Formuledadoption"/>
        <w:rPr>
          <w:noProof/>
        </w:rPr>
      </w:pPr>
      <w:r>
        <w:rPr>
          <w:noProof/>
        </w:rPr>
        <w:t>РЕШИ: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 II към Споразумението се изменя, както е посочено в приложението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е съставено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 и шведски език, като текстовете на всеки от тези езици са еднакво автентични.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 от Съвместния комитет и се прилага от края на преходния период, определен в член 126 от Споразумението за оттегляне. </w:t>
      </w:r>
    </w:p>
    <w:p>
      <w:pPr>
        <w:pStyle w:val="Fait"/>
        <w:rPr>
          <w:noProof/>
        </w:rPr>
      </w:pPr>
      <w:r>
        <w:rPr>
          <w:noProof/>
        </w:rPr>
        <w:t>Съставено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pStyle w:val="Personnequisigne"/>
        <w:rPr>
          <w:noProof/>
        </w:rPr>
      </w:pPr>
      <w:r>
        <w:rPr>
          <w:noProof/>
        </w:rPr>
        <w:tab/>
        <w:t>Секретари</w:t>
      </w:r>
    </w:p>
    <w:p>
      <w:pPr>
        <w:spacing w:before="0" w:after="0"/>
        <w:jc w:val="left"/>
        <w:rPr>
          <w:noProof/>
        </w:rPr>
      </w:pPr>
    </w:p>
    <w:p>
      <w:pPr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20" w:footer="720" w:gutter="0"/>
          <w:cols w:space="720"/>
          <w:docGrid w:linePitch="326"/>
        </w:sectPr>
      </w:pPr>
    </w:p>
    <w:p>
      <w:pPr>
        <w:jc w:val="center"/>
        <w:rPr>
          <w:b/>
          <w:i/>
          <w:noProof/>
        </w:rPr>
      </w:pPr>
      <w:r>
        <w:rPr>
          <w:b/>
          <w:noProof/>
        </w:rPr>
        <w:t>Приложение</w:t>
      </w:r>
    </w:p>
    <w:p>
      <w:pPr>
        <w:rPr>
          <w:noProof/>
          <w:color w:val="000000"/>
        </w:rPr>
      </w:pPr>
    </w:p>
    <w:p>
      <w:pPr>
        <w:rPr>
          <w:noProof/>
          <w:color w:val="000000"/>
        </w:rPr>
      </w:pPr>
      <w:r>
        <w:rPr>
          <w:noProof/>
          <w:color w:val="000000"/>
        </w:rPr>
        <w:t>Приложение II към Споразумението между Европейската общност и нейните държави членки, от една страна, и Швейцарската конфедерация, от друга страна, относно свободното движение на хора се изменя, както следва:</w:t>
      </w:r>
    </w:p>
    <w:p>
      <w:pPr>
        <w:rPr>
          <w:noProof/>
          <w:color w:val="000000"/>
        </w:rPr>
      </w:pPr>
    </w:p>
    <w:p>
      <w:pPr>
        <w:pStyle w:val="Point1number"/>
        <w:numPr>
          <w:ilvl w:val="2"/>
          <w:numId w:val="24"/>
        </w:numPr>
        <w:rPr>
          <w:noProof/>
        </w:rPr>
      </w:pPr>
      <w:r>
        <w:rPr>
          <w:noProof/>
        </w:rPr>
        <w:t>Член 3 се изменя, както следва:</w:t>
      </w:r>
    </w:p>
    <w:p>
      <w:pPr>
        <w:pStyle w:val="Point2"/>
        <w:rPr>
          <w:noProof/>
        </w:rPr>
      </w:pPr>
      <w:r>
        <w:rPr>
          <w:noProof/>
        </w:rPr>
        <w:t>В параграф 1 думата „протокола“ се заменя с „протокол I“.</w:t>
      </w:r>
    </w:p>
    <w:p>
      <w:pPr>
        <w:pStyle w:val="Point2"/>
        <w:rPr>
          <w:noProof/>
        </w:rPr>
      </w:pPr>
      <w:r>
        <w:rPr>
          <w:noProof/>
        </w:rPr>
        <w:t>В параграф 2 думата „Протоколът“ се заменя с „Протокол I“.</w:t>
      </w:r>
    </w:p>
    <w:p>
      <w:pPr>
        <w:rPr>
          <w:noProof/>
        </w:rPr>
      </w:pPr>
    </w:p>
    <w:p>
      <w:pPr>
        <w:pStyle w:val="Point1number"/>
        <w:rPr>
          <w:noProof/>
        </w:rPr>
      </w:pPr>
      <w:r>
        <w:rPr>
          <w:noProof/>
        </w:rPr>
        <w:t xml:space="preserve">След член 3 се добавя нов член 4: </w:t>
      </w:r>
    </w:p>
    <w:p>
      <w:pPr>
        <w:pStyle w:val="Point2"/>
        <w:rPr>
          <w:noProof/>
        </w:rPr>
      </w:pPr>
      <w:r>
        <w:rPr>
          <w:noProof/>
        </w:rPr>
        <w:t>„Член 4</w:t>
      </w:r>
    </w:p>
    <w:p>
      <w:pPr>
        <w:pStyle w:val="Point2"/>
        <w:rPr>
          <w:noProof/>
        </w:rPr>
      </w:pPr>
      <w:r>
        <w:rPr>
          <w:noProof/>
        </w:rPr>
        <w:t>1. Договореностите относно защитата на правата, придобити от частни лица по силата на настоящото споразумение вследствие на оттеглянето на Обединеното кралство от Европейския съюз, са посочени в протокол II към настоящото приложение.</w:t>
      </w:r>
    </w:p>
    <w:p>
      <w:pPr>
        <w:pStyle w:val="Point2"/>
        <w:rPr>
          <w:noProof/>
        </w:rPr>
      </w:pPr>
      <w:r>
        <w:rPr>
          <w:noProof/>
        </w:rPr>
        <w:t>2. Протокол II представлява неразделна част от настоящото приложение.“</w:t>
      </w:r>
    </w:p>
    <w:p>
      <w:pPr>
        <w:rPr>
          <w:noProof/>
        </w:rPr>
      </w:pPr>
    </w:p>
    <w:p>
      <w:pPr>
        <w:pStyle w:val="Point1number"/>
        <w:rPr>
          <w:noProof/>
        </w:rPr>
      </w:pPr>
      <w:r>
        <w:rPr>
          <w:noProof/>
        </w:rPr>
        <w:t>След раздел В заглавието „Протокол“ се заменя с „Протокол I“.</w:t>
      </w:r>
    </w:p>
    <w:p>
      <w:pPr>
        <w:rPr>
          <w:noProof/>
        </w:rPr>
      </w:pPr>
    </w:p>
    <w:p>
      <w:pPr>
        <w:pStyle w:val="Point1number"/>
        <w:rPr>
          <w:noProof/>
        </w:rPr>
      </w:pPr>
      <w:r>
        <w:rPr>
          <w:noProof/>
        </w:rPr>
        <w:t>След протокол I се добавя нов протокол II:</w:t>
      </w:r>
    </w:p>
    <w:p>
      <w:pPr>
        <w:rPr>
          <w:rFonts w:cstheme="minorHAnsi"/>
          <w:noProof/>
        </w:rPr>
      </w:pPr>
    </w:p>
    <w:p>
      <w:pPr>
        <w:jc w:val="center"/>
        <w:rPr>
          <w:rFonts w:cstheme="minorHAnsi"/>
          <w:noProof/>
          <w:u w:val="single"/>
        </w:rPr>
      </w:pPr>
      <w:r>
        <w:rPr>
          <w:b/>
          <w:noProof/>
        </w:rPr>
        <w:t>„Протокол II към приложение II към Споразумението относно свободното движение на хора</w:t>
      </w:r>
    </w:p>
    <w:p>
      <w:pPr>
        <w:jc w:val="center"/>
        <w:rPr>
          <w:rFonts w:cstheme="minorHAnsi"/>
          <w:noProof/>
          <w:u w:val="single"/>
        </w:rPr>
      </w:pPr>
    </w:p>
    <w:p>
      <w:pPr>
        <w:rPr>
          <w:rFonts w:cstheme="minorHAnsi"/>
          <w:i/>
          <w:noProof/>
          <w:sz w:val="22"/>
        </w:rPr>
      </w:pPr>
      <w:r>
        <w:rPr>
          <w:i/>
          <w:noProof/>
        </w:rPr>
        <w:t>„КАТО ИМАТ ПРЕДВИД, че в член 33 от Споразумението за оттегляне, сключено между Европейския съюз и Европейската общност за атомна енергия и Обединеното кралство Великобритания и Северна Ирландия, се посочва, че част втора, дял III от Споразумението за оттегляне се прилага по отношение на гражданите на Исландия, Княжество Лихтенщайн, Кралство Норвегия и Швейцария, при условие че тези държави са сключили и прилагат съответните споразумения с Обединеното кралство Великобритания и Северна Ирландия, които се прилагат за гражданите на Съюза, както и съответните споразумения с Европейския съюз, които се прилагат за гражданите на Обединеното кралство,</w:t>
      </w:r>
    </w:p>
    <w:p>
      <w:pPr>
        <w:rPr>
          <w:rFonts w:cstheme="minorHAnsi"/>
          <w:i/>
          <w:noProof/>
        </w:rPr>
      </w:pPr>
      <w:r>
        <w:rPr>
          <w:i/>
          <w:noProof/>
        </w:rPr>
        <w:t>КАТО ИМАТ ПРЕДВИД, че в член 26, буква б) от Споразумението между Обединеното кралство Великобритания и Северна Ирландия и Швейцария относно правата на гражданите след оттеглянето на Обединеното кралство от Европейския съюз и Споразумението за свободно движение на хора се посочва, че разпоредбите на част III от това споразумение се прилагат за гражданите на Съюза, при условие че Съюзът е сключил и прилага съответните споразумения с Обединеното кралство Великобритания и Северна Ирландия, които се прилагат за швейцарски граждани, както и съответните споразумения с Швейцария, които се прилагат за граждани на Обединеното кралство,</w:t>
      </w:r>
    </w:p>
    <w:p>
      <w:pPr>
        <w:rPr>
          <w:rFonts w:cstheme="minorHAnsi"/>
          <w:i/>
          <w:noProof/>
        </w:rPr>
      </w:pPr>
      <w:r>
        <w:rPr>
          <w:i/>
          <w:noProof/>
        </w:rPr>
        <w:t xml:space="preserve">КАТО ПРИЗНАВАТ, че е необходимо да се предостави реципрочна защита на социалноосигурителните права на гражданите на Обединеното кралство, както и на членовете на техните семейства и преживелите ги лица, които към края на преходния период, определен в член 126 от Споразумението за оттегляне, са или са били в трансгранична ситуация, в която участват едновременно една или повече от договарящите се страни по Споразумението за свободно движение на хора и Обединеното кралство Великобритания и Северна Ирландия, </w:t>
      </w:r>
    </w:p>
    <w:p>
      <w:pPr>
        <w:jc w:val="center"/>
        <w:rPr>
          <w:rFonts w:cstheme="minorBidi"/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1</w:t>
      </w:r>
    </w:p>
    <w:p>
      <w:pPr>
        <w:jc w:val="center"/>
        <w:rPr>
          <w:noProof/>
        </w:rPr>
      </w:pPr>
      <w:r>
        <w:rPr>
          <w:noProof/>
        </w:rPr>
        <w:t>Определения и позовавания</w:t>
      </w:r>
    </w:p>
    <w:p>
      <w:pPr>
        <w:rPr>
          <w:noProof/>
        </w:rPr>
      </w:pPr>
      <w:r>
        <w:rPr>
          <w:noProof/>
        </w:rPr>
        <w:t>1. За целите на настоящия протокол се прилагат следните определения:</w:t>
      </w:r>
    </w:p>
    <w:p>
      <w:pPr>
        <w:ind w:left="567" w:hanging="567"/>
        <w:rPr>
          <w:noProof/>
        </w:rPr>
      </w:pPr>
      <w:r>
        <w:rPr>
          <w:noProof/>
        </w:rPr>
        <w:t>a)</w:t>
      </w:r>
      <w:r>
        <w:rPr>
          <w:noProof/>
        </w:rPr>
        <w:tab/>
        <w:t>„Споразумение за оттегляне“ означава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</w:t>
      </w:r>
      <w:r>
        <w:rPr>
          <w:rStyle w:val="FootnoteReference"/>
          <w:noProof/>
          <w:szCs w:val="21"/>
        </w:rPr>
        <w:footnoteReference w:id="2"/>
      </w:r>
      <w:r>
        <w:rPr>
          <w:noProof/>
        </w:rPr>
        <w:t>:</w:t>
      </w:r>
    </w:p>
    <w:p>
      <w:pPr>
        <w:ind w:left="567" w:hanging="567"/>
        <w:rPr>
          <w:noProof/>
        </w:rPr>
      </w:pPr>
      <w:r>
        <w:rPr>
          <w:noProof/>
        </w:rPr>
        <w:t>б)</w:t>
      </w:r>
      <w:r>
        <w:rPr>
          <w:noProof/>
        </w:rPr>
        <w:tab/>
        <w:t>„Споразумение за правата на гражданите“ означава Споразумението между Обединеното кралство Великобритания и Северна Ирландия и Конфедерация Швейцария относно правата на гражданите след оттеглянето на Обединеното кралство от Европейския съюз и Споразумението за свободно движение на хора;</w:t>
      </w:r>
    </w:p>
    <w:p>
      <w:pPr>
        <w:ind w:left="567" w:hanging="567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„обхванати държави“ означава държавите — членки на Съюза, и Швейцария; </w:t>
      </w:r>
    </w:p>
    <w:p>
      <w:pPr>
        <w:ind w:left="567" w:hanging="567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„преходен период“ означава преходния период, посочен в член 126 от Споразумението за оттегляне; </w:t>
      </w:r>
    </w:p>
    <w:p>
      <w:pPr>
        <w:ind w:left="567" w:hanging="567"/>
        <w:rPr>
          <w:noProof/>
        </w:rPr>
      </w:pPr>
      <w:r>
        <w:rPr>
          <w:noProof/>
        </w:rPr>
        <w:t>д)</w:t>
      </w:r>
      <w:r>
        <w:rPr>
          <w:noProof/>
        </w:rPr>
        <w:tab/>
        <w:t>определенията в член 1 от Регламент (ЕО) № 883/2004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член 1 от Регламент (ЕО) № 987/2009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 xml:space="preserve">2. За целите на настоящия протокол всички позовавания на държавите членки и на компетентните органи на държавите членки в разпоредби на правото на Съюза, станали приложими по силата на настоящия протокол, се разбират като включващи Обединеното кралство и неговите компетентни органи. </w:t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2</w:t>
      </w:r>
    </w:p>
    <w:p>
      <w:pPr>
        <w:jc w:val="center"/>
        <w:rPr>
          <w:noProof/>
        </w:rPr>
      </w:pPr>
      <w:r>
        <w:rPr>
          <w:noProof/>
        </w:rPr>
        <w:t>Персонален обхват</w:t>
      </w:r>
    </w:p>
    <w:p>
      <w:pPr>
        <w:rPr>
          <w:noProof/>
        </w:rPr>
      </w:pPr>
      <w:r>
        <w:rPr>
          <w:noProof/>
        </w:rPr>
        <w:t>1. Настоящият протокол се прилага за следните лица:</w:t>
      </w:r>
    </w:p>
    <w:p>
      <w:pPr>
        <w:ind w:left="567" w:hanging="567"/>
        <w:rPr>
          <w:noProof/>
        </w:rPr>
      </w:pPr>
      <w:r>
        <w:rPr>
          <w:noProof/>
        </w:rPr>
        <w:t>a)</w:t>
      </w:r>
      <w:r>
        <w:rPr>
          <w:noProof/>
        </w:rPr>
        <w:tab/>
        <w:t>граждани на Обединеното кралство, спрямо които се прилага законодателството на една от обхванатите държави в края на преходния период, както и членовете на техните семейства и преживелите ги лица;</w:t>
      </w:r>
    </w:p>
    <w:p>
      <w:pPr>
        <w:ind w:left="567" w:hanging="567"/>
        <w:rPr>
          <w:noProof/>
        </w:rPr>
      </w:pPr>
      <w:r>
        <w:rPr>
          <w:noProof/>
        </w:rPr>
        <w:t>б)</w:t>
      </w:r>
      <w:r>
        <w:rPr>
          <w:noProof/>
        </w:rPr>
        <w:tab/>
        <w:t>граждани на Обединеното кралство, които пребивават в една от обхванатите държави и спрямо които се прилага законодателството на Обединеното кралство в края на преходния период, както и членовете на техните семейства и преживелите ги лица;</w:t>
      </w:r>
    </w:p>
    <w:p>
      <w:pPr>
        <w:ind w:left="567" w:hanging="567"/>
        <w:rPr>
          <w:noProof/>
        </w:rPr>
      </w:pPr>
      <w:r>
        <w:rPr>
          <w:noProof/>
        </w:rPr>
        <w:t>в)</w:t>
      </w:r>
      <w:r>
        <w:rPr>
          <w:noProof/>
        </w:rPr>
        <w:tab/>
        <w:t>лица, които не попадат в обхвата на букви а) и б), но са граждани на Обединеното кралство, които упражняват дейност като заето или самостоятелно заето лице в една или повече обхванати държави в края на преходния период и спрямо които въз основа на дял II от Регламент (ЕО) № 883/2004 се прилага законодателството на Обединеното кралство, както и членовете на техните семейства и преживелите ги лица;</w:t>
      </w:r>
    </w:p>
    <w:p>
      <w:pPr>
        <w:ind w:left="567" w:hanging="567"/>
        <w:rPr>
          <w:noProof/>
        </w:rPr>
      </w:pPr>
      <w:r>
        <w:rPr>
          <w:noProof/>
        </w:rPr>
        <w:t>г)</w:t>
      </w:r>
      <w:r>
        <w:rPr>
          <w:noProof/>
        </w:rPr>
        <w:tab/>
        <w:t>лица без гражданство и бежанци, които пребивават в една от обхванатите държави или в Обединеното кралство и които се намират в една от ситуациите, описани в букви а)—в), както и членовете на техните семейства и преживелите ги лица.</w:t>
      </w:r>
    </w:p>
    <w:p>
      <w:pPr>
        <w:rPr>
          <w:noProof/>
        </w:rPr>
      </w:pPr>
      <w:r>
        <w:rPr>
          <w:noProof/>
        </w:rPr>
        <w:t>2. Лицата, посочени в параграф 1, попадат в персоналния обхват дотогава, докогато продължават да се намират без прекъсване в една от ситуациите, посочени в същия параграф, обхващащи едновременно една от обхванатите държави и Обединеното кралство.</w:t>
      </w:r>
    </w:p>
    <w:p>
      <w:pPr>
        <w:rPr>
          <w:noProof/>
        </w:rPr>
      </w:pPr>
      <w:r>
        <w:rPr>
          <w:noProof/>
        </w:rPr>
        <w:t>3. Настоящият протокол се прилага и по отношение на граждани на Обединеното кралство, които не попадат или вече не попадат в някоя от ситуациите, посочени в параграф 1 от настоящия член, но които попадат в обхвата на член 10 от Споразумението за оттегляне или на член 10 от Споразумението за правата на гражданите, както и по отношение на членовете на техните семейства и преживелите ги лица.</w:t>
      </w:r>
    </w:p>
    <w:p>
      <w:pPr>
        <w:rPr>
          <w:noProof/>
        </w:rPr>
      </w:pPr>
      <w:r>
        <w:rPr>
          <w:noProof/>
        </w:rPr>
        <w:t>4. Лицата, посочени в параграф 3, попадат в персоналния обхват дотогава, докогато продължават да имат право на пребиваване в една от обхванатите държави съгласно член 13 от Споразумението за оттегляне или член 12 от Споразумението за правата на гражданите или право на работа в държавата на месторабота съгласно член 24 или 25 от Споразумението за оттегляне или член 20 от Споразумението за правата на гражданите.</w:t>
      </w:r>
    </w:p>
    <w:p>
      <w:pPr>
        <w:rPr>
          <w:noProof/>
        </w:rPr>
      </w:pPr>
      <w:r>
        <w:rPr>
          <w:noProof/>
        </w:rPr>
        <w:t>5. В случаите, когато настоящият член се отнася за членове на семейството и за преживели лица, тези лица са обхванати от настоящия протокол само доколкото техните права и задължения произтичат от това им качество съгласно Регламент (ЕО) № 883/2004.</w:t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ЧЛЕН 3</w:t>
      </w:r>
    </w:p>
    <w:p>
      <w:pPr>
        <w:jc w:val="center"/>
        <w:rPr>
          <w:noProof/>
        </w:rPr>
      </w:pPr>
      <w:r>
        <w:rPr>
          <w:noProof/>
        </w:rPr>
        <w:t>Правила за координация на социалната сигурност</w:t>
      </w:r>
    </w:p>
    <w:p>
      <w:pPr>
        <w:rPr>
          <w:noProof/>
        </w:rPr>
      </w:pPr>
      <w:r>
        <w:rPr>
          <w:noProof/>
        </w:rPr>
        <w:t xml:space="preserve">1. По отношение на лицата, попадащи в обхвата на настоящия протокол, се прилагат правилата и целите, определени в член 8 и в настоящото приложение към Споразумението за свободно движение на хора, Регламент (ЕО) № 883/2004 и Регламент (ЕО) № 987/2009 на Европейския парламент и на Съвета. </w:t>
      </w:r>
    </w:p>
    <w:p>
      <w:pPr>
        <w:rPr>
          <w:noProof/>
        </w:rPr>
      </w:pPr>
      <w:r>
        <w:rPr>
          <w:noProof/>
        </w:rPr>
        <w:t xml:space="preserve">2. Обхванатите държави надлежно вземат предвид решенията и препоръките на Административната комисия за координация на системите за социална сигурност към Европейската комисия, създадена съгласно Регламент (ЕО) № 883/2004 („Административната комисия“), изброени в настоящото приложение. </w:t>
      </w:r>
    </w:p>
    <w:p>
      <w:pPr>
        <w:rPr>
          <w:noProof/>
        </w:rPr>
      </w:pPr>
    </w:p>
    <w:p>
      <w:pPr>
        <w:keepNext/>
        <w:widowControl w:val="0"/>
        <w:jc w:val="center"/>
        <w:rPr>
          <w:noProof/>
        </w:rPr>
      </w:pPr>
      <w:r>
        <w:rPr>
          <w:noProof/>
        </w:rPr>
        <w:t>ЧЛЕН 4</w:t>
      </w:r>
    </w:p>
    <w:p>
      <w:pPr>
        <w:jc w:val="center"/>
        <w:rPr>
          <w:noProof/>
        </w:rPr>
      </w:pPr>
      <w:r>
        <w:rPr>
          <w:noProof/>
        </w:rPr>
        <w:t>Обхванати специални случаи</w:t>
      </w:r>
    </w:p>
    <w:p>
      <w:pPr>
        <w:rPr>
          <w:noProof/>
        </w:rPr>
      </w:pPr>
      <w:r>
        <w:rPr>
          <w:noProof/>
        </w:rPr>
        <w:t>1. Следните правила се прилагат в следните случаи до степента, определена в настоящия член, доколкото те се отнасят за лица, които не попадат или вече не попадат в обхвата на член 2:</w:t>
      </w:r>
    </w:p>
    <w:p>
      <w:pPr>
        <w:ind w:left="567" w:hanging="567"/>
        <w:rPr>
          <w:noProof/>
        </w:rPr>
      </w:pPr>
      <w:r>
        <w:rPr>
          <w:noProof/>
        </w:rPr>
        <w:t>a)</w:t>
      </w:r>
      <w:r>
        <w:rPr>
          <w:noProof/>
        </w:rPr>
        <w:tab/>
        <w:t>гражданите на Обединеното кралство, както и лицата без гражданство и бежанците, пребиваващи в Обединеното кралство, по отношение на които преди края на преходния период се е прилагало законодателството на една от обхванатите държави, както и членовете на техните семейства и преживелите ги лица са обхванати от настоящия протокол за целите на използването и сумирането на периоди на осигуряване, заетост, самостоятелна заетост или пребиваване, включително права и задължения, произтичащи от такива периоди в съответствие с Регламент (ЕО) № 883/2004; за целите на сумирането на периоди периодите, които са завършили преди и след края на преходния период, се вземат предвид в съответствие с Регламент (ЕО) № 883/2004;</w:t>
      </w:r>
    </w:p>
    <w:p>
      <w:pPr>
        <w:ind w:left="567" w:hanging="567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правилата, определени в членове 20 и 27 от Регламент (ЕО) № 883/2004, продължават да се прилагат по отношение на гражданите на Обединеното кралство, както и по отношение на лицата без гражданство и бежанците, пребиваващи в Обединеното кралство, които преди края на преходния период са поискали разрешение да следват курс на планирано лечение съгласно Регламент (ЕО) № 883/2004, до края на лечението. Съответните процедури за възстановяване на разходите се прилагат дори и след приключване на лечението. Тези лица и придружаващите ги лица имат право да влизат в държавата по местолечение и да я напускат в съответствие с член 14 от Споразумението за оттегляне </w:t>
      </w:r>
      <w:r>
        <w:rPr>
          <w:i/>
          <w:iCs/>
          <w:noProof/>
        </w:rPr>
        <w:t>mutatis mutandis</w:t>
      </w:r>
      <w:r>
        <w:rPr>
          <w:noProof/>
        </w:rPr>
        <w:t xml:space="preserve"> и член 13 от Споразумението за правата на гражданите </w:t>
      </w:r>
      <w:r>
        <w:rPr>
          <w:i/>
          <w:iCs/>
          <w:noProof/>
        </w:rPr>
        <w:t>mutatis mutandis</w:t>
      </w:r>
      <w:r>
        <w:rPr>
          <w:noProof/>
        </w:rPr>
        <w:t>;</w:t>
      </w:r>
    </w:p>
    <w:p>
      <w:pPr>
        <w:ind w:left="567" w:hanging="567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правилата, определени в членове 19 и 27 от Регламент (ЕО) № 883/2004, продължават да се прилагат за гражданите на Обединеното кралство, както и за лицата без гражданство и бежанците, пребиваващи в Обединеното кралство, които попадат в обхвата на Регламент (ЕО) № 883/2004 и които престояват в края на преходния период в една от обхванатите държави или в Обединеното кралство, до края на своя престой. Съответните процедури за възстановяване на разходите се прилагат дори и след приключване на престоя или лечението;</w:t>
      </w:r>
    </w:p>
    <w:p>
      <w:pPr>
        <w:ind w:left="567" w:hanging="567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правилата, определени в членове 67, 68 и 69 от Регламент (ЕО) № 883/2004, продължават да се прилагат, докато са изпълнени условията, по отношение на отпускането на семейни обезщетения, за които е налице право на получаване в края на преходния период, на гражданите на Обединеното кралство, както и на лицата без гражданство и бежанците, пребиваващи в Обединеното кралство, за които се прилага законодателството на Обединеното кралство и чиито членове на семейството пребивават в една от обхванатите държави в края на преходния период;</w:t>
      </w:r>
    </w:p>
    <w:p>
      <w:pPr>
        <w:ind w:left="567" w:hanging="567"/>
        <w:rPr>
          <w:noProof/>
        </w:rPr>
      </w:pPr>
      <w:r>
        <w:rPr>
          <w:noProof/>
        </w:rPr>
        <w:t>д)</w:t>
      </w:r>
      <w:r>
        <w:rPr>
          <w:noProof/>
        </w:rPr>
        <w:tab/>
        <w:t>в случаите, посочени в буква г) от настоящия параграф, за лицата, които имат права на членове на семейството в края на преходния период съгласно Регламент (ЕО) № 883/2004, като например производни права на обезщетения за болест в натура, посоченият регламент и съответните разпоредби на Регламент (ЕО) № 987/2009 продължават да се прилагат, докато са изпълнени предвидените в тях условия.</w:t>
      </w:r>
    </w:p>
    <w:p>
      <w:pPr>
        <w:rPr>
          <w:noProof/>
        </w:rPr>
      </w:pPr>
      <w:r>
        <w:rPr>
          <w:noProof/>
        </w:rPr>
        <w:t>2. По отношение на лицата, които получават обезщетения съгласно параграф 1, буква а) от настоящия член, се прилагат разпоредбите на дял III, глава 1 от Регламент (ЕО) № 883/2004 по отношение на обезщетенията за болест.</w:t>
      </w:r>
    </w:p>
    <w:p>
      <w:pPr>
        <w:rPr>
          <w:noProof/>
        </w:rPr>
      </w:pPr>
      <w:r>
        <w:rPr>
          <w:noProof/>
        </w:rPr>
        <w:t xml:space="preserve">Настоящият параграф се прилага </w:t>
      </w:r>
      <w:r>
        <w:rPr>
          <w:i/>
          <w:iCs/>
          <w:noProof/>
        </w:rPr>
        <w:t>mutatis mutandis</w:t>
      </w:r>
      <w:r>
        <w:rPr>
          <w:noProof/>
        </w:rPr>
        <w:t xml:space="preserve"> по отношение на семейните обезщетения въз основа на членове 67, 68 и 69 от Регламент (ЕО) № 883/2004.</w:t>
      </w:r>
    </w:p>
    <w:p>
      <w:pPr>
        <w:rPr>
          <w:noProof/>
        </w:rPr>
      </w:pPr>
    </w:p>
    <w:p>
      <w:pPr>
        <w:jc w:val="center"/>
        <w:rPr>
          <w:caps/>
          <w:noProof/>
        </w:rPr>
      </w:pPr>
      <w:r>
        <w:rPr>
          <w:caps/>
          <w:noProof/>
        </w:rPr>
        <w:t>Член 5</w:t>
      </w:r>
    </w:p>
    <w:p>
      <w:pPr>
        <w:jc w:val="center"/>
        <w:rPr>
          <w:noProof/>
        </w:rPr>
      </w:pPr>
      <w:r>
        <w:rPr>
          <w:noProof/>
        </w:rPr>
        <w:t>Възстановяване, събиране и прихващане</w:t>
      </w:r>
    </w:p>
    <w:p>
      <w:pPr>
        <w:rPr>
          <w:noProof/>
        </w:rPr>
      </w:pPr>
      <w:r>
        <w:rPr>
          <w:noProof/>
        </w:rPr>
        <w:t xml:space="preserve">Разпоредбите на регламенти (ЕО) № 883/2004 и (ЕО) № 987/2009 относно възстановяването, събирането и прихващането продължават да се прилагат по отношение на събития, доколкото те се отнасят до лица, които не попадат в обхвата на член 2, които: </w:t>
      </w:r>
    </w:p>
    <w:p>
      <w:pPr>
        <w:ind w:left="567" w:hanging="567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са настъпили преди края на преходния период; или </w:t>
      </w:r>
    </w:p>
    <w:p>
      <w:pPr>
        <w:ind w:left="567" w:hanging="567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настъпват след края на преходния период и се отнасят до лица, които попадат в обхвата на член 2 или 4 при настъпване на събитието.</w:t>
      </w:r>
    </w:p>
    <w:p>
      <w:pPr>
        <w:rPr>
          <w:noProof/>
        </w:rPr>
      </w:pPr>
    </w:p>
    <w:p>
      <w:pPr>
        <w:jc w:val="center"/>
        <w:rPr>
          <w:caps/>
          <w:noProof/>
        </w:rPr>
      </w:pPr>
      <w:r>
        <w:rPr>
          <w:caps/>
          <w:noProof/>
        </w:rPr>
        <w:t>Член 6</w:t>
      </w:r>
    </w:p>
    <w:p>
      <w:pPr>
        <w:jc w:val="center"/>
        <w:rPr>
          <w:noProof/>
        </w:rPr>
      </w:pPr>
      <w:r>
        <w:rPr>
          <w:noProof/>
          <w:sz w:val="23"/>
          <w:szCs w:val="23"/>
        </w:rPr>
        <w:t>Развитие на законодателството и адаптиране</w:t>
      </w:r>
    </w:p>
    <w:p>
      <w:pPr>
        <w:rPr>
          <w:noProof/>
        </w:rPr>
      </w:pPr>
      <w:r>
        <w:rPr>
          <w:noProof/>
        </w:rPr>
        <w:t>1. Независимо от параграф 3, позоваванията в настоящия протокол на регламенти (ЕО) № 883/2004 и (ЕО) № 987/2009 или на разпоредби от тях се разбират като позовавания на актовете или разпоредбите, включени в Споразумението за свободно движение на хора, приложими към последния ден от преходния период.</w:t>
      </w:r>
    </w:p>
    <w:p>
      <w:pPr>
        <w:rPr>
          <w:noProof/>
        </w:rPr>
      </w:pPr>
      <w:r>
        <w:rPr>
          <w:noProof/>
        </w:rPr>
        <w:t>2. В случай че регламенти (ЕО) № 883/2004 и (ЕО) № 987/2009 бъдат изменени или заменени след края на преходния период, позоваванията на тези регламенти в настоящия протокол се разбират като отнасящи се до тези регламенти, както са изменени или заменени, в съответствие с актовете, изброени в част II от приложение I към Споразумението за оттегляне, по отношение на Съюза, и част II от приложение I към Споразумението за правата на гражданите, по отношение на Швейцария.</w:t>
      </w:r>
    </w:p>
    <w:p>
      <w:pPr>
        <w:rPr>
          <w:noProof/>
        </w:rPr>
      </w:pPr>
      <w:r>
        <w:rPr>
          <w:noProof/>
        </w:rPr>
        <w:t>3. За целите на настоящия протокол се разбира, че регламенти (ЕО) № 883/2004 и (ЕО) № 987/2009 включват адаптациите, изброени в част III от приложение I към Споразумението за оттегляне, по отношение на Съюза, и част III от приложение I към Споразумението за правата на гражданите, по отношение на Швейцария.</w:t>
      </w:r>
    </w:p>
    <w:p>
      <w:pPr>
        <w:rPr>
          <w:noProof/>
        </w:rPr>
      </w:pPr>
      <w:r>
        <w:rPr>
          <w:noProof/>
        </w:rPr>
        <w:t>4. За целите на настоящия протокол измененията и адаптациите, посочени в параграфи 2 и 3, влизат в сила в деня след деня, в който съответните изменения и адаптации на приложение I към Споразумението за оттегляне или на приложение I към Споразумението за правата на гражданите пораждат действие, в зависимост от това коя от двете дати е по-късна.“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 114, 30.4.2002 г., стр. 6.</w:t>
      </w:r>
    </w:p>
  </w:footnote>
  <w:footnote w:id="2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OВ L 29, 31.1.2020 г., стр. 7.</w:t>
      </w:r>
    </w:p>
  </w:footnote>
  <w:footnote w:id="3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Регламент (ЕО) № 883/2004 на Европейския парламент и на Съвета от 29 април 2004 г. за координация на системите за социална сигурност (ОВ L 166, 30.4.2004 г., стр. 1, поправен в ОВ L 200, 7.6.2004 г., стр. 1).</w:t>
      </w:r>
    </w:p>
  </w:footnote>
  <w:footnote w:id="4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Регламент (ЕО) № 987/2009 на Европейския парламент и на Съвета от 16 септември 2009 г. за установяване процедурата за прилагане на Регламент (ЕО) № 883/2004 за координация на системите за социална сигурност (ОВ L 284, 30.10.2009 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3687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70EAE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56238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68A57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C56D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B4A0E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E875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3281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3 13:34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E8980CC-0889-4D8F-AA55-6E2AB99A193E"/>
    <w:docVar w:name="LW_COVERPAGE_TYPE" w:val="1"/>
    <w:docVar w:name="LW_CROSSREFERENCE" w:val="&lt;UNUSED&gt;"/>
    <w:docVar w:name="LW_DocType" w:val="ANNEX"/>
    <w:docVar w:name="LW_EMISSION" w:val="12.11.2020"/>
    <w:docVar w:name="LW_EMISSION_ISODATE" w:val="2020-11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45?\u1074?\u1088?\u1086?\u1087?\u1077?\u1081?\u1089?\u1082?\u1080?\u1103? \u1089?\u1098?\u1102?\u1079? \u1074? \u1057?\u1098?\u1074?\u1084?\u1077?\u1089?\u1090?\u1085?\u1080?\u1103? \u1082?\u1086?\u1084?\u1080?\u1090?\u1077?\u1090?, \u1089?\u1098?\u1079?\u1076?\u1072?\u1076?\u1077?\u1085? \u1089?\u1098?\u1075?\u1083?\u1072?\u1089?\u1085?\u1086? \u1057?\u1087?\u1086?\u1088?\u1072?\u1079?\u1091?\u1084?\u1077?\u1085?\u1080?\u1077?\u1090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64?\u1074?\u1077?\u1081?\u1094?\u1072?\u1088?\u1089?\u1082?\u1072?\u1090?\u1072? \u1082?\u1086?\u1085?\u1092?\u1077?\u1076?\u1077?\u1088?\u1072?\u1094?\u1080?\u1103?, \u1086?\u1090? \u1076?\u1088?\u1091?\u1075?\u1072? \u1089?\u1090?\u1088?\u1072?\u1085?\u1072?, \u1086?\u1090?\u1085?\u1086?\u1089?\u1085?\u1086? \u1089?\u1074?\u1086?\u1073?\u1086?\u1076?\u1085?\u1086?\u1090?\u1086? \u1076?\u1074?\u1080?\u1078?\u1077?\u1085?\u1080?\u1077? \u1085?\u1072? \u1093?\u1086?\u1088?\u1072?, \u1087?\u1086? \u1086?\u1090?\u1085?\u1086?\u1096?\u1077?\u1085?\u1080?\u1077? \u1085?\u1072? \u1080?\u1079?\u1084?\u1077?\u1085?\u1077?\u1085?\u1080?\u1077?\u1090?\u1086? \u1085?\u1072? \u1087?\u1088?\u1080?\u1083?\u1086?\u1078?\u1077?\u1085?\u1080?\u1077? II \u1082?\u1098?\u1084? \u1090?\u1086?\u1074?\u1072? \u1089?\u1087?\u1086?\u1088?\u1072?\u1079?\u1091?\u1084?\u1077?\u1085?\u1080?\u1077? \u1086?\u1090?\u1085?\u1086?\u1089?\u1085?\u1086? \u1082?\u1086?\u1086?\u1088?\u1076?\u1080?\u1085?\u1072?\u1094?\u1080?\u1103?\u1090?\u1072? \u1085?\u1072? \u1089?\u1093?\u1077?\u1084?\u1080?\u1090?\u1077? \u1079?\u1072? \u1089?\u1086?\u1094?\u1080?\u1072?\u1083?\u1085?\u1072? \u1089?\u1080?\u1075?\u1091?\u1088?\u1085?\u1086?\u1089?\u1090?&lt;/FMT&gt;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45?\u1074?\u1088?\u1086?\u1087?\u1077?\u1081?\u1089?\u1082?\u1080?\u1103? \u1089?\u1098?\u1102?\u1079? \u1074? \u1057?\u1098?\u1074?\u1084?\u1077?\u1089?\u1090?\u1085?\u1080?\u1103? \u1082?\u1086?\u1084?\u1080?\u1090?\u1077?\u1090?, \u1089?\u1098?\u1079?\u1076?\u1072?\u1076?\u1077?\u1085? \u1089?\u1098?\u1075?\u1083?\u1072?\u1089?\u1085?\u1086? \u1057?\u1087?\u1086?\u1088?\u1072?\u1079?\u1091?\u1084?\u1077?\u1085?\u1080?\u1077?\u1090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64?\u1074?\u1077?\u1081?\u1094?\u1072?\u1088?\u1089?\u1082?\u1072?\u1090?\u1072? \u1082?\u1086?\u1085?\u1092?\u1077?\u1076?\u1077?\u1088?\u1072?\u1094?\u1080?\u1103?, \u1086?\u1090? \u1076?\u1088?\u1091?\u1075?\u1072? \u1089?\u1090?\u1088?\u1072?\u1085?\u1072?, \u1086?\u1090?\u1085?\u1086?\u1089?\u1085?\u1086? \u1089?\u1074?\u1086?\u1073?\u1086?\u1076?\u1085?\u1086?\u1090?\u1086? \u1076?\u1074?\u1080?\u1078?\u1077?\u1085?\u1080?\u1077? \u1085?\u1072? \u1093?\u1086?\u1088?\u1072?, \u1087?\u1086? \u1086?\u1090?\u1085?\u1086?\u1096?\u1077?\u1085?\u1080?\u1077? \u1085?\u1072? \u1080?\u1079?\u1084?\u1077?\u1085?\u1077?\u1085?\u1080?\u1077?\u1090?\u1086? \u1085?\u1072? \u1087?\u1088?\u1080?\u1083?\u1086?\u1078?\u1077?\u1085?\u1080?\u1077? II \u1082?\u1098?\u1084? \u1090?\u1086?\u1074?\u1072? \u1089?\u1087?\u1086?\u1088?\u1072?\u1079?\u1091?\u1084?\u1077?\u1085?\u1080?\u1077? \u1086?\u1090?\u1085?\u1086?\u1089?\u1085?\u1086? \u1082?\u1086?\u1086?\u1088?\u1076?\u1080?\u1085?\u1072?\u1094?\u1080?\u1103?\u1090?\u1072? \u1085?\u1072? \u1089?\u1093?\u1077?\u1084?\u1080?\u1090?\u1077? \u1079?\u1072? \u1089?\u1086?\u1094?\u1080?\u1072?\u1083?\u1085?\u1072? \u1089?\u1080?\u1075?\u1091?\u1088?\u1085?\u1086?\u1089?\u1090?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7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3910-060F-4442-8A38-49900294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8</Pages>
  <Words>2389</Words>
  <Characters>13504</Characters>
  <Application>Microsoft Office Word</Application>
  <DocSecurity>0</DocSecurity>
  <Lines>275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 Vaclav (EEAS)</dc:creator>
  <cp:keywords/>
  <dc:description/>
  <cp:lastModifiedBy>DIGIT/C6</cp:lastModifiedBy>
  <cp:revision>9</cp:revision>
  <dcterms:created xsi:type="dcterms:W3CDTF">2020-12-02T07:47:00Z</dcterms:created>
  <dcterms:modified xsi:type="dcterms:W3CDTF">2020-12-03T12:34:00Z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