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1475E1-48E7-4735-91DA-28601B0BF639" style="width:450.75pt;height:40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определяне на позицията, която трябва да се заеме от името на Съюза в рамките на Съвместния комитет на ЕИП във връзка с предвиденото приемане на решението на Съвместния комитет за изменение на приложение VI (Социална сигурност) към Споразумението за ЕИП.</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ЕИП</w:t>
      </w:r>
    </w:p>
    <w:p>
      <w:pPr>
        <w:rPr>
          <w:rFonts w:eastAsia="Arial Unicode MS"/>
          <w:noProof/>
        </w:rPr>
      </w:pPr>
      <w:r>
        <w:rPr>
          <w:noProof/>
        </w:rPr>
        <w:t>Споразумението за Европейското икономическо пространство (по-нататък „Споразумението за ЕИП“) гарантира равни права и задължения в рамките на вътрешния пазар за гражданите и икономическите оператори в ЕИП. В него се предвижда включването на законодателство на ЕС, обхващащо четирите свободи, в тридесетте държави от ЕИП, включващи държавите — членки на ЕС, Норвегия, Исландия и Лихтенщайн. Освен това Споразумението за ЕИП обхваща сътрудничеството в други важни области, като научноизследователската и развойната дейност, образованието, социалната политика, околната среда, защитата на потребителите, туризма и културата, наричани заедно „съпътстващи и хоризонтални“ политики. Споразумението влезе в сила на 1 януари 1994 г.</w:t>
      </w:r>
      <w:r>
        <w:t xml:space="preserve"> </w:t>
      </w:r>
      <w:r>
        <w:rPr>
          <w:noProof/>
        </w:rPr>
        <w:t>Европейският съюз заедно с неговите държави членки е страна по Споразумението.</w:t>
      </w:r>
    </w:p>
    <w:p>
      <w:pPr>
        <w:pStyle w:val="ManualHeading2"/>
        <w:rPr>
          <w:noProof/>
        </w:rPr>
      </w:pPr>
      <w:r>
        <w:t>2.2.</w:t>
      </w:r>
      <w:r>
        <w:tab/>
      </w:r>
      <w:r>
        <w:rPr>
          <w:noProof/>
        </w:rPr>
        <w:t>Съвместен комитет на ЕИП</w:t>
      </w:r>
    </w:p>
    <w:p>
      <w:pPr>
        <w:rPr>
          <w:rFonts w:eastAsia="Arial Unicode MS"/>
          <w:noProof/>
        </w:rPr>
      </w:pPr>
      <w:r>
        <w:rPr>
          <w:noProof/>
        </w:rPr>
        <w:t>Съвместният комитет на ЕИП отговаря за управлението на Споразумението за ЕИП. Той е форум за обмен на мнения, свързани с функционирането на Споразумението за ЕИП. Той приема решенията си с консенсус. В съответствие с Договора от Лисабон отговорност за координиране от страна на ЕС на въпросите, свързани с ЕИП, има Европейската служба за външна дейност. </w:t>
      </w:r>
    </w:p>
    <w:p>
      <w:pPr>
        <w:pStyle w:val="ManualHeading2"/>
        <w:rPr>
          <w:noProof/>
        </w:rPr>
      </w:pPr>
      <w:r>
        <w:t>2.3.</w:t>
      </w:r>
      <w:r>
        <w:tab/>
      </w:r>
      <w:r>
        <w:rPr>
          <w:noProof/>
        </w:rPr>
        <w:t>Предвиденият акт на Съвместния комитет на ЕИП</w:t>
      </w:r>
    </w:p>
    <w:p>
      <w:pPr>
        <w:rPr>
          <w:rFonts w:eastAsia="Arial Unicode MS"/>
          <w:noProof/>
        </w:rPr>
      </w:pPr>
      <w:r>
        <w:rPr>
          <w:noProof/>
        </w:rPr>
        <w:t>Очаква се Съвместният комитет на ЕИП да приеме решение на Съвместния комитет на ЕИП за изменение на приложение VI (Социална сигурност) към Споразумението за ЕИП (по-нататък „предвиденият акт“).</w:t>
      </w:r>
    </w:p>
    <w:p>
      <w:r>
        <w:rPr>
          <w:noProof/>
        </w:rPr>
        <w:t>Целта на предвидения акт е да се осигури реципрочна защита на социалноосигурителните права на гражданите на Обединеното кралство, лицата без гражданство и бежанците, както и на членовете на техните семейства и преживелите ги лица, които към края на преходния период са или са били в трансгранична ситуация, в която участват едновременно една или повече от договарящите се страни по Споразумението за ЕИП и Обединеното кралство Великобритания и Северна Ирландия.</w:t>
      </w:r>
      <w:r>
        <w:t xml:space="preserve"> </w:t>
      </w:r>
    </w:p>
    <w:p>
      <w:pPr>
        <w:rPr>
          <w:rFonts w:eastAsia="Arial Unicode MS"/>
          <w:noProof/>
        </w:rPr>
      </w:pPr>
      <w:r>
        <w:rPr>
          <w:noProof/>
        </w:rPr>
        <w:t>Предвиденият акт ще бъде обвързващ за страните в съответствие с членове 103 и 104 от Споразумението за ЕИП</w:t>
      </w:r>
      <w:r>
        <w:t xml:space="preserve">.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 xml:space="preserve">Необходимо е да се предостави реципрочна защита на социалноосигурителните права на гражданите на Обединеното кралство, лицата без гражданство и бежанците, както и на членовете на техните семейства и преживелите ги лица, които към края на преходния период, определен в член 126 от Споразумението за оттеглянето на </w:t>
      </w:r>
      <w:r>
        <w:rPr>
          <w:noProof/>
        </w:rPr>
        <w:lastRenderedPageBreak/>
        <w:t>Обединеното кралство Великобритания и Северна Ирландия от Европейския съюз и Европейската общност за атомна енергия (по-нататък „Споразумението за оттегляне“)</w:t>
      </w:r>
      <w:r>
        <w:rPr>
          <w:rStyle w:val="FootnoteReference"/>
          <w:noProof/>
        </w:rPr>
        <w:footnoteReference w:id="1"/>
      </w:r>
      <w:r>
        <w:rPr>
          <w:noProof/>
        </w:rPr>
        <w:t>, са или са били в трансгранична ситуация, в която участват едновременно една или повече от договарящите се страни по Споразумението за ЕИП и Обединеното кралство Великобритания и Северна Ирландия.</w:t>
      </w:r>
    </w:p>
    <w:p>
      <w:pPr>
        <w:rPr>
          <w:rFonts w:eastAsia="Arial Unicode MS"/>
          <w:noProof/>
        </w:rPr>
      </w:pPr>
      <w:r>
        <w:rPr>
          <w:noProof/>
        </w:rPr>
        <w:t>Съгласно член 33, параграф 1 от Споразумението за оттегляне</w:t>
      </w:r>
      <w:r>
        <w:rPr>
          <w:rStyle w:val="FootnoteReference"/>
          <w:noProof/>
        </w:rPr>
        <w:footnoteReference w:id="2"/>
      </w:r>
      <w:r>
        <w:rPr>
          <w:noProof/>
        </w:rPr>
        <w:t xml:space="preserve"> дял III от него (относно координацията на системите за социална сигурност) се прилага и за гражданите на членуващите в ЕИП държави от ЕАСТ, при условие че тези държави сключат съответните споразумения с Обединеното кралство (които ще се прилагат за гражданите на Съюза) и със Съюза (които ще се прилагат за гражданите на Обединеното кралство). </w:t>
      </w:r>
    </w:p>
    <w:p>
      <w:pPr>
        <w:rPr>
          <w:rFonts w:eastAsia="Arial Unicode MS"/>
          <w:noProof/>
        </w:rPr>
      </w:pPr>
      <w:r>
        <w:rPr>
          <w:noProof/>
        </w:rPr>
        <w:t>Тъй като членуващите в ЕИП държави от ЕАСТ вече са сключили съответните споразумения с Обединеното кралство, сега е ред на Съюза и членуващите в ЕИП държави от ЕАСТ да сключат споразумения, с които да се гарантира, че гражданите на Обединеното кралство, попадащи в обхвата на Споразумението за оттегляне и на Споразумението относно договореностите между Исландия, Княжество Лихтенщайн, Кралство Норвегия и Обединеното кралство Великобритания и Северна Ирландия, след оттеглянето на Обединеното кралство от Европейския съюз (по-нататък „Споразумението за раздяла“), се ползват от защита на техните социалноосигурителни права, придобити преди края на преходния период или след това.</w:t>
      </w:r>
    </w:p>
    <w:p>
      <w:pPr>
        <w:rPr>
          <w:rFonts w:eastAsia="Arial Unicode MS"/>
          <w:noProof/>
        </w:rPr>
      </w:pPr>
      <w:r>
        <w:rPr>
          <w:noProof/>
        </w:rPr>
        <w:t>Поради това проектът на решение на Съвместния комитет на ЕИП (приложен към предложението за решение на Съвета) има за цел да измени приложение VI (Социална сигурност) към Споразумението за ЕИП, за да се гарантира запазване на тези социалноосигурителни права на гражданите на Обединеното кралство.</w:t>
      </w:r>
    </w:p>
    <w:p>
      <w:pPr>
        <w:rPr>
          <w:rFonts w:eastAsia="Arial Unicode MS"/>
          <w:noProof/>
        </w:rPr>
      </w:pPr>
      <w:r>
        <w:rPr>
          <w:noProof/>
        </w:rPr>
        <w:t>Съдържанието и естеството на проекта на приложеното решение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следва да бъде определена от Съвета.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lastRenderedPageBreak/>
        <w:t>4.1.2.</w:t>
      </w:r>
      <w:r>
        <w:tab/>
      </w:r>
      <w:r>
        <w:rPr>
          <w:noProof/>
        </w:rPr>
        <w:t>Приложение в конкретния случай</w:t>
      </w:r>
    </w:p>
    <w:p>
      <w:r>
        <w:rPr>
          <w:noProof/>
        </w:rPr>
        <w:t>Съвместният комитет на ЕИП е орган, създаден със споразумение, а именно Споразумението за ЕИП</w:t>
      </w:r>
      <w:r>
        <w:t xml:space="preserve">. </w:t>
      </w:r>
      <w:r>
        <w:rPr>
          <w:noProof/>
        </w:rPr>
        <w:t xml:space="preserve">Актът, който Съвместният комитет на ЕИП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103 и 104 от Споразумението за ЕИП. </w:t>
      </w:r>
    </w:p>
    <w:p>
      <w:pPr>
        <w:rPr>
          <w:noProof/>
        </w:rPr>
      </w:pPr>
      <w:r>
        <w:rPr>
          <w:noProof/>
        </w:rPr>
        <w:t>Предвиденият акт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t>4.2.2.</w:t>
      </w:r>
      <w:r>
        <w:tab/>
      </w:r>
      <w:r>
        <w:rPr>
          <w:noProof/>
        </w:rPr>
        <w:t>Приложение в конкретния случай</w:t>
      </w:r>
    </w:p>
    <w:p>
      <w:pPr>
        <w:rPr>
          <w:noProof/>
        </w:rPr>
      </w:pPr>
      <w:r>
        <w:rPr>
          <w:noProof/>
        </w:rPr>
        <w:t>Предвиденият акт преследва цели и се състои от части, отнасящи се до областта на социалната сигурност и предоставянето на правомощия. Тези елементи на предвидения акт са неразривно свързани, без никой от тях да е акцесорен по отношение на другия.</w:t>
      </w:r>
    </w:p>
    <w:p>
      <w:pPr>
        <w:rPr>
          <w:noProof/>
        </w:rPr>
      </w:pPr>
      <w:r>
        <w:rPr>
          <w:noProof/>
        </w:rPr>
        <w:t>Поради това материалноправното основание за предложеното решение включва следните разпоредби: член 48 и член 352 от Договора за функционирането на Европейския съюз</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бъдат членове 48 и 352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Съвместния комитет на ЕИП ще се измени приложение VI относно социалната сигурност,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на ЕИП във връзка с изменението на приложение VI (Социална сигурност) към Споразумението за ЕИП</w:t>
      </w:r>
    </w:p>
    <w:p>
      <w:pPr>
        <w:pStyle w:val="IntrtEEE"/>
        <w:rPr>
          <w:noProof/>
        </w:rPr>
      </w:pPr>
      <w:r>
        <w:rPr>
          <w:noProof/>
        </w:rPr>
        <w:t>(текст от значение за ЕИП)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48 и 352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4"/>
      </w:r>
      <w:r>
        <w:rPr>
          <w:noProof/>
        </w:rPr>
        <w:t xml:space="preserve">, и по-специално член 1, параграф 3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szCs w:val="24"/>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 </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iCs/>
          <w:noProof/>
        </w:rPr>
        <w:t>inter alia</w:t>
      </w:r>
      <w:r>
        <w:rPr>
          <w:noProof/>
        </w:rPr>
        <w:t>, приложение VI към Споразумението за ЕИП, което съдържа разпоредби относно социалната сигурност.</w:t>
      </w:r>
    </w:p>
    <w:p>
      <w:pPr>
        <w:pStyle w:val="ManualConsidrant"/>
        <w:rPr>
          <w:noProof/>
        </w:rPr>
      </w:pPr>
      <w:r>
        <w:t>(3)</w:t>
      </w:r>
      <w:r>
        <w:tab/>
      </w:r>
      <w:r>
        <w:rPr>
          <w:noProof/>
        </w:rPr>
        <w:t>В член 33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(по-нататък „Споразумението за оттегляне“)</w:t>
      </w:r>
      <w:r>
        <w:rPr>
          <w:rStyle w:val="FootnoteReference"/>
          <w:noProof/>
        </w:rPr>
        <w:footnoteReference w:id="6"/>
      </w:r>
      <w:r>
        <w:rPr>
          <w:noProof/>
        </w:rPr>
        <w:t xml:space="preserve"> се посочва, че разпоредбите на част втора, дял III от Споразумението за оттегляне се прилагат по отношение на гражданите на Исландия, Княжество Лихтенщайн и Кралство Норвегия, при условие че тези държави са сключили и прилагат съответните споразумения с Обединеното кралство Великобритания и Северна Ирландия, които се прилагат за гражданите на Съюза, както и съответните споразумения с Европейския съюз, които се прилагат за гражданите на Обединеното кралство.</w:t>
      </w:r>
    </w:p>
    <w:p>
      <w:pPr>
        <w:pStyle w:val="ManualConsidrant"/>
        <w:rPr>
          <w:noProof/>
        </w:rPr>
      </w:pPr>
      <w:r>
        <w:t>(4)</w:t>
      </w:r>
      <w:r>
        <w:tab/>
      </w:r>
      <w:r>
        <w:rPr>
          <w:noProof/>
        </w:rPr>
        <w:t xml:space="preserve">В член 32 от Споразумението относно договореностите между Исландия, Княжество Лихтенщайн, Кралство Норвегия и Обединеното кралство Великобритания и Северна Ирландия, след оттеглянето на Обединеното кралство от Европейския съюз, Споразумението за ЕИП, както и другите споразумения, приложими между Обединеното кралство и държавите от ЕИП/ЕАСТ по силата на членството на Обединеното кралство в Европейския </w:t>
      </w:r>
      <w:r>
        <w:rPr>
          <w:noProof/>
        </w:rPr>
        <w:lastRenderedPageBreak/>
        <w:t>съюз (по-нататък „Споразумението за раздяла“) се посочва, че разпоредбите на част втора, дял III от Споразумението за раздяла се прилагат по отношение на гражданите на Съюза, при условие че Съюзът е сключил и прилага съответните споразумения с Обединеното кралство Великобритания и Северна Ирландия, които се прилагат по отношение на гражданите на членуващите в ЕИП държави от ЕАСТ, както и съответните споразумения с членуващите в ЕИП държави от ЕАСТ, които се прилагат за гражданите на Обединеното кралство.</w:t>
      </w:r>
    </w:p>
    <w:p>
      <w:pPr>
        <w:pStyle w:val="ManualConsidrant"/>
        <w:rPr>
          <w:noProof/>
        </w:rPr>
      </w:pPr>
      <w:r>
        <w:t>(5)</w:t>
      </w:r>
      <w:r>
        <w:tab/>
      </w:r>
      <w:r>
        <w:rPr>
          <w:noProof/>
        </w:rPr>
        <w:t xml:space="preserve">Следователно е необходимо да се осигури реципрочна защита на социалноосигурителните права на гражданите на Обединеното кралство, лицата без гражданство и бежанците, както и на членовете на техните семейства и преживелите ги лица, които към края на преходния период са или са били в трансгранична ситуация, в която участват едновременно една или повече от договарящите се страни по Споразумението за Европейското икономическо пространство и Обединеното кралство Великобритания и Северна Ирландия. </w:t>
      </w:r>
    </w:p>
    <w:p>
      <w:pPr>
        <w:pStyle w:val="ManualConsidrant"/>
        <w:rPr>
          <w:noProof/>
        </w:rPr>
      </w:pPr>
      <w:r>
        <w:t>(6)</w:t>
      </w:r>
      <w:r>
        <w:tab/>
      </w:r>
      <w:r>
        <w:rPr>
          <w:noProof/>
        </w:rPr>
        <w:t>Ето защо позицията на Съюза в Съвместния комитет на ЕИП следва да се основава на проекта на решение на Съвместния комитет на ЕИП, посочен в приложението към настоящото решение,</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VI (Социална сигурност)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29, 31.1.2020 г., стр. 7.</w:t>
      </w:r>
    </w:p>
  </w:footnote>
  <w:footnote w:id="2">
    <w:p>
      <w:pPr>
        <w:pStyle w:val="FootnoteText"/>
      </w:pPr>
      <w:r>
        <w:rPr>
          <w:rStyle w:val="FootnoteReference"/>
        </w:rPr>
        <w:footnoteRef/>
      </w:r>
      <w:r>
        <w:tab/>
        <w:t>OВ L 29, 31.1.2020 г., стр. 7.</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OВ L 305, 30.11.1994 г., стр. 6.</w:t>
      </w:r>
    </w:p>
  </w:footnote>
  <w:footnote w:id="5">
    <w:p>
      <w:pPr>
        <w:pStyle w:val="FootnoteText"/>
      </w:pPr>
      <w:r>
        <w:rPr>
          <w:rStyle w:val="FootnoteReference"/>
        </w:rPr>
        <w:footnoteRef/>
      </w:r>
      <w:r>
        <w:tab/>
        <w:t xml:space="preserve">OВ L 1, 3.1.1994 г., стр. 3. </w:t>
      </w:r>
    </w:p>
  </w:footnote>
  <w:footnote w:id="6">
    <w:p>
      <w:pPr>
        <w:pStyle w:val="FootnoteText"/>
      </w:pPr>
      <w:r>
        <w:rPr>
          <w:rStyle w:val="FootnoteReference"/>
        </w:rPr>
        <w:footnoteRef/>
      </w:r>
      <w:r>
        <w:tab/>
        <w:t>OВ L 29, 31.1.2020 г., стр.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37: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1475E1-48E7-4735-91DA-28601B0BF639"/>
    <w:docVar w:name="LW_COVERPAGE_TYPE" w:val="1"/>
    <w:docVar w:name="LW_CROSSREFERENCE" w:val="&lt;UNUSED&gt;"/>
    <w:docVar w:name="LW_DocType" w:val="COM"/>
    <w:docVar w:name="LW_EMISSION" w:val="12.11.2020"/>
    <w:docVar w:name="LW_EMISSION_ISODATE" w:val="2020-11-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 w:val="(\u1090?\u1077?\u1082?\u1089?\u1090? \u1086?\u1090? \u1079?\u1085?\u1072?\u1095?\u1077?\u1085?\u1080?\u1077? \u1079?\u1072? \u1045?\u1048?\u105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7"/>
    <w:docVar w:name="LW_REF.II.NEW.CP_YEAR" w:val="2020"/>
    <w:docVar w:name="LW_REF.INST.NEW" w:val="COM"/>
    <w:docVar w:name="LW_REF.INST.NEW_ADOPTED" w:val="final"/>
    <w:docVar w:name="LW_REF.INST.NEW_TEXT" w:val="(2020)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u1090?\u1086? \u1085?\u1072? \u1087?\u1088?\u1080?\u1083?\u1086?\u1078?\u1077?\u1085?\u1080?\u1077? VI (\u1057?\u1086?\u1094?\u1080?\u1072?\u1083?\u1085?\u1072? \u1089?\u1080?\u1075?\u1091?\u1088?\u1085?\u1086?\u1089?\u1090?) \u1082?\u1098?\u1084? \u1057?\u1087?\u1086?\u1088?\u1072?\u1079?\u1091?\u1084?\u1077?\u1085?\u1080?\u1077?\u1090?\u1086? \u1079?\u1072? \u1045?\u1048?\u1055?"/>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u1090?\u1086? \u1085?\u1072? \u1087?\u1088?\u1080?\u1083?\u1086?\u1078?\u1077?\u1085?\u1080?\u1077? VI (\u1057?\u1086?\u1094?\u1080?\u1072?\u1083?\u1085?\u1072? \u1089?\u1080?\u1075?\u1091?\u1088?\u1085?\u1086?\u1089?\u1090?) \u1082?\u1098?\u1084? \u1057?\u1087?\u1086?\u1088?\u1072?\u1079?\u1091?\u1084?\u1077?\u1085?\u1080?\u1077?\u1090?\u1086? \u1079?\u1072? \u1045?\u1048?\u1055?"/>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1738</Words>
  <Characters>10011</Characters>
  <Application>Microsoft Office Word</Application>
  <DocSecurity>0</DocSecurity>
  <Lines>188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2020-12-02T09:46:00Z</dcterms:created>
  <dcterms:modified xsi:type="dcterms:W3CDTF">2020-12-03T12:37:00Z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