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CCCBF0F-DBD3-4465-8BD4-8052F089D82F" style="width:450.35pt;height:410.9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Typedudocument"/>
        <w:rPr>
          <w:noProof/>
        </w:rPr>
      </w:pPr>
      <w:r>
        <w:rPr>
          <w:noProof/>
        </w:rPr>
        <w:t>РЕШЕНИЕ НА СЪВМЕСТНИЯ КОМИТЕТ НА ЕИП № ...</w:t>
      </w:r>
    </w:p>
    <w:p>
      <w:pPr>
        <w:pStyle w:val="Datedadoption"/>
        <w:rPr>
          <w:noProof/>
        </w:rPr>
      </w:pPr>
      <w:r>
        <w:rPr>
          <w:noProof/>
        </w:rPr>
        <w:t>от 0.0.0 година</w:t>
      </w:r>
    </w:p>
    <w:p>
      <w:pPr>
        <w:pStyle w:val="Titreobjet"/>
        <w:rPr>
          <w:noProof/>
        </w:rPr>
      </w:pPr>
      <w:r>
        <w:rPr>
          <w:noProof/>
        </w:rPr>
        <w:t xml:space="preserve">за изменение на приложение VI (Социална сигурност) към Споразумението за ЕИП 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 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 xml:space="preserve">Като взема предвид, че в член 33 от </w:t>
      </w:r>
      <w:bookmarkStart w:id="1" w:name="_Hlk51665547"/>
      <w:r>
        <w:rPr>
          <w:noProof/>
        </w:rPr>
        <w:t>Споразумението за оттеглянето на Обединеното кралство Великобритания и Северна Ирландия от Европейския съюз и Европейската общност за атомна енергия</w:t>
      </w:r>
      <w:bookmarkEnd w:id="1"/>
      <w:r>
        <w:rPr>
          <w:noProof/>
        </w:rPr>
        <w:t xml:space="preserve"> (по-нататък „Споразумението за оттегляне“)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се посочва, че разпоредбите на част втора, дял III от Споразумението за оттегляне се прилагат по отношение на гражданите на Исландия, Княжество Лихтенщайн, Кралство Норвегия и Конфедерация Швейцария, при условие че тези държави са сключили и прилагат съответните споразумения с Обединеното кралство Великобритания и Северна Ирландия, които се прилагат за гражданите на Съюза, както и съответните споразумения с Европейския съюз, които се прилагат за гражданите на Обединеното кралство.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Като взема предвид, че в член 32 от Споразумението относно договореностите между Исландия, Княжество Лихтенщайн, Кралство Норвегия и Обединеното кралство Великобритания и Северна Ирландия, след оттеглянето на Обединеното кралство от Европейския съюз, Споразумението за ЕИП, както и другите споразумения, приложими между Обединеното кралство и държавите от ЕИП/ЕАСТ по силата на членството на Обединеното кралство в Европейския съюз (по-нататък „Споразумението за раздяла“)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се посочва, че разпоредбите на част втора, дял III от Споразумението за раздяла се прилагат по отношение на гражданите на Съюза, при условие че Съюзът е сключил и прилага съответните споразумения с Обединеното кралство Великобритания и Северна Ирландия, които се прилагат по отношение на гражданите на членуващите в ЕИП държави от ЕАСТ, както и съответните споразумения с членуващите в ЕИП държави от ЕАСТ, които се прилагат за гражданите на Обединеното кралство,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 xml:space="preserve">Като признава, че е необходимо да се предостави реципрочна защита на социалноосигурителните права на гражданите на Обединеното кралство, както и на членовете на техните семейства и преживелите ги лица, които към края на преходния период, определен в член 126 от Споразумението за оттегляне, са или са били в трансгранична ситуация, в която участват едновременно една или повече от договарящите се страни по Споразумението за Европейското икономическо пространство и Обединеното кралство Великобритания и Северна Ирландия, 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bCs/>
          <w:noProof/>
          <w:sz w:val="23"/>
          <w:szCs w:val="23"/>
        </w:rPr>
        <w:t>Поради това приложение VI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ind w:left="720" w:hanging="720"/>
        <w:rPr>
          <w:iCs/>
          <w:noProof/>
        </w:rPr>
      </w:pPr>
      <w:r>
        <w:rPr>
          <w:noProof/>
        </w:rPr>
        <w:t>След глава II от приложение VI към Споразумението за ЕИП се вмъква следната глава:</w:t>
      </w:r>
    </w:p>
    <w:p>
      <w:pPr>
        <w:ind w:left="720" w:hanging="720"/>
        <w:rPr>
          <w:iCs/>
          <w:noProof/>
        </w:rPr>
      </w:pPr>
    </w:p>
    <w:p>
      <w:pPr>
        <w:jc w:val="center"/>
        <w:rPr>
          <w:b/>
          <w:noProof/>
        </w:rPr>
      </w:pPr>
      <w:bookmarkStart w:id="2" w:name="_Hlk52351675"/>
      <w:r>
        <w:rPr>
          <w:b/>
          <w:noProof/>
        </w:rPr>
        <w:t xml:space="preserve">„III. ГРАЖДАНИ НА ОБЕДИНЕНОТО КРАЛСТВО </w:t>
      </w:r>
    </w:p>
    <w:p>
      <w:pPr>
        <w:jc w:val="center"/>
        <w:rPr>
          <w:noProof/>
        </w:rPr>
      </w:pPr>
      <w:r>
        <w:rPr>
          <w:noProof/>
        </w:rPr>
        <w:t>ЧЛЕН 1</w:t>
      </w:r>
    </w:p>
    <w:p>
      <w:pPr>
        <w:jc w:val="center"/>
        <w:rPr>
          <w:noProof/>
        </w:rPr>
      </w:pPr>
      <w:r>
        <w:rPr>
          <w:noProof/>
        </w:rPr>
        <w:t>Определения и позовавания</w:t>
      </w:r>
    </w:p>
    <w:p>
      <w:pPr>
        <w:pStyle w:val="NumPar1"/>
        <w:numPr>
          <w:ilvl w:val="0"/>
          <w:numId w:val="17"/>
        </w:numPr>
        <w:rPr>
          <w:noProof/>
        </w:rPr>
      </w:pPr>
      <w:r>
        <w:rPr>
          <w:noProof/>
        </w:rPr>
        <w:t>За целите на настоящата глава се прилагат следните определения: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„Споразумение за оттегляне“ означава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</w:t>
      </w:r>
      <w:r>
        <w:rPr>
          <w:rStyle w:val="FootnoteReference"/>
          <w:noProof/>
          <w:szCs w:val="21"/>
        </w:rPr>
        <w:footnoteReference w:id="3"/>
      </w:r>
      <w:r>
        <w:rPr>
          <w:noProof/>
        </w:rPr>
        <w:t>: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„Споразумение за раздяла“ означава </w:t>
      </w:r>
      <w:bookmarkStart w:id="3" w:name="_Hlk51667843"/>
      <w:r>
        <w:rPr>
          <w:noProof/>
        </w:rPr>
        <w:t>Споразумението относно договореностите между Исландия, Княжество Лихтенщайн, Кралство Норвегия и Обединеното кралство Великобритания и Северна Ирландия, след оттеглянето на Обединеното кралство от Европейския съюз, Споразумението за ЕИП, както и другите споразумения, приложими между Обединеното кралство и държавите от ЕИП/ЕАСТ по силата на членството на Обединеното кралство в Европейския съюз</w:t>
      </w:r>
      <w:bookmarkEnd w:id="3"/>
      <w:r>
        <w:rPr>
          <w:rStyle w:val="FootnoteReference"/>
          <w:noProof/>
        </w:rPr>
        <w:footnoteReference w:id="4"/>
      </w:r>
      <w:r>
        <w:rPr>
          <w:noProof/>
        </w:rPr>
        <w:t xml:space="preserve">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„обхванати държави“ означава държавите, които са договарящи се страни по Споразумението за Европейското икономическо пространство; 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„преходен период“ означава преходния период, посочен в член 126 от Споразумението за оттегляне; 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определенията в член 1 от Регламент (ЕО) № 883/2004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член 1 от Регламент (ЕО) № 987/2009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NumPar1"/>
        <w:rPr>
          <w:noProof/>
        </w:rPr>
      </w:pPr>
      <w:r>
        <w:rPr>
          <w:noProof/>
        </w:rPr>
        <w:t xml:space="preserve">За целите на настоящата глава всички позовавания на държавите членки и на компетентните органи на държавите членки в разпоредби на правото на Съюза, станали приложими по силата на настоящата глава, се разбират като включващи Обединеното кралство и неговите компетентни органи. 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2</w:t>
      </w:r>
    </w:p>
    <w:p>
      <w:pPr>
        <w:jc w:val="center"/>
        <w:rPr>
          <w:noProof/>
        </w:rPr>
      </w:pPr>
      <w:r>
        <w:rPr>
          <w:noProof/>
        </w:rPr>
        <w:t>Включени в приложното поле лица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>Настоящата глава се прилага за следните лица: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граждани на Обединеното кралство, спрямо които се прилага законодателството на една от обхванатите държави в края на преходния период, както и членовете на техните семейства и преживелите ги лица;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граждани на Обединеното кралство, които пребивават в една от обхванатите държави и спрямо които се прилага законодателството на Обединеното кралство в края на преходния период, както и членовете на техните семейства и преживелите ги лица;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лица, които не попадат в обхвата на букви а) и б), но са граждани на Обединеното кралство, които упражняват дейност като заето или самостоятелно заето лице в една или повече обхванати държави в края на преходния период и спрямо които въз основа на дял II от Регламент (ЕО) № 883/2004 се прилага законодателството на Обединеното кралство, както и членовете на техните семейства и преживелите ги лица;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лица без гражданство и бежанци, които пребивават в една от обхванатите държави или в Обединеното кралство и които се намират в една от ситуациите, описани в букви а)—в), както и членовете на техните семейства и преживелите ги лица.</w:t>
      </w:r>
    </w:p>
    <w:p>
      <w:pPr>
        <w:pStyle w:val="NumPar1"/>
        <w:rPr>
          <w:noProof/>
        </w:rPr>
      </w:pPr>
      <w:r>
        <w:rPr>
          <w:noProof/>
        </w:rPr>
        <w:t>Лицата, посочени в параграф 1, попадат в персоналния обхват дотогава, докогато продължават да се намират без прекъсване в една от ситуациите, посочени в същия параграф, обхващащи едновременно една от обхванатите държави и Обединеното кралство.</w:t>
      </w:r>
    </w:p>
    <w:p>
      <w:pPr>
        <w:pStyle w:val="NumPar1"/>
        <w:rPr>
          <w:noProof/>
        </w:rPr>
      </w:pPr>
      <w:r>
        <w:rPr>
          <w:noProof/>
        </w:rPr>
        <w:t>Настоящата глава се прилага и по отношение на граждани на Обединеното кралство, които не попадат или вече не попадат в някоя от ситуациите, посочени в параграф 1 от настоящия член, но които попадат в обхвата на член 10 от Споразумението за оттегляне или на член 9 от Споразумението за раздяла, както и по отношение на членовете на техните семейства и преживелите ги лица.</w:t>
      </w:r>
    </w:p>
    <w:p>
      <w:pPr>
        <w:pStyle w:val="NumPar1"/>
        <w:rPr>
          <w:noProof/>
        </w:rPr>
      </w:pPr>
      <w:r>
        <w:rPr>
          <w:noProof/>
        </w:rPr>
        <w:t>Лицата, посочени в параграф 3, попадат в персоналния обхват дотогава, докогато продължават да имат право на пребиваване в една от обхванатите държави съгласно член 13 от Споразумението за оттегляне или член 12 от Споразумението за раздяла или право на работа в държавата на месторабота съгласно член 24 или 25 от Споразумението за оттегляне или членове 23 и 24 от Споразумението за раздяла.</w:t>
      </w:r>
    </w:p>
    <w:p>
      <w:pPr>
        <w:pStyle w:val="NumPar1"/>
        <w:rPr>
          <w:noProof/>
        </w:rPr>
      </w:pPr>
      <w:r>
        <w:rPr>
          <w:noProof/>
        </w:rPr>
        <w:t>В случаите, когато настоящият член се отнася за членове на семейството и за преживели лица, тези лица са обхванати от настоящата глава само доколкото техните права и задължения произтичат от това им качество съгласно Регламент (ЕО) № 883/2004.</w:t>
      </w:r>
      <w:bookmarkStart w:id="4" w:name="_Hlk43447860"/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3</w:t>
      </w:r>
    </w:p>
    <w:bookmarkEnd w:id="4"/>
    <w:p>
      <w:pPr>
        <w:jc w:val="center"/>
        <w:rPr>
          <w:noProof/>
        </w:rPr>
      </w:pPr>
      <w:r>
        <w:rPr>
          <w:noProof/>
        </w:rPr>
        <w:t>Правила за координация на социалната сигурност</w:t>
      </w:r>
    </w:p>
    <w:p>
      <w:pPr>
        <w:pStyle w:val="NumPar1"/>
        <w:numPr>
          <w:ilvl w:val="0"/>
          <w:numId w:val="13"/>
        </w:numPr>
        <w:rPr>
          <w:noProof/>
        </w:rPr>
      </w:pPr>
      <w:r>
        <w:rPr>
          <w:noProof/>
        </w:rPr>
        <w:t xml:space="preserve">По отношение на лицата, попадащи в обхвата на настоящата глава, се прилагат правилата и целите, определени в член 29 от Споразумението за ЕИП, Регламент (ЕО) № 883/2004 и Регламент (ЕО) № 987/2009 на Европейския парламент и на Съвета. </w:t>
      </w:r>
    </w:p>
    <w:p>
      <w:pPr>
        <w:pStyle w:val="NumPar1"/>
        <w:numPr>
          <w:ilvl w:val="0"/>
          <w:numId w:val="13"/>
        </w:numPr>
        <w:rPr>
          <w:noProof/>
        </w:rPr>
      </w:pPr>
      <w:r>
        <w:rPr>
          <w:noProof/>
        </w:rPr>
        <w:t>Съюзът надлежно взема предвид решенията и препоръките на Административната комисия за координация на системите за социална сигурност към Европейската комисия, създадена съгласно Регламент (ЕО) № 883/2004 („Административната комисия“), изброени в част I от приложение I към Споразумението за оттегляне. Държавите от ЕАСТ надлежно вземат предвид решенията на Административната комисия и вземат под внимание препоръките на Административната комисия, изброени в част I от приложение I към Споразумението за раздяла.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4</w:t>
      </w:r>
    </w:p>
    <w:p>
      <w:pPr>
        <w:jc w:val="center"/>
        <w:rPr>
          <w:noProof/>
        </w:rPr>
      </w:pPr>
      <w:r>
        <w:rPr>
          <w:noProof/>
        </w:rPr>
        <w:t>Обхванати специални случаи</w:t>
      </w:r>
    </w:p>
    <w:p>
      <w:pPr>
        <w:pStyle w:val="NumPar1"/>
        <w:numPr>
          <w:ilvl w:val="0"/>
          <w:numId w:val="14"/>
        </w:numPr>
        <w:rPr>
          <w:noProof/>
        </w:rPr>
      </w:pPr>
      <w:r>
        <w:rPr>
          <w:noProof/>
        </w:rPr>
        <w:t>Следните правила се прилагат в следните случаи до степента, определена в настоящия член, доколкото те се отнасят за лица, които не попадат или вече не попадат в обхвата на член 2: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гражданите на Обединеното кралство, както и лицата без гражданство и бежанците, пребиваващи в Обединеното кралство, по отношение на които преди края на преходния период се е прилагало законодателството на една от обхванатите държави, както и членовете на техните семейства и преживелите ги лица са обхванати от настоящата глава за целите на използването и сумирането на периоди на осигуряване, заетост, самостоятелна заетост или пребиваване, включително права и задължения, произтичащи от такива периоди в съответствие с Регламент (ЕО) № 883/2004; за целите на сумирането на периоди периодите, които са завършили преди и след края на преходния период, се вземат предвид в съответствие с Регламент (ЕО) № 883/2004;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правилата, определени в членове 20 и 27 от Регламент (ЕО) № 883/2004, продължават да се прилагат по отношение на гражданите на Обединеното кралство, както и по отношение на лицата без гражданство и бежанците, пребиваващи в Обединеното кралство, които преди края на преходния период са поискали разрешение да следват курс на планирано лечение съгласно Регламент (ЕО) № 883/2004, до края на лечението. Съответните процедури за възстановяване на разходите се прилагат дори и след приключване на лечението. Тези лица и придружаващите ги лица имат право да влизат в държавата по местолечение и да я напускат в съответствие с член 14 от Споразумението за оттегляне </w:t>
      </w:r>
      <w:r>
        <w:rPr>
          <w:i/>
          <w:iCs/>
          <w:noProof/>
        </w:rPr>
        <w:t>mutatis mutandis</w:t>
      </w:r>
      <w:r>
        <w:rPr>
          <w:noProof/>
        </w:rPr>
        <w:t xml:space="preserve"> и член 13 от Споразумението за раздяла </w:t>
      </w:r>
      <w:r>
        <w:rPr>
          <w:i/>
          <w:iCs/>
          <w:noProof/>
        </w:rPr>
        <w:t>mutatis mutandis</w:t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правилата, определени в членове 19 и 27 от Регламент (ЕО) № 883/2004, продължават да се прилагат за гражданите на Обединеното кралство, както и за лицата без гражданство и бежанците, пребиваващи в Обединеното кралство, които попадат в обхвата на Регламент (ЕО) № 883/2004 и които престояват в края на преходния период в една от обхванатите държави или в Обединеното кралство, до края на своя престой. Съответните процедури за възстановяване на разходите се прилагат дори и след приключване на престоя или лечението;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правилата, определени в членове 67, 68 и 69 от Регламент (ЕО) № 883/2004, продължават да се прилагат, докато са изпълнени условията, по отношение на отпускането на семейни обезщетения, за които е налице право на получаване в края на преходния период, на гражданите на Обединеното кралство, както и на лицата без гражданство и бежанците, пребиваващи в Обединеното кралство, за които се прилага законодателството на Обединеното кралство и чиито членове на семейството пребивават в една от обхванатите държави в края на преходния период;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в случаите, посочени в буква г) от настоящия параграф, за лицата, които имат права на членове на семейството в края на преходния период съгласно Регламент (ЕО) № 883/2004, като например производни права на обезщетения за болест в натура, посоченият регламент и съответните разпоредби на Регламент (ЕО) № 987/2009 продължават да се прилагат, докато са изпълнени предвидените в тях условия.</w:t>
      </w:r>
    </w:p>
    <w:p>
      <w:pPr>
        <w:pStyle w:val="NumPar1"/>
        <w:rPr>
          <w:noProof/>
        </w:rPr>
      </w:pPr>
      <w:r>
        <w:rPr>
          <w:noProof/>
        </w:rPr>
        <w:t>По отношение на лицата, които получават обезщетения съгласно параграф 1, буква а) от настоящия член, се прилагат разпоредбите на дял III, глава 1 от Регламент (ЕО) № 883/2004 по отношение на обезщетенията за болест.</w:t>
      </w:r>
    </w:p>
    <w:p>
      <w:pPr>
        <w:ind w:left="720"/>
        <w:rPr>
          <w:noProof/>
        </w:rPr>
      </w:pPr>
      <w:r>
        <w:rPr>
          <w:noProof/>
        </w:rPr>
        <w:t xml:space="preserve">Настоящият параграф се прилага </w:t>
      </w:r>
      <w:r>
        <w:rPr>
          <w:i/>
          <w:iCs/>
          <w:noProof/>
        </w:rPr>
        <w:t>mutatis mutandis</w:t>
      </w:r>
      <w:r>
        <w:rPr>
          <w:noProof/>
        </w:rPr>
        <w:t xml:space="preserve"> по отношение на семейните обезщетения въз основа на членове 67, 68 и 69 от Регламент (ЕО) № 883/2004.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5</w:t>
      </w:r>
    </w:p>
    <w:p>
      <w:pPr>
        <w:jc w:val="center"/>
        <w:rPr>
          <w:noProof/>
        </w:rPr>
      </w:pPr>
      <w:r>
        <w:rPr>
          <w:noProof/>
        </w:rPr>
        <w:t>Възстановяване, събиране и прихващане</w:t>
      </w:r>
    </w:p>
    <w:p>
      <w:pPr>
        <w:rPr>
          <w:noProof/>
        </w:rPr>
      </w:pPr>
      <w:r>
        <w:rPr>
          <w:noProof/>
        </w:rPr>
        <w:t>Разпоредбите на Регламенти (ЕО) № 883/2004 и (ЕО) № 987/2009 относно възстановяването, събирането и прихващането продължават да се прилагат по отношение на събития, доколкото те се отнасят до лица, които не попадат в обхвата на член 2, които: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са настъпили преди края на преходния период; или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настъпват след края на преходния период и се отнасят до лица, които попадат в обхвата на член 2 или 4 при настъпване на събитието.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6</w:t>
      </w:r>
    </w:p>
    <w:p>
      <w:pPr>
        <w:jc w:val="center"/>
        <w:rPr>
          <w:noProof/>
          <w:szCs w:val="24"/>
        </w:rPr>
      </w:pPr>
      <w:r>
        <w:rPr>
          <w:noProof/>
        </w:rPr>
        <w:t>Развитие на законодателството и адаптиране</w:t>
      </w:r>
    </w:p>
    <w:p>
      <w:pPr>
        <w:pStyle w:val="NumPar1"/>
        <w:numPr>
          <w:ilvl w:val="0"/>
          <w:numId w:val="16"/>
        </w:numPr>
        <w:rPr>
          <w:noProof/>
        </w:rPr>
      </w:pPr>
      <w:r>
        <w:rPr>
          <w:noProof/>
        </w:rPr>
        <w:t>Независимо от параграф 3, позоваванията в настоящата глава на регламенти (ЕО) № 883/2004 и (ЕО) № 987/2009 или на разпоредби от тях се разбират като позовавания на актовете или разпоредбите, включени в Споразумението за ЕИП, включително в изменена или заменена версия, приложими към последния ден от преходния период.</w:t>
      </w:r>
    </w:p>
    <w:p>
      <w:pPr>
        <w:pStyle w:val="NumPar1"/>
        <w:numPr>
          <w:ilvl w:val="0"/>
          <w:numId w:val="16"/>
        </w:numPr>
        <w:rPr>
          <w:noProof/>
        </w:rPr>
      </w:pPr>
      <w:r>
        <w:rPr>
          <w:noProof/>
        </w:rPr>
        <w:t xml:space="preserve">В случай че регламенти (ЕО) № 883/2004 и (ЕО) № 987/2009 бъдат изменени или заменени след края на преходния период, позоваванията на тези регламенти в настоящата глава се разбират като отнасящи се до тези регламенти, както са изменени или заменени, в съответствие с актовете, изброени в част II от приложение I към Споразумението за оттегляне, по отношение на Съюза, и част II от приложение I към Споразумението за раздяла, по отношение на държавите от ЕАСТ. </w:t>
      </w:r>
    </w:p>
    <w:p>
      <w:pPr>
        <w:pStyle w:val="NumPar1"/>
        <w:numPr>
          <w:ilvl w:val="0"/>
          <w:numId w:val="16"/>
        </w:numPr>
        <w:rPr>
          <w:noProof/>
        </w:rPr>
      </w:pPr>
      <w:r>
        <w:rPr>
          <w:noProof/>
        </w:rPr>
        <w:t>За целите на настоящата глава се разбира, че регламенти (ЕО) № 883/2004 и (ЕО) № 987/2009 включват адаптациите, изброени в част III от приложение I към Споразумението за оттегляне, по отношение на Съюза, и част III от приложение I към Споразумението за раздяла, по отношение на държавите от ЕАСТ.</w:t>
      </w:r>
    </w:p>
    <w:p>
      <w:pPr>
        <w:pStyle w:val="NumPar1"/>
        <w:numPr>
          <w:ilvl w:val="0"/>
          <w:numId w:val="16"/>
        </w:numPr>
        <w:rPr>
          <w:noProof/>
        </w:rPr>
      </w:pPr>
      <w:r>
        <w:rPr>
          <w:noProof/>
        </w:rPr>
        <w:t>За целите на настоящата глава измененията и адаптациите, посочени в параграфи 2 и 3, влизат в сила в деня след деня, в който съответните изменения и адаптации на приложение I към Споразумението за оттегляне или на приложение I към Споразумението за раздяла пораждат действие, в зависимост от това коя от двете дати е по-късна.“</w:t>
      </w:r>
    </w:p>
    <w:bookmarkEnd w:id="2"/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rStyle w:val="CommentReference"/>
          <w:noProof/>
        </w:rPr>
      </w:pPr>
      <w:r>
        <w:rPr>
          <w:noProof/>
        </w:rPr>
        <w:t xml:space="preserve">Настоящото решение влиза в сила на XX г. или в деня след внасянето на последната нотификация в Съвместния комитет на ЕИП съгласно член 103, параграф 1 от Споразумението за ЕИП, ако тази дата е по-късна. </w:t>
      </w:r>
    </w:p>
    <w:p>
      <w:pPr>
        <w:rPr>
          <w:strike/>
          <w:noProof/>
        </w:rPr>
      </w:pPr>
      <w:r>
        <w:rPr>
          <w:noProof/>
        </w:rPr>
        <w:t>То се прилага от края на преходния период.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 xml:space="preserve">Председател </w:t>
      </w:r>
      <w:r>
        <w:rPr>
          <w:noProof/>
        </w:rPr>
        <w:br/>
      </w:r>
      <w:r>
        <w:rPr>
          <w:noProof/>
        </w:rPr>
        <w:tab/>
        <w:t>[…]</w:t>
      </w:r>
    </w:p>
    <w:p>
      <w:pPr>
        <w:pStyle w:val="Personnequisigne"/>
        <w:rPr>
          <w:noProof/>
        </w:rPr>
      </w:pPr>
      <w:r>
        <w:rPr>
          <w:noProof/>
        </w:rPr>
        <w:tab/>
        <w:t xml:space="preserve"> </w:t>
      </w:r>
      <w:r>
        <w:rPr>
          <w:noProof/>
        </w:rPr>
        <w:br/>
      </w:r>
      <w:r>
        <w:rPr>
          <w:noProof/>
        </w:rPr>
        <w:tab/>
        <w:t xml:space="preserve"> </w:t>
      </w:r>
      <w:r>
        <w:rPr>
          <w:noProof/>
        </w:rPr>
        <w:br/>
      </w:r>
      <w:r>
        <w:rPr>
          <w:noProof/>
        </w:rPr>
        <w:tab/>
        <w:t xml:space="preserve">Секретари </w:t>
      </w:r>
      <w:r>
        <w:rPr>
          <w:noProof/>
        </w:rPr>
        <w:br/>
      </w:r>
      <w:r>
        <w:rPr>
          <w:noProof/>
        </w:rPr>
        <w:tab/>
        <w:t xml:space="preserve">на Съвместния комитет на ЕИП </w:t>
      </w:r>
      <w:r>
        <w:rPr>
          <w:noProof/>
        </w:rPr>
        <w:br/>
      </w:r>
      <w:r>
        <w:rPr>
          <w:noProof/>
        </w:rPr>
        <w:tab/>
        <w:t>[…]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L 29, 31.1.2020 г., стр. 7.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Подписано в Лондон на 28 януари 2020 г.</w:t>
      </w:r>
    </w:p>
  </w:footnote>
  <w:footnote w:id="3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OВ L 29, 31.1.2020 г., стр. 7.</w:t>
      </w:r>
    </w:p>
  </w:footnote>
  <w:footnote w:id="4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Подписано в Лондон на 28 януари 2020 г.</w:t>
      </w:r>
    </w:p>
  </w:footnote>
  <w:footnote w:id="5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</w:r>
      <w:r>
        <w:rPr>
          <w:color w:val="444444"/>
          <w:shd w:val="clear" w:color="auto" w:fill="FFFFFF"/>
        </w:rPr>
        <w:t xml:space="preserve">Регламент (ЕО) № 883/2004 на Европейския парламент и на Съвета от 29 април 2004 г. за координация на системите за социална сигурност (ОВ L </w:t>
      </w:r>
      <w:r>
        <w:rPr>
          <w:rStyle w:val="Emphasis"/>
          <w:i w:val="0"/>
          <w:iCs w:val="0"/>
          <w:color w:val="444444"/>
          <w:shd w:val="clear" w:color="auto" w:fill="FFFFFF"/>
        </w:rPr>
        <w:t>166, 30.4.2004 г., стр. 1).</w:t>
      </w:r>
    </w:p>
  </w:footnote>
  <w:footnote w:id="6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Регламент (ЕО) № 987/2009 на Европейския парламент и на Съвета от 16 септември 2009 г. за установяване процедурата за прилагане на Регламент (ЕО) № 883/2004 за координация на системите за социална сигурност (ОВ L 284, 30.10.2009 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EE6A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1AC05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2DA6E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CCA44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CD0A2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C06E6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90E21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61A65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FCF6C07"/>
    <w:multiLevelType w:val="singleLevel"/>
    <w:tmpl w:val="0468786C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2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21"/>
  </w:num>
  <w:num w:numId="23">
    <w:abstractNumId w:val="11"/>
  </w:num>
  <w:num w:numId="24">
    <w:abstractNumId w:val="13"/>
  </w:num>
  <w:num w:numId="25">
    <w:abstractNumId w:val="9"/>
  </w:num>
  <w:num w:numId="26">
    <w:abstractNumId w:val="20"/>
  </w:num>
  <w:num w:numId="27">
    <w:abstractNumId w:val="8"/>
  </w:num>
  <w:num w:numId="28">
    <w:abstractNumId w:val="14"/>
  </w:num>
  <w:num w:numId="29">
    <w:abstractNumId w:val="17"/>
  </w:num>
  <w:num w:numId="30">
    <w:abstractNumId w:val="18"/>
  </w:num>
  <w:num w:numId="31">
    <w:abstractNumId w:val="10"/>
  </w:num>
  <w:num w:numId="32">
    <w:abstractNumId w:val="16"/>
  </w:num>
  <w:num w:numId="33">
    <w:abstractNumId w:val="22"/>
  </w:num>
  <w:num w:numId="34">
    <w:abstractNumId w:val="8"/>
  </w:num>
  <w:num w:numId="35">
    <w:abstractNumId w:val="19"/>
  </w:num>
  <w:num w:numId="36">
    <w:abstractNumId w:val="12"/>
  </w:num>
  <w:num w:numId="37">
    <w:abstractNumId w:val="21"/>
  </w:num>
  <w:num w:numId="38">
    <w:abstractNumId w:val="11"/>
  </w:num>
  <w:num w:numId="39">
    <w:abstractNumId w:val="13"/>
  </w:num>
  <w:num w:numId="40">
    <w:abstractNumId w:val="9"/>
  </w:num>
  <w:num w:numId="41">
    <w:abstractNumId w:val="20"/>
  </w:num>
  <w:num w:numId="42">
    <w:abstractNumId w:val="8"/>
  </w:num>
  <w:num w:numId="43">
    <w:abstractNumId w:val="14"/>
  </w:num>
  <w:num w:numId="44">
    <w:abstractNumId w:val="17"/>
  </w:num>
  <w:num w:numId="45">
    <w:abstractNumId w:val="18"/>
  </w:num>
  <w:num w:numId="46">
    <w:abstractNumId w:val="10"/>
  </w:num>
  <w:num w:numId="47">
    <w:abstractNumId w:val="16"/>
  </w:num>
  <w:num w:numId="48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3 13:39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CCCBF0F-DBD3-4465-8BD4-8052F089D82F"/>
    <w:docVar w:name="LW_COVERPAGE_TYPE" w:val="1"/>
    <w:docVar w:name="LW_CROSSREFERENCE" w:val="&lt;UNUSED&gt;"/>
    <w:docVar w:name="LW_DocType" w:val="ANNEX"/>
    <w:docVar w:name="LW_EMISSION" w:val="12.11.2020"/>
    <w:docVar w:name="LW_EMISSION_ISODATE" w:val="2020-11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\u1090?\u1086? \u1085?\u1072? \u1087?\u1088?\u1080?\u1083?\u1086?\u1078?\u1077?\u1085?\u1080?\u1077? VI (\u1057?\u1086?\u1094?\u1080?\u1072?\u1083?\u1085?\u1072? \u1089?\u1080?\u1075?\u1091?\u1088?\u1085?\u1086?\u1089?\u1090?) \u1082?\u1098?\u1084? \u1057?\u1087?\u1086?\u1088?\u1072?\u1079?\u1091?\u1084?\u1077?\u1085?\u1080?\u1077?\u1090?\u1086? \u1079?\u1072? \u1045?\u1048?\u1055?_x000d__x000d__x000b_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\u1090?\u1086? \u1085?\u1072? \u1087?\u1088?\u1080?\u1083?\u1086?\u1078?\u1077?\u1085?\u1080?\u1077? VI (\u1057?\u1086?\u1094?\u1080?\u1072?\u1083?\u1085?\u1072? \u1089?\u1080?\u1075?\u1091?\u1088?\u1085?\u1086?\u1089?\u1090?) \u1082?\u1098?\u1084? \u1057?\u1087?\u1086?\u1088?\u1072?\u1079?\u1091?\u1084?\u1077?\u1085?\u1080?\u1077?\u1090?\u1086? \u1079?\u1072? \u1045?\u1048?\u1055?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73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Times New Roman"/>
      <w:b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color w:val="000000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customStyle="1" w:styleId="ListDash4">
    <w:name w:val="List Dash 4"/>
    <w:basedOn w:val="Normal"/>
    <w:pPr>
      <w:numPr>
        <w:numId w:val="6"/>
      </w:numPr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Times New Roman"/>
      <w:b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color w:val="000000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customStyle="1" w:styleId="ListDash4">
    <w:name w:val="List Dash 4"/>
    <w:basedOn w:val="Normal"/>
    <w:pPr>
      <w:numPr>
        <w:numId w:val="6"/>
      </w:numPr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2020</Words>
  <Characters>11212</Characters>
  <Application>Microsoft Office Word</Application>
  <DocSecurity>0</DocSecurity>
  <Lines>238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 Vaclav (EEAS)</dc:creator>
  <cp:keywords/>
  <dc:description/>
  <cp:lastModifiedBy>WES PDFC Administrator</cp:lastModifiedBy>
  <cp:revision>9</cp:revision>
  <dcterms:created xsi:type="dcterms:W3CDTF">2020-12-02T09:37:00Z</dcterms:created>
  <dcterms:modified xsi:type="dcterms:W3CDTF">2020-12-03T12:39:00Z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