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B4ABFAD-B107-432B-8596-85991A62562D" style="width:451.25pt;height:409.4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concerne la décision établissant la position à adopter, au nom de l’Union, au sein du Comité mixte de l’EEE en ce qui concerne l’adoption envisagée de la décision du Comité mixte relative à une modification de l’annexe VI (Sécurité sociale) de l'accord EEE </w:t>
      </w:r>
    </w:p>
    <w:p>
      <w:pPr>
        <w:pStyle w:val="ManualHeading1"/>
        <w:rPr>
          <w:noProof/>
        </w:rPr>
      </w:pPr>
      <w:r>
        <w:t>2.</w:t>
      </w:r>
      <w:r>
        <w:tab/>
      </w:r>
      <w:r>
        <w:rPr>
          <w:noProof/>
        </w:rPr>
        <w:t>Contexte de la proposition</w:t>
      </w:r>
    </w:p>
    <w:p>
      <w:pPr>
        <w:pStyle w:val="ManualHeading2"/>
        <w:rPr>
          <w:noProof/>
        </w:rPr>
      </w:pPr>
      <w:r>
        <w:t>2.1.</w:t>
      </w:r>
      <w:r>
        <w:tab/>
      </w:r>
      <w:r>
        <w:rPr>
          <w:noProof/>
        </w:rPr>
        <w:t>Accord EEE</w:t>
      </w:r>
    </w:p>
    <w:p>
      <w:pPr>
        <w:rPr>
          <w:rFonts w:eastAsia="Arial Unicode MS"/>
          <w:noProof/>
        </w:rPr>
      </w:pPr>
      <w:r>
        <w:rPr>
          <w:noProof/>
        </w:rPr>
        <w:t>L'accord sur l’Espace économique européen (ci-après l’«accord EEE») garantit aux citoyens et aux opérateurs économiques l’égalité des droits et des obligations dans le marché intérieur de l’EEE. Il prévoit l'intégration de la législation de l’UE relative aux quatre libertés dans l’ensemble des 30 États de l’EEE, comprenant les États membres de l’UE, la Norvège, l’Islande et le Liechtenstein. Par ailleurs, l'accord EEE régit la coopération dans d'autres domaines importants, tels que la recherche et le développement, l'éducation, la politique sociale, l'environnement, la protection des consommateurs, le tourisme et la culture, désignés sous le vocable de «politiques d'accompagnement et politiques horizontales». L’accord est entré en vigueur le 1</w:t>
      </w:r>
      <w:r>
        <w:rPr>
          <w:noProof/>
          <w:vertAlign w:val="superscript"/>
        </w:rPr>
        <w:t>er</w:t>
      </w:r>
      <w:r>
        <w:rPr>
          <w:noProof/>
        </w:rPr>
        <w:t xml:space="preserve"> janvier 1994</w:t>
      </w:r>
      <w:r>
        <w:t xml:space="preserve">. </w:t>
      </w:r>
      <w:r>
        <w:rPr>
          <w:noProof/>
        </w:rPr>
        <w:t>L’Union européenne ainsi que ses États membres sont parties à cet accord.</w:t>
      </w:r>
    </w:p>
    <w:p>
      <w:pPr>
        <w:pStyle w:val="ManualHeading2"/>
        <w:rPr>
          <w:noProof/>
        </w:rPr>
      </w:pPr>
      <w:r>
        <w:t>2.2.</w:t>
      </w:r>
      <w:r>
        <w:tab/>
      </w:r>
      <w:r>
        <w:rPr>
          <w:noProof/>
        </w:rPr>
        <w:t>Comité mixte de l'EEE</w:t>
      </w:r>
    </w:p>
    <w:p>
      <w:pPr>
        <w:rPr>
          <w:rFonts w:eastAsia="Arial Unicode MS"/>
          <w:noProof/>
        </w:rPr>
      </w:pPr>
      <w:r>
        <w:rPr>
          <w:noProof/>
        </w:rPr>
        <w:t>Le Comité mixte de l’EEE est chargé de la gestion de l'accord EEE. C’est une enceinte permettant l’échange de vues sur le fonctionnement de l’accord EEE. Ses décisions sont prises par consensus.  Conformément au traité de Lisbonne, la coordination des questions relatives à l’EEE incombe, pour l’UE, au Service européen pour l’action extérieure. </w:t>
      </w:r>
    </w:p>
    <w:p>
      <w:pPr>
        <w:pStyle w:val="ManualHeading2"/>
        <w:rPr>
          <w:noProof/>
        </w:rPr>
      </w:pPr>
      <w:r>
        <w:t>2.3.</w:t>
      </w:r>
      <w:r>
        <w:tab/>
      </w:r>
      <w:r>
        <w:rPr>
          <w:noProof/>
        </w:rPr>
        <w:t>Acte envisagé par le Comité mixte de l’EEE</w:t>
      </w:r>
    </w:p>
    <w:p>
      <w:pPr>
        <w:rPr>
          <w:rFonts w:eastAsia="Arial Unicode MS"/>
          <w:noProof/>
        </w:rPr>
      </w:pPr>
      <w:r>
        <w:rPr>
          <w:noProof/>
        </w:rPr>
        <w:t>Le Comité mixte de l'EEE doit adopter une décision du Comité mixte de l’EEE concernant la modification de l’annexe VI (Sécurité sociale) de l'accord EEE (ci-après l’«acte envisagé»).</w:t>
      </w:r>
    </w:p>
    <w:p>
      <w:r>
        <w:rPr>
          <w:noProof/>
        </w:rPr>
        <w:t>L'acte envisagé a pour objet de garantir la protection réciproque des droits de sécurité sociale pour les ressortissants du Royaume-Uni, les apatrides et les réfugiés ainsi que les membres de leur famille et leurs survivants qui, à la fin de la période de transition, se trouvent ou se sont trouvés dans une situation transfrontière impliquant à la fois une ou plusieurs des parties contractantes de l’accord EEE ainsi que le Royaume-Uni de Grande-Bretagne et d'Irlande du Nord.</w:t>
      </w:r>
      <w:r>
        <w:t xml:space="preserve"> </w:t>
      </w:r>
    </w:p>
    <w:p>
      <w:pPr>
        <w:rPr>
          <w:rFonts w:eastAsia="Arial Unicode MS"/>
          <w:noProof/>
        </w:rPr>
      </w:pPr>
      <w:r>
        <w:rPr>
          <w:noProof/>
        </w:rPr>
        <w:t>L’acte envisagé deviendra contraignant pour les parties conformément aux articles 103 et 104 de l’accord EEE</w:t>
      </w:r>
      <w:r>
        <w:t xml:space="preserve">.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 xml:space="preserve">Il est nécessaire d’offrir une protection réciproque des droits de sécurité sociale aux ressortissants du Royaume-Uni, aux apatrides et aux réfugiés, ainsi qu'aux membres de leur famille et à leurs survivants, qui, à la fin de la période de transition telle que définie à l’article 126 de l’accord sur le retrait du Royaume-Uni de Grande-Bretagne et d'Irlande du Nord de l'Union européenne et de la Communauté européenne de l'énergie atomique (ci-après </w:t>
      </w:r>
      <w:r>
        <w:rPr>
          <w:noProof/>
        </w:rPr>
        <w:lastRenderedPageBreak/>
        <w:t>l’«accord de retrait»)</w:t>
      </w:r>
      <w:r>
        <w:rPr>
          <w:rStyle w:val="FootnoteReference"/>
          <w:noProof/>
        </w:rPr>
        <w:footnoteReference w:id="1"/>
      </w:r>
      <w:r>
        <w:rPr>
          <w:noProof/>
        </w:rPr>
        <w:t>, se trouvent ou se sont trouvés dans une situation transfrontière impliquant à la fois une ou plusieurs des parties contractantes de l’accord EEE ainsi que le Royaume-Uni de Grande-Bretagne et d'Irlande du Nord.</w:t>
      </w:r>
    </w:p>
    <w:p>
      <w:pPr>
        <w:rPr>
          <w:rFonts w:eastAsia="Arial Unicode MS"/>
          <w:noProof/>
        </w:rPr>
      </w:pPr>
      <w:r>
        <w:rPr>
          <w:noProof/>
        </w:rPr>
        <w:t>Conformément à l’article 33, paragraphe 1, de l'accord de retrait</w:t>
      </w:r>
      <w:r>
        <w:rPr>
          <w:rStyle w:val="FootnoteReference"/>
          <w:noProof/>
        </w:rPr>
        <w:footnoteReference w:id="2"/>
      </w:r>
      <w:r>
        <w:rPr>
          <w:noProof/>
        </w:rPr>
        <w:t xml:space="preserve">, le titre III (relatif à la coordination des systèmes de sécurité sociale) de cet accord s'applique également aux ressortissants des États de l’AELE membres de l’EEE à condition que ces pays aient conclu des accords correspondants avec le Royaume-Uni (qui s’appliqueraient aux citoyens de l’Union) et avec l’Union (qui s'appliqueraient aux ressortissants du Royaume-Uni). </w:t>
      </w:r>
    </w:p>
    <w:p>
      <w:pPr>
        <w:rPr>
          <w:rFonts w:eastAsia="Arial Unicode MS"/>
          <w:noProof/>
        </w:rPr>
      </w:pPr>
      <w:r>
        <w:rPr>
          <w:noProof/>
        </w:rPr>
        <w:t>Les États de l’AELE membres de l’EEE ayant déjà conclu les accords pertinents avec le Royaume-Uni, il incombe maintenant à l’Union et aux États de l’AELE membres de l’EEE de conclure des accords qui garantiraient aux ressortissants du Royaume-Uni, dans le cadre du champ d’application de l’accord de retrait et de l’accord relatif aux arrangements entre l’Islande, la Principauté de Liechtenstein, le Royaume de Norvège et le Royaume-Uni de Grande-Bretagne et d'Irlande du Nord à la suite du retrait du Royaume-Uni de l'Union européenne (ci-après l’«accord de séparation»), une protection des droits en matière de sécurité sociale qui ont été acquis avant la fin de la période de transition ou qui le seront après.</w:t>
      </w:r>
    </w:p>
    <w:p>
      <w:pPr>
        <w:rPr>
          <w:rFonts w:eastAsia="Arial Unicode MS"/>
          <w:noProof/>
        </w:rPr>
      </w:pPr>
      <w:r>
        <w:rPr>
          <w:noProof/>
        </w:rPr>
        <w:t>Le projet de décision du Comité mixte de l’EEE (joint à la proposition de décision du Conseil) vise donc à modifier l’annexe VI (Sécurité sociale) de l’accord EEE pour garantir que les droits de sécurité sociale précités des ressortissants du Royaume-Uni continuent d’être préservés.</w:t>
      </w:r>
    </w:p>
    <w:p>
      <w:pPr>
        <w:rPr>
          <w:rFonts w:eastAsia="Arial Unicode MS"/>
          <w:noProof/>
        </w:rPr>
      </w:pPr>
      <w:r>
        <w:rPr>
          <w:noProof/>
        </w:rPr>
        <w:t>La teneur et la nature du projet ci-joint de décision du Comité mixte de l’EEE vont au-delà de ce qui peut être considéré comme de simples adaptations techniques au sens du règlement nº 2894/94 du Conseil. La position de l’Union doit donc être arrêtée par le Conseil.</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r>
        <w:rPr>
          <w:noProof/>
        </w:rPr>
        <w:t>Le Comité mixte est une instance créée par un accord, à savoir l’accord EEE</w:t>
      </w:r>
      <w:r>
        <w:t xml:space="preserve">. </w:t>
      </w:r>
      <w:r>
        <w:rPr>
          <w:noProof/>
        </w:rPr>
        <w:t xml:space="preserve">L’acte que le Comité mixte de l’EEE est appelé à adopter est un acte ayant des effets juridiques. L’acte </w:t>
      </w:r>
      <w:r>
        <w:rPr>
          <w:noProof/>
        </w:rPr>
        <w:lastRenderedPageBreak/>
        <w:t xml:space="preserve">envisagé sera contraignant en vertu du droit international, conformément aux articles 103 et 104 de l’accord EEE. </w:t>
      </w:r>
    </w:p>
    <w:p>
      <w:pPr>
        <w:rPr>
          <w:noProof/>
        </w:rPr>
      </w:pPr>
      <w:r>
        <w:rPr>
          <w:noProof/>
        </w:rPr>
        <w:t>L’acte envisagé ne complète ni ne modifie le cadre institutionnel de l’accord.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adoptée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alors la décision au titre de l’article 218, paragraphe 9, du TFUE doit être fondée sur une seule base juridique matérielle, à savoir celle exigée par la finalité ou la composante principale ou prédominante.</w:t>
      </w:r>
    </w:p>
    <w:p>
      <w:pPr>
        <w:rPr>
          <w:noProof/>
        </w:rPr>
      </w:pPr>
      <w:r>
        <w:rPr>
          <w:noProof/>
        </w:rPr>
        <w:t>Si l’acte envisagé poursuit simultanément plusieurs finalités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noProof/>
        </w:rPr>
      </w:pPr>
      <w:r>
        <w:rPr>
          <w:noProof/>
        </w:rPr>
        <w:t>L’acte envisagé poursuit des finalités et comporte des composantes dans les domaines de la sécurité sociale et de la fourniture d’électricité. Ces aspects de l’acte envisagé sont liés de façon indissociable, sans que l’un soit accessoire par rapport à l’autre.</w:t>
      </w:r>
    </w:p>
    <w:p>
      <w:pPr>
        <w:rPr>
          <w:noProof/>
        </w:rPr>
      </w:pPr>
      <w:r>
        <w:rPr>
          <w:noProof/>
        </w:rPr>
        <w:t>En conséquence, la base juridique matérielle pour la décision proposée comporte les dispositions suivantes: articles 48 et 352 du traité sur le fonctionnement de l'Union européenne</w:t>
      </w:r>
      <w:r>
        <w:t>.</w:t>
      </w:r>
    </w:p>
    <w:p>
      <w:pPr>
        <w:pStyle w:val="ManualHeading2"/>
        <w:rPr>
          <w:noProof/>
        </w:rPr>
      </w:pPr>
      <w:r>
        <w:t>4.3.</w:t>
      </w:r>
      <w:r>
        <w:tab/>
      </w:r>
      <w:r>
        <w:rPr>
          <w:noProof/>
        </w:rPr>
        <w:t>Conclusion</w:t>
      </w:r>
    </w:p>
    <w:p>
      <w:pPr>
        <w:rPr>
          <w:noProof/>
        </w:rPr>
      </w:pPr>
      <w:r>
        <w:rPr>
          <w:noProof/>
        </w:rPr>
        <w:t>La base juridique de la décision proposée devrait être les articles 48 et 352 du TFUE</w:t>
      </w:r>
      <w:r>
        <w:t>,</w:t>
      </w:r>
      <w:r>
        <w:rPr>
          <w:noProof/>
        </w:rPr>
        <w:t xml:space="preserve"> en liaison avec l’article 218, paragraphe 9, du TFUE.</w:t>
      </w:r>
    </w:p>
    <w:p>
      <w:pPr>
        <w:pStyle w:val="ManualHeading1"/>
        <w:rPr>
          <w:noProof/>
        </w:rPr>
      </w:pPr>
      <w:r>
        <w:t>5.</w:t>
      </w:r>
      <w:r>
        <w:tab/>
      </w:r>
      <w:r>
        <w:rPr>
          <w:noProof/>
        </w:rPr>
        <w:t>Publication de l’acte envisagé</w:t>
      </w:r>
    </w:p>
    <w:p>
      <w:pPr>
        <w:rPr>
          <w:noProof/>
        </w:rPr>
      </w:pPr>
      <w:r>
        <w:rPr>
          <w:noProof/>
        </w:rPr>
        <w:t>Étant donné que la décision du Comité mixte de l’EEE modifiera l’annexe VI sur la sécurité sociale,</w:t>
      </w:r>
      <w:r>
        <w:t xml:space="preserve"> </w:t>
      </w:r>
      <w:r>
        <w:rPr>
          <w:noProof/>
        </w:rPr>
        <w:t xml:space="preserve">il y a lieu de la publier au </w:t>
      </w:r>
      <w:r>
        <w:rPr>
          <w:i/>
          <w:noProof/>
        </w:rPr>
        <w:t>Journal officiel de l’Union européenne</w:t>
      </w:r>
      <w:r>
        <w:rPr>
          <w:noProof/>
        </w:rPr>
        <w:t xml:space="preserve">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la modification de l'annexe VI (Sécurité sociale) de l'accord EEE</w:t>
      </w:r>
    </w:p>
    <w:p>
      <w:pPr>
        <w:pStyle w:val="IntrtEEE"/>
        <w:rPr>
          <w:noProof/>
        </w:rPr>
      </w:pPr>
      <w:r>
        <w:rPr>
          <w:noProof/>
        </w:rPr>
        <w:t>(Texte présentant de l'intérêt pour l'EEE)</w:t>
      </w:r>
    </w:p>
    <w:p>
      <w:pPr>
        <w:pStyle w:val="Institutionquiagit"/>
        <w:rPr>
          <w:b/>
          <w:noProof/>
        </w:rPr>
      </w:pPr>
      <w:r>
        <w:rPr>
          <w:b/>
          <w:noProof/>
        </w:rPr>
        <w:t>LE CONSEIL DE L'UNION EUROPÉENNE,</w:t>
      </w:r>
    </w:p>
    <w:p>
      <w:pPr>
        <w:rPr>
          <w:noProof/>
        </w:rPr>
      </w:pPr>
      <w:r>
        <w:rPr>
          <w:noProof/>
        </w:rPr>
        <w:t>vu le traité sur le fonctionnement de l'Union européenne, et notamment ses articles 48 et 352,</w:t>
      </w:r>
      <w:r>
        <w:t xml:space="preserve"> </w:t>
      </w:r>
      <w:r>
        <w:rPr>
          <w:noProof/>
        </w:rPr>
        <w:t>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4"/>
      </w:r>
      <w:r>
        <w:rPr>
          <w:noProof/>
        </w:rPr>
        <w:t>, et notamment son article 1</w:t>
      </w:r>
      <w:r>
        <w:rPr>
          <w:noProof/>
          <w:vertAlign w:val="superscript"/>
        </w:rPr>
        <w:t>er</w:t>
      </w:r>
      <w:r>
        <w:rPr>
          <w:noProof/>
        </w:rPr>
        <w:t xml:space="preserve">, paragraphe 3, </w:t>
      </w:r>
    </w:p>
    <w:p>
      <w:pPr>
        <w:rPr>
          <w:noProof/>
        </w:rPr>
      </w:pPr>
      <w:r>
        <w:rPr>
          <w:noProof/>
        </w:rPr>
        <w:t>vu la proposition de la Commission européenne,</w:t>
      </w:r>
    </w:p>
    <w:p>
      <w:pPr>
        <w:rPr>
          <w:noProof/>
        </w:rPr>
      </w:pPr>
      <w:r>
        <w:rPr>
          <w:noProof/>
        </w:rPr>
        <w:t>considérant ce qui suit:</w:t>
      </w:r>
    </w:p>
    <w:p>
      <w:pPr>
        <w:pStyle w:val="ManualConsidrant"/>
        <w:rPr>
          <w:noProof/>
          <w:szCs w:val="24"/>
        </w:rPr>
      </w:pPr>
      <w:r>
        <w:t>(1)</w:t>
      </w:r>
      <w:r>
        <w:tab/>
      </w:r>
      <w:r>
        <w:rPr>
          <w:noProof/>
        </w:rPr>
        <w:t>L'accord sur l'Espace économique européen</w:t>
      </w:r>
      <w:r>
        <w:rPr>
          <w:rStyle w:val="FootnoteReference"/>
          <w:noProof/>
        </w:rPr>
        <w:footnoteReference w:id="5"/>
      </w:r>
      <w:r>
        <w:rPr>
          <w:noProof/>
        </w:rPr>
        <w:t xml:space="preserve"> (ci-après l'«accord EEE») est entré en vigueur le 1</w:t>
      </w:r>
      <w:r>
        <w:rPr>
          <w:noProof/>
          <w:vertAlign w:val="superscript"/>
        </w:rPr>
        <w:t>er</w:t>
      </w:r>
      <w:r>
        <w:rPr>
          <w:noProof/>
        </w:rPr>
        <w:t xml:space="preserve"> janvier 1994. </w:t>
      </w:r>
    </w:p>
    <w:p>
      <w:pPr>
        <w:pStyle w:val="ManualConsidrant"/>
        <w:rPr>
          <w:noProof/>
        </w:rPr>
      </w:pPr>
      <w:r>
        <w:t>(2)</w:t>
      </w:r>
      <w:r>
        <w:tab/>
      </w:r>
      <w:r>
        <w:rPr>
          <w:noProof/>
        </w:rPr>
        <w:t>En vertu de l’article 98 de l’accord EEE, le Comité mixte de l’EEE peut décider de modifier, entre autres, l’annexe VI de l’accord EEE, qui contient des dispositions sur la sécurité sociale.</w:t>
      </w:r>
    </w:p>
    <w:p>
      <w:pPr>
        <w:pStyle w:val="ManualConsidrant"/>
        <w:rPr>
          <w:noProof/>
        </w:rPr>
      </w:pPr>
      <w:r>
        <w:t>(3)</w:t>
      </w:r>
      <w:r>
        <w:tab/>
      </w:r>
      <w:r>
        <w:rPr>
          <w:noProof/>
        </w:rPr>
        <w:t>L’article 33 de l’accord sur le retrait du Royaume-Uni de Grande-Bretagne et d'Irlande du Nord de l'Union européenne et de la Communauté européenne de l'énergie atomique</w:t>
      </w:r>
      <w:r>
        <w:rPr>
          <w:rStyle w:val="FootnoteReference"/>
          <w:noProof/>
        </w:rPr>
        <w:footnoteReference w:id="6"/>
      </w:r>
      <w:r>
        <w:rPr>
          <w:noProof/>
        </w:rPr>
        <w:t xml:space="preserve"> (ci-après l’«accord de retrait») indique que les dispositions du titre III de la deuxième partie de l’accord de retrait s’appliquent aux ressortissants de l'Islande, de la Principauté de Liechtenstein et du Royaume de Norvège à condition que ces pays aient conclu et appliquent des accords correspondants avec le Royaume-Uni de Grande-Bretagne et d'Irlande du Nord qui s'appliquent aux citoyens de l’Union ainsi qu’avec l’Union européenne qui s’appliquent aux ressortissants du Royaume-Uni.</w:t>
      </w:r>
    </w:p>
    <w:p>
      <w:pPr>
        <w:pStyle w:val="ManualConsidrant"/>
        <w:rPr>
          <w:noProof/>
        </w:rPr>
      </w:pPr>
      <w:r>
        <w:t>(4)</w:t>
      </w:r>
      <w:r>
        <w:tab/>
      </w:r>
      <w:r>
        <w:rPr>
          <w:noProof/>
        </w:rPr>
        <w:t xml:space="preserve">L'article 32 de l'accord relatif aux arrangements entre l'Islande, la Principauté de Liechtenstein, le Royaume de Norvège et le Royaume-Uni de Grande-Bretagne et d'Irlande du Nord à la suite du retrait du Royaume-Uni de l'Union européenne, de l'accord EEE et d'autres accords applicables entre le Royaume-Uni et les États de l'AELE membres de l'EEE en raison de l'appartenance du Royaume-Uni à l'Union européenne (ci-après l’«accord de séparation») indique que les dispositions du titre III de la deuxième partie de l'accord de séparation s’appliquent aux citoyens de l’Union à condition que l’Union ait conclu et applique des accords correspondants avec le </w:t>
      </w:r>
      <w:r>
        <w:rPr>
          <w:noProof/>
        </w:rPr>
        <w:lastRenderedPageBreak/>
        <w:t>Royaume-Uni de Grande-Bretagne et d'Irlande du Nord qui s'appliquent aux ressortissants des États de l’AELE membres de l’EEE ainsi qu’avec les États de l’AELE membres de l’EEE qui s’appliquent aux ressortissants du Royaume-Uni.</w:t>
      </w:r>
    </w:p>
    <w:p>
      <w:pPr>
        <w:pStyle w:val="ManualConsidrant"/>
        <w:rPr>
          <w:noProof/>
        </w:rPr>
      </w:pPr>
      <w:r>
        <w:t>(5)</w:t>
      </w:r>
      <w:r>
        <w:tab/>
      </w:r>
      <w:r>
        <w:rPr>
          <w:noProof/>
        </w:rPr>
        <w:t xml:space="preserve">Il est dès lors nécessaire d'offrir une protection réciproque des droits de sécurité sociale aux ressortissants du Royaume-Uni, aux apatrides et aux réfugiés ainsi qu’aux membres de leur famille et à leurs survivants qui, à la fin de la période de transition, se trouvent ou se sont trouvés dans une situation transfrontière impliquant à la fois une ou plusieurs des parties contractantes de l’accord sur l’Espace économique européen ainsi que le Royaume-Uni de Grande-Bretagne et d'Irlande du Nord. </w:t>
      </w:r>
    </w:p>
    <w:p>
      <w:pPr>
        <w:pStyle w:val="ManualConsidrant"/>
        <w:rPr>
          <w:noProof/>
        </w:rPr>
      </w:pPr>
      <w:r>
        <w:t>(6)</w:t>
      </w:r>
      <w:r>
        <w:tab/>
      </w:r>
      <w:r>
        <w:rPr>
          <w:noProof/>
        </w:rPr>
        <w:t>La position de l’Union au sein du Comité mixte de l’EEE doit donc être fondée sur le projet de décision du Comité mixte de l’EEE figurant en annexe de la présente décision,</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adopter, au nom de l'Union, au sein du Comité mixte de l'EEE en ce qui concerne la modification qu'il est proposé d'apporter à l'annexe VI (Sécurité sociale) de l'accord EEE est fondée sur le projet de décision du Comité mixte de l'EEE joint à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 du 31.1.2020, p. 7.</w:t>
      </w:r>
    </w:p>
  </w:footnote>
  <w:footnote w:id="2">
    <w:p>
      <w:pPr>
        <w:pStyle w:val="FootnoteText"/>
      </w:pPr>
      <w:r>
        <w:rPr>
          <w:rStyle w:val="FootnoteReference"/>
        </w:rPr>
        <w:footnoteRef/>
      </w:r>
      <w:r>
        <w:tab/>
        <w:t>JO L 29 du 31.1.2020, p. 7.</w:t>
      </w:r>
    </w:p>
  </w:footnote>
  <w:footnote w:id="3">
    <w:p>
      <w:pPr>
        <w:pStyle w:val="FootnoteText"/>
      </w:pPr>
      <w:r>
        <w:rPr>
          <w:rStyle w:val="FootnoteReference"/>
        </w:rPr>
        <w:footnoteRef/>
      </w:r>
      <w:r>
        <w:tab/>
        <w:t xml:space="preserve">Arrêt de la Cour de justice du 7 octobre 2014, Allemagne/Conseil, C-399/12, ECLI:EU:C:2014:2258, points 61 à 64. </w:t>
      </w:r>
    </w:p>
  </w:footnote>
  <w:footnote w:id="4">
    <w:p>
      <w:pPr>
        <w:pStyle w:val="FootnoteText"/>
      </w:pPr>
      <w:r>
        <w:rPr>
          <w:rStyle w:val="FootnoteReference"/>
        </w:rPr>
        <w:footnoteRef/>
      </w:r>
      <w:r>
        <w:tab/>
        <w:t>JO L 305 du 30.11.1994, p. 6.</w:t>
      </w:r>
    </w:p>
  </w:footnote>
  <w:footnote w:id="5">
    <w:p>
      <w:pPr>
        <w:pStyle w:val="FootnoteText"/>
      </w:pPr>
      <w:r>
        <w:rPr>
          <w:rStyle w:val="FootnoteReference"/>
        </w:rPr>
        <w:footnoteRef/>
      </w:r>
      <w:r>
        <w:tab/>
        <w:t xml:space="preserve">JO L 1 du 3.1.1994, p. 3. </w:t>
      </w:r>
    </w:p>
  </w:footnote>
  <w:footnote w:id="6">
    <w:p>
      <w:pPr>
        <w:pStyle w:val="FootnoteText"/>
      </w:pPr>
      <w:r>
        <w:rPr>
          <w:rStyle w:val="FootnoteReference"/>
        </w:rPr>
        <w:footnoteRef/>
      </w:r>
      <w:r>
        <w:tab/>
        <w:t>JO L 29 du 31.1.2020,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36E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5C9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4B8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2E44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8A52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BC0F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20162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8C3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37: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4ABFAD-B107-432B-8596-85991A62562D"/>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7"/>
    <w:docVar w:name="LW_REF.II.NEW.CP_YEAR" w:val="2020"/>
    <w:docVar w:name="LW_REF.INST.NEW" w:val="COM"/>
    <w:docVar w:name="LW_REF.INST.NEW_ADOPTED" w:val="final"/>
    <w:docVar w:name="LW_REF.INST.NEW_TEXT" w:val="(2020)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au nom de l'Union européenne, au sein du Comité mixte de l'EEE en ce qui concerne la modification de l'annexe VI (Sécurité sociale) de l'accord 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7106">
      <w:bodyDiv w:val="1"/>
      <w:marLeft w:val="0"/>
      <w:marRight w:val="0"/>
      <w:marTop w:val="0"/>
      <w:marBottom w:val="0"/>
      <w:divBdr>
        <w:top w:val="none" w:sz="0" w:space="0" w:color="auto"/>
        <w:left w:val="none" w:sz="0" w:space="0" w:color="auto"/>
        <w:bottom w:val="none" w:sz="0" w:space="0" w:color="auto"/>
        <w:right w:val="none" w:sz="0" w:space="0" w:color="auto"/>
      </w:divBdr>
    </w:div>
    <w:div w:id="1106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1849</Words>
  <Characters>9985</Characters>
  <Application>Microsoft Office Word</Application>
  <DocSecurity>0</DocSecurity>
  <Lines>175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2020-11-26T16:01:00Z</dcterms:created>
  <dcterms:modified xsi:type="dcterms:W3CDTF">2020-12-03T12:37:00Z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