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D7ACE27-277E-488C-A969-EF191FE3D547" style="width:451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itle"/>
        <w:jc w:val="center"/>
        <w:rPr>
          <w:rFonts w:ascii="Times New Roman" w:hAnsi="Times New Roman" w:cs="Times New Roman"/>
          <w:noProof/>
          <w:sz w:val="32"/>
          <w:szCs w:val="32"/>
        </w:rPr>
      </w:pPr>
      <w:bookmarkStart w:id="1" w:name="_GoBack"/>
      <w:bookmarkEnd w:id="1"/>
      <w:r>
        <w:rPr>
          <w:rFonts w:ascii="Times New Roman" w:hAnsi="Times New Roman" w:cs="Times New Roman"/>
          <w:noProof/>
          <w:sz w:val="32"/>
          <w:szCs w:val="32"/>
        </w:rPr>
        <w:lastRenderedPageBreak/>
        <w:t>Strategy to strengthen the application of the Charter of Fundamental Rights in the EU</w:t>
      </w:r>
    </w:p>
    <w:p>
      <w:pPr>
        <w:pStyle w:val="Heading1"/>
        <w:rPr>
          <w:rFonts w:ascii="Times New Roman" w:hAnsi="Times New Roman" w:cs="Times New Roman"/>
          <w:noProof/>
        </w:rPr>
      </w:pPr>
      <w:r>
        <w:rPr>
          <w:rFonts w:ascii="Times New Roman" w:hAnsi="Times New Roman" w:cs="Times New Roman"/>
          <w:noProof/>
        </w:rPr>
        <w:t>Introduction</w:t>
      </w:r>
    </w:p>
    <w:p>
      <w:pPr>
        <w:rPr>
          <w:i/>
          <w:noProof/>
          <w:lang w:val="en-IE"/>
        </w:rPr>
      </w:pPr>
    </w:p>
    <w:p>
      <w:pPr>
        <w:jc w:val="both"/>
        <w:rPr>
          <w:rFonts w:ascii="Times New Roman" w:hAnsi="Times New Roman" w:cs="Times New Roman"/>
          <w:b/>
          <w:i/>
          <w:noProof/>
          <w:sz w:val="24"/>
          <w:szCs w:val="24"/>
        </w:rPr>
      </w:pPr>
      <w:r>
        <w:rPr>
          <w:rFonts w:ascii="Times New Roman" w:hAnsi="Times New Roman" w:cs="Times New Roman"/>
          <w:b/>
          <w:i/>
          <w:noProof/>
          <w:sz w:val="24"/>
          <w:szCs w:val="24"/>
        </w:rPr>
        <w:t>Strengthening our EU bill of rights to address new challenges</w:t>
      </w:r>
    </w:p>
    <w:p>
      <w:pPr>
        <w:jc w:val="both"/>
        <w:rPr>
          <w:rFonts w:ascii="Times New Roman" w:hAnsi="Times New Roman" w:cs="Times New Roman"/>
          <w:noProof/>
          <w:sz w:val="24"/>
          <w:szCs w:val="24"/>
        </w:rPr>
      </w:pPr>
      <w:r>
        <w:rPr>
          <w:rFonts w:ascii="Times New Roman" w:hAnsi="Times New Roman" w:cs="Times New Roman"/>
          <w:noProof/>
          <w:sz w:val="24"/>
          <w:szCs w:val="24"/>
        </w:rPr>
        <w:t>Proclaimed 20 years ago and legally binding since 2009</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the EU Charter of Fundamental Rights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(‘the Charter’) was a quantum leap for European integration. It reaffirmed, in a meaningful way, that the EU is built on fundamental rights, democracy and the rule of law</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These values are closely linked. Fundamental rights can only be effective in people’s lives in a society where independent courts guarantee their protection and where an open and informed democratic debate can take place, with independent media and an active civil society.</w:t>
      </w:r>
    </w:p>
    <w:p>
      <w:pPr>
        <w:jc w:val="both"/>
        <w:rPr>
          <w:rFonts w:ascii="Times New Roman" w:hAnsi="Times New Roman" w:cs="Times New Roman"/>
          <w:noProof/>
          <w:sz w:val="24"/>
          <w:szCs w:val="24"/>
        </w:rPr>
      </w:pPr>
      <w:r>
        <w:rPr>
          <w:rFonts w:ascii="Times New Roman" w:hAnsi="Times New Roman" w:cs="Times New Roman"/>
          <w:noProof/>
          <w:sz w:val="24"/>
          <w:szCs w:val="24"/>
        </w:rPr>
        <w:t>The Charter applies to EU institutions in all their actions. The European Commission’s 2010 strategy for the effective implementation of the Charter of Fundamental Rights by the European Union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underlined the importance for the EU to be exemplary and set out how the Commission was going to ensure that it fully complies with the Charter. The Charter also applies to the Member States when implementing EU law and the strategy expressed the Commission’s determination to use all the means at its disposal to ensure compliance.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Over the past decade, </w:t>
      </w:r>
      <w:r>
        <w:rPr>
          <w:rFonts w:ascii="Times New Roman" w:hAnsi="Times New Roman" w:cs="Times New Roman"/>
          <w:b/>
          <w:noProof/>
          <w:sz w:val="24"/>
          <w:szCs w:val="24"/>
        </w:rPr>
        <w:t>the Charter has led to a greater promotion and protection of people’s fundamental rights in the EU</w:t>
      </w:r>
      <w:r>
        <w:rPr>
          <w:rFonts w:ascii="Times New Roman" w:hAnsi="Times New Roman" w:cs="Times New Roman"/>
          <w:noProof/>
          <w:sz w:val="24"/>
          <w:szCs w:val="24"/>
        </w:rPr>
        <w:t>. The Charter has triggered new EU legislation directly protecting and promoting certain key rights. The new rules on data protection, gender equality, protecting whistleblowers, fair trial and defence rights, and victims of crime are key examples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The case-law of the Court of Justice of the EU (‘the Court’) invoking the Charter has developed significantly</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in a wide range of policy areas</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The EU Agency for </w:t>
      </w:r>
      <w:r>
        <w:rPr>
          <w:rFonts w:ascii="Times New Roman" w:hAnsi="Times New Roman" w:cs="Times New Roman"/>
          <w:noProof/>
          <w:sz w:val="24"/>
          <w:szCs w:val="24"/>
        </w:rPr>
        <w:lastRenderedPageBreak/>
        <w:t>Fundamental Rights has developed into a trusted EU body providing comparable data and analysis on fundamental rights to support the work of the EU institutions and the Member States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The number of independent national human rights institutions and bodies has also risen significantly in the EU</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laying down solid foundations for the enforcement of individuals’ rights in practice.</w:t>
      </w:r>
    </w:p>
    <w:p>
      <w:pPr>
        <w:jc w:val="both"/>
        <w:rPr>
          <w:rFonts w:ascii="Times New Roman" w:hAnsi="Times New Roman" w:cs="Times New Roman"/>
          <w:noProof/>
          <w:sz w:val="24"/>
          <w:szCs w:val="24"/>
          <w:lang w:val="en-IE"/>
        </w:rPr>
      </w:pPr>
      <w:r>
        <w:rPr>
          <w:rFonts w:ascii="Times New Roman" w:hAnsi="Times New Roman" w:cs="Times New Roman"/>
          <w:b/>
          <w:noProof/>
          <w:sz w:val="24"/>
          <w:szCs w:val="24"/>
        </w:rPr>
        <w:t xml:space="preserve">However, the protection of fundamental rights cannot be taken for granted. </w:t>
      </w:r>
      <w:r>
        <w:rPr>
          <w:rFonts w:ascii="Times New Roman" w:hAnsi="Times New Roman" w:cs="Times New Roman"/>
          <w:noProof/>
          <w:sz w:val="24"/>
          <w:szCs w:val="24"/>
        </w:rPr>
        <w:t>Ten years on, new challenges have emerged for instance in the areas of migration and security, and most recently, in the context of the COVID-19 crisis that brought about restrictions on a wide array of fundamental rights and freedoms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and widened the inequality gap. The green transition</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and digital transformation bring new opportunities to make fundamental rights more effective, but they also bring challenges. For example, while </w:t>
      </w:r>
      <w:r>
        <w:rPr>
          <w:rFonts w:ascii="Times New Roman" w:hAnsi="Times New Roman" w:cs="Times New Roman"/>
          <w:noProof/>
          <w:sz w:val="24"/>
          <w:szCs w:val="24"/>
          <w:lang w:val="en-IE"/>
        </w:rPr>
        <w:t>digital automation is an essential driver of progress, allowing for efficiency gains and new ways of processing information, it can also drive the spread of illegal hate speech, curb people’s freedom of expression, increase surveillance, lead to severe discrimination</w:t>
      </w:r>
      <w:r>
        <w:rPr>
          <w:rStyle w:val="FootnoteReference"/>
          <w:rFonts w:ascii="Times New Roman" w:hAnsi="Times New Roman" w:cs="Times New Roman"/>
          <w:noProof/>
          <w:sz w:val="24"/>
          <w:szCs w:val="24"/>
          <w:lang w:val="en-IE"/>
        </w:rPr>
        <w:footnoteReference w:id="12"/>
      </w:r>
      <w:r>
        <w:rPr>
          <w:rFonts w:ascii="Times New Roman" w:hAnsi="Times New Roman" w:cs="Times New Roman"/>
          <w:noProof/>
          <w:sz w:val="24"/>
          <w:szCs w:val="24"/>
          <w:lang w:val="en-IE"/>
        </w:rPr>
        <w:t>, harm children and reinforce the vulnerability of certain groups</w:t>
      </w:r>
      <w:r>
        <w:rPr>
          <w:rStyle w:val="FootnoteReference"/>
          <w:rFonts w:ascii="Times New Roman" w:hAnsi="Times New Roman" w:cs="Times New Roman"/>
          <w:noProof/>
          <w:sz w:val="24"/>
          <w:szCs w:val="24"/>
          <w:lang w:val="en-IE"/>
        </w:rPr>
        <w:footnoteReference w:id="13"/>
      </w:r>
      <w:r>
        <w:rPr>
          <w:rFonts w:ascii="Times New Roman" w:hAnsi="Times New Roman" w:cs="Times New Roman"/>
          <w:noProof/>
          <w:sz w:val="24"/>
          <w:szCs w:val="24"/>
          <w:lang w:val="en-IE"/>
        </w:rPr>
        <w:t>. Making fundamental rights effective is a pre-condition to fulfil the EU’s commitment to leave no one behind.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These new challenges and developments call for </w:t>
      </w:r>
      <w:r>
        <w:rPr>
          <w:rFonts w:ascii="Times New Roman" w:hAnsi="Times New Roman" w:cs="Times New Roman"/>
          <w:b/>
          <w:noProof/>
          <w:sz w:val="24"/>
          <w:szCs w:val="24"/>
        </w:rPr>
        <w:t>a renewed commitment</w:t>
      </w:r>
      <w:r>
        <w:rPr>
          <w:rFonts w:ascii="Times New Roman" w:hAnsi="Times New Roman" w:cs="Times New Roman"/>
          <w:noProof/>
          <w:sz w:val="24"/>
          <w:szCs w:val="24"/>
        </w:rPr>
        <w:t xml:space="preserve"> to ensure that the EU institutions and the Member States apply the Charter to its full potential. </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Making the Charter a reality for all</w:t>
      </w:r>
    </w:p>
    <w:p>
      <w:pPr>
        <w:jc w:val="both"/>
        <w:rPr>
          <w:rFonts w:ascii="Times New Roman" w:hAnsi="Times New Roman" w:cs="Times New Roman"/>
          <w:noProof/>
          <w:sz w:val="24"/>
          <w:szCs w:val="24"/>
        </w:rPr>
      </w:pPr>
      <w:r>
        <w:rPr>
          <w:rFonts w:ascii="Times New Roman" w:hAnsi="Times New Roman" w:cs="Times New Roman"/>
          <w:noProof/>
          <w:sz w:val="24"/>
          <w:szCs w:val="24"/>
        </w:rPr>
        <w:t>This strategy proposes specific actions to</w:t>
      </w:r>
      <w:r>
        <w:rPr>
          <w:rFonts w:ascii="Times New Roman" w:hAnsi="Times New Roman" w:cs="Times New Roman"/>
          <w:b/>
          <w:noProof/>
          <w:sz w:val="24"/>
          <w:szCs w:val="24"/>
        </w:rPr>
        <w:t xml:space="preserve"> strengthen the application of the Charter, in particular in the Member States</w:t>
      </w:r>
      <w:r>
        <w:rPr>
          <w:rFonts w:ascii="Times New Roman" w:hAnsi="Times New Roman" w:cs="Times New Roman"/>
          <w:noProof/>
          <w:sz w:val="24"/>
          <w:szCs w:val="24"/>
        </w:rPr>
        <w:t xml:space="preserve">. It focuses on four strands: </w:t>
      </w:r>
    </w:p>
    <w:p>
      <w:pPr>
        <w:pStyle w:val="ListParagraph"/>
        <w:numPr>
          <w:ilvl w:val="0"/>
          <w:numId w:val="26"/>
        </w:numPr>
        <w:jc w:val="both"/>
        <w:rPr>
          <w:rFonts w:ascii="Times New Roman" w:hAnsi="Times New Roman" w:cs="Times New Roman"/>
          <w:noProof/>
          <w:sz w:val="24"/>
          <w:szCs w:val="24"/>
        </w:rPr>
      </w:pPr>
      <w:r>
        <w:rPr>
          <w:rFonts w:ascii="Times New Roman" w:hAnsi="Times New Roman" w:cs="Times New Roman"/>
          <w:noProof/>
          <w:sz w:val="24"/>
          <w:szCs w:val="24"/>
        </w:rPr>
        <w:t>Ensuring the effective application of the Charter by the Member States.</w:t>
      </w:r>
    </w:p>
    <w:p>
      <w:pPr>
        <w:pStyle w:val="ListParagraph"/>
        <w:numPr>
          <w:ilvl w:val="0"/>
          <w:numId w:val="26"/>
        </w:numPr>
        <w:jc w:val="both"/>
        <w:rPr>
          <w:rFonts w:ascii="Times New Roman" w:hAnsi="Times New Roman" w:cs="Times New Roman"/>
          <w:noProof/>
          <w:sz w:val="24"/>
          <w:szCs w:val="24"/>
        </w:rPr>
      </w:pPr>
      <w:r>
        <w:rPr>
          <w:rFonts w:ascii="Times New Roman" w:hAnsi="Times New Roman" w:cs="Times New Roman"/>
          <w:noProof/>
          <w:sz w:val="24"/>
          <w:szCs w:val="24"/>
        </w:rPr>
        <w:t>Empowering civil society organisations, rights defenders and justice practitioners.</w:t>
      </w:r>
    </w:p>
    <w:p>
      <w:pPr>
        <w:pStyle w:val="ListParagraph"/>
        <w:numPr>
          <w:ilvl w:val="0"/>
          <w:numId w:val="26"/>
        </w:numPr>
        <w:jc w:val="both"/>
        <w:rPr>
          <w:rFonts w:ascii="Times New Roman" w:hAnsi="Times New Roman" w:cs="Times New Roman"/>
          <w:noProof/>
          <w:sz w:val="24"/>
          <w:szCs w:val="24"/>
        </w:rPr>
      </w:pPr>
      <w:r>
        <w:rPr>
          <w:rFonts w:ascii="Times New Roman" w:hAnsi="Times New Roman" w:cs="Times New Roman"/>
          <w:noProof/>
          <w:sz w:val="24"/>
          <w:szCs w:val="24"/>
        </w:rPr>
        <w:t>Fostering the use of the Charter as a compass for EU institutions.</w:t>
      </w:r>
    </w:p>
    <w:p>
      <w:pPr>
        <w:pStyle w:val="ListParagraph"/>
        <w:numPr>
          <w:ilvl w:val="0"/>
          <w:numId w:val="26"/>
        </w:numPr>
        <w:jc w:val="both"/>
        <w:rPr>
          <w:rFonts w:ascii="Times New Roman" w:hAnsi="Times New Roman" w:cs="Times New Roman"/>
          <w:noProof/>
          <w:sz w:val="24"/>
          <w:szCs w:val="24"/>
        </w:rPr>
      </w:pPr>
      <w:r>
        <w:rPr>
          <w:rFonts w:ascii="Times New Roman" w:hAnsi="Times New Roman" w:cs="Times New Roman"/>
          <w:noProof/>
          <w:sz w:val="24"/>
          <w:szCs w:val="24"/>
        </w:rPr>
        <w:t>Strengthening people’s awareness of their rights under the Charter.</w:t>
      </w:r>
    </w:p>
    <w:p>
      <w:pPr>
        <w:jc w:val="both"/>
        <w:rPr>
          <w:rFonts w:ascii="Times New Roman" w:hAnsi="Times New Roman" w:cs="Times New Roman"/>
          <w:noProof/>
          <w:sz w:val="24"/>
          <w:szCs w:val="24"/>
        </w:rPr>
      </w:pPr>
      <w:r>
        <w:rPr>
          <w:rFonts w:ascii="Times New Roman" w:hAnsi="Times New Roman" w:cs="Times New Roman"/>
          <w:noProof/>
          <w:sz w:val="24"/>
          <w:szCs w:val="24"/>
        </w:rPr>
        <w:t>The strategy follows calls from the European Parliament for a stronger monitoring of the application of the Charter in the Member States</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Council Conclusions setting out ways to improve the application of the Charter</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and contributions by Member States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actions set out in this strategy will focus on </w:t>
      </w:r>
      <w:r>
        <w:rPr>
          <w:rFonts w:ascii="Times New Roman" w:hAnsi="Times New Roman" w:cs="Times New Roman"/>
          <w:b/>
          <w:noProof/>
          <w:sz w:val="24"/>
          <w:szCs w:val="24"/>
        </w:rPr>
        <w:t>prevention, promotion, implementation and enforcement</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Upholding EU fundamental rights and values is a shared responsibility and requires a collective effort from all concerned: EU institutions, bodies and agencies, national and local</w:t>
      </w:r>
      <w:r>
        <w:rPr>
          <w:rFonts w:ascii="Times New Roman" w:hAnsi="Times New Roman" w:cs="Times New Roman"/>
          <w:noProof/>
          <w:vertAlign w:val="superscript"/>
        </w:rPr>
        <w:footnoteReference w:id="17"/>
      </w:r>
      <w:r>
        <w:rPr>
          <w:rFonts w:ascii="Times New Roman" w:hAnsi="Times New Roman" w:cs="Times New Roman"/>
          <w:noProof/>
          <w:sz w:val="24"/>
          <w:szCs w:val="24"/>
        </w:rPr>
        <w:t xml:space="preserve"> authorities, including law enforcement authorities, rights defenders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legislators, judges and other legal practitioners, and civil society organisations active in fundamental rights. All these </w:t>
      </w:r>
      <w:r>
        <w:rPr>
          <w:rFonts w:ascii="Times New Roman" w:hAnsi="Times New Roman" w:cs="Times New Roman"/>
          <w:b/>
          <w:noProof/>
          <w:sz w:val="24"/>
          <w:szCs w:val="24"/>
        </w:rPr>
        <w:t>key</w:t>
      </w:r>
      <w:r>
        <w:rPr>
          <w:rFonts w:ascii="Times New Roman" w:hAnsi="Times New Roman" w:cs="Times New Roman"/>
          <w:noProof/>
          <w:sz w:val="24"/>
          <w:szCs w:val="24"/>
        </w:rPr>
        <w:t xml:space="preserve"> </w:t>
      </w:r>
      <w:r>
        <w:rPr>
          <w:rFonts w:ascii="Times New Roman" w:hAnsi="Times New Roman" w:cs="Times New Roman"/>
          <w:b/>
          <w:noProof/>
          <w:sz w:val="24"/>
          <w:szCs w:val="24"/>
        </w:rPr>
        <w:t>parties for the Charter’s effective application</w:t>
      </w:r>
      <w:r>
        <w:rPr>
          <w:rFonts w:ascii="Times New Roman" w:hAnsi="Times New Roman" w:cs="Times New Roman"/>
          <w:noProof/>
          <w:sz w:val="24"/>
          <w:szCs w:val="24"/>
        </w:rPr>
        <w:t xml:space="preserve"> have a role to play in making the Charter a reality in people’s lives.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preparing this new strategy, the Commission has listened carefully to </w:t>
      </w:r>
      <w:r>
        <w:rPr>
          <w:rFonts w:ascii="Times New Roman" w:hAnsi="Times New Roman" w:cs="Times New Roman"/>
          <w:b/>
          <w:noProof/>
          <w:sz w:val="24"/>
          <w:szCs w:val="24"/>
        </w:rPr>
        <w:t>stakeholders and the wider public</w:t>
      </w:r>
      <w:r>
        <w:rPr>
          <w:rFonts w:ascii="Times New Roman" w:hAnsi="Times New Roman" w:cs="Times New Roman"/>
          <w:noProof/>
          <w:sz w:val="24"/>
          <w:szCs w:val="24"/>
        </w:rPr>
        <w:t>. In doing so, the Commission carried out a Eurobarometer survey</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 xml:space="preserve"> on the public’s awareness of the Charter, which showed that people do not know enough about their Charter rights but would like to have more information, including on where to turn to seek redress. Consultations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have shown the need to identify ways to support the parties involved in the Charter’s enforcement to apply the Charter proficiently for the benefit of all.</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The EU’s commitment to promote EU values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strategy complements the </w:t>
      </w:r>
      <w:r>
        <w:rPr>
          <w:rFonts w:ascii="Times New Roman" w:hAnsi="Times New Roman" w:cs="Times New Roman"/>
          <w:b/>
          <w:noProof/>
          <w:sz w:val="24"/>
          <w:szCs w:val="24"/>
        </w:rPr>
        <w:t>European democracy action plan</w:t>
      </w:r>
      <w:r>
        <w:rPr>
          <w:rFonts w:ascii="Times New Roman" w:hAnsi="Times New Roman" w:cs="Times New Roman"/>
          <w:b/>
          <w:noProof/>
          <w:sz w:val="24"/>
          <w:szCs w:val="24"/>
          <w:vertAlign w:val="superscript"/>
        </w:rPr>
        <w:footnoteReference w:id="21"/>
      </w:r>
      <w:r>
        <w:rPr>
          <w:rFonts w:ascii="Times New Roman" w:hAnsi="Times New Roman" w:cs="Times New Roman"/>
          <w:b/>
          <w:noProof/>
          <w:sz w:val="24"/>
          <w:szCs w:val="24"/>
        </w:rPr>
        <w:t xml:space="preserve"> and the first rule of law report</w:t>
      </w:r>
      <w:r>
        <w:rPr>
          <w:rFonts w:ascii="Times New Roman" w:hAnsi="Times New Roman" w:cs="Times New Roman"/>
          <w:b/>
          <w:noProof/>
          <w:sz w:val="24"/>
          <w:szCs w:val="24"/>
          <w:vertAlign w:val="superscript"/>
        </w:rPr>
        <w:footnoteReference w:id="22"/>
      </w:r>
      <w:r>
        <w:rPr>
          <w:rFonts w:ascii="Times New Roman" w:hAnsi="Times New Roman" w:cs="Times New Roman"/>
          <w:noProof/>
          <w:sz w:val="24"/>
          <w:szCs w:val="24"/>
        </w:rPr>
        <w:t>, which together illustrate the Commission’s comprehensive approach to promoting and protecting the fundamental values on which the EU is founded.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strategy underlines the overarching nature of the Charter and </w:t>
      </w:r>
      <w:r>
        <w:rPr>
          <w:rFonts w:ascii="Times New Roman" w:hAnsi="Times New Roman" w:cs="Times New Roman"/>
          <w:b/>
          <w:noProof/>
          <w:sz w:val="24"/>
          <w:szCs w:val="24"/>
        </w:rPr>
        <w:t>complements</w:t>
      </w:r>
      <w:r>
        <w:rPr>
          <w:rFonts w:ascii="Times New Roman" w:hAnsi="Times New Roman" w:cs="Times New Roman"/>
          <w:noProof/>
          <w:sz w:val="24"/>
          <w:szCs w:val="24"/>
        </w:rPr>
        <w:t xml:space="preserve"> </w:t>
      </w:r>
      <w:r>
        <w:rPr>
          <w:rFonts w:ascii="Times New Roman" w:hAnsi="Times New Roman" w:cs="Times New Roman"/>
          <w:b/>
          <w:noProof/>
          <w:sz w:val="24"/>
          <w:szCs w:val="24"/>
        </w:rPr>
        <w:t>targeted efforts to make EU rights and values more tangible</w:t>
      </w:r>
      <w:r>
        <w:rPr>
          <w:rFonts w:ascii="Times New Roman" w:hAnsi="Times New Roman" w:cs="Times New Roman"/>
          <w:noProof/>
          <w:sz w:val="24"/>
          <w:szCs w:val="24"/>
        </w:rPr>
        <w:t xml:space="preserve"> in areas such as victims’ rights and access to justice</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equality and inclusion</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anti-racism and pluralism</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social rights and inclusive education and training</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economic rights</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rights of EU citizens</w:t>
      </w:r>
      <w:r>
        <w:rPr>
          <w:rFonts w:ascii="Times New Roman" w:hAnsi="Times New Roman" w:cs="Times New Roman"/>
          <w:noProof/>
          <w:sz w:val="24"/>
          <w:szCs w:val="24"/>
          <w:vertAlign w:val="superscript"/>
        </w:rPr>
        <w:footnoteReference w:id="28"/>
      </w:r>
      <w:r>
        <w:rPr>
          <w:rFonts w:ascii="Times New Roman" w:hAnsi="Times New Roman" w:cs="Times New Roman"/>
          <w:noProof/>
          <w:sz w:val="24"/>
          <w:szCs w:val="24"/>
        </w:rPr>
        <w:t xml:space="preserve"> and rights of the child</w:t>
      </w:r>
      <w:r>
        <w:rPr>
          <w:rFonts w:ascii="Times New Roman" w:hAnsi="Times New Roman" w:cs="Times New Roman"/>
          <w:noProof/>
          <w:sz w:val="24"/>
          <w:szCs w:val="24"/>
          <w:vertAlign w:val="superscript"/>
        </w:rPr>
        <w:footnoteReference w:id="29"/>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b/>
          <w:noProof/>
          <w:sz w:val="24"/>
          <w:szCs w:val="24"/>
        </w:rPr>
        <w:t>All</w:t>
      </w:r>
      <w:r>
        <w:rPr>
          <w:rFonts w:ascii="Times New Roman" w:hAnsi="Times New Roman" w:cs="Times New Roman"/>
          <w:noProof/>
          <w:sz w:val="24"/>
          <w:szCs w:val="24"/>
        </w:rPr>
        <w:t xml:space="preserve"> </w:t>
      </w:r>
      <w:r>
        <w:rPr>
          <w:rFonts w:ascii="Times New Roman" w:hAnsi="Times New Roman" w:cs="Times New Roman"/>
          <w:b/>
          <w:noProof/>
          <w:sz w:val="24"/>
          <w:szCs w:val="24"/>
        </w:rPr>
        <w:t>these strands of work mutually reinforce each other for the effective protection of fundamental rights in the EU</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Charter applies in conjunction with national and international fundamental rights protection systems, including the constitutional traditions and international obligations common to the Member States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this context the </w:t>
      </w:r>
      <w:r>
        <w:rPr>
          <w:rFonts w:ascii="Times New Roman" w:hAnsi="Times New Roman" w:cs="Times New Roman"/>
          <w:b/>
          <w:noProof/>
          <w:sz w:val="24"/>
          <w:szCs w:val="24"/>
        </w:rPr>
        <w:t>EU’s accession to the European Convention of Human Rights</w:t>
      </w:r>
      <w:r>
        <w:rPr>
          <w:rFonts w:ascii="Times New Roman" w:hAnsi="Times New Roman" w:cs="Times New Roman"/>
          <w:noProof/>
          <w:sz w:val="24"/>
          <w:szCs w:val="24"/>
        </w:rPr>
        <w:t xml:space="preserve"> remains a priority for the Commission. If the EU truly wants to strengthen fundamental rights, it must be open to outside scrutiny. The Commission has joined forces with the Council of Europe to achieve this objective, which will help to further develop the links between the two fundamental rights frameworks and their effective application on the ground.</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The EU as a global actor in human rights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Promoting EU values and fundamental rights is also an important part of the </w:t>
      </w:r>
      <w:r>
        <w:rPr>
          <w:rFonts w:ascii="Times New Roman" w:hAnsi="Times New Roman" w:cs="Times New Roman"/>
          <w:b/>
          <w:noProof/>
          <w:sz w:val="24"/>
          <w:szCs w:val="24"/>
        </w:rPr>
        <w:t>EU’s work on the global scene</w:t>
      </w:r>
      <w:r>
        <w:rPr>
          <w:rFonts w:ascii="Times New Roman" w:hAnsi="Times New Roman" w:cs="Times New Roman"/>
          <w:noProof/>
          <w:sz w:val="24"/>
          <w:szCs w:val="24"/>
        </w:rPr>
        <w:t xml:space="preserve">. The way the EU addresses fundamental rights issues internally is of great relevance to its relations with non-EU countries, at bilateral, regional and multilateral level. </w:t>
      </w:r>
      <w:r>
        <w:rPr>
          <w:rFonts w:ascii="Times New Roman" w:hAnsi="Times New Roman" w:cs="Times New Roman"/>
          <w:noProof/>
          <w:sz w:val="24"/>
          <w:szCs w:val="24"/>
          <w:lang w:val="en-US"/>
        </w:rPr>
        <w:t>As pressure is increasing on democracy, the rule of law and human rights globally,</w:t>
      </w:r>
      <w:r>
        <w:rPr>
          <w:rFonts w:ascii="Times New Roman" w:hAnsi="Times New Roman" w:cs="Times New Roman"/>
          <w:noProof/>
          <w:sz w:val="24"/>
          <w:szCs w:val="24"/>
        </w:rPr>
        <w:t xml:space="preserve"> the protection of human rights and support for democracy worldwide are key EU external action priorities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The EU pursues a strong and coherent approach between its internal fundamental rights policies and how it embeds human rights in its work with external partners, as demonstrated by the new </w:t>
      </w:r>
      <w:r>
        <w:rPr>
          <w:rFonts w:ascii="Times New Roman" w:hAnsi="Times New Roman" w:cs="Times New Roman"/>
          <w:b/>
          <w:noProof/>
          <w:sz w:val="24"/>
          <w:szCs w:val="24"/>
        </w:rPr>
        <w:t>Action plan on human rights and democracy</w:t>
      </w:r>
      <w:r>
        <w:rPr>
          <w:rStyle w:val="FootnoteReference"/>
          <w:rFonts w:ascii="Times New Roman" w:hAnsi="Times New Roman" w:cs="Times New Roman"/>
          <w:noProof/>
          <w:sz w:val="24"/>
          <w:szCs w:val="24"/>
        </w:rPr>
        <w:footnoteReference w:id="32"/>
      </w:r>
      <w:r>
        <w:rPr>
          <w:rFonts w:ascii="Times New Roman" w:hAnsi="Times New Roman" w:cs="Times New Roman"/>
          <w:b/>
          <w:noProof/>
          <w:sz w:val="24"/>
          <w:szCs w:val="24"/>
        </w:rPr>
        <w:t xml:space="preserve"> and the Gender Action Plan III</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and in line with the </w:t>
      </w:r>
      <w:r>
        <w:rPr>
          <w:rFonts w:ascii="Times New Roman" w:hAnsi="Times New Roman" w:cs="Times New Roman"/>
          <w:b/>
          <w:noProof/>
          <w:sz w:val="24"/>
          <w:szCs w:val="24"/>
        </w:rPr>
        <w:t>Sustainable Development Goals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The EU also promotes the respect of human rights through its trade policy.</w:t>
      </w:r>
    </w:p>
    <w:p>
      <w:pPr>
        <w:rPr>
          <w:rFonts w:asciiTheme="majorHAnsi" w:eastAsiaTheme="majorEastAsia" w:hAnsiTheme="majorHAnsi" w:cstheme="majorBidi"/>
          <w:noProof/>
          <w:color w:val="2E74B5" w:themeColor="accent1" w:themeShade="BF"/>
          <w:sz w:val="32"/>
          <w:szCs w:val="32"/>
        </w:rPr>
      </w:pPr>
      <w:r>
        <w:rPr>
          <w:rFonts w:asciiTheme="majorHAnsi" w:eastAsiaTheme="majorEastAsia" w:hAnsiTheme="majorHAnsi" w:cstheme="majorBidi"/>
          <w:noProof/>
          <w:color w:val="2E74B5" w:themeColor="accent1" w:themeShade="BF"/>
          <w:sz w:val="32"/>
          <w:szCs w:val="32"/>
        </w:rPr>
        <w:br w:type="page"/>
      </w:r>
    </w:p>
    <w:p>
      <w:pPr>
        <w:pStyle w:val="Heading1"/>
        <w:rPr>
          <w:rFonts w:ascii="Times New Roman" w:hAnsi="Times New Roman" w:cs="Times New Roman"/>
          <w:noProof/>
        </w:rPr>
      </w:pPr>
      <w:r>
        <w:rPr>
          <w:rFonts w:ascii="Times New Roman" w:hAnsi="Times New Roman" w:cs="Times New Roman"/>
          <w:noProof/>
        </w:rPr>
        <w:t>1 – Ensuring the effective application of the Charter by the Member States</w:t>
      </w:r>
    </w:p>
    <w:p>
      <w:pPr>
        <w:jc w:val="both"/>
        <w:rPr>
          <w:noProof/>
        </w:rPr>
      </w:pPr>
    </w:p>
    <w:p>
      <w:pPr>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1.1 Partnering with Member States for an effective application of the Charter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Charter is a </w:t>
      </w:r>
      <w:r>
        <w:rPr>
          <w:rFonts w:ascii="Times New Roman" w:hAnsi="Times New Roman" w:cs="Times New Roman"/>
          <w:b/>
          <w:noProof/>
          <w:sz w:val="24"/>
          <w:szCs w:val="24"/>
        </w:rPr>
        <w:t>legally binding instrument</w:t>
      </w:r>
      <w:r>
        <w:rPr>
          <w:rFonts w:ascii="Times New Roman" w:hAnsi="Times New Roman" w:cs="Times New Roman"/>
          <w:noProof/>
          <w:sz w:val="24"/>
          <w:szCs w:val="24"/>
        </w:rPr>
        <w:t xml:space="preserve"> addressed to the Member States “</w:t>
      </w:r>
      <w:r>
        <w:rPr>
          <w:rFonts w:ascii="Times New Roman" w:hAnsi="Times New Roman" w:cs="Times New Roman"/>
          <w:i/>
          <w:noProof/>
          <w:sz w:val="24"/>
          <w:szCs w:val="24"/>
        </w:rPr>
        <w:t>only when they are implementing EU law</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It is not meant to extend the scope of application of EU law</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In fact, the scope of application of the Charter reflects the scope of EU law itself: “</w:t>
      </w:r>
      <w:r>
        <w:rPr>
          <w:rFonts w:ascii="Times New Roman" w:hAnsi="Times New Roman" w:cs="Times New Roman"/>
          <w:i/>
          <w:noProof/>
          <w:sz w:val="24"/>
          <w:szCs w:val="24"/>
        </w:rPr>
        <w:t>the Charter is the ‘shadow’ of EU law</w:t>
      </w:r>
      <w:r>
        <w:rPr>
          <w:noProof/>
        </w:rPr>
        <w:t xml:space="preserve">. </w:t>
      </w:r>
      <w:r>
        <w:rPr>
          <w:rFonts w:ascii="Times New Roman" w:hAnsi="Times New Roman" w:cs="Times New Roman"/>
          <w:i/>
          <w:noProof/>
          <w:sz w:val="24"/>
          <w:szCs w:val="24"/>
        </w:rPr>
        <w:t>This means, in essence, that there can be no situation that is governed by EU law in which the Charter does not apply</w:t>
      </w:r>
      <w:r>
        <w:rPr>
          <w:rFonts w:ascii="Times New Roman" w:hAnsi="Times New Roman" w:cs="Times New Roman"/>
          <w:noProof/>
          <w:sz w:val="24"/>
          <w:szCs w:val="24"/>
        </w:rPr>
        <w:t>”</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Given the growing body of EU law, </w:t>
      </w:r>
      <w:r>
        <w:rPr>
          <w:rFonts w:ascii="Times New Roman" w:hAnsi="Times New Roman" w:cs="Times New Roman"/>
          <w:b/>
          <w:noProof/>
          <w:sz w:val="24"/>
          <w:szCs w:val="24"/>
        </w:rPr>
        <w:t>the Charter applies in an increasing number of cases</w:t>
      </w:r>
      <w:r>
        <w:rPr>
          <w:rFonts w:ascii="Times New Roman" w:hAnsi="Times New Roman" w:cs="Times New Roman"/>
          <w:noProof/>
          <w:sz w:val="24"/>
          <w:szCs w:val="24"/>
        </w:rPr>
        <w:t xml:space="preserve"> and areas. This is illustrated by the Court’s case law on the enforcement of the right to an effective remedy</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developed in areas such as taxation, asylum and migration, the independence of the judiciary or equal treatment in employment</w:t>
      </w:r>
      <w:r>
        <w:rPr>
          <w:rFonts w:ascii="Times New Roman" w:hAnsi="Times New Roman" w:cs="Times New Roman"/>
          <w:noProof/>
          <w:sz w:val="24"/>
          <w:szCs w:val="24"/>
          <w:vertAlign w:val="superscript"/>
        </w:rPr>
        <w:footnoteReference w:id="39"/>
      </w:r>
      <w:r>
        <w:rPr>
          <w:rFonts w:ascii="Times New Roman" w:hAnsi="Times New Roman" w:cs="Times New Roman"/>
          <w:noProof/>
          <w:sz w:val="24"/>
          <w:szCs w:val="24"/>
        </w:rPr>
        <w:t>. The Court also recently referred to the right to property</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to reinforce the protection of foreign investors in the internal market</w:t>
      </w:r>
      <w:r>
        <w:rPr>
          <w:rFonts w:ascii="Times New Roman" w:hAnsi="Times New Roman" w:cs="Times New Roman"/>
          <w:noProof/>
          <w:sz w:val="24"/>
          <w:szCs w:val="24"/>
          <w:vertAlign w:val="superscript"/>
        </w:rPr>
        <w:footnoteReference w:id="41"/>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b/>
          <w:noProof/>
          <w:sz w:val="24"/>
          <w:szCs w:val="24"/>
        </w:rPr>
        <w:t xml:space="preserve">National and local administrations, the Member States’ parliaments and law enforcement authorities are central to promoting and protecting Charter rights. </w:t>
      </w:r>
      <w:r>
        <w:rPr>
          <w:rFonts w:ascii="Times New Roman" w:hAnsi="Times New Roman" w:cs="Times New Roman"/>
          <w:noProof/>
          <w:sz w:val="24"/>
          <w:szCs w:val="24"/>
        </w:rPr>
        <w:t>The Commission plans to work hand in hand with Member States’ national and local authorities to ensure the full application of the Charter and of EU laws that promote and protect the rights it enshrines.</w:t>
      </w:r>
    </w:p>
    <w:p>
      <w:pPr>
        <w:jc w:val="both"/>
        <w:rPr>
          <w:rFonts w:ascii="Times New Roman" w:hAnsi="Times New Roman" w:cs="Times New Roman"/>
          <w:noProof/>
          <w:sz w:val="24"/>
          <w:szCs w:val="24"/>
        </w:rPr>
      </w:pPr>
      <w:r>
        <w:rPr>
          <w:rFonts w:ascii="Times New Roman" w:hAnsi="Times New Roman" w:cs="Times New Roman"/>
          <w:b/>
          <w:i/>
          <w:noProof/>
          <w:sz w:val="24"/>
          <w:szCs w:val="24"/>
        </w:rPr>
        <w:t>Prevention</w:t>
      </w:r>
      <w:r>
        <w:rPr>
          <w:rFonts w:ascii="Times New Roman" w:hAnsi="Times New Roman" w:cs="Times New Roman"/>
          <w:noProof/>
          <w:sz w:val="24"/>
          <w:szCs w:val="24"/>
        </w:rPr>
        <w:t xml:space="preserve"> - the Commission attaches great importance to its dialogue with Member States and is ready to support them in transposing and implementing EU law effectively</w:t>
      </w:r>
      <w:r>
        <w:rPr>
          <w:rFonts w:ascii="Times New Roman" w:hAnsi="Times New Roman" w:cs="Times New Roman"/>
          <w:noProof/>
          <w:sz w:val="24"/>
          <w:szCs w:val="24"/>
          <w:vertAlign w:val="superscript"/>
        </w:rPr>
        <w:footnoteReference w:id="42"/>
      </w:r>
      <w:r>
        <w:rPr>
          <w:rFonts w:ascii="Times New Roman" w:hAnsi="Times New Roman" w:cs="Times New Roman"/>
          <w:noProof/>
          <w:sz w:val="24"/>
          <w:szCs w:val="24"/>
        </w:rPr>
        <w:t>. Regular dialogue with Member States and law enforcement authorities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is essential to share practice and discuss concerns linked to the implementation and enforcement of the Charter and related EU law. This enables to resolve, at an early stage, any emerging issues of incompatibility.</w:t>
      </w:r>
    </w:p>
    <w:p>
      <w:pPr>
        <w:jc w:val="both"/>
        <w:rPr>
          <w:rFonts w:ascii="Times New Roman" w:hAnsi="Times New Roman" w:cs="Times New Roman"/>
          <w:noProof/>
          <w:sz w:val="24"/>
          <w:szCs w:val="24"/>
        </w:rPr>
      </w:pPr>
      <w:r>
        <w:rPr>
          <w:rFonts w:ascii="Times New Roman" w:hAnsi="Times New Roman" w:cs="Times New Roman"/>
          <w:b/>
          <w:i/>
          <w:noProof/>
          <w:sz w:val="24"/>
          <w:szCs w:val="24"/>
        </w:rPr>
        <w:t>Promotion and implementation</w:t>
      </w:r>
      <w:r>
        <w:rPr>
          <w:rFonts w:ascii="Times New Roman" w:hAnsi="Times New Roman" w:cs="Times New Roman"/>
          <w:noProof/>
          <w:sz w:val="24"/>
          <w:szCs w:val="24"/>
        </w:rPr>
        <w:t xml:space="preserve"> - consultations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show that the use and awareness of the Charter in national and local administrations and in parliaments is low. To comply with their obligations under EU law, it is important that Member States promote the development of tools, monitoring mechanisms, training and strategies to ensure compliance with the Charter of initiatives within the scope of EU law</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Member States should encourage mutual learning by sharing best practices on the use and awareness of the Charter, including at local level</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on the dedicated webpage made available by the Commission on the </w:t>
      </w:r>
      <w:r>
        <w:rPr>
          <w:rFonts w:ascii="Times New Roman" w:hAnsi="Times New Roman" w:cs="Times New Roman"/>
          <w:b/>
          <w:noProof/>
          <w:sz w:val="24"/>
          <w:szCs w:val="24"/>
        </w:rPr>
        <w:t>European e-Justice Portal</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The Council could also promote such exchanges in its working party for Fundamental Rights, Citizens Rights and Free Movement of Persons (FREMP), as per its 2019 Charter Conclusions</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w:t>
      </w:r>
    </w:p>
    <w:p>
      <w:pPr>
        <w:jc w:val="both"/>
        <w:rPr>
          <w:noProof/>
        </w:rPr>
      </w:pPr>
      <w:r>
        <w:rPr>
          <w:rFonts w:ascii="Times New Roman" w:hAnsi="Times New Roman" w:cs="Times New Roman"/>
          <w:b/>
          <w:i/>
          <w:noProof/>
          <w:sz w:val="24"/>
          <w:szCs w:val="24"/>
        </w:rPr>
        <w:t>Coordination</w:t>
      </w:r>
      <w:r>
        <w:rPr>
          <w:rFonts w:ascii="Times New Roman" w:hAnsi="Times New Roman" w:cs="Times New Roman"/>
          <w:noProof/>
          <w:sz w:val="24"/>
          <w:szCs w:val="24"/>
        </w:rPr>
        <w:t xml:space="preserve"> - consultations also showed the importance of cooperation and communication between different levels of government, with the EU institutions and with rights defenders and civil society organisations. In this regard, the Commission encourages Member States to appoint a </w:t>
      </w:r>
      <w:r>
        <w:rPr>
          <w:rFonts w:ascii="Times New Roman" w:hAnsi="Times New Roman" w:cs="Times New Roman"/>
          <w:b/>
          <w:noProof/>
          <w:sz w:val="24"/>
          <w:szCs w:val="24"/>
        </w:rPr>
        <w:t>Charter focal point</w:t>
      </w:r>
      <w:r>
        <w:rPr>
          <w:rFonts w:ascii="Times New Roman" w:hAnsi="Times New Roman" w:cs="Times New Roman"/>
          <w:noProof/>
          <w:sz w:val="24"/>
          <w:szCs w:val="24"/>
        </w:rPr>
        <w:t xml:space="preserve"> to ease the flow of information and best practice on the Charter and coordinate capacity building efforts in the country</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The focal point could also pass information to and from the EU institutions.</w:t>
      </w:r>
    </w:p>
    <w:p>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cs="Times New Roman"/>
          <w:b/>
          <w:i/>
          <w:noProof/>
          <w:sz w:val="24"/>
          <w:szCs w:val="24"/>
        </w:rPr>
        <w:t>The Commission will:</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cs="Times New Roman"/>
          <w:i/>
          <w:noProof/>
          <w:sz w:val="24"/>
          <w:szCs w:val="24"/>
        </w:rPr>
        <w:t>- Strengthen its partnership with Member States to ensure an effective application of the Charter;</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cs="Times New Roman"/>
          <w:i/>
          <w:noProof/>
          <w:sz w:val="24"/>
          <w:szCs w:val="24"/>
        </w:rPr>
        <w:t>- Support sharing of best practices between local authorities on the use and awareness of the Charter including through the Network of Towns strand of the new Citizens, Equality, Rights and Values programme.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cs="Times New Roman"/>
          <w:b/>
          <w:i/>
          <w:noProof/>
          <w:sz w:val="24"/>
          <w:szCs w:val="24"/>
        </w:rPr>
        <w:t>The Commission invites Member States to:</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cs="Times New Roman"/>
          <w:i/>
          <w:noProof/>
          <w:sz w:val="24"/>
          <w:szCs w:val="24"/>
        </w:rPr>
        <w:t>- Nominate a Charter focal point to ease coordination and cooperation;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cs="Times New Roman"/>
          <w:i/>
          <w:noProof/>
          <w:sz w:val="24"/>
          <w:szCs w:val="24"/>
        </w:rPr>
        <w:t>- Use impact assessments and legislative scrutiny procedures to ensure that initiatives implementing EU law comply with the Charter and develop guidance and training for national and local administrations;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b/>
          <w:i/>
          <w:noProof/>
          <w:sz w:val="24"/>
          <w:szCs w:val="24"/>
        </w:rPr>
      </w:pPr>
      <w:r>
        <w:rPr>
          <w:rFonts w:ascii="Times New Roman" w:hAnsi="Times New Roman" w:cs="Times New Roman"/>
          <w:i/>
          <w:noProof/>
          <w:sz w:val="24"/>
          <w:szCs w:val="24"/>
        </w:rPr>
        <w:t>- Share best practices on the use and awareness of the Charter on the European e-Justice Portal.</w:t>
      </w:r>
    </w:p>
    <w:p>
      <w:pPr>
        <w:jc w:val="both"/>
        <w:rPr>
          <w:rFonts w:ascii="Times New Roman" w:hAnsi="Times New Roman" w:cs="Times New Roman"/>
          <w:iCs/>
          <w:noProof/>
          <w:sz w:val="24"/>
          <w:szCs w:val="24"/>
        </w:rPr>
      </w:pPr>
      <w:r>
        <w:rPr>
          <w:rFonts w:ascii="Times New Roman" w:hAnsi="Times New Roman" w:cs="Times New Roman"/>
          <w:b/>
          <w:i/>
          <w:noProof/>
          <w:sz w:val="24"/>
          <w:szCs w:val="24"/>
        </w:rPr>
        <w:t>Enforcement</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 the Commission as </w:t>
      </w:r>
      <w:r>
        <w:rPr>
          <w:rFonts w:ascii="Times New Roman" w:hAnsi="Times New Roman" w:cs="Times New Roman"/>
          <w:b/>
          <w:noProof/>
          <w:sz w:val="24"/>
          <w:szCs w:val="24"/>
        </w:rPr>
        <w:t>guardian of the Treaties</w:t>
      </w:r>
      <w:r>
        <w:rPr>
          <w:rFonts w:ascii="Times New Roman" w:hAnsi="Times New Roman" w:cs="Times New Roman"/>
          <w:noProof/>
          <w:sz w:val="24"/>
          <w:szCs w:val="24"/>
        </w:rPr>
        <w:t xml:space="preserve"> ensures that national legislation complies with EU law so that people can assert their rights, including their fundamental rights, and fully benefit from EU legislation. The Commission reaffirms its commitment to monitor the application of the Charter and related EU laws, strengthen its dialogue with Member States and launch infringements as appropriate where there is a breach of EU law. It will continue to closely monitor cases where a Member State is showing a systemic failure in applying the Charter</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when implementing EU law.</w:t>
      </w:r>
      <w:r>
        <w:rPr>
          <w:rFonts w:ascii="Times New Roman" w:hAnsi="Times New Roman" w:cs="Times New Roman"/>
          <w:iCs/>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From 2021, the Commission will present a </w:t>
      </w:r>
      <w:r>
        <w:rPr>
          <w:rFonts w:ascii="Times New Roman" w:hAnsi="Times New Roman" w:cs="Times New Roman"/>
          <w:b/>
          <w:noProof/>
          <w:sz w:val="24"/>
          <w:szCs w:val="24"/>
        </w:rPr>
        <w:t xml:space="preserve">new annual report on the application of the Charter </w:t>
      </w:r>
      <w:r>
        <w:rPr>
          <w:rFonts w:ascii="Times New Roman" w:hAnsi="Times New Roman" w:cs="Times New Roman"/>
          <w:noProof/>
          <w:sz w:val="24"/>
          <w:szCs w:val="24"/>
        </w:rPr>
        <w:t>in the EU, which, in contrast with the Commission’s previous Charter reports, will</w:t>
      </w:r>
      <w:r>
        <w:rPr>
          <w:rFonts w:ascii="Times New Roman" w:hAnsi="Times New Roman" w:cs="Times New Roman"/>
          <w:b/>
          <w:i/>
          <w:noProof/>
          <w:sz w:val="24"/>
          <w:szCs w:val="24"/>
        </w:rPr>
        <w:t xml:space="preserve"> </w:t>
      </w:r>
      <w:r>
        <w:rPr>
          <w:rFonts w:ascii="Times New Roman" w:hAnsi="Times New Roman" w:cs="Times New Roman"/>
          <w:noProof/>
          <w:sz w:val="24"/>
          <w:szCs w:val="24"/>
        </w:rPr>
        <w:t>look more closely at the Charter’s application in the Member States and will provide further insight to the Commission for the assessment of compliance of national legislation with EU law. It will adopt a thematic approach, focusing on areas of strategic relevance governed by EU law. Together with the annual Rule of law report, the new annual Charter report will contribute to further upholding fundamental values in the EU.</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work in partnership with other EU institutions and with EU agencies, in particular the EU Agency for Fundamental Rights (FRA)</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to gather the information and data required for the report. It will draw on the work of existing Member States’ expert groups</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and build on factual information made available through respected sources such as United Nations and Council of Europe bodies, judicial networks, civil society organisations, rights defenders and the new Charter focal points.</w:t>
      </w:r>
    </w:p>
    <w:p>
      <w:pPr>
        <w:jc w:val="both"/>
        <w:rPr>
          <w:rFonts w:ascii="Times New Roman" w:hAnsi="Times New Roman" w:cs="Times New Roman"/>
          <w:noProof/>
          <w:sz w:val="24"/>
          <w:szCs w:val="24"/>
        </w:rPr>
      </w:pPr>
      <w:r>
        <w:rPr>
          <w:rFonts w:ascii="Times New Roman" w:hAnsi="Times New Roman" w:cs="Times New Roman"/>
          <w:noProof/>
          <w:sz w:val="24"/>
          <w:szCs w:val="24"/>
        </w:rPr>
        <w:t>In 2021, the new Charter report will focus on</w:t>
      </w:r>
      <w:r>
        <w:rPr>
          <w:rFonts w:ascii="Times New Roman" w:hAnsi="Times New Roman" w:cs="Times New Roman"/>
          <w:b/>
          <w:noProof/>
          <w:sz w:val="24"/>
          <w:szCs w:val="24"/>
        </w:rPr>
        <w:t xml:space="preserve"> fundamental rights in the digital age</w:t>
      </w:r>
      <w:r>
        <w:rPr>
          <w:rFonts w:ascii="Times New Roman" w:hAnsi="Times New Roman" w:cs="Times New Roman"/>
          <w:noProof/>
          <w:sz w:val="24"/>
          <w:szCs w:val="24"/>
        </w:rPr>
        <w:t>. The report should trigger a frank and open interinstitutional discussion with the European Parliament and the Council as well as discussions in the Member States, including in national parliaments.</w:t>
      </w:r>
      <w:r>
        <w:rPr>
          <w:noProof/>
        </w:rPr>
        <w:t xml:space="preserve"> </w:t>
      </w:r>
      <w:r>
        <w:rPr>
          <w:rFonts w:ascii="Times New Roman" w:hAnsi="Times New Roman" w:cs="Times New Roman"/>
          <w:noProof/>
          <w:sz w:val="24"/>
          <w:szCs w:val="24"/>
        </w:rPr>
        <w:t>These discussions would support Member States’ efforts to comply with the Charter when implementing EU law.</w:t>
      </w:r>
    </w:p>
    <w:p>
      <w:pPr>
        <w:jc w:val="both"/>
        <w:rPr>
          <w:rFonts w:ascii="Times New Roman" w:hAnsi="Times New Roman" w:cs="Times New Roman"/>
          <w:noProof/>
          <w:sz w:val="24"/>
          <w:szCs w:val="24"/>
        </w:rPr>
      </w:pP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cs="Times New Roman"/>
          <w:b/>
          <w:i/>
          <w:noProof/>
          <w:sz w:val="24"/>
          <w:szCs w:val="24"/>
        </w:rPr>
        <w:t>The Commission will:</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cs="Times New Roman"/>
          <w:i/>
          <w:noProof/>
          <w:sz w:val="24"/>
          <w:szCs w:val="24"/>
        </w:rPr>
        <w:t>- From 2021, present an annual report on the application of the Charter, which will look at the Charter’s impact on the situation in the Member States in particular policy areas;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bCs/>
          <w:i/>
          <w:iCs/>
          <w:noProof/>
          <w:sz w:val="24"/>
          <w:szCs w:val="24"/>
          <w:lang w:val="en-IE"/>
        </w:rPr>
      </w:pPr>
      <w:r>
        <w:rPr>
          <w:rFonts w:ascii="Times New Roman" w:hAnsi="Times New Roman" w:cs="Times New Roman"/>
          <w:i/>
          <w:noProof/>
          <w:sz w:val="24"/>
          <w:szCs w:val="24"/>
        </w:rPr>
        <w:t>- Ensure that Member States effectively apply the Charter when implementing EU law</w:t>
      </w:r>
      <w:r>
        <w:rPr>
          <w:rFonts w:ascii="Times New Roman" w:hAnsi="Times New Roman" w:cs="Times New Roman"/>
          <w:noProof/>
          <w:sz w:val="24"/>
          <w:szCs w:val="24"/>
        </w:rPr>
        <w:t xml:space="preserve"> </w:t>
      </w:r>
      <w:r>
        <w:rPr>
          <w:rFonts w:ascii="Times New Roman" w:hAnsi="Times New Roman" w:cs="Times New Roman"/>
          <w:i/>
          <w:noProof/>
          <w:sz w:val="24"/>
          <w:szCs w:val="24"/>
        </w:rPr>
        <w:t>and launch infringements as appropriate where there is a breach of EU law</w:t>
      </w:r>
      <w:r>
        <w:rPr>
          <w:rFonts w:ascii="Times New Roman" w:hAnsi="Times New Roman" w:cs="Times New Roman"/>
          <w:bCs/>
          <w:i/>
          <w:iCs/>
          <w:noProof/>
          <w:sz w:val="24"/>
          <w:szCs w:val="24"/>
          <w:lang w:val="en-IE"/>
        </w:rPr>
        <w: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cs="Times New Roman"/>
          <w:b/>
          <w:i/>
          <w:noProof/>
          <w:sz w:val="24"/>
          <w:szCs w:val="24"/>
        </w:rPr>
        <w:t>The Commission invites: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jc w:val="both"/>
        <w:rPr>
          <w:rFonts w:ascii="Times New Roman" w:hAnsi="Times New Roman" w:cs="Times New Roman"/>
          <w:i/>
          <w:noProof/>
          <w:sz w:val="24"/>
          <w:szCs w:val="24"/>
        </w:rPr>
      </w:pPr>
      <w:r>
        <w:rPr>
          <w:rFonts w:ascii="Times New Roman" w:hAnsi="Times New Roman" w:cs="Times New Roman"/>
          <w:i/>
          <w:noProof/>
          <w:sz w:val="24"/>
          <w:szCs w:val="24"/>
        </w:rPr>
        <w:t>- The European Parliament and the Council to organise a substantive discussion on the application of the Charter, to follow-up on the Commission’s annual report. The Commission stands ready to assist;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hAnsi="Times New Roman" w:cs="Times New Roman"/>
          <w:b/>
          <w:i/>
          <w:noProof/>
          <w:sz w:val="24"/>
          <w:szCs w:val="24"/>
        </w:rPr>
      </w:pPr>
      <w:r>
        <w:rPr>
          <w:rFonts w:ascii="Times New Roman" w:hAnsi="Times New Roman" w:cs="Times New Roman"/>
          <w:i/>
          <w:noProof/>
          <w:sz w:val="24"/>
          <w:szCs w:val="24"/>
        </w:rPr>
        <w:t>- The European Parliament and national parliaments to develop interparliamentary cooperation on issues related to the application of the Charter, to which the Commission stands ready to contribute.</w:t>
      </w: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1.2 Ensuring the application of the Charter in EU funding </w:t>
      </w:r>
    </w:p>
    <w:p>
      <w:pPr>
        <w:jc w:val="both"/>
        <w:rPr>
          <w:rFonts w:ascii="Times New Roman" w:hAnsi="Times New Roman" w:cs="Times New Roman"/>
          <w:noProof/>
          <w:sz w:val="24"/>
          <w:szCs w:val="24"/>
        </w:rPr>
      </w:pPr>
      <w:r>
        <w:rPr>
          <w:rFonts w:ascii="Times New Roman" w:hAnsi="Times New Roman" w:cs="Times New Roman"/>
          <w:noProof/>
          <w:sz w:val="24"/>
          <w:szCs w:val="24"/>
        </w:rPr>
        <w:t>EU funding is key to supporting the implementation of EU policies in the Member States. Member States and the Commission must ensure that all EU-funded projects comply with EU law, including the Charter of Fundamental Rights, where applicable.</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has recently taken steps to help Member States ensure that they implement EU funded programmes in compliance with the relevant provisions of Charter. In particular, its proposal for the Common Provisions Regulation (CPR)</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setting out rules for the next EU budget for 2021-2027 contains an ‘enabling condition’</w:t>
      </w:r>
      <w:r>
        <w:rPr>
          <w:rFonts w:ascii="Times New Roman" w:hAnsi="Times New Roman" w:cs="Times New Roman"/>
          <w:noProof/>
          <w:sz w:val="24"/>
          <w:szCs w:val="24"/>
          <w:vertAlign w:val="superscript"/>
        </w:rPr>
        <w:footnoteReference w:id="54"/>
      </w:r>
      <w:r>
        <w:rPr>
          <w:rFonts w:ascii="Times New Roman" w:hAnsi="Times New Roman" w:cs="Times New Roman"/>
          <w:noProof/>
          <w:sz w:val="24"/>
          <w:szCs w:val="24"/>
        </w:rPr>
        <w:t xml:space="preserve"> relating to the Charter. Concretely this means that for all programmes supported by the EU funds covered by the CPR</w:t>
      </w:r>
      <w:r>
        <w:rPr>
          <w:rFonts w:ascii="Times New Roman" w:hAnsi="Times New Roman" w:cs="Times New Roman"/>
          <w:noProof/>
          <w:sz w:val="24"/>
          <w:szCs w:val="24"/>
          <w:vertAlign w:val="superscript"/>
        </w:rPr>
        <w:footnoteReference w:id="55"/>
      </w:r>
      <w:r>
        <w:rPr>
          <w:rFonts w:ascii="Times New Roman" w:hAnsi="Times New Roman" w:cs="Times New Roman"/>
          <w:noProof/>
          <w:sz w:val="24"/>
          <w:szCs w:val="24"/>
        </w:rPr>
        <w:t xml:space="preserve"> (‘CPR funds’) there must be effective mechanisms in place to ensure their compliance with the Charter, from their inception to their implementation</w:t>
      </w:r>
      <w:r>
        <w:rPr>
          <w:rFonts w:ascii="Times New Roman" w:hAnsi="Times New Roman" w:cs="Times New Roman"/>
          <w:noProof/>
          <w:sz w:val="24"/>
          <w:szCs w:val="24"/>
          <w:vertAlign w:val="superscript"/>
        </w:rPr>
        <w:footnoteReference w:id="56"/>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CPR</w:t>
      </w:r>
      <w:r>
        <w:rPr>
          <w:rFonts w:ascii="Times New Roman" w:hAnsi="Times New Roman" w:cs="Times New Roman"/>
          <w:noProof/>
          <w:sz w:val="24"/>
          <w:szCs w:val="24"/>
          <w:vertAlign w:val="superscript"/>
        </w:rPr>
        <w:footnoteReference w:id="57"/>
      </w:r>
      <w:r>
        <w:rPr>
          <w:rFonts w:ascii="Times New Roman" w:hAnsi="Times New Roman" w:cs="Times New Roman"/>
          <w:noProof/>
          <w:sz w:val="24"/>
          <w:szCs w:val="24"/>
        </w:rPr>
        <w:t xml:space="preserve"> requires that Member States set-up the following:</w:t>
      </w:r>
    </w:p>
    <w:p>
      <w:pPr>
        <w:pStyle w:val="ListParagraph"/>
        <w:ind w:left="0"/>
        <w:jc w:val="both"/>
        <w:rPr>
          <w:rFonts w:ascii="Times New Roman" w:hAnsi="Times New Roman" w:cs="Times New Roman"/>
          <w:noProof/>
          <w:sz w:val="24"/>
          <w:szCs w:val="24"/>
        </w:rPr>
      </w:pPr>
      <w:r>
        <w:rPr>
          <w:rFonts w:ascii="Times New Roman" w:hAnsi="Times New Roman" w:cs="Times New Roman"/>
          <w:b/>
          <w:noProof/>
          <w:sz w:val="24"/>
          <w:szCs w:val="24"/>
        </w:rPr>
        <w:t>- Arrangements</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to ensure that </w:t>
      </w:r>
      <w:r>
        <w:rPr>
          <w:rFonts w:ascii="Times New Roman" w:hAnsi="Times New Roman" w:cs="Times New Roman"/>
          <w:b/>
          <w:bCs/>
          <w:noProof/>
          <w:sz w:val="24"/>
          <w:szCs w:val="24"/>
        </w:rPr>
        <w:t>programmes</w:t>
      </w:r>
      <w:r>
        <w:rPr>
          <w:rFonts w:ascii="Times New Roman" w:hAnsi="Times New Roman" w:cs="Times New Roman"/>
          <w:b/>
          <w:noProof/>
          <w:sz w:val="24"/>
          <w:szCs w:val="24"/>
        </w:rPr>
        <w:t xml:space="preserve"> supported by CPR funds </w:t>
      </w:r>
      <w:r>
        <w:rPr>
          <w:rFonts w:ascii="Times New Roman" w:hAnsi="Times New Roman" w:cs="Times New Roman"/>
          <w:b/>
          <w:bCs/>
          <w:noProof/>
          <w:sz w:val="24"/>
          <w:szCs w:val="24"/>
        </w:rPr>
        <w:t xml:space="preserve">and their implementation comply </w:t>
      </w:r>
      <w:r>
        <w:rPr>
          <w:rFonts w:ascii="Times New Roman" w:hAnsi="Times New Roman" w:cs="Times New Roman"/>
          <w:b/>
          <w:noProof/>
          <w:sz w:val="24"/>
          <w:szCs w:val="24"/>
        </w:rPr>
        <w:t xml:space="preserve">with </w:t>
      </w:r>
      <w:r>
        <w:rPr>
          <w:rFonts w:ascii="Times New Roman" w:hAnsi="Times New Roman" w:cs="Times New Roman"/>
          <w:b/>
          <w:bCs/>
          <w:noProof/>
          <w:sz w:val="24"/>
          <w:szCs w:val="24"/>
        </w:rPr>
        <w:t xml:space="preserve">the relevant provisions of the </w:t>
      </w:r>
      <w:r>
        <w:rPr>
          <w:rFonts w:ascii="Times New Roman" w:hAnsi="Times New Roman" w:cs="Times New Roman"/>
          <w:b/>
          <w:noProof/>
          <w:sz w:val="24"/>
          <w:szCs w:val="24"/>
        </w:rPr>
        <w:t>Charter</w:t>
      </w:r>
      <w:r>
        <w:rPr>
          <w:rFonts w:ascii="Times New Roman" w:hAnsi="Times New Roman" w:cs="Times New Roman"/>
          <w:noProof/>
          <w:sz w:val="24"/>
          <w:szCs w:val="24"/>
        </w:rPr>
        <w:t>. In those arrangements, Member States should, for example, set out the role and tasks of the different authorities and bodies involved in ensuring compliance of the programmes with the Charter and explain how compliance with the Charter will be checked throughout the implementation of the programmes.</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b/>
          <w:noProof/>
          <w:sz w:val="24"/>
          <w:szCs w:val="24"/>
        </w:rPr>
        <w:t>- Arrangements to report to the monitoring committees</w:t>
      </w:r>
      <w:r>
        <w:rPr>
          <w:rStyle w:val="FootnoteReference"/>
          <w:rFonts w:ascii="Times New Roman" w:hAnsi="Times New Roman" w:cs="Times New Roman"/>
          <w:noProof/>
          <w:sz w:val="24"/>
          <w:szCs w:val="24"/>
        </w:rPr>
        <w:footnoteReference w:id="58"/>
      </w:r>
      <w:r>
        <w:rPr>
          <w:rFonts w:ascii="Times New Roman" w:hAnsi="Times New Roman" w:cs="Times New Roman"/>
          <w:b/>
          <w:noProof/>
          <w:sz w:val="24"/>
          <w:szCs w:val="24"/>
        </w:rPr>
        <w:t xml:space="preserve"> cases of non-compliance of operations supported by CPR funds with the Charter and complaints regarding the</w:t>
      </w:r>
      <w:r>
        <w:rPr>
          <w:rFonts w:ascii="Times New Roman" w:hAnsi="Times New Roman" w:cs="Times New Roman"/>
          <w:b/>
          <w:bCs/>
          <w:noProof/>
          <w:sz w:val="24"/>
          <w:szCs w:val="24"/>
        </w:rPr>
        <w:t xml:space="preserve"> Charter</w:t>
      </w:r>
      <w:r>
        <w:rPr>
          <w:rFonts w:ascii="Times New Roman" w:hAnsi="Times New Roman" w:cs="Times New Roman"/>
          <w:bCs/>
          <w:noProof/>
          <w:sz w:val="24"/>
          <w:szCs w:val="24"/>
        </w:rPr>
        <w:t>.</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 xml:space="preserve">Member States should, for example, explain how and the frequency with which they will report on these two issues to the </w:t>
      </w:r>
      <w:r>
        <w:rPr>
          <w:rFonts w:ascii="Times New Roman" w:hAnsi="Times New Roman" w:cs="Times New Roman"/>
          <w:b/>
          <w:bCs/>
          <w:noProof/>
          <w:sz w:val="24"/>
          <w:szCs w:val="24"/>
        </w:rPr>
        <w:t>monitoring committees</w:t>
      </w:r>
      <w:r>
        <w:rPr>
          <w:rFonts w:ascii="Times New Roman" w:hAnsi="Times New Roman" w:cs="Times New Roman"/>
          <w:bCs/>
          <w:noProof/>
          <w:sz w:val="24"/>
          <w:szCs w:val="24"/>
        </w:rPr>
        <w:t>. The reporting should indicate which corrective measures have been taken, what will be done to prevent such cases in the future and what redress mechanisms are or have been put in place.</w:t>
      </w:r>
    </w:p>
    <w:p>
      <w:pPr>
        <w:rPr>
          <w:noProof/>
        </w:rPr>
      </w:pPr>
      <w:r>
        <w:rPr>
          <w:rFonts w:ascii="Times New Roman" w:hAnsi="Times New Roman" w:cs="Times New Roman"/>
          <w:noProof/>
          <w:sz w:val="24"/>
          <w:szCs w:val="24"/>
        </w:rPr>
        <w:t>When preparing the programmes, Member States must communicate these arrangements to the Commission, which will assess the fulfilment of the ‘enabling condition’.</w:t>
      </w:r>
    </w:p>
    <w:p>
      <w:pPr>
        <w:jc w:val="both"/>
        <w:rPr>
          <w:rFonts w:ascii="Times New Roman" w:hAnsi="Times New Roman" w:cs="Times New Roman"/>
          <w:noProof/>
          <w:sz w:val="24"/>
          <w:szCs w:val="24"/>
        </w:rPr>
      </w:pPr>
      <w:r>
        <w:rPr>
          <w:rFonts w:ascii="Times New Roman" w:hAnsi="Times New Roman" w:cs="Times New Roman"/>
          <w:noProof/>
          <w:sz w:val="24"/>
          <w:szCs w:val="24"/>
        </w:rPr>
        <w:t>Under the rules applicable to the new programming period, monitoring committees should include fundamental rights bodies</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to help assess compliance with the Charter. Given their independent status and expertise in monitoring and advising authorities, </w:t>
      </w:r>
      <w:r>
        <w:rPr>
          <w:rFonts w:ascii="Times New Roman" w:hAnsi="Times New Roman" w:cs="Times New Roman"/>
          <w:b/>
          <w:noProof/>
          <w:sz w:val="24"/>
          <w:szCs w:val="24"/>
        </w:rPr>
        <w:t>national human rights institutions</w:t>
      </w:r>
      <w:r>
        <w:rPr>
          <w:rFonts w:ascii="Times New Roman" w:hAnsi="Times New Roman" w:cs="Times New Roman"/>
          <w:noProof/>
          <w:sz w:val="24"/>
          <w:szCs w:val="24"/>
        </w:rPr>
        <w:t xml:space="preserve"> (NHRIs) could play a role in ensuring that EU funded programmes are designed and implemented in compliance with the Charter</w:t>
      </w:r>
      <w:r>
        <w:rPr>
          <w:rFonts w:ascii="Times New Roman" w:hAnsi="Times New Roman" w:cs="Times New Roman"/>
          <w:noProof/>
          <w:vertAlign w:val="superscript"/>
        </w:rPr>
        <w:footnoteReference w:id="60"/>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should, in cooperation with the Commission, support through technical assistance, national and local staff to design and implement programmes in a Charter compliant manner, based on the guidance developed to ensure the respect for the Charter in EU funding</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Member States are also encouraged to coordinate amongst themselves for a coherent implementation of the ‘enabling condition’ across the EU. A national contact point would make such cooperation and coordination easier</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w:t>
      </w:r>
    </w:p>
    <w:p>
      <w:pPr>
        <w:jc w:val="both"/>
        <w:rPr>
          <w:noProof/>
        </w:rPr>
      </w:pPr>
      <w:r>
        <w:rPr>
          <w:rFonts w:ascii="Times New Roman" w:hAnsi="Times New Roman" w:cs="Times New Roman"/>
          <w:noProof/>
          <w:sz w:val="24"/>
          <w:szCs w:val="24"/>
        </w:rPr>
        <w:t>The Co</w:t>
      </w:r>
      <w:r>
        <w:rPr>
          <w:rFonts w:ascii="Times New Roman" w:hAnsi="Times New Roman" w:cs="Times New Roman"/>
          <w:bCs/>
          <w:noProof/>
          <w:sz w:val="24"/>
          <w:szCs w:val="24"/>
        </w:rPr>
        <w:t>mmission will, together with the Member States, monitor and ensure that complaints related to the Charter in the implementation of EU funding are duly addressed and receive follow-up in a systematic way.</w:t>
      </w:r>
    </w:p>
    <w:p>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firstLine="0"/>
        <w:jc w:val="both"/>
        <w:rPr>
          <w:rFonts w:ascii="Times New Roman" w:hAnsi="Times New Roman" w:cs="Times New Roman"/>
          <w:b/>
          <w:i/>
          <w:noProof/>
          <w:sz w:val="24"/>
          <w:szCs w:val="24"/>
        </w:rPr>
      </w:pPr>
      <w:r>
        <w:rPr>
          <w:rFonts w:ascii="Times New Roman" w:hAnsi="Times New Roman" w:cs="Times New Roman"/>
          <w:b/>
          <w:i/>
          <w:noProof/>
          <w:sz w:val="24"/>
          <w:szCs w:val="24"/>
        </w:rPr>
        <w:t>The Commission will:</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cs="Times New Roman"/>
          <w:i/>
          <w:noProof/>
          <w:sz w:val="24"/>
          <w:szCs w:val="24"/>
        </w:rPr>
        <w:t>- Develop a training module and provide technical assistance to ensure a coherent and effective implementation of the Common Provisions Regulation ‘enabling condition</w:t>
      </w:r>
      <w:r>
        <w:rPr>
          <w:rFonts w:ascii="Times New Roman" w:hAnsi="Times New Roman" w:cs="Times New Roman"/>
          <w:noProof/>
          <w:sz w:val="24"/>
          <w:szCs w:val="24"/>
        </w:rPr>
        <w:t>’</w:t>
      </w:r>
      <w:r>
        <w:rPr>
          <w:rFonts w:ascii="Times New Roman" w:hAnsi="Times New Roman" w:cs="Times New Roman"/>
          <w:i/>
          <w:noProof/>
          <w:sz w:val="24"/>
          <w:szCs w:val="24"/>
        </w:rPr>
        <w: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cs="Times New Roman"/>
          <w:i/>
          <w:noProof/>
          <w:sz w:val="24"/>
          <w:szCs w:val="24"/>
        </w:rPr>
        <w:t xml:space="preserve">- Assess the fulfilment of the </w:t>
      </w:r>
      <w:r>
        <w:rPr>
          <w:rFonts w:ascii="Times New Roman" w:hAnsi="Times New Roman" w:cs="Times New Roman"/>
          <w:noProof/>
          <w:sz w:val="24"/>
          <w:szCs w:val="24"/>
        </w:rPr>
        <w:t>‘</w:t>
      </w:r>
      <w:r>
        <w:rPr>
          <w:rFonts w:ascii="Times New Roman" w:hAnsi="Times New Roman" w:cs="Times New Roman"/>
          <w:i/>
          <w:noProof/>
          <w:sz w:val="24"/>
          <w:szCs w:val="24"/>
        </w:rPr>
        <w:t>enabling condition’ on the Charter;</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bCs/>
          <w:i/>
          <w:noProof/>
          <w:sz w:val="24"/>
          <w:szCs w:val="24"/>
        </w:rPr>
      </w:pPr>
      <w:r>
        <w:rPr>
          <w:rFonts w:ascii="Times New Roman" w:hAnsi="Times New Roman" w:cs="Times New Roman"/>
          <w:i/>
          <w:noProof/>
          <w:sz w:val="24"/>
          <w:szCs w:val="24"/>
        </w:rPr>
        <w:t xml:space="preserve">- </w:t>
      </w:r>
      <w:r>
        <w:rPr>
          <w:rFonts w:ascii="Times New Roman" w:hAnsi="Times New Roman" w:cs="Times New Roman"/>
          <w:bCs/>
          <w:i/>
          <w:noProof/>
          <w:sz w:val="24"/>
          <w:szCs w:val="24"/>
        </w:rPr>
        <w:t>Monitor that EU funds are used in compliance with the Charter and take appropriate measures, such as possible interruption or suspension of EU funding, or financial corrections when irregular expenditure has not been corrected by the Member States, where justified.</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bCs/>
          <w:i/>
          <w:noProof/>
          <w:sz w:val="24"/>
          <w:szCs w:val="24"/>
        </w:rPr>
      </w:pP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firstLine="0"/>
        <w:jc w:val="both"/>
        <w:rPr>
          <w:rFonts w:ascii="Times New Roman" w:hAnsi="Times New Roman" w:cs="Times New Roman"/>
          <w:b/>
          <w:i/>
          <w:noProof/>
          <w:sz w:val="24"/>
          <w:szCs w:val="24"/>
        </w:rPr>
      </w:pPr>
      <w:r>
        <w:rPr>
          <w:rFonts w:ascii="Times New Roman" w:hAnsi="Times New Roman" w:cs="Times New Roman"/>
          <w:b/>
          <w:i/>
          <w:noProof/>
          <w:sz w:val="24"/>
          <w:szCs w:val="24"/>
        </w:rPr>
        <w:t>The Commission invites Member States to:</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cs="Times New Roman"/>
          <w:i/>
          <w:noProof/>
          <w:sz w:val="24"/>
          <w:szCs w:val="24"/>
        </w:rPr>
        <w:t>- Ensure that EU funds are used in compliance with the Charter and establish the arrangements provided in the Common Provisions Regulation;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cs="Times New Roman"/>
          <w:i/>
          <w:noProof/>
          <w:sz w:val="24"/>
          <w:szCs w:val="24"/>
        </w:rPr>
        <w:t>- Support national and local staff to design and implement programmes that comply with the Charter, in cooperation with the Commission;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cs="Times New Roman"/>
          <w:i/>
          <w:noProof/>
          <w:sz w:val="24"/>
          <w:szCs w:val="24"/>
        </w:rPr>
        <w:t>- Facilitate coordination and a coherent implementation of the ‘enabling condition’ and make the best use of available technical assistance;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cs="Times New Roman"/>
          <w:i/>
          <w:noProof/>
          <w:sz w:val="24"/>
          <w:szCs w:val="24"/>
        </w:rPr>
        <w:t>- Include fundamental rights bodies in the monitoring committees.</w:t>
      </w:r>
    </w:p>
    <w:p>
      <w:pPr>
        <w:rPr>
          <w:rFonts w:ascii="Times New Roman" w:hAnsi="Times New Roman" w:cs="Times New Roman"/>
          <w:b/>
          <w:i/>
          <w:noProof/>
          <w:sz w:val="24"/>
          <w:szCs w:val="24"/>
        </w:rPr>
      </w:pPr>
      <w:r>
        <w:rPr>
          <w:rFonts w:ascii="Times New Roman" w:hAnsi="Times New Roman" w:cs="Times New Roman"/>
          <w:b/>
          <w:i/>
          <w:noProof/>
          <w:sz w:val="24"/>
          <w:szCs w:val="24"/>
        </w:rPr>
        <w:br w:type="page"/>
      </w:r>
    </w:p>
    <w:p>
      <w:pPr>
        <w:pStyle w:val="Heading1"/>
        <w:rPr>
          <w:rFonts w:ascii="Times New Roman" w:hAnsi="Times New Roman" w:cs="Times New Roman"/>
          <w:noProof/>
        </w:rPr>
      </w:pPr>
      <w:r>
        <w:rPr>
          <w:rFonts w:ascii="Times New Roman" w:hAnsi="Times New Roman" w:cs="Times New Roman"/>
          <w:noProof/>
        </w:rPr>
        <w:t>2 - Empowering civil society organisations, rights defenders and justice practitioners</w:t>
      </w:r>
    </w:p>
    <w:p>
      <w:pPr>
        <w:jc w:val="both"/>
        <w:rPr>
          <w:rFonts w:ascii="Times New Roman" w:hAnsi="Times New Roman" w:cs="Times New Roman"/>
          <w:b/>
          <w:noProof/>
          <w:sz w:val="24"/>
          <w:szCs w:val="24"/>
        </w:rPr>
      </w:pPr>
    </w:p>
    <w:p>
      <w:pPr>
        <w:jc w:val="both"/>
        <w:rPr>
          <w:rFonts w:ascii="Times New Roman" w:hAnsi="Times New Roman" w:cs="Times New Roman"/>
          <w:b/>
          <w:i/>
          <w:noProof/>
          <w:sz w:val="24"/>
          <w:szCs w:val="24"/>
        </w:rPr>
      </w:pPr>
      <w:r>
        <w:rPr>
          <w:rFonts w:ascii="Times New Roman" w:hAnsi="Times New Roman" w:cs="Times New Roman"/>
          <w:b/>
          <w:i/>
          <w:noProof/>
          <w:sz w:val="24"/>
          <w:szCs w:val="24"/>
        </w:rPr>
        <w:t>2.1 Protecting and supporting civil society organisations and rights defenders</w:t>
      </w:r>
    </w:p>
    <w:p>
      <w:pPr>
        <w:jc w:val="both"/>
        <w:rPr>
          <w:rFonts w:ascii="Times New Roman" w:hAnsi="Times New Roman" w:cs="Times New Roman"/>
          <w:i/>
          <w:noProof/>
          <w:sz w:val="24"/>
          <w:szCs w:val="24"/>
        </w:rPr>
      </w:pPr>
      <w:r>
        <w:rPr>
          <w:rFonts w:ascii="Times New Roman" w:hAnsi="Times New Roman" w:cs="Times New Roman"/>
          <w:i/>
          <w:noProof/>
          <w:sz w:val="24"/>
          <w:szCs w:val="24"/>
        </w:rPr>
        <w:t>A supportive environment</w:t>
      </w:r>
    </w:p>
    <w:p>
      <w:pPr>
        <w:jc w:val="both"/>
        <w:rPr>
          <w:rFonts w:ascii="Times New Roman" w:hAnsi="Times New Roman" w:cs="Times New Roman"/>
          <w:noProof/>
          <w:sz w:val="24"/>
          <w:szCs w:val="24"/>
        </w:rPr>
      </w:pPr>
      <w:r>
        <w:rPr>
          <w:rFonts w:ascii="Times New Roman" w:hAnsi="Times New Roman" w:cs="Times New Roman"/>
          <w:noProof/>
          <w:sz w:val="24"/>
          <w:szCs w:val="24"/>
        </w:rPr>
        <w:t>Civil society organisations and rights defenders are vital for a healthy democracy and a society where people can enjoy their fundamental rights. They are key parties in the Charter’s enforcement chain. They play an important role in promoting the use and awareness of the Charter and a culture of values, based on the rule of law, democracy and fundamental rights.</w:t>
      </w:r>
    </w:p>
    <w:p>
      <w:pPr>
        <w:jc w:val="both"/>
        <w:rPr>
          <w:rFonts w:ascii="Times New Roman" w:hAnsi="Times New Roman" w:cs="Times New Roman"/>
          <w:noProof/>
          <w:sz w:val="24"/>
          <w:szCs w:val="24"/>
        </w:rPr>
      </w:pPr>
      <w:r>
        <w:rPr>
          <w:rFonts w:ascii="Times New Roman" w:hAnsi="Times New Roman" w:cs="Times New Roman"/>
          <w:noProof/>
          <w:sz w:val="24"/>
          <w:szCs w:val="24"/>
        </w:rPr>
        <w:t>They are however facing an increasing number of challenges, which include</w:t>
      </w:r>
      <w:r>
        <w:rPr>
          <w:rFonts w:ascii="Times New Roman" w:hAnsi="Times New Roman" w:cs="Times New Roman"/>
          <w:b/>
          <w:noProof/>
          <w:sz w:val="24"/>
          <w:szCs w:val="24"/>
        </w:rPr>
        <w:t xml:space="preserve"> regulatory constraints and difficulties in accessing funding</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The Court</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in a case concerning a law restricting the financing of civil society organisations from abroad, recognised that the right to freedom of association constitutes one of the essential foundations of a democratic and pluralist society, as it enables citizens to act collectively in areas of common interest and, in so doing, contributes to the proper functioning of public life. The Court held that civil society organisations “</w:t>
      </w:r>
      <w:r>
        <w:rPr>
          <w:rFonts w:ascii="Times New Roman" w:hAnsi="Times New Roman" w:cs="Times New Roman"/>
          <w:i/>
          <w:noProof/>
          <w:sz w:val="24"/>
          <w:szCs w:val="24"/>
        </w:rPr>
        <w:t>must be able to pursue [their] activities and operate without unjustified interference by the State</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some Member States, </w:t>
      </w:r>
      <w:r>
        <w:rPr>
          <w:rFonts w:ascii="Times New Roman" w:hAnsi="Times New Roman" w:cs="Times New Roman"/>
          <w:b/>
          <w:noProof/>
          <w:sz w:val="24"/>
          <w:szCs w:val="24"/>
        </w:rPr>
        <w:t>smear campaigns</w:t>
      </w:r>
      <w:r>
        <w:rPr>
          <w:rFonts w:ascii="Times New Roman" w:hAnsi="Times New Roman" w:cs="Times New Roman"/>
          <w:noProof/>
          <w:sz w:val="24"/>
          <w:szCs w:val="24"/>
        </w:rPr>
        <w:t xml:space="preserve"> are negatively influencing public opinion and affecting the credibility and legitimacy of civil society. Civil society organisations and human rights activists in some EU countries face physical and verbal attacks, intimidation and harassment including abusive lawsuits (Strategic Lawsuits Against Public Participation – SLAPP)</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violence and online and offline hate speech</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Civil society organisations and rights defenders should be able to work without fear in a supportive environment.</w:t>
      </w: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i/>
          <w:noProof/>
          <w:sz w:val="24"/>
          <w:szCs w:val="24"/>
        </w:rPr>
      </w:pPr>
      <w:r>
        <w:rPr>
          <w:rFonts w:ascii="Times New Roman" w:hAnsi="Times New Roman" w:cs="Times New Roman"/>
          <w:b/>
          <w:i/>
          <w:noProof/>
          <w:sz w:val="24"/>
          <w:szCs w:val="24"/>
        </w:rPr>
        <w:t xml:space="preserve">The Commission will: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cs="Times New Roman"/>
          <w:i/>
          <w:noProof/>
          <w:sz w:val="24"/>
          <w:szCs w:val="24"/>
        </w:rPr>
        <w:t xml:space="preserve">- Take action against measures that breach EU law, including the Charter, which affect civil society organisations;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cs="Times New Roman"/>
          <w:i/>
          <w:noProof/>
          <w:sz w:val="24"/>
          <w:szCs w:val="24"/>
        </w:rPr>
        <w:t>- Support an enabling environment for civil society organisations, in particular through the new Union values strand of the Citizens, Equality, Rights and Values programme.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b/>
          <w:noProof/>
        </w:rPr>
      </w:pPr>
      <w:r>
        <w:rPr>
          <w:rFonts w:ascii="Times New Roman" w:hAnsi="Times New Roman" w:cs="Times New Roman"/>
          <w:b/>
          <w:i/>
          <w:noProof/>
          <w:sz w:val="24"/>
          <w:szCs w:val="24"/>
        </w:rPr>
        <w:t>The Commission invites Member States: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b/>
          <w:noProof/>
        </w:rPr>
      </w:pPr>
      <w:r>
        <w:rPr>
          <w:rFonts w:ascii="Times New Roman" w:hAnsi="Times New Roman" w:cs="Times New Roman"/>
          <w:i/>
          <w:noProof/>
          <w:sz w:val="24"/>
          <w:szCs w:val="24"/>
        </w:rPr>
        <w:t>- To promote a supportive and safe environment for civil society organisations and rights defenders in their country, including at local level.</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Strong and independent national human rights institutions </w:t>
      </w:r>
    </w:p>
    <w:p>
      <w:pPr>
        <w:jc w:val="both"/>
        <w:rPr>
          <w:rFonts w:ascii="Times New Roman" w:hAnsi="Times New Roman" w:cs="Times New Roman"/>
          <w:noProof/>
          <w:sz w:val="24"/>
          <w:szCs w:val="24"/>
        </w:rPr>
      </w:pPr>
      <w:r>
        <w:rPr>
          <w:rFonts w:ascii="Times New Roman" w:hAnsi="Times New Roman" w:cs="Times New Roman"/>
          <w:noProof/>
          <w:sz w:val="24"/>
          <w:szCs w:val="24"/>
        </w:rPr>
        <w:t>Strong and effective national human rights institutions</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(‘NHRIs’) are critical links between government and civil society insofar as they address the ‘protection gap’ between the rights of individuals and the responsibilities of the state. Their overarching function is to address discrimination in all its forms and to promote the protection of the full range of fundamental rights</w:t>
      </w:r>
      <w:r>
        <w:rPr>
          <w:rFonts w:ascii="Times New Roman" w:hAnsi="Times New Roman" w:cs="Times New Roman"/>
          <w:noProof/>
          <w:sz w:val="24"/>
          <w:szCs w:val="24"/>
          <w:vertAlign w:val="superscript"/>
        </w:rPr>
        <w:footnoteReference w:id="69"/>
      </w:r>
      <w:r>
        <w:rPr>
          <w:rFonts w:ascii="Times New Roman" w:hAnsi="Times New Roman" w:cs="Times New Roman"/>
          <w:noProof/>
          <w:sz w:val="24"/>
          <w:szCs w:val="24"/>
        </w:rPr>
        <w:t>. NHRIs monitor the application, implementation and promotion of the Charter on the ground, provide information and support to victims of fundamental rights violations and cooperate with the national institutions to improve their use and awareness of the Charter.</w:t>
      </w:r>
    </w:p>
    <w:p>
      <w:pPr>
        <w:jc w:val="both"/>
        <w:rPr>
          <w:rFonts w:ascii="Times New Roman" w:hAnsi="Times New Roman" w:cs="Times New Roman"/>
          <w:noProof/>
          <w:sz w:val="24"/>
          <w:szCs w:val="24"/>
        </w:rPr>
      </w:pPr>
      <w:r>
        <w:rPr>
          <w:rFonts w:ascii="Times New Roman" w:hAnsi="Times New Roman" w:cs="Times New Roman"/>
          <w:noProof/>
          <w:sz w:val="24"/>
          <w:szCs w:val="24"/>
        </w:rPr>
        <w:t>Three Member States</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do not have an NHRI, two do not have an accredited NHRI</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xml:space="preserve"> and six</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xml:space="preserve"> do not have a United Nations’ Paris principles’</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xml:space="preserve"> compliant A-status NHRI</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2020 Rule of law report highlighted the importance of independent NHRIs as part of the national checks and balances</w:t>
      </w:r>
      <w:r>
        <w:rPr>
          <w:rStyle w:val="FootnoteReference"/>
          <w:rFonts w:ascii="Times New Roman" w:hAnsi="Times New Roman" w:cs="Times New Roman"/>
          <w:noProof/>
          <w:sz w:val="24"/>
          <w:szCs w:val="24"/>
        </w:rPr>
        <w:footnoteReference w:id="75"/>
      </w:r>
      <w:r>
        <w:rPr>
          <w:rFonts w:ascii="Times New Roman" w:hAnsi="Times New Roman" w:cs="Times New Roman"/>
          <w:i/>
          <w:noProof/>
          <w:sz w:val="24"/>
          <w:szCs w:val="24"/>
        </w:rPr>
        <w:t xml:space="preserve">. </w:t>
      </w:r>
      <w:r>
        <w:rPr>
          <w:rFonts w:ascii="Times New Roman" w:hAnsi="Times New Roman" w:cs="Times New Roman"/>
          <w:noProof/>
          <w:sz w:val="24"/>
          <w:szCs w:val="24"/>
        </w:rPr>
        <w:t>The European Network of National Human Rights Institutions (ENNHRI) can, with the support of the Commission, assist Member States in establishing and promoting Paris principles’ complaint A-status NHRIs.</w:t>
      </w: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noProof/>
        </w:rPr>
      </w:pPr>
      <w:r>
        <w:rPr>
          <w:rFonts w:ascii="Times New Roman" w:hAnsi="Times New Roman" w:cs="Times New Roman"/>
          <w:b/>
          <w:i/>
          <w:noProof/>
          <w:sz w:val="24"/>
          <w:szCs w:val="24"/>
        </w:rPr>
        <w:t>The Commission invites: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cs="Times New Roman"/>
          <w:i/>
          <w:noProof/>
          <w:sz w:val="24"/>
          <w:szCs w:val="24"/>
        </w:rPr>
        <w:t>- Those Member States that have not yet established an independent NHRI to do so;</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noProof/>
        </w:rPr>
      </w:pPr>
      <w:r>
        <w:rPr>
          <w:rFonts w:ascii="Times New Roman" w:hAnsi="Times New Roman" w:cs="Times New Roman"/>
          <w:i/>
          <w:noProof/>
          <w:sz w:val="24"/>
          <w:szCs w:val="24"/>
        </w:rPr>
        <w:t>- Member States in which NHRIs have been established, to ensure they are given the tools and means to comply with the Paris principlesand refer to the Charter in their mandate.</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cs="Times New Roman"/>
          <w:i/>
          <w:noProof/>
          <w:sz w:val="24"/>
          <w:szCs w:val="24"/>
        </w:rPr>
        <w:t>Capacity building to defend people’s rights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Civil society organisations and rights defenders are instrumental in raising people’s awareness about their Charter rights and helping them receive </w:t>
      </w:r>
      <w:r>
        <w:rPr>
          <w:rFonts w:ascii="Times New Roman" w:hAnsi="Times New Roman" w:cs="Times New Roman"/>
          <w:b/>
          <w:noProof/>
          <w:sz w:val="24"/>
          <w:szCs w:val="24"/>
        </w:rPr>
        <w:t>effective judicial protection</w:t>
      </w:r>
      <w:r>
        <w:rPr>
          <w:rFonts w:ascii="Times New Roman" w:hAnsi="Times New Roman" w:cs="Times New Roman"/>
          <w:noProof/>
          <w:sz w:val="24"/>
          <w:szCs w:val="24"/>
        </w:rPr>
        <w:t>. When other routes, such as prevention and dialogue, prove unsuccessful, effective judicial protection also includes strategic litigation, which contributes to a more coherent implementation and application of EU law and to the enforcement of people’s rights. Following a European Parliament initiative, the Commission carried out consultations and commissioned a study</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xml:space="preserve"> that show that capacity building is key to helping these ‘Charter agents’ better assist people in using their rights under the Charter. The study concluded that there is a need to increase “</w:t>
      </w:r>
      <w:r>
        <w:rPr>
          <w:rFonts w:ascii="Times New Roman" w:hAnsi="Times New Roman" w:cs="Times New Roman"/>
          <w:i/>
          <w:noProof/>
          <w:sz w:val="24"/>
          <w:szCs w:val="24"/>
        </w:rPr>
        <w:t>knowledge of relevant EU law practice and procedures”</w:t>
      </w:r>
      <w:r>
        <w:rPr>
          <w:rFonts w:ascii="Times New Roman" w:hAnsi="Times New Roman" w:cs="Times New Roman"/>
          <w:noProof/>
          <w:sz w:val="24"/>
          <w:szCs w:val="24"/>
        </w:rPr>
        <w:t xml:space="preserve"> among litigators and to upgrade their capacity, “</w:t>
      </w:r>
      <w:r>
        <w:rPr>
          <w:rFonts w:ascii="Times New Roman" w:hAnsi="Times New Roman" w:cs="Times New Roman"/>
          <w:i/>
          <w:noProof/>
          <w:sz w:val="24"/>
          <w:szCs w:val="24"/>
        </w:rPr>
        <w:t>with the expectable result that fundamental rights litigation will increase in Europe, and that Charter rights are promoted and protected more systematically</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b/>
          <w:noProof/>
          <w:sz w:val="24"/>
          <w:szCs w:val="24"/>
        </w:rPr>
        <w:t>European networks of rights defenders</w:t>
      </w:r>
      <w:r>
        <w:rPr>
          <w:rFonts w:ascii="Times New Roman" w:hAnsi="Times New Roman" w:cs="Times New Roman"/>
          <w:noProof/>
          <w:sz w:val="24"/>
          <w:szCs w:val="24"/>
        </w:rPr>
        <w:t>, such as the European Network of National Human Rights Institutions (ENNHRI), the European Network of Equality Bodies (Equinet) and the European Network of Ombudsmen (ENO) can play an important role in coordinating capacity building and sharing practice on the Charter among their members. Staff trained in transnational training should act as multipliers and train colleagues in their national institutions</w:t>
      </w:r>
      <w:r>
        <w:rPr>
          <w:rFonts w:ascii="Times New Roman" w:hAnsi="Times New Roman" w:cs="Times New Roman"/>
          <w:noProof/>
          <w:sz w:val="24"/>
          <w:szCs w:val="24"/>
          <w:vertAlign w:val="superscript"/>
        </w:rPr>
        <w:footnoteReference w:id="77"/>
      </w:r>
      <w:r>
        <w:rPr>
          <w:rFonts w:ascii="Times New Roman" w:hAnsi="Times New Roman" w:cs="Times New Roman"/>
          <w:noProof/>
          <w:sz w:val="24"/>
          <w:szCs w:val="24"/>
        </w:rPr>
        <w:t xml:space="preserve">. Networks should learn from each other to reach their objectives. For instance, </w:t>
      </w:r>
      <w:r>
        <w:rPr>
          <w:rFonts w:ascii="Times New Roman" w:hAnsi="Times New Roman" w:cs="Times New Roman"/>
          <w:b/>
          <w:noProof/>
          <w:sz w:val="24"/>
          <w:szCs w:val="24"/>
        </w:rPr>
        <w:t>ENNHRI</w:t>
      </w:r>
      <w:r>
        <w:rPr>
          <w:rFonts w:ascii="Times New Roman" w:hAnsi="Times New Roman" w:cs="Times New Roman"/>
          <w:noProof/>
          <w:sz w:val="24"/>
          <w:szCs w:val="24"/>
        </w:rPr>
        <w:t xml:space="preserve"> collected practices from its members to show how NHRIs across Europe are working towards the national implementation of the Charter</w:t>
      </w:r>
      <w:r>
        <w:rPr>
          <w:rFonts w:ascii="Times New Roman" w:hAnsi="Times New Roman" w:cs="Times New Roman"/>
          <w:i/>
          <w:noProof/>
          <w:sz w:val="24"/>
          <w:szCs w:val="24"/>
          <w:vertAlign w:val="superscript"/>
        </w:rPr>
        <w:footnoteReference w:id="78"/>
      </w:r>
      <w:r>
        <w:rPr>
          <w:rFonts w:ascii="Times New Roman" w:hAnsi="Times New Roman" w:cs="Times New Roman"/>
          <w:noProof/>
          <w:sz w:val="24"/>
          <w:szCs w:val="24"/>
        </w:rPr>
        <w:t>.</w:t>
      </w:r>
      <w:r>
        <w:rPr>
          <w:rFonts w:ascii="Times New Roman" w:hAnsi="Times New Roman" w:cs="Times New Roman"/>
          <w:i/>
          <w:noProof/>
          <w:sz w:val="24"/>
          <w:szCs w:val="24"/>
        </w:rPr>
        <w:t xml:space="preserve"> </w:t>
      </w:r>
      <w:r>
        <w:rPr>
          <w:rFonts w:ascii="Times New Roman" w:hAnsi="Times New Roman" w:cs="Times New Roman"/>
          <w:noProof/>
          <w:sz w:val="24"/>
          <w:szCs w:val="24"/>
        </w:rPr>
        <w:t>The FRA has developed tools to support this work and stands ready to further support such capacity building efforts</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Other networks, catering for specific groups, such as the UN Convention on the Rights of Persons with Disabilities’ frameworks or the European network of Ombudspersons for children, could also play a key role in promoting the Charter amongst their members.</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The Commission will: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cs="Times New Roman"/>
          <w:i/>
          <w:noProof/>
          <w:sz w:val="24"/>
          <w:szCs w:val="24"/>
        </w:rPr>
        <w:t>- Support, in particular under the Justice programme, capacity building on the Charter for rights defenders and civil society organisations, to ease access to justice for all.</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cs="Times New Roman"/>
          <w:b/>
          <w:i/>
          <w:noProof/>
          <w:sz w:val="24"/>
          <w:szCs w:val="24"/>
        </w:rPr>
        <w:t>The Commission invites networks of civil society organisations and rights defenders: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cs="Times New Roman"/>
          <w:i/>
          <w:noProof/>
          <w:sz w:val="24"/>
          <w:szCs w:val="24"/>
        </w:rPr>
        <w:t xml:space="preserve">- To cooperate on Charter training and share practice, building on support and tools offered by the Commission and by the FRA. </w:t>
      </w:r>
    </w:p>
    <w:p>
      <w:pPr>
        <w:jc w:val="both"/>
        <w:rPr>
          <w:rFonts w:ascii="Times New Roman" w:hAnsi="Times New Roman" w:cs="Times New Roman"/>
          <w:b/>
          <w:i/>
          <w:noProof/>
          <w:sz w:val="24"/>
          <w:szCs w:val="24"/>
        </w:rPr>
      </w:pPr>
    </w:p>
    <w:p>
      <w:pPr>
        <w:jc w:val="both"/>
        <w:rPr>
          <w:rFonts w:ascii="Times New Roman" w:hAnsi="Times New Roman" w:cs="Times New Roman"/>
          <w:i/>
          <w:noProof/>
          <w:sz w:val="24"/>
          <w:szCs w:val="24"/>
        </w:rPr>
      </w:pPr>
      <w:r>
        <w:rPr>
          <w:rFonts w:ascii="Times New Roman" w:hAnsi="Times New Roman" w:cs="Times New Roman"/>
          <w:b/>
          <w:i/>
          <w:noProof/>
          <w:sz w:val="24"/>
          <w:szCs w:val="24"/>
        </w:rPr>
        <w:t>2.2 Supporting judges and other justice practitioners</w:t>
      </w:r>
      <w:r>
        <w:rPr>
          <w:rFonts w:ascii="Times New Roman" w:hAnsi="Times New Roman" w:cs="Times New Roman"/>
          <w:i/>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Independent and qualified judges are key to making the Charter relevant in people’s lives. Even though national courts increasingly use the Charter and refer to the Court for assistance on its interpretation</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rPr>
        <w:t xml:space="preserve">, </w:t>
      </w:r>
      <w:r>
        <w:rPr>
          <w:rFonts w:ascii="Times New Roman" w:hAnsi="Times New Roman" w:cs="Times New Roman"/>
          <w:b/>
          <w:noProof/>
          <w:sz w:val="24"/>
          <w:szCs w:val="24"/>
        </w:rPr>
        <w:t>knowledge remains low</w:t>
      </w:r>
      <w:r>
        <w:rPr>
          <w:rFonts w:ascii="Times New Roman" w:hAnsi="Times New Roman" w:cs="Times New Roman"/>
          <w:noProof/>
          <w:sz w:val="24"/>
          <w:szCs w:val="24"/>
        </w:rPr>
        <w:t xml:space="preserve"> amongst national justice practitioners</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So far, less than one third of all professional groups consulted in the targeted consultation for judges, other justice practitioners and training institutions benefited from training on the Charter. Most of the judges and other justice practitioners who responded to the consultation would welcome training on the Charter, including joint training for judges and other legal practitioners to share experiences. They would also welcome strengthened exchanges between national and European Courts</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adopted a </w:t>
      </w:r>
      <w:r>
        <w:rPr>
          <w:rFonts w:ascii="Times New Roman" w:hAnsi="Times New Roman" w:cs="Times New Roman"/>
          <w:b/>
          <w:noProof/>
          <w:sz w:val="24"/>
          <w:szCs w:val="24"/>
        </w:rPr>
        <w:t>new European judicial training strategy</w:t>
      </w:r>
      <w:r>
        <w:rPr>
          <w:rFonts w:ascii="Times New Roman" w:hAnsi="Times New Roman" w:cs="Times New Roman"/>
          <w:noProof/>
          <w:sz w:val="24"/>
          <w:szCs w:val="24"/>
        </w:rPr>
        <w:t xml:space="preserve"> that emphasises the importance of training judges and other justice practitioners on the Charter to ensure its effective application</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The relevance of cross professional training and sharing of best practice was also underlined. FRA will update its Charterpedia and its handbook on the application of the Charter for practitioners</w:t>
      </w:r>
      <w:r>
        <w:rPr>
          <w:rFonts w:ascii="Times New Roman" w:hAnsi="Times New Roman" w:cs="Times New Roman"/>
          <w:noProof/>
          <w:sz w:val="24"/>
          <w:szCs w:val="24"/>
          <w:vertAlign w:val="superscript"/>
        </w:rPr>
        <w:footnoteReference w:id="84"/>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COVID-19 pandemic created additional challenges for justice systems, but has also boosted the digitalisation of proceedings in a number of Member States</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xml:space="preserve">. The </w:t>
      </w:r>
      <w:r>
        <w:rPr>
          <w:rFonts w:ascii="Times New Roman" w:hAnsi="Times New Roman" w:cs="Times New Roman"/>
          <w:b/>
          <w:noProof/>
          <w:sz w:val="24"/>
          <w:szCs w:val="24"/>
        </w:rPr>
        <w:t>digitalisation of justice,</w:t>
      </w:r>
      <w:r>
        <w:rPr>
          <w:rFonts w:ascii="Times New Roman" w:hAnsi="Times New Roman" w:cs="Times New Roman"/>
          <w:noProof/>
          <w:sz w:val="24"/>
          <w:szCs w:val="24"/>
        </w:rPr>
        <w:t xml:space="preserve"> if carefully rolled out, would also have a positive effect on the capacity of courts to deal efficiently with fundamental rights issues, in particular in a context where human resources are scarce</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cs="Times New Roman"/>
          <w:b/>
          <w:i/>
          <w:noProof/>
          <w:sz w:val="24"/>
          <w:szCs w:val="24"/>
        </w:rPr>
        <w:t>The Commission will:</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cs="Times New Roman"/>
          <w:i/>
          <w:noProof/>
          <w:sz w:val="24"/>
          <w:szCs w:val="24"/>
        </w:rPr>
        <w:t>- Prioritise, under the EU’s new Justice programme, Charter training opportunities for judges and other justice practitioners and support the development of a dedicated e-learning tool for judges;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cs="Times New Roman"/>
          <w:i/>
          <w:noProof/>
          <w:sz w:val="24"/>
          <w:szCs w:val="24"/>
        </w:rPr>
        <w:t xml:space="preserve">- Promote Charter related training activities and material on the new </w:t>
      </w:r>
      <w:r>
        <w:rPr>
          <w:rFonts w:ascii="Times New Roman" w:hAnsi="Times New Roman" w:cs="Times New Roman"/>
          <w:noProof/>
          <w:sz w:val="24"/>
          <w:szCs w:val="24"/>
        </w:rPr>
        <w:t>‘</w:t>
      </w:r>
      <w:r>
        <w:rPr>
          <w:rFonts w:ascii="Times New Roman" w:hAnsi="Times New Roman" w:cs="Times New Roman"/>
          <w:i/>
          <w:noProof/>
          <w:sz w:val="24"/>
          <w:szCs w:val="24"/>
        </w:rPr>
        <w:t>European training platform</w:t>
      </w:r>
      <w:r>
        <w:rPr>
          <w:rFonts w:ascii="Times New Roman" w:hAnsi="Times New Roman" w:cs="Times New Roman"/>
          <w:noProof/>
          <w:sz w:val="24"/>
          <w:szCs w:val="24"/>
        </w:rPr>
        <w:t>’</w:t>
      </w:r>
      <w:r>
        <w:rPr>
          <w:rFonts w:ascii="Times New Roman" w:hAnsi="Times New Roman" w:cs="Times New Roman"/>
          <w:i/>
          <w:noProof/>
          <w:sz w:val="24"/>
          <w:szCs w:val="24"/>
        </w:rPr>
        <w:t xml:space="preserve"> of the European e-Justice Portal</w:t>
      </w:r>
      <w:r>
        <w:rPr>
          <w:rStyle w:val="FootnoteReference"/>
          <w:rFonts w:ascii="Times New Roman" w:hAnsi="Times New Roman" w:cs="Times New Roman"/>
          <w:b/>
          <w:i/>
          <w:noProof/>
          <w:sz w:val="24"/>
          <w:szCs w:val="24"/>
        </w:rPr>
        <w:footnoteReference w:id="87"/>
      </w:r>
      <w:r>
        <w:rPr>
          <w:rFonts w:ascii="Times New Roman" w:hAnsi="Times New Roman" w:cs="Times New Roman"/>
          <w:i/>
          <w:noProof/>
          <w:sz w:val="24"/>
          <w:szCs w:val="24"/>
        </w:rPr>
        <w:t xml:space="preserve"> through the use of EU funds.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cs="Times New Roman"/>
          <w:b/>
          <w:i/>
          <w:noProof/>
          <w:sz w:val="24"/>
          <w:szCs w:val="24"/>
        </w:rPr>
        <w:t>The Commission invites</w:t>
      </w:r>
      <w:r>
        <w:rPr>
          <w:rFonts w:ascii="Times New Roman" w:hAnsi="Times New Roman" w:cs="Times New Roman"/>
          <w:i/>
          <w:noProof/>
          <w:sz w:val="24"/>
          <w:szCs w:val="24"/>
        </w:rPr>
        <w:t xml:space="preserve"> </w:t>
      </w:r>
      <w:r>
        <w:rPr>
          <w:rFonts w:ascii="Times New Roman" w:hAnsi="Times New Roman" w:cs="Times New Roman"/>
          <w:b/>
          <w:i/>
          <w:noProof/>
          <w:sz w:val="24"/>
          <w:szCs w:val="24"/>
        </w:rPr>
        <w:t>networks of judges and other justice practitioners: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cs="Times New Roman"/>
          <w:i/>
          <w:noProof/>
          <w:sz w:val="24"/>
          <w:szCs w:val="24"/>
        </w:rPr>
        <w:t>- To cooperate on training and sharing of practices on the application of the Charter, building on support and tools offered by the Commission, the European Judicial Training Network (EJTN) and FRA.</w:t>
      </w:r>
      <w:r>
        <w:rPr>
          <w:noProof/>
        </w:rPr>
        <w:br w:type="page"/>
      </w:r>
    </w:p>
    <w:p>
      <w:pPr>
        <w:pStyle w:val="Heading1"/>
        <w:rPr>
          <w:rFonts w:ascii="Times New Roman" w:hAnsi="Times New Roman" w:cs="Times New Roman"/>
          <w:noProof/>
        </w:rPr>
      </w:pPr>
      <w:r>
        <w:rPr>
          <w:rFonts w:ascii="Times New Roman" w:hAnsi="Times New Roman" w:cs="Times New Roman"/>
          <w:noProof/>
        </w:rPr>
        <w:t>3 - Fostering the use of the Charter as a compass for EU institutions</w:t>
      </w:r>
    </w:p>
    <w:p>
      <w:pPr>
        <w:rPr>
          <w:noProof/>
        </w:rPr>
      </w:pPr>
    </w:p>
    <w:p>
      <w:pPr>
        <w:jc w:val="both"/>
        <w:rPr>
          <w:rFonts w:ascii="Times New Roman" w:hAnsi="Times New Roman" w:cs="Times New Roman"/>
          <w:b/>
          <w:noProof/>
          <w:sz w:val="24"/>
          <w:szCs w:val="24"/>
        </w:rPr>
      </w:pPr>
      <w:r>
        <w:rPr>
          <w:rFonts w:ascii="Times New Roman" w:hAnsi="Times New Roman" w:cs="Times New Roman"/>
          <w:b/>
          <w:i/>
          <w:noProof/>
          <w:sz w:val="24"/>
          <w:szCs w:val="24"/>
        </w:rPr>
        <w:t>3.1 Updating and developing tools within the Commission</w:t>
      </w:r>
    </w:p>
    <w:p>
      <w:pPr>
        <w:jc w:val="both"/>
        <w:rPr>
          <w:rFonts w:ascii="Times New Roman" w:hAnsi="Times New Roman" w:cs="Times New Roman"/>
          <w:noProof/>
          <w:sz w:val="24"/>
          <w:szCs w:val="24"/>
        </w:rPr>
      </w:pPr>
      <w:r>
        <w:rPr>
          <w:rFonts w:ascii="Times New Roman" w:hAnsi="Times New Roman" w:cs="Times New Roman"/>
          <w:b/>
          <w:noProof/>
          <w:sz w:val="24"/>
          <w:szCs w:val="24"/>
        </w:rPr>
        <w:t>EU institutions must comply with the Charter in all their actions</w:t>
      </w:r>
      <w:r>
        <w:rPr>
          <w:rFonts w:ascii="Times New Roman" w:hAnsi="Times New Roman" w:cs="Times New Roman"/>
          <w:noProof/>
          <w:sz w:val="24"/>
          <w:szCs w:val="24"/>
        </w:rPr>
        <w:t>, including when they act outside the EU legal framework</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xml:space="preserve"> and outside the territory of the Member States</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w:t>
      </w:r>
    </w:p>
    <w:p>
      <w:pPr>
        <w:jc w:val="both"/>
        <w:rPr>
          <w:rFonts w:ascii="Times New Roman" w:hAnsi="Times New Roman" w:cs="Times New Roman"/>
          <w:i/>
          <w:noProof/>
          <w:sz w:val="24"/>
          <w:szCs w:val="24"/>
        </w:rPr>
      </w:pPr>
      <w:r>
        <w:rPr>
          <w:rFonts w:ascii="Times New Roman" w:hAnsi="Times New Roman" w:cs="Times New Roman"/>
          <w:noProof/>
          <w:sz w:val="24"/>
          <w:szCs w:val="24"/>
        </w:rPr>
        <w:t xml:space="preserve">Following its 2010 strategy on the application of the Charter by the EU, </w:t>
      </w:r>
      <w:r>
        <w:rPr>
          <w:rFonts w:ascii="Times New Roman" w:hAnsi="Times New Roman" w:cs="Times New Roman"/>
          <w:b/>
          <w:noProof/>
          <w:sz w:val="24"/>
          <w:szCs w:val="24"/>
        </w:rPr>
        <w:t>the Commission</w:t>
      </w:r>
      <w:r>
        <w:rPr>
          <w:rFonts w:ascii="Times New Roman" w:hAnsi="Times New Roman" w:cs="Times New Roman"/>
          <w:noProof/>
          <w:sz w:val="24"/>
          <w:szCs w:val="24"/>
        </w:rPr>
        <w:t xml:space="preserve"> developed guidance</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 xml:space="preserve"> to ensure that each new initiative complies with the Charter and that, where certain rights are affected, justification is given on why the measure is necessary and proportionate and solutions are put in place to mitigate the measure’s potential negative effects on people’s rights. The Commission’s new Taskforce on Equality will ensure that equality considerations are mainstreamed in the Commission’s work.</w:t>
      </w:r>
    </w:p>
    <w:p>
      <w:pPr>
        <w:jc w:val="both"/>
        <w:rPr>
          <w:rFonts w:ascii="Times New Roman" w:hAnsi="Times New Roman" w:cs="Times New Roman"/>
          <w:iCs/>
          <w:noProof/>
          <w:sz w:val="24"/>
          <w:szCs w:val="24"/>
          <w:lang w:val="en-US"/>
        </w:rPr>
      </w:pPr>
      <w:r>
        <w:rPr>
          <w:rFonts w:ascii="Times New Roman" w:hAnsi="Times New Roman" w:cs="Times New Roman"/>
          <w:noProof/>
          <w:sz w:val="24"/>
          <w:szCs w:val="24"/>
        </w:rPr>
        <w:t>Key Commission initiatives that could have a major impact on Charter rights will continue to be checked from the preparatory stage of the initiative and Charter compliance will remain a central concern for the Commission throughout the decision making process. For instance, Europe’s digital strategy</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xml:space="preserve"> underlines the importance of respecting fundamental rights in the digital transformation. T</w:t>
      </w:r>
      <w:r>
        <w:rPr>
          <w:rFonts w:ascii="Times New Roman" w:hAnsi="Times New Roman" w:cs="Times New Roman"/>
          <w:noProof/>
          <w:sz w:val="24"/>
          <w:szCs w:val="24"/>
          <w:lang w:val="en-IE"/>
        </w:rPr>
        <w:t>he</w:t>
      </w:r>
      <w:r>
        <w:rPr>
          <w:rFonts w:ascii="Times New Roman" w:hAnsi="Times New Roman" w:cs="Times New Roman"/>
          <w:noProof/>
          <w:sz w:val="24"/>
          <w:szCs w:val="24"/>
        </w:rPr>
        <w:t xml:space="preserve"> forthcoming regulatory framework on artificial intelligence</w:t>
      </w:r>
      <w:r>
        <w:rPr>
          <w:rFonts w:ascii="Times New Roman" w:hAnsi="Times New Roman" w:cs="Times New Roman"/>
          <w:noProof/>
          <w:sz w:val="24"/>
          <w:szCs w:val="24"/>
          <w:vertAlign w:val="superscript"/>
        </w:rPr>
        <w:footnoteReference w:id="92"/>
      </w:r>
      <w:r>
        <w:rPr>
          <w:rFonts w:ascii="Times New Roman" w:hAnsi="Times New Roman" w:cs="Times New Roman"/>
          <w:noProof/>
          <w:sz w:val="24"/>
          <w:szCs w:val="24"/>
        </w:rPr>
        <w:t xml:space="preserve"> will </w:t>
      </w:r>
      <w:r>
        <w:rPr>
          <w:rFonts w:ascii="Times New Roman" w:hAnsi="Times New Roman" w:cs="Times New Roman"/>
          <w:iCs/>
          <w:noProof/>
          <w:sz w:val="24"/>
          <w:szCs w:val="24"/>
        </w:rPr>
        <w:t>introduce accountability, documentation and testing requirements to ensure the effective enforcement of fundamental rights.</w:t>
      </w:r>
      <w:r>
        <w:rPr>
          <w:rFonts w:ascii="Calibri" w:hAnsi="Calibri" w:cs="Calibri"/>
          <w:noProof/>
        </w:rPr>
        <w:t xml:space="preserve"> </w:t>
      </w:r>
      <w:r>
        <w:rPr>
          <w:rFonts w:ascii="Times New Roman" w:hAnsi="Times New Roman" w:cs="Times New Roman"/>
          <w:noProof/>
          <w:sz w:val="24"/>
          <w:szCs w:val="24"/>
          <w:lang w:val="en-US"/>
        </w:rPr>
        <w:t>The upcoming proposal for a Digital Services Act will set out the responsibilities of online intermediaries, in particular online platforms, for all forms of illegal content online, to ensure that this is tackled while protecting lawful content by safeguarding fundamental rights, including the right of freedom of expression of the users of online services.</w:t>
      </w:r>
    </w:p>
    <w:p>
      <w:pPr>
        <w:jc w:val="both"/>
        <w:rPr>
          <w:rFonts w:ascii="Times New Roman" w:hAnsi="Times New Roman" w:cs="Times New Roman"/>
          <w:noProof/>
          <w:sz w:val="24"/>
          <w:szCs w:val="24"/>
        </w:rPr>
      </w:pPr>
      <w:r>
        <w:rPr>
          <w:rFonts w:ascii="Times New Roman" w:hAnsi="Times New Roman" w:cs="Times New Roman"/>
          <w:noProof/>
          <w:sz w:val="24"/>
          <w:szCs w:val="24"/>
        </w:rPr>
        <w:t>In preparing initiatives the Commission draws on input by key stakeholders</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An open and constructive dialogue with civil society organisations supports the Commission’s efforts to mainstream the Charter into all its policies and legislative proposals.</w:t>
      </w:r>
    </w:p>
    <w:p>
      <w:pPr>
        <w:jc w:val="both"/>
        <w:rPr>
          <w:rFonts w:ascii="Times New Roman" w:hAnsi="Times New Roman" w:cs="Times New Roman"/>
          <w:noProof/>
          <w:color w:val="000000" w:themeColor="text1"/>
          <w:sz w:val="23"/>
          <w:szCs w:val="23"/>
          <w:lang w:val="en-US"/>
        </w:rPr>
      </w:pPr>
      <w:r>
        <w:rPr>
          <w:rFonts w:ascii="Times New Roman" w:hAnsi="Times New Roman" w:cs="Times New Roman"/>
          <w:noProof/>
          <w:sz w:val="24"/>
          <w:szCs w:val="24"/>
        </w:rPr>
        <w:t>Upholding fundamental rights is a global endeavour and it is important that internal and external actions to promote and protect fundamental rights are coherent and mutually reinforce each other. The new 2020-2024 action plan on human rights and democracy</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rPr>
        <w:t xml:space="preserve"> reaffirms the EU’s commitment to promoting and protecting human rights and values </w:t>
      </w:r>
      <w:r>
        <w:rPr>
          <w:rFonts w:ascii="Times New Roman" w:hAnsi="Times New Roman" w:cs="Times New Roman"/>
          <w:noProof/>
          <w:color w:val="000000" w:themeColor="text1"/>
          <w:sz w:val="24"/>
          <w:szCs w:val="24"/>
        </w:rPr>
        <w:t>worldwide.</w:t>
      </w:r>
      <w:r>
        <w:rPr>
          <w:noProof/>
          <w:color w:val="000000" w:themeColor="text1"/>
          <w:sz w:val="23"/>
          <w:szCs w:val="23"/>
          <w:lang w:val="en-US"/>
        </w:rPr>
        <w:t xml:space="preserve"> </w:t>
      </w:r>
      <w:r>
        <w:rPr>
          <w:rFonts w:ascii="Times New Roman" w:hAnsi="Times New Roman" w:cs="Times New Roman"/>
          <w:noProof/>
          <w:color w:val="000000" w:themeColor="text1"/>
          <w:sz w:val="24"/>
          <w:szCs w:val="24"/>
          <w:lang w:val="en-US"/>
        </w:rPr>
        <w:t>Human rights and democracy will be promoted consistently and coherently in all areas of EU external action, ensuring internal and external coherence in the promotion of the fundamental rights in line with the Charter.</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as an EU institution, will continue to take the Charter into account in the preparation and negotiation of EU Trade and investment agreements</w:t>
      </w:r>
      <w:r>
        <w:rPr>
          <w:rFonts w:ascii="Times New Roman" w:hAnsi="Times New Roman" w:cs="Times New Roman"/>
          <w:noProof/>
          <w:sz w:val="24"/>
          <w:szCs w:val="24"/>
          <w:vertAlign w:val="superscript"/>
        </w:rPr>
        <w:footnoteReference w:id="95"/>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w:t>T</w:t>
      </w:r>
      <w:r>
        <w:rPr>
          <w:rFonts w:ascii="Times New Roman" w:hAnsi="Times New Roman" w:cs="Times New Roman"/>
          <w:noProof/>
          <w:sz w:val="24"/>
          <w:szCs w:val="24"/>
        </w:rPr>
        <w:t>he Commission will further insist that countries seeking to join the EU (‘enlargement countries’) align with EU fundamental rights protection standards. The Commission will provide support and technical assistance to enlargement countries</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xml:space="preserve"> and monitor progress through the annual enlargement package of country reports. Candidate countries and countries with which a stabilisation and association agreement has been concluded can ask to participate in the work of the EU Agency for Fundamental Rights as observers in order to ease their gradual alignment with EU law</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rPr>
        <w:t>.</w:t>
      </w:r>
    </w:p>
    <w:p>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cs="Times New Roman"/>
          <w:b/>
          <w:i/>
          <w:noProof/>
          <w:sz w:val="24"/>
          <w:szCs w:val="24"/>
        </w:rPr>
        <w:t>The Commission will:</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cs="Times New Roman"/>
          <w:i/>
          <w:noProof/>
          <w:sz w:val="24"/>
          <w:szCs w:val="24"/>
        </w:rPr>
        <w:t>- Support the development of an e-learning tool on the Charter open to all;</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cs="Times New Roman"/>
          <w:i/>
          <w:noProof/>
          <w:sz w:val="24"/>
          <w:szCs w:val="24"/>
        </w:rPr>
        <w:t>- Update its 2011 guidance for its staff on applying the Charter in impact assessments and disseminate it as a source of information for policy makers at national and local level;</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cs="Times New Roman"/>
          <w:i/>
          <w:noProof/>
          <w:sz w:val="24"/>
          <w:szCs w:val="24"/>
        </w:rPr>
        <w:t>- Develop an equality mainstreaming toolbox and a training plan for all staff to ensure that equality considerations are a part of all Commission initiatives.</w:t>
      </w:r>
    </w:p>
    <w:p>
      <w:pPr>
        <w:rPr>
          <w:rFonts w:ascii="Times New Roman" w:hAnsi="Times New Roman" w:cs="Times New Roman"/>
          <w:b/>
          <w:i/>
          <w:noProof/>
          <w:sz w:val="24"/>
          <w:szCs w:val="24"/>
        </w:rPr>
      </w:pPr>
    </w:p>
    <w:p>
      <w:pPr>
        <w:rPr>
          <w:rFonts w:ascii="Times New Roman" w:hAnsi="Times New Roman" w:cs="Times New Roman"/>
          <w:b/>
          <w:i/>
          <w:noProof/>
          <w:sz w:val="24"/>
          <w:szCs w:val="24"/>
        </w:rPr>
      </w:pPr>
      <w:r>
        <w:rPr>
          <w:rFonts w:ascii="Times New Roman" w:hAnsi="Times New Roman" w:cs="Times New Roman"/>
          <w:b/>
          <w:i/>
          <w:noProof/>
          <w:sz w:val="24"/>
          <w:szCs w:val="24"/>
        </w:rPr>
        <w:t xml:space="preserve">3.2 Developing the Charter mainstreaming throughout the ‘European’ legislative process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is essential for the effective application of the Charter by the EU that </w:t>
      </w:r>
      <w:r>
        <w:rPr>
          <w:rFonts w:ascii="Times New Roman" w:hAnsi="Times New Roman" w:cs="Times New Roman"/>
          <w:b/>
          <w:noProof/>
          <w:sz w:val="24"/>
          <w:szCs w:val="24"/>
        </w:rPr>
        <w:t>the European Parliament</w:t>
      </w:r>
      <w:r>
        <w:rPr>
          <w:rFonts w:ascii="Times New Roman" w:hAnsi="Times New Roman" w:cs="Times New Roman"/>
          <w:noProof/>
          <w:sz w:val="24"/>
          <w:szCs w:val="24"/>
        </w:rPr>
        <w:t xml:space="preserve"> and the </w:t>
      </w:r>
      <w:r>
        <w:rPr>
          <w:rFonts w:ascii="Times New Roman" w:hAnsi="Times New Roman" w:cs="Times New Roman"/>
          <w:b/>
          <w:noProof/>
          <w:sz w:val="24"/>
          <w:szCs w:val="24"/>
        </w:rPr>
        <w:t xml:space="preserve">Council </w:t>
      </w:r>
      <w:r>
        <w:rPr>
          <w:rFonts w:ascii="Times New Roman" w:hAnsi="Times New Roman" w:cs="Times New Roman"/>
          <w:noProof/>
          <w:sz w:val="24"/>
          <w:szCs w:val="24"/>
        </w:rPr>
        <w:t>focus on Charter compliance in the legislative process. The Commission stands ready to support them. Compliance with the Charter is a key element for the sustainability of EU legislation</w:t>
      </w:r>
      <w:r>
        <w:rPr>
          <w:rStyle w:val="FootnoteReference"/>
          <w:rFonts w:ascii="Times New Roman" w:hAnsi="Times New Roman" w:cs="Times New Roman"/>
          <w:noProof/>
          <w:sz w:val="24"/>
          <w:szCs w:val="24"/>
        </w:rPr>
        <w:footnoteReference w:id="98"/>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In 2015 the Council published guidance on fundamental rights compliance checks</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rPr>
        <w:t>, which should be shared and explained regularly</w:t>
      </w:r>
      <w:r>
        <w:rPr>
          <w:rStyle w:val="FootnoteReference"/>
          <w:rFonts w:ascii="Times New Roman" w:hAnsi="Times New Roman" w:cs="Times New Roman"/>
          <w:noProof/>
          <w:sz w:val="24"/>
          <w:szCs w:val="24"/>
        </w:rPr>
        <w:footnoteReference w:id="100"/>
      </w:r>
      <w:r>
        <w:rPr>
          <w:rFonts w:ascii="Times New Roman" w:hAnsi="Times New Roman" w:cs="Times New Roman"/>
          <w:noProof/>
          <w:sz w:val="24"/>
          <w:szCs w:val="24"/>
        </w:rPr>
        <w:t xml:space="preserve">. The Council’s </w:t>
      </w:r>
      <w:r>
        <w:rPr>
          <w:rFonts w:ascii="Times New Roman" w:hAnsi="Times New Roman" w:cs="Times New Roman"/>
          <w:bCs/>
          <w:noProof/>
          <w:sz w:val="24"/>
          <w:szCs w:val="24"/>
        </w:rPr>
        <w:t>Working Party</w:t>
      </w:r>
      <w:r>
        <w:rPr>
          <w:rFonts w:ascii="Times New Roman" w:hAnsi="Times New Roman" w:cs="Times New Roman"/>
          <w:noProof/>
          <w:sz w:val="24"/>
          <w:szCs w:val="24"/>
        </w:rPr>
        <w:t xml:space="preserve"> on Fundamental Rights, Citizens' Rights and Free Movement of Persons (FREMP) plays an instrumental role in this respect. The European Parliament’s Committee on Civil Liberties, Justice and Home Affairs (LIBE) may submit opinions on the compliance of a legislative act with fundamental rights</w:t>
      </w:r>
      <w:r>
        <w:rPr>
          <w:rStyle w:val="FootnoteReference"/>
          <w:rFonts w:ascii="Times New Roman" w:hAnsi="Times New Roman" w:cs="Times New Roman"/>
          <w:noProof/>
          <w:sz w:val="24"/>
          <w:szCs w:val="24"/>
        </w:rPr>
        <w:footnoteReference w:id="101"/>
      </w:r>
      <w:r>
        <w:rPr>
          <w:rFonts w:ascii="Times New Roman" w:hAnsi="Times New Roman" w:cs="Times New Roman"/>
          <w:noProof/>
          <w:sz w:val="24"/>
          <w:szCs w:val="24"/>
        </w:rPr>
        <w:t>. Under the interinstitutional agreement on better law-making, the European Parliament and the Council can carry out impact assessments on their substantial amendments to a Commission’s proposal. It provides that impact assessments should address fundamental rights issues</w:t>
      </w:r>
      <w:r>
        <w:rPr>
          <w:rStyle w:val="FootnoteReference"/>
          <w:rFonts w:ascii="Times New Roman" w:hAnsi="Times New Roman" w:cs="Times New Roman"/>
          <w:noProof/>
          <w:sz w:val="24"/>
          <w:szCs w:val="24"/>
        </w:rPr>
        <w:footnoteReference w:id="102"/>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w:t>There are several recent examples of Charter mainstreaming in EU laws and many more can be found in the Commission’s annual reports</w:t>
      </w:r>
      <w:r>
        <w:rPr>
          <w:rStyle w:val="FootnoteReference"/>
          <w:rFonts w:ascii="Times New Roman" w:hAnsi="Times New Roman" w:cs="Times New Roman"/>
          <w:noProof/>
          <w:sz w:val="24"/>
          <w:szCs w:val="24"/>
          <w:lang w:val="en-US"/>
        </w:rPr>
        <w:footnoteReference w:id="103"/>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The European Accessibility Act</w:t>
      </w:r>
      <w:r>
        <w:rPr>
          <w:rFonts w:ascii="Times New Roman" w:hAnsi="Times New Roman" w:cs="Times New Roman"/>
          <w:noProof/>
          <w:sz w:val="24"/>
          <w:szCs w:val="24"/>
          <w:vertAlign w:val="superscript"/>
        </w:rPr>
        <w:footnoteReference w:id="104"/>
      </w:r>
      <w:r>
        <w:rPr>
          <w:rFonts w:ascii="Times New Roman" w:hAnsi="Times New Roman" w:cs="Times New Roman"/>
          <w:noProof/>
          <w:sz w:val="24"/>
          <w:szCs w:val="24"/>
        </w:rPr>
        <w:t xml:space="preserve"> seeks to ensure that persons with disabilities benefit from measures that ensure their independence, social and occupational integration and participation in the life of the community. The Regulation on the European Border and Coast Guard</w:t>
      </w:r>
      <w:r>
        <w:rPr>
          <w:rFonts w:ascii="Times New Roman" w:hAnsi="Times New Roman" w:cs="Times New Roman"/>
          <w:noProof/>
          <w:sz w:val="24"/>
          <w:szCs w:val="24"/>
          <w:vertAlign w:val="superscript"/>
        </w:rPr>
        <w:footnoteReference w:id="105"/>
      </w:r>
      <w:r>
        <w:rPr>
          <w:rFonts w:ascii="Times New Roman" w:hAnsi="Times New Roman" w:cs="Times New Roman"/>
          <w:noProof/>
          <w:sz w:val="24"/>
          <w:szCs w:val="24"/>
        </w:rPr>
        <w:t xml:space="preserve"> makes fundamental rights </w:t>
      </w:r>
      <w:r>
        <w:rPr>
          <w:rFonts w:ascii="Times New Roman" w:hAnsi="Times New Roman" w:cs="Times New Roman"/>
          <w:bCs/>
          <w:noProof/>
          <w:sz w:val="24"/>
          <w:szCs w:val="24"/>
        </w:rPr>
        <w:t xml:space="preserve">an overarching part </w:t>
      </w:r>
      <w:r>
        <w:rPr>
          <w:rFonts w:ascii="Times New Roman" w:hAnsi="Times New Roman" w:cs="Times New Roman"/>
          <w:bCs/>
          <w:noProof/>
          <w:sz w:val="24"/>
          <w:szCs w:val="24"/>
          <w:lang w:val="en-US"/>
        </w:rPr>
        <w:t>in the implementation of the European integrated border management</w:t>
      </w:r>
      <w:r>
        <w:rPr>
          <w:rFonts w:ascii="Times New Roman" w:hAnsi="Times New Roman" w:cs="Times New Roman"/>
          <w:noProof/>
          <w:sz w:val="24"/>
          <w:szCs w:val="24"/>
          <w:lang w:val="en-US"/>
        </w:rPr>
        <w:t>.</w:t>
      </w:r>
    </w:p>
    <w:p>
      <w:pPr>
        <w:jc w:val="both"/>
        <w:rPr>
          <w:noProof/>
        </w:rPr>
      </w:pPr>
    </w:p>
    <w:p>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cs="Times New Roman"/>
          <w:b/>
          <w:i/>
          <w:noProof/>
          <w:sz w:val="24"/>
          <w:szCs w:val="24"/>
        </w:rPr>
        <w:t xml:space="preserve">The Commission invites the European Parliament and the Council </w:t>
      </w:r>
      <w:r>
        <w:rPr>
          <w:rFonts w:ascii="Times New Roman" w:hAnsi="Times New Roman" w:cs="Times New Roman"/>
          <w:i/>
          <w:noProof/>
          <w:sz w:val="24"/>
          <w:szCs w:val="24"/>
        </w:rPr>
        <w:t>to use the tools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noProof/>
        </w:rPr>
      </w:pPr>
      <w:r>
        <w:rPr>
          <w:rFonts w:ascii="Times New Roman" w:hAnsi="Times New Roman" w:cs="Times New Roman"/>
          <w:i/>
          <w:noProof/>
          <w:sz w:val="24"/>
          <w:szCs w:val="24"/>
        </w:rPr>
        <w:t>at their disposal to ensure that the Charter is applied effectively in their work.</w:t>
      </w:r>
      <w:r>
        <w:rPr>
          <w:rFonts w:ascii="Times New Roman" w:hAnsi="Times New Roman" w:cs="Times New Roman"/>
          <w:noProof/>
          <w:sz w:val="24"/>
          <w:szCs w:val="24"/>
        </w:rPr>
        <w:t xml:space="preserve"> </w:t>
      </w:r>
      <w:r>
        <w:rPr>
          <w:rFonts w:ascii="Times New Roman" w:hAnsi="Times New Roman" w:cs="Times New Roman"/>
          <w:i/>
          <w:noProof/>
          <w:sz w:val="24"/>
          <w:szCs w:val="24"/>
        </w:rPr>
        <w:t>The Commission stands ready to support them.</w:t>
      </w:r>
    </w:p>
    <w:p>
      <w:pPr>
        <w:rPr>
          <w:rFonts w:asciiTheme="majorHAnsi" w:eastAsiaTheme="majorEastAsia" w:hAnsiTheme="majorHAnsi" w:cstheme="majorBidi"/>
          <w:noProof/>
          <w:color w:val="2E74B5" w:themeColor="accent1" w:themeShade="BF"/>
          <w:sz w:val="32"/>
          <w:szCs w:val="32"/>
        </w:rPr>
      </w:pPr>
      <w:r>
        <w:rPr>
          <w:noProof/>
        </w:rPr>
        <w:br w:type="page"/>
      </w:r>
    </w:p>
    <w:p>
      <w:pPr>
        <w:pStyle w:val="Heading1"/>
        <w:rPr>
          <w:rFonts w:ascii="Times New Roman" w:hAnsi="Times New Roman" w:cs="Times New Roman"/>
          <w:noProof/>
        </w:rPr>
      </w:pPr>
      <w:r>
        <w:rPr>
          <w:rFonts w:ascii="Times New Roman" w:hAnsi="Times New Roman" w:cs="Times New Roman"/>
          <w:noProof/>
        </w:rPr>
        <w:t>4 - Strengthening peoples’ awareness of their rights under the Charter</w:t>
      </w:r>
    </w:p>
    <w:p>
      <w:pPr>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recent Eurobarometer on Charter awareness shows that only 42% of respondents have heard about the Charter and only 12% really know what it is. </w:t>
      </w: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4589362" cy="260858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9362" cy="2608580"/>
                    </a:xfrm>
                    <a:prstGeom prst="rect">
                      <a:avLst/>
                    </a:prstGeom>
                    <a:noFill/>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Six out of ten respondents want to know more about their rights and where to turn to if their Charter rights are violated</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Calibri" w:eastAsia="Calibri" w:hAnsi="Calibri" w:cs="Times New Roman"/>
          <w:noProof/>
          <w:lang w:eastAsia="en-GB"/>
        </w:rPr>
        <w:drawing>
          <wp:inline distT="0" distB="0" distL="0" distR="0">
            <wp:extent cx="5606903" cy="366338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QB6-GO-EN_EU-P-mod2.jpg"/>
                    <pic:cNvPicPr/>
                  </pic:nvPicPr>
                  <pic:blipFill rotWithShape="1">
                    <a:blip r:embed="rId17"/>
                    <a:srcRect r="2988" b="5803"/>
                    <a:stretch/>
                  </pic:blipFill>
                  <pic:spPr bwMode="auto">
                    <a:xfrm>
                      <a:off x="0" y="0"/>
                      <a:ext cx="5649168" cy="3691002"/>
                    </a:xfrm>
                    <a:prstGeom prst="rect">
                      <a:avLst/>
                    </a:prstGeom>
                    <a:ln>
                      <a:noFill/>
                    </a:ln>
                    <a:extLst>
                      <a:ext uri="{53640926-AAD7-44D8-BBD7-CCE9431645EC}">
                        <a14:shadowObscured xmlns:a14="http://schemas.microsoft.com/office/drawing/2010/main"/>
                      </a:ext>
                    </a:extLst>
                  </pic:spPr>
                </pic:pic>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szCs w:val="24"/>
        </w:rPr>
        <w:t>Most (80%) civil society organisations report that people turn to them for information about their rights and an even higher proportion (85%) that they carry out awareness raising activities about rights</w:t>
      </w:r>
      <w:r>
        <w:rPr>
          <w:rFonts w:ascii="Times New Roman" w:hAnsi="Times New Roman" w:cs="Times New Roman"/>
          <w:noProof/>
          <w:sz w:val="24"/>
          <w:szCs w:val="24"/>
          <w:vertAlign w:val="superscript"/>
        </w:rPr>
        <w:footnoteReference w:id="107"/>
      </w:r>
      <w:r>
        <w:rPr>
          <w:rFonts w:ascii="Times New Roman" w:hAnsi="Times New Roman" w:cs="Times New Roman"/>
          <w:noProof/>
          <w:sz w:val="24"/>
          <w:szCs w:val="24"/>
        </w:rPr>
        <w:t>. Local authorities are also well placed to raise awareness about people's rights and about what people can do if their rights are breached</w:t>
      </w:r>
      <w:r>
        <w:rPr>
          <w:rStyle w:val="FootnoteReference"/>
          <w:rFonts w:ascii="Times New Roman" w:hAnsi="Times New Roman" w:cs="Times New Roman"/>
          <w:noProof/>
          <w:sz w:val="24"/>
          <w:szCs w:val="24"/>
        </w:rPr>
        <w:footnoteReference w:id="108"/>
      </w:r>
      <w:r>
        <w:rPr>
          <w:rFonts w:ascii="Times New Roman" w:hAnsi="Times New Roman" w:cs="Times New Roman"/>
          <w:noProof/>
          <w:sz w:val="24"/>
          <w:szCs w:val="24"/>
        </w:rPr>
        <w:t>.The relevance of explaining rights and what they mean for people, through real life stories, is essential</w:t>
      </w:r>
      <w:r>
        <w:rPr>
          <w:rFonts w:ascii="Times New Roman" w:hAnsi="Times New Roman" w:cs="Times New Roman"/>
          <w:noProof/>
          <w:sz w:val="24"/>
          <w:szCs w:val="24"/>
          <w:vertAlign w:val="superscript"/>
        </w:rPr>
        <w:footnoteReference w:id="109"/>
      </w:r>
      <w:r>
        <w:rPr>
          <w:rFonts w:ascii="Times New Roman" w:hAnsi="Times New Roman" w:cs="Times New Roman"/>
          <w:i/>
          <w:noProof/>
          <w:sz w:val="24"/>
          <w:szCs w:val="24"/>
        </w:rPr>
        <w:t>.</w:t>
      </w:r>
    </w:p>
    <w:p>
      <w:pPr>
        <w:jc w:val="both"/>
        <w:rPr>
          <w:rFonts w:ascii="Times New Roman" w:hAnsi="Times New Roman" w:cs="Times New Roman"/>
          <w:iCs/>
          <w:noProof/>
          <w:sz w:val="24"/>
          <w:szCs w:val="24"/>
        </w:rPr>
      </w:pPr>
      <w:r>
        <w:rPr>
          <w:rFonts w:ascii="Times New Roman" w:hAnsi="Times New Roman" w:cs="Times New Roman"/>
          <w:iCs/>
          <w:noProof/>
          <w:sz w:val="24"/>
          <w:szCs w:val="24"/>
        </w:rPr>
        <w:t>The FRA’s 2021 Forum on fundamental rights</w:t>
      </w:r>
      <w:r>
        <w:rPr>
          <w:rStyle w:val="FootnoteReference"/>
          <w:rFonts w:ascii="Times New Roman" w:hAnsi="Times New Roman" w:cs="Times New Roman"/>
          <w:iCs/>
          <w:noProof/>
          <w:sz w:val="24"/>
          <w:szCs w:val="24"/>
        </w:rPr>
        <w:footnoteReference w:id="110"/>
      </w:r>
      <w:r>
        <w:rPr>
          <w:rFonts w:ascii="Times New Roman" w:hAnsi="Times New Roman" w:cs="Times New Roman"/>
          <w:iCs/>
          <w:noProof/>
          <w:sz w:val="24"/>
          <w:szCs w:val="24"/>
        </w:rPr>
        <w:t xml:space="preserve"> is an opportunity to raise awareness on the Charter of fundamental rights and reflect on how to further develop a culture of values in the EU. The Conference on the Future of Europe will offer people the opportunity to discuss fundamental rights and EU values that are central to our Union and its future.</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work on an awareness raising campaign, aimed at better informing people about their Charter rights and where to turn when their rights are breached. It will be accessible to people with disabilities.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also step up efforts to better communicate Charter rights to young people, making the best use of the Erasmus+ programme. It will in particular refer to information on the Charter in the Erasmus+ student Charter, which reaches all Erasmus+ students; include ‘fundamental rights’ as a key priority in the Jean Monnet action for Higher Education; encourage Higher Education Institutions to offer training or online courses on European civic engagement and promote the Charter of Fundamental Rights; and develop online resource for school teachers to raise awareness of fundamental rights in classrooms</w:t>
      </w:r>
      <w:r>
        <w:rPr>
          <w:rFonts w:ascii="Times New Roman" w:hAnsi="Times New Roman" w:cs="Times New Roman"/>
          <w:i/>
          <w:noProof/>
          <w:sz w:val="24"/>
          <w:szCs w:val="24"/>
        </w:rPr>
        <w:t>.</w:t>
      </w:r>
      <w:r>
        <w:rPr>
          <w:rFonts w:ascii="Times New Roman" w:hAnsi="Times New Roman" w:cs="Times New Roman"/>
          <w:b/>
          <w:i/>
          <w:noProof/>
          <w:sz w:val="24"/>
          <w:szCs w:val="24"/>
        </w:rPr>
        <w:t xml:space="preserve"> </w:t>
      </w:r>
      <w:r>
        <w:rPr>
          <w:rFonts w:ascii="Times New Roman" w:hAnsi="Times New Roman" w:cs="Times New Roman"/>
          <w:noProof/>
          <w:sz w:val="24"/>
          <w:szCs w:val="24"/>
        </w:rPr>
        <w:t>It will engage with young people on fundamental values and global citizenship issues, including Sustainable Development Goals, through its development education and awareness raising programme (DEAR)</w:t>
      </w:r>
      <w:r>
        <w:rPr>
          <w:rStyle w:val="FootnoteReference"/>
          <w:rFonts w:ascii="Times New Roman" w:hAnsi="Times New Roman" w:cs="Times New Roman"/>
          <w:noProof/>
          <w:sz w:val="24"/>
          <w:szCs w:val="24"/>
        </w:rPr>
        <w:footnoteReference w:id="111"/>
      </w:r>
      <w:r>
        <w:rPr>
          <w:rFonts w:ascii="Times New Roman" w:hAnsi="Times New Roman" w:cs="Times New Roman"/>
          <w:noProof/>
          <w:sz w:val="24"/>
          <w:szCs w:val="24"/>
        </w:rPr>
        <w:t>. In its upcoming strategy on the rights of the child, the Commission will also explore ways to communicate in a child-friendly way on children’s rights.</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b/>
          <w:i/>
          <w:noProof/>
          <w:sz w:val="24"/>
          <w:szCs w:val="24"/>
        </w:rPr>
      </w:pPr>
      <w:r>
        <w:rPr>
          <w:rFonts w:ascii="Times New Roman" w:hAnsi="Times New Roman" w:cs="Times New Roman"/>
          <w:b/>
          <w:i/>
          <w:noProof/>
          <w:sz w:val="24"/>
          <w:szCs w:val="24"/>
        </w:rPr>
        <w:t>The Commission will:</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cs="Times New Roman"/>
          <w:i/>
          <w:noProof/>
          <w:sz w:val="24"/>
          <w:szCs w:val="24"/>
        </w:rPr>
        <w:t>- Launch an information campaign to raise people’s awareness of their Charter rights and how to use them, giving specific examples and cooperating with actors on the ground;</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cs="Times New Roman"/>
          <w:i/>
          <w:noProof/>
          <w:sz w:val="24"/>
          <w:szCs w:val="24"/>
        </w:rPr>
        <w:t>- Develop young people’s awareness of their Charter rights through the Erasmus+ programme;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cs="Times New Roman"/>
          <w:i/>
          <w:noProof/>
          <w:sz w:val="24"/>
          <w:szCs w:val="24"/>
        </w:rPr>
        <w:t>- Raise children’s awareness of their rights as an outcome of its forthcoming strategy on the rights of the child.</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cs="Times New Roman"/>
          <w:b/>
          <w:i/>
          <w:noProof/>
          <w:sz w:val="24"/>
          <w:szCs w:val="24"/>
        </w:rPr>
        <w:t>The Commission invites Member States</w:t>
      </w:r>
      <w:r>
        <w:rPr>
          <w:rFonts w:ascii="Times New Roman" w:hAnsi="Times New Roman" w:cs="Times New Roman"/>
          <w:i/>
          <w:noProof/>
          <w:sz w:val="24"/>
          <w:szCs w:val="24"/>
        </w:rPr>
        <w:t xml:space="preserve"> to develop initiatives to promote people’s awareness of their Charter rights and of where to turn when their rights are breached, in particular by empowering local actors</w:t>
      </w:r>
      <w:r>
        <w:rPr>
          <w:rStyle w:val="FootnoteReference"/>
          <w:rFonts w:ascii="Times New Roman" w:hAnsi="Times New Roman" w:cs="Times New Roman"/>
          <w:i/>
          <w:noProof/>
          <w:sz w:val="24"/>
          <w:szCs w:val="24"/>
        </w:rPr>
        <w:footnoteReference w:id="112"/>
      </w:r>
      <w:r>
        <w:rPr>
          <w:rFonts w:ascii="Times New Roman" w:hAnsi="Times New Roman" w:cs="Times New Roman"/>
          <w:i/>
          <w:noProof/>
          <w:sz w:val="24"/>
          <w:szCs w:val="24"/>
        </w:rPr>
        <w:t>.</w:t>
      </w:r>
    </w:p>
    <w:p>
      <w:pPr>
        <w:pStyle w:val="Heading1"/>
        <w:rPr>
          <w:rFonts w:ascii="Times New Roman" w:hAnsi="Times New Roman" w:cs="Times New Roman"/>
          <w:noProof/>
        </w:rPr>
      </w:pPr>
      <w:r>
        <w:rPr>
          <w:rFonts w:ascii="Times New Roman" w:hAnsi="Times New Roman" w:cs="Times New Roman"/>
          <w:noProof/>
        </w:rPr>
        <w:t>Conclusion</w:t>
      </w:r>
    </w:p>
    <w:p>
      <w:pPr>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The binding nature of the Charter has enabled the EU legal order to develop into a beacon of fundamental rights protection. It has turned out to be the embodiment of what EU rights and values mean - a symbol of European identity. It has led to a more coherent and comprehensive interpretation of fundamental rights across the EU.</w:t>
      </w:r>
    </w:p>
    <w:p>
      <w:pPr>
        <w:jc w:val="both"/>
        <w:rPr>
          <w:rFonts w:ascii="Times New Roman" w:hAnsi="Times New Roman" w:cs="Times New Roman"/>
          <w:noProof/>
          <w:sz w:val="24"/>
          <w:szCs w:val="24"/>
        </w:rPr>
      </w:pPr>
      <w:r>
        <w:rPr>
          <w:rFonts w:ascii="Times New Roman" w:hAnsi="Times New Roman" w:cs="Times New Roman"/>
          <w:noProof/>
          <w:sz w:val="24"/>
          <w:szCs w:val="24"/>
        </w:rPr>
        <w:t>EU institutions, Member States and the various actors in the Charter’s enforcement chain have a duty to ensure that the Charter becomes a living instrument, protecting fundamental rights in Europe for the benefit of all.</w:t>
      </w:r>
    </w:p>
    <w:p>
      <w:pPr>
        <w:jc w:val="both"/>
        <w:rPr>
          <w:rFonts w:ascii="Times New Roman" w:hAnsi="Times New Roman" w:cs="Times New Roman"/>
          <w:noProof/>
          <w:sz w:val="24"/>
          <w:szCs w:val="24"/>
        </w:rPr>
      </w:pPr>
      <w:r>
        <w:rPr>
          <w:rFonts w:ascii="Times New Roman" w:hAnsi="Times New Roman" w:cs="Times New Roman"/>
          <w:iCs/>
          <w:noProof/>
          <w:sz w:val="24"/>
          <w:szCs w:val="24"/>
        </w:rPr>
        <w:t>The Commission will present an annual report on the application of the Charter,</w:t>
      </w:r>
      <w:r>
        <w:rPr>
          <w:rFonts w:ascii="Times New Roman" w:hAnsi="Times New Roman" w:cs="Times New Roman"/>
          <w:noProof/>
          <w:sz w:val="24"/>
          <w:szCs w:val="24"/>
        </w:rPr>
        <w:t xml:space="preserve"> which should form the basis for an inter-institutional discussion</w:t>
      </w:r>
      <w:r>
        <w:rPr>
          <w:rFonts w:ascii="Times New Roman" w:hAnsi="Times New Roman" w:cs="Times New Roman"/>
          <w:iCs/>
          <w:noProof/>
          <w:sz w:val="24"/>
          <w:szCs w:val="24"/>
        </w:rPr>
        <w:t>. In 2025,</w:t>
      </w:r>
      <w:r>
        <w:rPr>
          <w:rFonts w:ascii="Times New Roman" w:hAnsi="Times New Roman" w:cs="Times New Roman"/>
          <w:i/>
          <w:iCs/>
          <w:noProof/>
          <w:sz w:val="24"/>
          <w:szCs w:val="24"/>
        </w:rPr>
        <w:t xml:space="preserve"> </w:t>
      </w:r>
      <w:r>
        <w:rPr>
          <w:rFonts w:ascii="Times New Roman" w:hAnsi="Times New Roman" w:cs="Times New Roman"/>
          <w:noProof/>
          <w:sz w:val="24"/>
          <w:szCs w:val="24"/>
        </w:rPr>
        <w:t>the Commission will also report on the implementation of this strategy. In 2030, the Commission will launch a stock-taking exercise in cooperation with the key actors for the Charter’s enforcement to evaluate progress in awareness and use of the Charter.</w:t>
      </w:r>
    </w:p>
    <w:p>
      <w:pPr>
        <w:jc w:val="both"/>
        <w:rPr>
          <w:rFonts w:ascii="Times New Roman" w:hAnsi="Times New Roman" w:cs="Times New Roman"/>
          <w:noProof/>
          <w:sz w:val="24"/>
          <w:szCs w:val="24"/>
        </w:rPr>
      </w:pPr>
      <w:r>
        <w:rPr>
          <w:rFonts w:ascii="Times New Roman" w:hAnsi="Times New Roman" w:cs="Times New Roman"/>
          <w:noProof/>
          <w:sz w:val="24"/>
          <w:szCs w:val="24"/>
        </w:rPr>
        <w:t>Given Member States’ key role in the implementation of this strategy, the Commission invites the Council to prepare follow-up conclusions.</w:t>
      </w:r>
    </w:p>
    <w:p>
      <w:pPr>
        <w:rPr>
          <w:rFonts w:ascii="Times New Roman" w:hAnsi="Times New Roman" w:cs="Times New Roman"/>
          <w:noProof/>
          <w:sz w:val="24"/>
          <w:szCs w:val="24"/>
        </w:rPr>
      </w:pPr>
    </w:p>
    <w:p>
      <w:pPr>
        <w:rPr>
          <w:rFonts w:ascii="Times New Roman" w:hAnsi="Times New Roman" w:cs="Times New Roman"/>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316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Article 6 (1) of the Treaty on European Union. In addition, Article 6 (3) reaffirms that fundamental rights as guaranteed by the European Convention on Human Rights and as they result from the constitutional traditions common to the Member States are general principles of EU law.</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OJ C326, 26.10.2012, p.391. The Charter is an instrument of primary EU law that enshrines the fundamental rights people enjoy in the EU. It is a modern and comprehensive instrument protecting and promoting people’s rights and freedoms in the light of changes in society, social progress and scientific and technological developments.</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Article 2 of the Treaty on European Union: “</w:t>
      </w:r>
      <w:r>
        <w:rPr>
          <w:rFonts w:ascii="Times New Roman" w:hAnsi="Times New Roman" w:cs="Times New Roman"/>
          <w:i/>
        </w:rPr>
        <w:t>The Union is founded on the values of respect for human dignity, freedom, democracy, equality, the rule of law and respect for human rights, including the rights of persons belonging to minorities. These values are common to the Member States in a society in which pluralism, non-discrimination, tolerance, justice, solidarity and equality between women and men prevail”</w:t>
      </w:r>
      <w:r>
        <w:rPr>
          <w:rFonts w:ascii="Times New Roman" w:hAnsi="Times New Roman" w:cs="Times New Roman"/>
        </w:rPr>
        <w:t>.</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COM(2010)573.</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the Commission’s annual reports on the application of the Charter: </w:t>
      </w:r>
      <w:hyperlink r:id="rId1" w:history="1">
        <w:r>
          <w:rPr>
            <w:rStyle w:val="Hyperlink"/>
            <w:rFonts w:ascii="Times New Roman" w:hAnsi="Times New Roman" w:cs="Times New Roman"/>
          </w:rPr>
          <w:t>https://ec.europa.eu/info/aid-development-cooperation-fundamental-rights/your-rights-eu/eu-charter-fundamental-rights/application-charter/annual-reports-application-charter_en</w:t>
        </w:r>
      </w:hyperlink>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Charter is currently invoked in about 10% of all preliminary ruling procedures. Cases in which the Court refers to the Charter increased from 27 in 2010 to 371 in 2019. See the EU Agency for Fundamental Rights report on fundamental rights 2020 (‘FRA fundamental rights report 2020’), focus section, p. 4:</w:t>
      </w:r>
      <w:r>
        <w:rPr>
          <w:rFonts w:ascii="Times New Roman" w:hAnsi="Times New Roman" w:cs="Times New Roman"/>
          <w:sz w:val="22"/>
          <w:szCs w:val="22"/>
        </w:rPr>
        <w:t xml:space="preserve"> </w:t>
      </w:r>
      <w:hyperlink r:id="rId2" w:history="1">
        <w:r>
          <w:rPr>
            <w:rStyle w:val="Hyperlink"/>
            <w:rFonts w:ascii="Times New Roman" w:hAnsi="Times New Roman" w:cs="Times New Roman"/>
          </w:rPr>
          <w:t>https://fra.europa.eu/en/publication/2020/fundamental-rights-report-2020</w:t>
        </w:r>
      </w:hyperlink>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Koen Lenaerts, President of the Court, keynote speech at the conference ‘Making the Charter of Fundamental Rights a reality for all’ (‘Charter event’): </w:t>
      </w:r>
      <w:hyperlink r:id="rId3" w:history="1">
        <w:r>
          <w:rPr>
            <w:rStyle w:val="Hyperlink"/>
            <w:rFonts w:ascii="Times New Roman" w:hAnsi="Times New Roman" w:cs="Times New Roman"/>
          </w:rPr>
          <w:t>https://ec.europa.eu/info/events/2019-conference-eu-charter-fundamental-rights-2019-nov-12_en</w:t>
        </w:r>
      </w:hyperlink>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4" w:history="1">
        <w:r>
          <w:rPr>
            <w:rStyle w:val="Hyperlink"/>
            <w:rFonts w:ascii="Times New Roman" w:hAnsi="Times New Roman" w:cs="Times New Roman"/>
          </w:rPr>
          <w:t>https://fra.europa.eu/en/about-fra</w:t>
        </w:r>
      </w:hyperlink>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Focus section of the Commission’s 2019 report on the application of the Charter, COM(2019)257.</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Such as freedom of movement, freedom of assembly and freedom of religion, freedom to conduct a business, the right to data protection or freedom of expression. These challenges in the COVID-19 context have also affected the conduct of free and fair elections and an open democratic debate. The Commission is working with the Member States to exchange experience and practices in this area.</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Which includes climate action, environmental protection (provided in Article 37 of the Charter) and the objectives of the just transition, as reflected further by the European Green Deal Communication, COM(2019)640.</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IE"/>
        </w:rPr>
        <w:t xml:space="preserve">Joint Research Centre (JRC) report on the influence of online media on citizens’ behaviour: </w:t>
      </w:r>
      <w:hyperlink r:id="rId5" w:history="1">
        <w:r>
          <w:rPr>
            <w:rStyle w:val="Hyperlink"/>
            <w:rFonts w:ascii="Times New Roman" w:hAnsi="Times New Roman" w:cs="Times New Roman"/>
            <w:lang w:val="en-IE"/>
          </w:rPr>
          <w:t>https://ec.europa.eu/jrc/en/publication/eur-scientific-and-technical-research-reports/technology-and-democracy</w:t>
        </w:r>
      </w:hyperlink>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Such as older people (see Council Conclusions of 9 October 2020: </w:t>
      </w:r>
      <w:hyperlink r:id="rId6" w:history="1">
        <w:r>
          <w:rPr>
            <w:rStyle w:val="Hyperlink"/>
            <w:rFonts w:ascii="Times New Roman" w:hAnsi="Times New Roman" w:cs="Times New Roman"/>
            <w:lang w:val="en-US"/>
          </w:rPr>
          <w:t>https://data.consilium.europa.eu/doc/document/ST-11717-2020-REV-2/en/pdf</w:t>
        </w:r>
      </w:hyperlink>
      <w:r>
        <w:rPr>
          <w:rFonts w:ascii="Times New Roman" w:hAnsi="Times New Roman" w:cs="Times New Roman"/>
        </w:rPr>
        <w:t>) and people with disabilities.</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Rapporteur Šimečka’s Legislative report on the establishment of an EU mechanism to protect democracy, the rule of law and fundamental rights, 2020/2072(INL). See also the </w:t>
      </w:r>
      <w:r>
        <w:rPr>
          <w:rFonts w:ascii="Times New Roman" w:hAnsi="Times New Roman" w:cs="Times New Roman"/>
          <w:lang w:val="en-US"/>
        </w:rPr>
        <w:t>European Parliament’s resolution of 26 November 2020 on the situation of Fundamental Rights in the European Union - Annual Report for the years 2018 -- 2019 (2019/2199(INI)).</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Council Conclusions on the Charter of Fundamental rights after 10 years: State of play and future work, 7 December 2019 (‘Council Charter Conclusions’). They followed the Commission’s 2019 report on the application of the Charter, op.cit.</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 consultation was organised through the Council working group for Fundamental Rights, Citizens Rights and Free Movement of Persons (FREMP) between April and May 2020.</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Reference to local authorities is to be understood as covering also regional authorities.</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In this strategy rights defenders means independent authorities protecting rights such as national human rights institutions (NHRIs), equality bodies, Ombuds institutions, data protection authorities, etc. Since this strategy does not focus on specific rights but looks at how to boost the application of the Charter as a whole, focus will mainly be laid on authorities with a broad fundamental rights mandate such as NHRIs.</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Special Eurobarometer 487b.</w:t>
      </w:r>
    </w:p>
  </w:footnote>
  <w:footnote w:id="20">
    <w:p>
      <w:pPr>
        <w:pStyle w:val="FootnoteText"/>
        <w:jc w:val="both"/>
        <w:rPr>
          <w:rFonts w:ascii="Times New Roman" w:hAnsi="Times New Roman" w:cs="Times New Roman"/>
          <w:lang w:val="cs-CZ"/>
        </w:rPr>
      </w:pPr>
      <w:r>
        <w:rPr>
          <w:rStyle w:val="FootnoteReference"/>
          <w:rFonts w:ascii="Times New Roman" w:hAnsi="Times New Roman" w:cs="Times New Roman"/>
        </w:rPr>
        <w:footnoteRef/>
      </w:r>
      <w:r>
        <w:rPr>
          <w:rFonts w:ascii="Times New Roman" w:hAnsi="Times New Roman" w:cs="Times New Roman"/>
        </w:rPr>
        <w:tab/>
        <w:t xml:space="preserve">The Commission consulted stakeholders through a dedicated Charter event: </w:t>
      </w:r>
      <w:hyperlink r:id="rId7" w:history="1">
        <w:r>
          <w:rPr>
            <w:rStyle w:val="Hyperlink"/>
            <w:rFonts w:ascii="Times New Roman" w:hAnsi="Times New Roman" w:cs="Times New Roman"/>
          </w:rPr>
          <w:t>https://ec.europa.eu/info/events/2019-conference-eu-charter-fundamental-rights-2019-nov-12_en</w:t>
        </w:r>
      </w:hyperlink>
      <w:r>
        <w:rPr>
          <w:rFonts w:ascii="Times New Roman" w:hAnsi="Times New Roman" w:cs="Times New Roman"/>
        </w:rPr>
        <w:t xml:space="preserve"> and targeted questionnaires, the outcomes of which were analysed by FRA (‘stakeholder consultations analysis’): </w:t>
      </w:r>
      <w:hyperlink r:id="rId8" w:history="1">
        <w:r>
          <w:rPr>
            <w:rStyle w:val="Hyperlink"/>
            <w:rFonts w:ascii="Times New Roman" w:hAnsi="Times New Roman" w:cs="Times New Roman"/>
          </w:rPr>
          <w:t>https://ec.europa.eu/info/files/analysis-targeted-consultations-commissions-new-charter-strategy_en</w:t>
        </w:r>
      </w:hyperlink>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COM(2020)790.</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COM(2020)580.</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EU strategy on victims’ rights, COM(2020)258; The Commission proposal to amend the Aarhus regulation, COM(2020)642;</w:t>
      </w:r>
      <w:r>
        <w:rPr>
          <w:rFonts w:ascii="Times New Roman" w:hAnsi="Times New Roman" w:cs="Times New Roman"/>
          <w:sz w:val="24"/>
          <w:szCs w:val="24"/>
        </w:rPr>
        <w:t xml:space="preserve"> </w:t>
      </w:r>
      <w:r>
        <w:rPr>
          <w:rFonts w:ascii="Times New Roman" w:hAnsi="Times New Roman" w:cs="Times New Roman"/>
        </w:rPr>
        <w:t>and the Communication on access to justice in environmental matters, COM(2020)643.</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gender equality strategy, COM(2020)152;</w:t>
      </w:r>
      <w:r>
        <w:rPr>
          <w:rFonts w:ascii="Times New Roman" w:hAnsi="Times New Roman" w:cs="Times New Roman"/>
          <w:sz w:val="24"/>
          <w:szCs w:val="24"/>
        </w:rPr>
        <w:t xml:space="preserve"> </w:t>
      </w:r>
      <w:r>
        <w:rPr>
          <w:rFonts w:ascii="Times New Roman" w:hAnsi="Times New Roman" w:cs="Times New Roman"/>
        </w:rPr>
        <w:t>the Communication on a new ERA for research and innovation, COM(2020)628; the EU Roma strategic framework for equality, inclusion and participation, COM(2020)620 and the proposal for a Council Recommendation on Roma equality, inclusion and participation, COM(2020)621; the LGBTIQ equality strategy, COM(2020)698;</w:t>
      </w:r>
      <w:r>
        <w:rPr>
          <w:rFonts w:ascii="Times New Roman" w:hAnsi="Times New Roman" w:cs="Times New Roman"/>
          <w:sz w:val="24"/>
          <w:szCs w:val="24"/>
        </w:rPr>
        <w:t xml:space="preserve"> </w:t>
      </w:r>
      <w:r>
        <w:rPr>
          <w:rFonts w:ascii="Times New Roman" w:hAnsi="Times New Roman" w:cs="Times New Roman"/>
        </w:rPr>
        <w:t xml:space="preserve">and the forthcoming strategy on the rights of persons with disability, </w:t>
      </w:r>
      <w:r>
        <w:rPr>
          <w:rFonts w:ascii="Times New Roman" w:hAnsi="Times New Roman" w:cs="Times New Roman"/>
          <w:lang w:val="en-IE"/>
        </w:rPr>
        <w:t>planned for 2021</w:t>
      </w:r>
      <w:r>
        <w:rPr>
          <w:rFonts w:ascii="Times New Roman" w:hAnsi="Times New Roman" w:cs="Times New Roman"/>
        </w:rPr>
        <w:t>.</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The EU anti-racism action plan 2020-2025, </w:t>
      </w:r>
      <w:r>
        <w:rPr>
          <w:rFonts w:ascii="Times New Roman" w:hAnsi="Times New Roman" w:cs="Times New Roman"/>
          <w:lang w:val="en-US"/>
        </w:rPr>
        <w:t xml:space="preserve">COM(2020)565; </w:t>
      </w:r>
      <w:r>
        <w:rPr>
          <w:rFonts w:ascii="Times New Roman" w:hAnsi="Times New Roman" w:cs="Times New Roman"/>
        </w:rPr>
        <w:t>and the forthcoming strategy on combating antisemitism, planned for 2021.</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The European Pillar of social rights: </w:t>
      </w:r>
      <w:hyperlink r:id="rId9" w:history="1">
        <w:r>
          <w:rPr>
            <w:rStyle w:val="Hyperlink"/>
            <w:rFonts w:ascii="Times New Roman" w:hAnsi="Times New Roman" w:cs="Times New Roman"/>
            <w:lang w:val="en-IE"/>
          </w:rPr>
          <w:t>https://ec.europa.eu/commission/sites/beta-political/files/social-summit-european-pillar-social-rights-booklet_en.pdf</w:t>
        </w:r>
      </w:hyperlink>
      <w:r>
        <w:rPr>
          <w:rStyle w:val="Hyperlink"/>
          <w:rFonts w:ascii="Times New Roman" w:hAnsi="Times New Roman" w:cs="Times New Roman"/>
          <w:lang w:val="en-IE"/>
        </w:rPr>
        <w:t xml:space="preserve">. </w:t>
      </w:r>
      <w:r>
        <w:rPr>
          <w:rStyle w:val="Hyperlink"/>
          <w:rFonts w:ascii="Times New Roman" w:hAnsi="Times New Roman" w:cs="Times New Roman"/>
          <w:color w:val="auto"/>
          <w:u w:val="none"/>
          <w:lang w:val="en-IE"/>
        </w:rPr>
        <w:t xml:space="preserve">An action plan on the Pillar will be presented in 2021; and </w:t>
      </w:r>
      <w:r>
        <w:rPr>
          <w:rFonts w:ascii="Times New Roman" w:hAnsi="Times New Roman" w:cs="Times New Roman"/>
        </w:rPr>
        <w:t>the Commission Communication on achieving the European Education Area by 2025 and the digital education action plan, COM(2020)624.</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investment protection and facilitation framework in the EU, planned for 2021.</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Commission’s EU citizenship Report 2020 ‘Empowering citizens and protecting their rights in challenging times’, to be adopted before the end of the year.</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Strategy on the rights of the child</w:t>
      </w:r>
      <w:r>
        <w:rPr>
          <w:rFonts w:ascii="Times New Roman" w:hAnsi="Times New Roman" w:cs="Times New Roman"/>
          <w:sz w:val="24"/>
          <w:szCs w:val="24"/>
        </w:rPr>
        <w:t xml:space="preserve"> </w:t>
      </w:r>
      <w:r>
        <w:rPr>
          <w:rFonts w:ascii="Times New Roman" w:hAnsi="Times New Roman" w:cs="Times New Roman"/>
        </w:rPr>
        <w:t>and the European child guarantee, both planned for 2021.</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Such as the European Social Charter and the UN Convention on the Rights of Persons with Disabilities (UNCRPD).</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Article 21 of the Treaty on European Union.</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0" w:history="1">
        <w:r>
          <w:rPr>
            <w:rStyle w:val="Hyperlink"/>
            <w:rFonts w:ascii="Times New Roman" w:hAnsi="Times New Roman" w:cs="Times New Roman"/>
          </w:rPr>
          <w:t>https://data.consilium.europa.eu/doc/document/ST-12848-2020-INIT/en/pdf</w:t>
        </w:r>
      </w:hyperlink>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JOIN(2020)17.</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UN 2030 Agenda for Sustainable Development and its Sustainable Development Goals (SDGs): </w:t>
      </w:r>
      <w:hyperlink r:id="rId11" w:history="1">
        <w:r>
          <w:rPr>
            <w:rStyle w:val="Hyperlink"/>
            <w:rFonts w:ascii="Times New Roman" w:hAnsi="Times New Roman" w:cs="Times New Roman"/>
          </w:rPr>
          <w:t>https://www.un.org/sustainabledevelopment/</w:t>
        </w:r>
      </w:hyperlink>
      <w:r>
        <w:rPr>
          <w:rFonts w:ascii="Times New Roman" w:hAnsi="Times New Roman" w:cs="Times New Roman"/>
        </w:rPr>
        <w:t xml:space="preserve">. See also the Commission’s reflection paper on a sustainable Europe: </w:t>
      </w:r>
      <w:hyperlink r:id="rId12" w:history="1">
        <w:r>
          <w:rPr>
            <w:rStyle w:val="Hyperlink"/>
            <w:rFonts w:ascii="Times New Roman" w:hAnsi="Times New Roman" w:cs="Times New Roman"/>
          </w:rPr>
          <w:t>https://ec.europa.eu/commission/sites/beta-political/files/rp_sustainable_europe_30-01_en_web.pdf</w:t>
        </w:r>
      </w:hyperlink>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Article 51 (1).</w:t>
      </w:r>
      <w:r>
        <w:rPr>
          <w:rFonts w:ascii="Times New Roman" w:hAnsi="Times New Roman" w:cs="Times New Roman"/>
          <w:sz w:val="22"/>
          <w:szCs w:val="22"/>
        </w:rPr>
        <w:t xml:space="preserve"> </w:t>
      </w:r>
      <w:r>
        <w:rPr>
          <w:rFonts w:ascii="Times New Roman" w:hAnsi="Times New Roman" w:cs="Times New Roman"/>
        </w:rPr>
        <w:t xml:space="preserve">Judgment of 26 February 2013, </w:t>
      </w:r>
      <w:r>
        <w:rPr>
          <w:rFonts w:ascii="Times New Roman" w:hAnsi="Times New Roman" w:cs="Times New Roman"/>
          <w:i/>
        </w:rPr>
        <w:t>Åkerberg Fransson</w:t>
      </w:r>
      <w:r>
        <w:rPr>
          <w:rFonts w:ascii="Times New Roman" w:hAnsi="Times New Roman" w:cs="Times New Roman"/>
        </w:rPr>
        <w:t>, C-617/10, EU:C:2013:105.</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Articles 5 (2) and 6 (1) of the Treaty on European Union and Article 51(2) of the Charter.</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Koen Lenaerts, keynote speech at the Charter event, op. cit.</w:t>
      </w:r>
    </w:p>
  </w:footnote>
  <w:footnote w:id="38">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ab/>
      </w:r>
      <w:r>
        <w:rPr>
          <w:rFonts w:ascii="Times New Roman" w:hAnsi="Times New Roman" w:cs="Times New Roman"/>
        </w:rPr>
        <w:t>Article 47 of the Charter.</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for instance, judgments of 16 May 2017, Berlioz, C-682/15, EU:C:2017:373; of 13 December 2017, El Hassani, C-403/16, EU:C:2017:960; of 19 November 2019, A.K, C-585/18, C-624/18 and C-625/18, EU:C:2019:982, and of 17 April 2018, Egenberger, C-414/16, EU:C:2018:257.</w:t>
      </w:r>
    </w:p>
  </w:footnote>
  <w:footnote w:id="4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ab/>
      </w:r>
      <w:r>
        <w:rPr>
          <w:rFonts w:ascii="Times New Roman" w:hAnsi="Times New Roman" w:cs="Times New Roman"/>
        </w:rPr>
        <w:t>Article 17 of the Charter.</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Judgement of 21 May 2019, Commission v. Hungary, C-235/17, EU:C:2019:432.</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Commission supports a network of national support centres (SOLVIT centres), which help Member States address problems of compliance with EU law. See Commission recommendation on the principles governing SOLVIT, C(2013)5869.</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Such as in the context of the High-Level Group on combatting racism, xenophobia and other forms of intolerance, the High-level group on non-discrimination, the expert group on the rights of the child and the national Roma contact point’s network. See also initiatives on fair policing in the EU anti-racism action plan 2020-2025, section 2.2, op.cit.</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Stakeholder consultations analysis, op.cit.</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Council call in its Charter Conclusions, op.cit., paragraphs 14 and 15. The Commission will update its guidance and make it available (see point 3.1). See also FRA handbook on applying the Charter in law and policy making at national level: </w:t>
      </w:r>
      <w:hyperlink r:id="rId13" w:history="1">
        <w:r>
          <w:rPr>
            <w:rStyle w:val="Hyperlink"/>
            <w:rFonts w:ascii="Times New Roman" w:hAnsi="Times New Roman" w:cs="Times New Roman"/>
          </w:rPr>
          <w:t>https://fra.europa.eu/sites/default/files/fra_uploads/fra-2018-charter-guidance_en.pdf</w:t>
        </w:r>
      </w:hyperlink>
    </w:p>
  </w:footnote>
  <w:footnote w:id="46">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ab/>
        <w:t>EU law is also implemented at local level, including the disbursement of EU funds. To better address the challenges they face, some cities declared themselves ‘human rights cities’</w:t>
      </w:r>
      <w:r>
        <w:rPr>
          <w:rFonts w:ascii="Times New Roman" w:hAnsi="Times New Roman" w:cs="Times New Roman"/>
          <w:vertAlign w:val="superscript"/>
        </w:rPr>
        <w:t xml:space="preserve"> </w:t>
      </w:r>
      <w:r>
        <w:rPr>
          <w:rFonts w:ascii="Times New Roman" w:hAnsi="Times New Roman" w:cs="Times New Roman"/>
        </w:rPr>
        <w:t xml:space="preserve">and build on human rights principles to guide local policymaking: </w:t>
      </w:r>
      <w:hyperlink r:id="rId14" w:history="1">
        <w:r>
          <w:rPr>
            <w:rStyle w:val="Hyperlink"/>
            <w:rFonts w:ascii="Times New Roman" w:hAnsi="Times New Roman" w:cs="Times New Roman"/>
          </w:rPr>
          <w:t>https://humanrightscities.net/</w:t>
        </w:r>
      </w:hyperlink>
      <w:r>
        <w:rPr>
          <w:rFonts w:ascii="Times New Roman" w:hAnsi="Times New Roman" w:cs="Times New Roman"/>
        </w:rPr>
        <w:t xml:space="preserve">. </w:t>
      </w:r>
      <w:r>
        <w:rPr>
          <w:rFonts w:ascii="Times New Roman" w:hAnsi="Times New Roman" w:cs="Times New Roman"/>
          <w:lang w:val="en-IE"/>
        </w:rPr>
        <w:t>FRA is cooperating with cities, their networks, and partners such as the Council of Europe and the Office of the High Commissioner for Human Rights to develop a framework of commitments for human rights cities in the EU. The framework is to be released in 2021</w:t>
      </w:r>
      <w:r>
        <w:rPr>
          <w:rFonts w:ascii="Times New Roman" w:hAnsi="Times New Roman" w:cs="Times New Roman"/>
        </w:rPr>
        <w:t>.</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Following a call by the Council in its Charter Conclusions, op.cit., paragraph 18.</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Council Charter Conclusions, op.cit., paragraph 12.</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FRA fundamental rights report 2020, Charter focus section, opinion 1.1.</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In line with its Communication ‘EU law: Better results through better application’, OJ C 18, 19.1.2017, p.10.</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The Agency routinely collects information and data on the fundamental rights situation on the ground and annually publishes a report summarising key factual findings. The Agency recently launched a European Fundamental Rights Information System (EFRIS) bringing together data and information from existing human rights databases: </w:t>
      </w:r>
      <w:hyperlink r:id="rId15" w:history="1">
        <w:r>
          <w:rPr>
            <w:rStyle w:val="Hyperlink"/>
            <w:rFonts w:ascii="Times New Roman" w:hAnsi="Times New Roman" w:cs="Times New Roman"/>
          </w:rPr>
          <w:t>https://fra.europa.eu/en/databases/efris/</w:t>
        </w:r>
      </w:hyperlink>
      <w:r>
        <w:rPr>
          <w:rFonts w:ascii="Times New Roman" w:hAnsi="Times New Roman" w:cs="Times New Roman"/>
        </w:rPr>
        <w:t xml:space="preserve"> </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Such as the High Level Group on combatting racism, xenophobia and other forms of intolerance, the High level group on non-discrimination, the expert group on the rights of the child and the national Roma contact point’s network.</w:t>
      </w:r>
    </w:p>
  </w:footnote>
  <w:footnote w:id="53">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 xml:space="preserve">COM(2018)375: </w:t>
      </w:r>
      <w:hyperlink r:id="rId16" w:history="1">
        <w:r>
          <w:rPr>
            <w:rStyle w:val="Hyperlink"/>
            <w:rFonts w:ascii="Times New Roman" w:hAnsi="Times New Roman" w:cs="Times New Roman"/>
            <w:lang w:val="pt-PT"/>
          </w:rPr>
          <w:t>https://eur-lex.europa.eu/legal-content/EN/TXT/?uri=COM%3A2018%3A375%3AFIN</w:t>
        </w:r>
      </w:hyperlink>
      <w:r>
        <w:rPr>
          <w:rFonts w:ascii="Times New Roman" w:hAnsi="Times New Roman" w:cs="Times New Roman"/>
          <w:lang w:val="pt-PT"/>
        </w:rPr>
        <w:t xml:space="preserve"> </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horizontal enabling condition ‘Effective application and implementation of the EU Charter of Fundamental Rights’ provided under Annex III of the CPR.</w:t>
      </w:r>
    </w:p>
  </w:footnote>
  <w:footnote w:id="5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European Regional Development Fund, the Cohesion Fund, the just Transition Fund, the European Social Fund Plus, the European Maritime and Fisheries Fund, the Asylum and Migration Fund, the Internal Security Fund and the Border Management and Visa Instrument.</w:t>
      </w:r>
      <w:r>
        <w:rPr>
          <w:rFonts w:ascii="Times New Roman" w:hAnsi="Times New Roman" w:cs="Times New Roman"/>
          <w:color w:val="1F497D"/>
          <w:sz w:val="22"/>
          <w:szCs w:val="22"/>
        </w:rPr>
        <w:t xml:space="preserve"> </w:t>
      </w:r>
      <w:r>
        <w:rPr>
          <w:rFonts w:ascii="Times New Roman" w:hAnsi="Times New Roman" w:cs="Times New Roman"/>
        </w:rPr>
        <w:t>It is to be noted also that the Commission proposal on strategic plans to be drawn up by Member States under the Common agricultural policy (CAP strategic plans), COM(2018)392, recalls that Member States shall design the programmes supported by the CAP in compliance with the Charter. Member States shall ensure that the monitoring committee established to monitor the implementation of the CAP strategic plans includes representatives of bodies responsible for promoting social inclusion, fundamental rights, gender equality and non-discrimination.</w:t>
      </w:r>
    </w:p>
  </w:footnote>
  <w:footnote w:id="56">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t>COM(2018)375, Article 11 (6).</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Annex III of the CPR.</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bCs/>
        </w:rPr>
        <w:t>The monitoring committees, in which the Commission participates in an advisory capacity, are established in the Member States to oversee the implementation of the programmes.</w:t>
      </w:r>
    </w:p>
  </w:footnote>
  <w:footnote w:id="59">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ab/>
        <w:t>As required under Articles 6 and 34 of the CPR.</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point 2.1 below.</w:t>
      </w:r>
    </w:p>
  </w:footnote>
  <w:footnote w:id="61">
    <w:p>
      <w:pPr>
        <w:pStyle w:val="FootnoteText"/>
        <w:jc w:val="both"/>
        <w:rPr>
          <w:rFonts w:ascii="Times New Roman" w:hAnsi="Times New Roman" w:cs="Times New Roman"/>
          <w:lang w:val="nl-BE"/>
        </w:rPr>
      </w:pPr>
      <w:r>
        <w:rPr>
          <w:rStyle w:val="FootnoteReference"/>
          <w:rFonts w:ascii="Times New Roman" w:hAnsi="Times New Roman" w:cs="Times New Roman"/>
        </w:rPr>
        <w:footnoteRef/>
      </w:r>
      <w:r>
        <w:rPr>
          <w:rFonts w:ascii="Times New Roman" w:hAnsi="Times New Roman" w:cs="Times New Roman"/>
          <w:lang w:val="nl-BE"/>
        </w:rPr>
        <w:tab/>
        <w:t xml:space="preserve">C/2016/4384, OJ C 269, 23.7.2016, p. 1–19: </w:t>
      </w:r>
      <w:hyperlink r:id="rId17" w:history="1">
        <w:r>
          <w:rPr>
            <w:rStyle w:val="Hyperlink"/>
            <w:rFonts w:ascii="Times New Roman" w:hAnsi="Times New Roman" w:cs="Times New Roman"/>
            <w:lang w:val="nl-BE"/>
          </w:rPr>
          <w:t>https://eur-lex.europa.eu/legal-content/EN/TXT/?uri=CELEX%3A52016XC0723(01)</w:t>
        </w:r>
      </w:hyperlink>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It is for the Member States to decide if this role should be given to the Charter focal point referred to in section 1.1.</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Commission rule of law report 2020, op.cit. See also FRA Report "</w:t>
      </w:r>
      <w:r>
        <w:rPr>
          <w:rFonts w:ascii="Times New Roman" w:hAnsi="Times New Roman" w:cs="Times New Roman"/>
          <w:i/>
        </w:rPr>
        <w:t>Challenges facing civil society organizations working on human rights in the EU</w:t>
      </w:r>
      <w:r>
        <w:rPr>
          <w:rFonts w:ascii="Times New Roman" w:hAnsi="Times New Roman" w:cs="Times New Roman"/>
        </w:rPr>
        <w:t xml:space="preserve">": </w:t>
      </w:r>
      <w:hyperlink r:id="rId18" w:history="1">
        <w:r>
          <w:rPr>
            <w:rStyle w:val="Hyperlink"/>
            <w:rFonts w:ascii="Times New Roman" w:hAnsi="Times New Roman" w:cs="Times New Roman"/>
          </w:rPr>
          <w:t>https://fra.europa.eu/en/publication/2018/challenges-facing-civil-society-organisations-working-human-rights-eu</w:t>
        </w:r>
      </w:hyperlink>
      <w:r>
        <w:rPr>
          <w:rFonts w:ascii="Times New Roman" w:hAnsi="Times New Roman" w:cs="Times New Roman"/>
        </w:rPr>
        <w:t>.</w:t>
      </w:r>
    </w:p>
  </w:footnote>
  <w:footnote w:id="64">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IE"/>
        </w:rPr>
        <w:t xml:space="preserve">Judgment of 18 June 2020, </w:t>
      </w:r>
      <w:r>
        <w:rPr>
          <w:rFonts w:ascii="Times New Roman" w:hAnsi="Times New Roman" w:cs="Times New Roman"/>
          <w:i/>
        </w:rPr>
        <w:t>Commission v Hungary</w:t>
      </w:r>
      <w:r>
        <w:rPr>
          <w:rFonts w:ascii="Times New Roman" w:hAnsi="Times New Roman" w:cs="Times New Roman"/>
        </w:rPr>
        <w:t xml:space="preserve">, </w:t>
      </w:r>
      <w:r>
        <w:rPr>
          <w:rFonts w:ascii="Times New Roman" w:hAnsi="Times New Roman" w:cs="Times New Roman"/>
          <w:lang w:val="en-IE"/>
        </w:rPr>
        <w:t xml:space="preserve">C-78/18, </w:t>
      </w:r>
      <w:r>
        <w:rPr>
          <w:rFonts w:ascii="Times New Roman" w:hAnsi="Times New Roman" w:cs="Times New Roman"/>
        </w:rPr>
        <w:t>EU:C:2020:476.</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IE"/>
        </w:rPr>
        <w:t>Ibid. paragraph 133.</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Commission will propose measures to improve the safety of journalists and to protect them and civil society against SLAPPs, in the framework of the European Democracy Action Plan. As announced in its work programme for next year, the Commission will propose an initiative against abusive litigation targeting these actors end 2021.</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FRA Report “</w:t>
      </w:r>
      <w:r>
        <w:rPr>
          <w:rFonts w:ascii="Times New Roman" w:hAnsi="Times New Roman" w:cs="Times New Roman"/>
          <w:i/>
        </w:rPr>
        <w:t>Challenges facing civil society organisations working on human rights”</w:t>
      </w:r>
      <w:r>
        <w:rPr>
          <w:rFonts w:ascii="Times New Roman" w:hAnsi="Times New Roman" w:cs="Times New Roman"/>
        </w:rPr>
        <w:t xml:space="preserve">, op.cit. See also Global Alliance of National Human Rights Institutions (GANHRI), </w:t>
      </w:r>
      <w:hyperlink r:id="rId19" w:history="1">
        <w:r>
          <w:rPr>
            <w:rStyle w:val="Hyperlink"/>
            <w:rFonts w:ascii="Times New Roman" w:hAnsi="Times New Roman" w:cs="Times New Roman"/>
          </w:rPr>
          <w:t>SCA General Observations</w:t>
        </w:r>
      </w:hyperlink>
      <w:r>
        <w:rPr>
          <w:rFonts w:ascii="Times New Roman" w:hAnsi="Times New Roman" w:cs="Times New Roman"/>
        </w:rPr>
        <w:t>, 2018</w:t>
      </w:r>
      <w:r>
        <w:rPr>
          <w:rFonts w:ascii="Times New Roman" w:hAnsi="Times New Roman" w:cs="Times New Roman"/>
        </w:rPr>
        <w:fldChar w:fldCharType="begin"/>
      </w:r>
      <w:r>
        <w:rPr>
          <w:rFonts w:ascii="Times New Roman" w:hAnsi="Times New Roman" w:cs="Times New Roman"/>
        </w:rPr>
        <w:fldChar w:fldCharType="separate"/>
      </w:r>
      <w:r>
        <w:rPr>
          <w:rFonts w:ascii="Times New Roman" w:hAnsi="Times New Roman" w:cs="Times New Roman"/>
          <w:u w:val="single"/>
        </w:rPr>
        <w:t>SCA General Observations</w:t>
      </w:r>
      <w:r>
        <w:rPr>
          <w:rFonts w:ascii="Times New Roman" w:hAnsi="Times New Roman" w:cs="Times New Roman"/>
          <w:lang w:val="fr-BE"/>
        </w:rPr>
        <w:fldChar w:fldCharType="end"/>
      </w:r>
      <w:r>
        <w:rPr>
          <w:rFonts w:ascii="Times New Roman" w:hAnsi="Times New Roman" w:cs="Times New Roman"/>
        </w:rPr>
        <w:t>, p. 1.</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NIHRIs are state-mandated bodies, independent of governments, with a broad constitutional or legal mandate to protect and promote human rights.</w:t>
      </w:r>
    </w:p>
  </w:footnote>
  <w:footnote w:id="69">
    <w:p>
      <w:pPr>
        <w:pStyle w:val="FootnoteText"/>
        <w:jc w:val="both"/>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ab/>
      </w:r>
      <w:hyperlink r:id="rId20" w:history="1">
        <w:r>
          <w:rPr>
            <w:rStyle w:val="Hyperlink"/>
            <w:rFonts w:ascii="Times New Roman" w:hAnsi="Times New Roman" w:cs="Times New Roman"/>
            <w:lang w:val="es-ES"/>
          </w:rPr>
          <w:t>https://ganhri.org/nhri/</w:t>
        </w:r>
      </w:hyperlink>
    </w:p>
  </w:footnote>
  <w:footnote w:id="70">
    <w:p>
      <w:pPr>
        <w:pStyle w:val="FootnoteText"/>
        <w:jc w:val="both"/>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ab/>
        <w:t>Czechia, Italy, Malta.</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Estonia - up for accreditation end 2020 - and Romania.</w:t>
      </w:r>
    </w:p>
  </w:footnote>
  <w:footnote w:id="72">
    <w:p>
      <w:pPr>
        <w:pStyle w:val="FootnoteText"/>
        <w:jc w:val="both"/>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lang w:val="it-IT"/>
        </w:rPr>
        <w:tab/>
        <w:t>Austria, Belgium, Cyprus, Slovakia, Slovenia and Sweden.</w:t>
      </w:r>
    </w:p>
  </w:footnote>
  <w:footnote w:id="7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it-IT"/>
        </w:rPr>
        <w:tab/>
      </w:r>
      <w:hyperlink r:id="rId21" w:history="1">
        <w:r>
          <w:rPr>
            <w:rStyle w:val="Hyperlink"/>
            <w:rFonts w:ascii="Times New Roman" w:hAnsi="Times New Roman" w:cs="Times New Roman"/>
            <w:lang w:val="it-IT"/>
          </w:rPr>
          <w:t>https://nhri.ohchr.org/EN/AboutUs/Pages/ParisPrinciples.aspx</w:t>
        </w:r>
      </w:hyperlink>
      <w:r>
        <w:rPr>
          <w:rFonts w:ascii="Times New Roman" w:hAnsi="Times New Roman" w:cs="Times New Roman"/>
          <w:lang w:val="it-IT"/>
        </w:rPr>
        <w:t xml:space="preserve">. </w:t>
      </w:r>
      <w:r>
        <w:rPr>
          <w:rFonts w:ascii="Times New Roman" w:hAnsi="Times New Roman" w:cs="Times New Roman"/>
        </w:rPr>
        <w:t>The Council of Europe is also preparing Recommendations on the development and strengthening of effective, pluralist and independent National Human Rights Institutions.</w:t>
      </w:r>
    </w:p>
  </w:footnote>
  <w:footnote w:id="7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Being granted A-s</w:t>
      </w:r>
      <w:r>
        <w:rPr>
          <w:rFonts w:ascii="Times New Roman" w:hAnsi="Times New Roman" w:cs="Times New Roman"/>
          <w:lang w:val="en-IE"/>
        </w:rPr>
        <w:t>tatus means that the NHRI is fully compliant with the Paris principles, which are the international standards for NHRIs to promote and protect fundamental rights effectively and in an independent manner.</w:t>
      </w:r>
    </w:p>
  </w:footnote>
  <w:footnote w:id="7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COM(2020)580.</w:t>
      </w:r>
      <w:r>
        <w:rPr>
          <w:rFonts w:ascii="Times New Roman" w:hAnsi="Times New Roman" w:cs="Times New Roman"/>
          <w:sz w:val="24"/>
          <w:szCs w:val="24"/>
        </w:rPr>
        <w:t xml:space="preserve"> </w:t>
      </w:r>
      <w:r>
        <w:rPr>
          <w:rFonts w:ascii="Times New Roman" w:hAnsi="Times New Roman" w:cs="Times New Roman"/>
        </w:rPr>
        <w:t>The Council, in its Charter Conclusions of 2019, recalled that ‘</w:t>
      </w:r>
      <w:r>
        <w:rPr>
          <w:rFonts w:ascii="Times New Roman" w:hAnsi="Times New Roman" w:cs="Times New Roman"/>
          <w:i/>
        </w:rPr>
        <w:t>independent national human rights institutions […] play a crucial role in the protection and promotion of fundamental rights and ensuring compliance with the Charter</w:t>
      </w:r>
      <w:r>
        <w:rPr>
          <w:rFonts w:ascii="Times New Roman" w:hAnsi="Times New Roman" w:cs="Times New Roman"/>
        </w:rPr>
        <w:t>.’, op.cit., paragraph 22.</w:t>
      </w:r>
    </w:p>
  </w:footnote>
  <w:footnote w:id="76">
    <w:p>
      <w:pPr>
        <w:pStyle w:val="FootnoteText"/>
        <w:jc w:val="both"/>
        <w:rPr>
          <w:rFonts w:ascii="Times New Roman" w:hAnsi="Times New Roman" w:cs="Times New Roman"/>
          <w:lang w:val="ga-IE"/>
        </w:rPr>
      </w:pPr>
      <w:r>
        <w:rPr>
          <w:rStyle w:val="FootnoteReference"/>
          <w:rFonts w:ascii="Times New Roman" w:hAnsi="Times New Roman" w:cs="Times New Roman"/>
        </w:rPr>
        <w:footnoteRef/>
      </w:r>
      <w:r>
        <w:rPr>
          <w:rFonts w:ascii="Times New Roman" w:hAnsi="Times New Roman" w:cs="Times New Roman"/>
        </w:rPr>
        <w:tab/>
        <w:t xml:space="preserve">Feasibility Study for financial support for litigating cases relating to violations of democracy, rule of law and fundamental rights, 28.08.2020: </w:t>
      </w:r>
      <w:hyperlink r:id="rId22" w:history="1">
        <w:r>
          <w:rPr>
            <w:rStyle w:val="Hyperlink"/>
            <w:rFonts w:ascii="Times New Roman" w:hAnsi="Times New Roman" w:cs="Times New Roman"/>
            <w:lang w:val="ga-IE"/>
          </w:rPr>
          <w:t>https://ec.europa.eu/info/aid-development-cooperation-fundamental-rights/your-rights-eu/eu-charter-fundamental-rights/application-charter/studies-related-charter_en</w:t>
        </w:r>
      </w:hyperlink>
    </w:p>
  </w:footnote>
  <w:footnote w:id="7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b/>
          <w:i/>
        </w:rPr>
        <w:t>“</w:t>
      </w:r>
      <w:r>
        <w:rPr>
          <w:rFonts w:ascii="Times New Roman" w:hAnsi="Times New Roman" w:cs="Times New Roman"/>
          <w:i/>
        </w:rPr>
        <w:t>Targeted group training should be a priority. Staff from national equality bodies should be targeted for transnational training on the use of the Charter.[…] Targeted group training should be followed by horizontal training at the national level that brings together relevant actors that previously received the targeted group training to identify interconnections and construct synergies on the use of the Charter.”</w:t>
      </w:r>
      <w:r>
        <w:rPr>
          <w:rFonts w:ascii="Times New Roman" w:hAnsi="Times New Roman" w:cs="Times New Roman"/>
        </w:rPr>
        <w:t xml:space="preserve"> Equinet’s submission to the Commission’s Charter strategy, op. cit.</w:t>
      </w:r>
    </w:p>
  </w:footnote>
  <w:footnote w:id="7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3" w:history="1">
        <w:r>
          <w:rPr>
            <w:rStyle w:val="Hyperlink"/>
            <w:rFonts w:ascii="Times New Roman" w:hAnsi="Times New Roman" w:cs="Times New Roman"/>
          </w:rPr>
          <w:t>http://ennhri.org/wp-content/uploads/2019/11/Implementation-of-the-EU-Charter-of-Fundamental-Rights-Activities-of-NHRIs.pdf</w:t>
        </w:r>
      </w:hyperlink>
      <w:r>
        <w:rPr>
          <w:rFonts w:ascii="Times New Roman" w:hAnsi="Times New Roman" w:cs="Times New Roman"/>
        </w:rPr>
        <w:t>. See also Poland’s best practice, stakeholder consultation analysis, page 15.</w:t>
      </w:r>
    </w:p>
  </w:footnote>
  <w:footnote w:id="7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4" w:history="1">
        <w:r>
          <w:rPr>
            <w:rStyle w:val="Hyperlink"/>
            <w:rFonts w:ascii="Times New Roman" w:hAnsi="Times New Roman" w:cs="Times New Roman"/>
          </w:rPr>
          <w:t>https://fra.europa.eu/en/eu-charter</w:t>
        </w:r>
      </w:hyperlink>
      <w:r>
        <w:rPr>
          <w:rFonts w:ascii="Times New Roman" w:hAnsi="Times New Roman" w:cs="Times New Roman"/>
        </w:rPr>
        <w:t>. See also FRA fundamental rights report 2020.</w:t>
      </w:r>
    </w:p>
  </w:footnote>
  <w:footnote w:id="8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Between 2009 and 2019, national courts sent the Court 5038 requests for preliminary rulings. Of them, 576 (over 11 %) contained questions related to the Charter. See FRA fundamental rights report 2020.</w:t>
      </w:r>
    </w:p>
  </w:footnote>
  <w:footnote w:id="8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Stakeholder consultations analysis, op. cit.; Commission 2019 Charter Report, op. cit; FRA Fundamental Rights Report 2020; FRA Opinion- 4/2018 of 24 September 2018: </w:t>
      </w:r>
      <w:hyperlink r:id="rId25" w:history="1">
        <w:r>
          <w:rPr>
            <w:rStyle w:val="Hyperlink"/>
            <w:rFonts w:ascii="Times New Roman" w:hAnsi="Times New Roman" w:cs="Times New Roman"/>
          </w:rPr>
          <w:t>https://fra.europa.eu/sites/default/files/fra_uploads/fra-opinion-04-2018_charter-implementation.pdf</w:t>
        </w:r>
      </w:hyperlink>
    </w:p>
  </w:footnote>
  <w:footnote w:id="8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The European Judicial Training Network, supported by the EU’s Justice programme, organises exchanges between national and European courts: </w:t>
      </w:r>
      <w:hyperlink r:id="rId26" w:history="1">
        <w:r>
          <w:rPr>
            <w:rStyle w:val="Hyperlink"/>
            <w:rFonts w:ascii="Times New Roman" w:hAnsi="Times New Roman" w:cs="Times New Roman"/>
          </w:rPr>
          <w:t>http://www.ejtn.eu/Exchange-Programme/</w:t>
        </w:r>
      </w:hyperlink>
    </w:p>
  </w:footnote>
  <w:footnote w:id="8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COM(2020)713.</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7" w:history="1">
        <w:r>
          <w:rPr>
            <w:rStyle w:val="Hyperlink"/>
            <w:rFonts w:ascii="Times New Roman" w:hAnsi="Times New Roman" w:cs="Times New Roman"/>
          </w:rPr>
          <w:t>https://fra.europa.eu/en/publication/2018/applying-charter-fundamental-rights-european-union-law-and-policymaking-national</w:t>
        </w:r>
      </w:hyperlink>
      <w:r>
        <w:rPr>
          <w:rFonts w:ascii="Times New Roman" w:hAnsi="Times New Roman" w:cs="Times New Roman"/>
        </w:rPr>
        <w:t xml:space="preserve">. All Charter related information will be made available on a Charter web space: </w:t>
      </w:r>
      <w:hyperlink r:id="rId28" w:history="1">
        <w:r>
          <w:rPr>
            <w:rStyle w:val="Hyperlink"/>
            <w:rFonts w:ascii="Times New Roman" w:hAnsi="Times New Roman" w:cs="Times New Roman"/>
          </w:rPr>
          <w:t>https://fra.europa.eu/en/eu-charter</w:t>
        </w:r>
      </w:hyperlink>
    </w:p>
  </w:footnote>
  <w:footnote w:id="8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Commission rule of law report 2020, op.cit.</w:t>
      </w:r>
    </w:p>
  </w:footnote>
  <w:footnote w:id="8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Commission Communication on digitalisation of justice in the EU, COM(2020)710.</w:t>
      </w:r>
    </w:p>
  </w:footnote>
  <w:footnote w:id="8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9" w:history="1">
        <w:r>
          <w:rPr>
            <w:rStyle w:val="Hyperlink"/>
            <w:rFonts w:ascii="Times New Roman" w:hAnsi="Times New Roman" w:cs="Times New Roman"/>
          </w:rPr>
          <w:t>https://e-justice.europa.eu/content_european_training_platform-37158-en.do</w:t>
        </w:r>
      </w:hyperlink>
    </w:p>
  </w:footnote>
  <w:footnote w:id="8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Judgment of 20 September 2016, </w:t>
      </w:r>
      <w:r>
        <w:rPr>
          <w:rFonts w:ascii="Times New Roman" w:hAnsi="Times New Roman" w:cs="Times New Roman"/>
          <w:i/>
        </w:rPr>
        <w:t>Ledra Advertising</w:t>
      </w:r>
      <w:r>
        <w:rPr>
          <w:rFonts w:ascii="Times New Roman" w:hAnsi="Times New Roman" w:cs="Times New Roman"/>
        </w:rPr>
        <w:t xml:space="preserve"> v </w:t>
      </w:r>
      <w:r>
        <w:rPr>
          <w:rFonts w:ascii="Times New Roman" w:hAnsi="Times New Roman" w:cs="Times New Roman"/>
          <w:i/>
        </w:rPr>
        <w:t>Commission and ECB</w:t>
      </w:r>
      <w:r>
        <w:rPr>
          <w:rFonts w:ascii="Times New Roman" w:hAnsi="Times New Roman" w:cs="Times New Roman"/>
        </w:rPr>
        <w:t>, C-8-10/15 P and C-10/15, EU:C:2016:701.</w:t>
      </w:r>
    </w:p>
  </w:footnote>
  <w:footnote w:id="8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Judgement of 18 July 2013, </w:t>
      </w:r>
      <w:r>
        <w:rPr>
          <w:rFonts w:ascii="Times New Roman" w:hAnsi="Times New Roman" w:cs="Times New Roman"/>
          <w:i/>
        </w:rPr>
        <w:t>Commission and Others</w:t>
      </w:r>
      <w:r>
        <w:rPr>
          <w:rFonts w:ascii="Times New Roman" w:hAnsi="Times New Roman" w:cs="Times New Roman"/>
        </w:rPr>
        <w:t xml:space="preserve"> v </w:t>
      </w:r>
      <w:r>
        <w:rPr>
          <w:rFonts w:ascii="Times New Roman" w:hAnsi="Times New Roman" w:cs="Times New Roman"/>
          <w:i/>
        </w:rPr>
        <w:t>Kadi</w:t>
      </w:r>
      <w:r>
        <w:rPr>
          <w:rFonts w:ascii="Times New Roman" w:hAnsi="Times New Roman" w:cs="Times New Roman"/>
        </w:rPr>
        <w:t>, C-584/10 P and</w:t>
      </w:r>
      <w:r>
        <w:rPr>
          <w:rFonts w:ascii="Times New Roman" w:hAnsi="Times New Roman" w:cs="Times New Roman"/>
          <w:sz w:val="22"/>
          <w:szCs w:val="22"/>
        </w:rPr>
        <w:t xml:space="preserve"> </w:t>
      </w:r>
      <w:r>
        <w:rPr>
          <w:rFonts w:ascii="Times New Roman" w:hAnsi="Times New Roman" w:cs="Times New Roman"/>
        </w:rPr>
        <w:t>C‑595/10 P, EU:C:2013:518.</w:t>
      </w:r>
    </w:p>
  </w:footnote>
  <w:footnote w:id="9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2011 Commission </w:t>
      </w:r>
      <w:r>
        <w:rPr>
          <w:rFonts w:ascii="Times New Roman" w:hAnsi="Times New Roman" w:cs="Times New Roman"/>
          <w:bCs/>
          <w:iCs/>
        </w:rPr>
        <w:t>operational guidance on taking account of fundamental rights in impact assessments and the 2015 better regulation package, which makes Charter mainstreaming an integral part of the impact assessment (Tool 28).</w:t>
      </w:r>
    </w:p>
  </w:footnote>
  <w:footnote w:id="9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Adopted in February 2020:</w:t>
      </w:r>
      <w:r>
        <w:t xml:space="preserve"> </w:t>
      </w:r>
      <w:hyperlink r:id="rId30" w:history="1">
        <w:r>
          <w:rPr>
            <w:rStyle w:val="Hyperlink"/>
            <w:rFonts w:ascii="Times New Roman" w:hAnsi="Times New Roman" w:cs="Times New Roman"/>
          </w:rPr>
          <w:t>https://ec.europa.eu/info/publications/communication-shaping-europes-digital-future_en</w:t>
        </w:r>
      </w:hyperlink>
    </w:p>
  </w:footnote>
  <w:footnote w:id="9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White Paper on artificial intelligence: a European approach to excellence and trust, COM(2020)65.</w:t>
      </w:r>
    </w:p>
  </w:footnote>
  <w:footnote w:id="9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Consultations are launched to inform Commission initiatives under its Better Regulation rules. See </w:t>
      </w:r>
      <w:hyperlink r:id="rId31" w:history="1">
        <w:r>
          <w:rPr>
            <w:rStyle w:val="Hyperlink"/>
            <w:rFonts w:ascii="Times New Roman" w:hAnsi="Times New Roman" w:cs="Times New Roman"/>
          </w:rPr>
          <w:t>https://ec.europa.eu/info/law/better-regulation/have-your-say</w:t>
        </w:r>
      </w:hyperlink>
      <w:r>
        <w:rPr>
          <w:rFonts w:ascii="Times New Roman" w:hAnsi="Times New Roman" w:cs="Times New Roman"/>
        </w:rPr>
        <w:t xml:space="preserve"> and </w:t>
      </w:r>
      <w:hyperlink r:id="rId32" w:history="1">
        <w:r>
          <w:rPr>
            <w:rStyle w:val="Hyperlink"/>
            <w:rFonts w:ascii="Times New Roman" w:hAnsi="Times New Roman" w:cs="Times New Roman"/>
          </w:rPr>
          <w:t>https://ec.europa.eu/info/consultations_en</w:t>
        </w:r>
      </w:hyperlink>
      <w:r>
        <w:rPr>
          <w:rFonts w:ascii="Times New Roman" w:hAnsi="Times New Roman" w:cs="Times New Roman"/>
        </w:rPr>
        <w:t>. The Commission also draws on the data provided by the EU Agency for Fundamental Rights, rights defenders such as NHRIs and equality bodies and information collected by international organisations such as the Council of Europe, the United Nations and the Office for Democratic Institutions and Human Rights of the Organisation for Security and Cooperation in Europe.</w:t>
      </w:r>
    </w:p>
  </w:footnote>
  <w:footnote w:id="9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33" w:history="1">
        <w:r>
          <w:rPr>
            <w:rStyle w:val="Hyperlink"/>
            <w:rFonts w:ascii="Times New Roman" w:hAnsi="Times New Roman" w:cs="Times New Roman"/>
          </w:rPr>
          <w:t>https://data.consilium.europa.eu/doc/document/ST-12848-2020-INIT/en/pdf</w:t>
        </w:r>
      </w:hyperlink>
    </w:p>
  </w:footnote>
  <w:footnote w:id="9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2015 Guidelines on the analysis of human rights impacts in impact assessments for trade-related policy initiatives.</w:t>
      </w:r>
    </w:p>
  </w:footnote>
  <w:footnote w:id="9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Instrument for Pre-Accession assistance (IPA) 2021-2027 will further support reforms to comply with EU values and fundamental rights and to progressively align to the EU's rules, standards and policies.</w:t>
      </w:r>
    </w:p>
  </w:footnote>
  <w:footnote w:id="9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procedure is described in Article 28 of the FRA’s founding regulation n°168/2007, OJ L 53, 27.2.2007, p. 1.</w:t>
      </w:r>
    </w:p>
  </w:footnote>
  <w:footnote w:id="9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 legislation that does not comply with the Charter can be legally challenged.</w:t>
      </w:r>
    </w:p>
  </w:footnote>
  <w:footnote w:id="9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bCs/>
          <w:iCs/>
        </w:rPr>
        <w:t>Council guidelines on fundamental rights compliance check, Doc. 5377/15 of 20 January 2015.</w:t>
      </w:r>
    </w:p>
  </w:footnote>
  <w:footnote w:id="10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In its Charter Conclusions (op.cit.) the Council reaffirmed “</w:t>
      </w:r>
      <w:r>
        <w:rPr>
          <w:rFonts w:ascii="Times New Roman" w:hAnsi="Times New Roman" w:cs="Times New Roman"/>
          <w:i/>
        </w:rPr>
        <w:t>its commitment to take into account the guidance on the application of the Charter, including the guidelines on methodological steps to be taken to check fundamental-rights compatibility at the Council preparatory bodies, and it expresses its readiness to</w:t>
      </w:r>
      <w:r>
        <w:rPr>
          <w:rFonts w:ascii="Times New Roman" w:hAnsi="Times New Roman" w:cs="Times New Roman"/>
        </w:rPr>
        <w:t xml:space="preserve"> </w:t>
      </w:r>
      <w:r>
        <w:rPr>
          <w:rFonts w:ascii="Times New Roman" w:hAnsi="Times New Roman" w:cs="Times New Roman"/>
          <w:i/>
        </w:rPr>
        <w:t xml:space="preserve">explore ways to make more efficient use of that guidance in Council preparatory bodies, including through training” </w:t>
      </w:r>
      <w:r>
        <w:rPr>
          <w:rFonts w:ascii="Times New Roman" w:hAnsi="Times New Roman" w:cs="Times New Roman"/>
        </w:rPr>
        <w:t>(paragraph 10). The permanent representation of Finland organised, in cooperation with the Council Secretariat and the FRA, a training course on the application of the Charter open to all staff and recommended it to all working party chairs of the incoming Presidency.</w:t>
      </w:r>
    </w:p>
  </w:footnote>
  <w:footnote w:id="10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European Parliament’s rules of procedure – Rule 39.</w:t>
      </w:r>
    </w:p>
  </w:footnote>
  <w:footnote w:id="102">
    <w:p>
      <w:pPr>
        <w:pStyle w:val="FootnoteText"/>
        <w:jc w:val="both"/>
        <w:rPr>
          <w:rFonts w:ascii="Times New Roman" w:hAnsi="Times New Roman" w:cs="Times New Roman"/>
          <w:lang w:val="nl-BE"/>
        </w:rPr>
      </w:pPr>
      <w:r>
        <w:rPr>
          <w:rStyle w:val="FootnoteReference"/>
          <w:rFonts w:ascii="Times New Roman" w:hAnsi="Times New Roman" w:cs="Times New Roman"/>
        </w:rPr>
        <w:footnoteRef/>
      </w:r>
      <w:r>
        <w:rPr>
          <w:rFonts w:ascii="Times New Roman" w:hAnsi="Times New Roman" w:cs="Times New Roman"/>
          <w:lang w:val="nl-BE"/>
        </w:rPr>
        <w:tab/>
        <w:t>OJ L 123, 12.5.2016, p. 12- 15.</w:t>
      </w:r>
    </w:p>
  </w:footnote>
  <w:footnote w:id="103">
    <w:p>
      <w:pPr>
        <w:pStyle w:val="FootnoteText"/>
        <w:jc w:val="both"/>
        <w:rPr>
          <w:rFonts w:ascii="Times New Roman" w:hAnsi="Times New Roman" w:cs="Times New Roman"/>
          <w:lang w:val="nl-BE"/>
        </w:rPr>
      </w:pPr>
      <w:r>
        <w:rPr>
          <w:rStyle w:val="FootnoteReference"/>
          <w:rFonts w:ascii="Times New Roman" w:hAnsi="Times New Roman" w:cs="Times New Roman"/>
        </w:rPr>
        <w:footnoteRef/>
      </w:r>
      <w:r>
        <w:rPr>
          <w:rFonts w:ascii="Times New Roman" w:hAnsi="Times New Roman" w:cs="Times New Roman"/>
          <w:lang w:val="nl-BE"/>
        </w:rPr>
        <w:tab/>
      </w:r>
      <w:hyperlink r:id="rId34" w:history="1">
        <w:r>
          <w:rPr>
            <w:rStyle w:val="Hyperlink"/>
            <w:rFonts w:ascii="Times New Roman" w:hAnsi="Times New Roman" w:cs="Times New Roman"/>
            <w:lang w:val="nl-BE"/>
          </w:rPr>
          <w:t>https://ec.europa.eu/info/aid-development-cooperation-fundamental-rights/your-rights-eu/eu-charter-fundamental-rights/application-charter/annual-reports-application-charter_en</w:t>
        </w:r>
      </w:hyperlink>
    </w:p>
  </w:footnote>
  <w:footnote w:id="104">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ab/>
        <w:t>Directive 2019/882.</w:t>
      </w:r>
    </w:p>
  </w:footnote>
  <w:footnote w:id="105">
    <w:p>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ab/>
        <w:t>Regulation 2019/1896,</w:t>
      </w:r>
      <w:r>
        <w:rPr>
          <w:rFonts w:ascii="Times New Roman" w:hAnsi="Times New Roman" w:cs="Times New Roman"/>
          <w:b/>
          <w:i/>
        </w:rPr>
        <w:t xml:space="preserve"> </w:t>
      </w:r>
      <w:r>
        <w:rPr>
          <w:rFonts w:ascii="Times New Roman" w:hAnsi="Times New Roman" w:cs="Times New Roman"/>
        </w:rPr>
        <w:t>OJ L 295, 14.11.2019, p. 1.</w:t>
      </w:r>
      <w:r>
        <w:rPr>
          <w:rFonts w:ascii="Times New Roman" w:hAnsi="Times New Roman" w:cs="Times New Roman"/>
          <w:sz w:val="24"/>
          <w:szCs w:val="24"/>
        </w:rPr>
        <w:t xml:space="preserve"> </w:t>
      </w:r>
      <w:r>
        <w:rPr>
          <w:rFonts w:ascii="Times New Roman" w:hAnsi="Times New Roman" w:cs="Times New Roman"/>
        </w:rPr>
        <w:t>A fundamental</w:t>
      </w:r>
      <w:r>
        <w:rPr>
          <w:rFonts w:ascii="Times New Roman" w:hAnsi="Times New Roman" w:cs="Times New Roman"/>
          <w:bCs/>
        </w:rPr>
        <w:t xml:space="preserve"> rights strategy and action plan</w:t>
      </w:r>
      <w:r>
        <w:rPr>
          <w:rFonts w:ascii="Times New Roman" w:hAnsi="Times New Roman" w:cs="Times New Roman"/>
        </w:rPr>
        <w:t xml:space="preserve"> will be developed to frame</w:t>
      </w:r>
      <w:r>
        <w:rPr>
          <w:rFonts w:ascii="Times New Roman" w:hAnsi="Times New Roman" w:cs="Times New Roman"/>
          <w:lang w:val="en-US"/>
        </w:rPr>
        <w:t xml:space="preserve"> the European Border and Coast Guard Agency’s (Frontex) obligation to comply with the Charter. </w:t>
      </w:r>
      <w:r>
        <w:rPr>
          <w:rFonts w:ascii="Times New Roman" w:hAnsi="Times New Roman" w:cs="Times New Roman"/>
        </w:rPr>
        <w:t xml:space="preserve">A </w:t>
      </w:r>
      <w:r>
        <w:rPr>
          <w:rFonts w:ascii="Times New Roman" w:hAnsi="Times New Roman" w:cs="Times New Roman"/>
          <w:bCs/>
        </w:rPr>
        <w:t xml:space="preserve">Fundamental Rights Officer </w:t>
      </w:r>
      <w:r>
        <w:rPr>
          <w:rFonts w:ascii="Times New Roman" w:hAnsi="Times New Roman" w:cs="Times New Roman"/>
        </w:rPr>
        <w:t xml:space="preserve">was nominated to contribute to the strategy and monitor its implementation. </w:t>
      </w:r>
      <w:r>
        <w:rPr>
          <w:rFonts w:ascii="Times New Roman" w:hAnsi="Times New Roman" w:cs="Times New Roman"/>
          <w:bCs/>
        </w:rPr>
        <w:t>Fundamental rights monitors</w:t>
      </w:r>
      <w:r>
        <w:rPr>
          <w:rFonts w:ascii="Times New Roman" w:hAnsi="Times New Roman" w:cs="Times New Roman"/>
        </w:rPr>
        <w:t xml:space="preserve"> will be recruited to assess the fundamental rights compliance of the Agency’s operational activities. FRA supports Frontex in training the fundamental rights monitors.</w:t>
      </w:r>
    </w:p>
  </w:footnote>
  <w:footnote w:id="106">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ab/>
      </w:r>
      <w:r>
        <w:rPr>
          <w:rFonts w:ascii="Times New Roman" w:hAnsi="Times New Roman" w:cs="Times New Roman"/>
        </w:rPr>
        <w:t>Special Eurobarometer 487b.</w:t>
      </w:r>
    </w:p>
  </w:footnote>
  <w:footnote w:id="10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Stakeholder consultations analysis, p. 31.</w:t>
      </w:r>
    </w:p>
  </w:footnote>
  <w:footnote w:id="10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14 out of 22 local authorities that responded to the targeted consultations say they raise awareness about rights, stakeholder consultations analysis, p. 42.</w:t>
      </w:r>
    </w:p>
  </w:footnote>
  <w:footnote w:id="109">
    <w:p>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ab/>
        <w:t xml:space="preserve">See also FRA (2020) </w:t>
      </w:r>
      <w:r>
        <w:rPr>
          <w:rFonts w:ascii="Times New Roman" w:hAnsi="Times New Roman" w:cs="Times New Roman"/>
          <w:i/>
        </w:rPr>
        <w:t>“What do fundamental rights mean for people in the EU”</w:t>
      </w:r>
      <w:r>
        <w:rPr>
          <w:rFonts w:ascii="Times New Roman" w:hAnsi="Times New Roman" w:cs="Times New Roman"/>
        </w:rPr>
        <w:t>, page 48:</w:t>
      </w:r>
      <w:r>
        <w:rPr>
          <w:rFonts w:ascii="Times New Roman" w:hAnsi="Times New Roman" w:cs="Times New Roman"/>
          <w:i/>
        </w:rPr>
        <w:t xml:space="preserve"> “To make informed decisions, people should have access to information about their rights as well as accessible procedures for making applications and complaints”.</w:t>
      </w:r>
    </w:p>
  </w:footnote>
  <w:footnote w:id="1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35" w:history="1">
        <w:r>
          <w:rPr>
            <w:rStyle w:val="Hyperlink"/>
            <w:rFonts w:ascii="Times New Roman" w:hAnsi="Times New Roman" w:cs="Times New Roman"/>
          </w:rPr>
          <w:t>https://fra.europa.eu/en/event/2020/fundamental-rights-forum-2021</w:t>
        </w:r>
      </w:hyperlink>
    </w:p>
  </w:footnote>
  <w:footnote w:id="1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COM(2018)5446: </w:t>
      </w:r>
      <w:hyperlink r:id="rId36" w:history="1">
        <w:r>
          <w:rPr>
            <w:rStyle w:val="Hyperlink"/>
            <w:rFonts w:ascii="Times New Roman" w:hAnsi="Times New Roman" w:cs="Times New Roman"/>
          </w:rPr>
          <w:t>www.dearprogramme.eu</w:t>
        </w:r>
      </w:hyperlink>
    </w:p>
  </w:footnote>
  <w:footnote w:id="1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the Council’s Charter conclusions, op.cit., paragraph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359"/>
    <w:multiLevelType w:val="hybridMultilevel"/>
    <w:tmpl w:val="EE96AF50"/>
    <w:lvl w:ilvl="0" w:tplc="0352DF5A">
      <w:start w:val="1"/>
      <w:numFmt w:val="bullet"/>
      <w:lvlText w:val=""/>
      <w:lvlJc w:val="left"/>
      <w:pPr>
        <w:ind w:left="360" w:hanging="360"/>
      </w:pPr>
      <w:rPr>
        <w:rFonts w:ascii="Wingdings" w:hAnsi="Wingdings" w:hint="default"/>
        <w:b w:val="0"/>
      </w:rPr>
    </w:lvl>
    <w:lvl w:ilvl="1" w:tplc="080C0003" w:tentative="1">
      <w:start w:val="1"/>
      <w:numFmt w:val="bullet"/>
      <w:lvlText w:val="o"/>
      <w:lvlJc w:val="left"/>
      <w:pPr>
        <w:ind w:left="1320" w:hanging="360"/>
      </w:pPr>
      <w:rPr>
        <w:rFonts w:ascii="Courier New" w:hAnsi="Courier New" w:cs="Courier New" w:hint="default"/>
      </w:rPr>
    </w:lvl>
    <w:lvl w:ilvl="2" w:tplc="080C0005" w:tentative="1">
      <w:start w:val="1"/>
      <w:numFmt w:val="bullet"/>
      <w:lvlText w:val=""/>
      <w:lvlJc w:val="left"/>
      <w:pPr>
        <w:ind w:left="2040" w:hanging="360"/>
      </w:pPr>
      <w:rPr>
        <w:rFonts w:ascii="Wingdings" w:hAnsi="Wingdings" w:hint="default"/>
      </w:rPr>
    </w:lvl>
    <w:lvl w:ilvl="3" w:tplc="080C0001" w:tentative="1">
      <w:start w:val="1"/>
      <w:numFmt w:val="bullet"/>
      <w:lvlText w:val=""/>
      <w:lvlJc w:val="left"/>
      <w:pPr>
        <w:ind w:left="2760" w:hanging="360"/>
      </w:pPr>
      <w:rPr>
        <w:rFonts w:ascii="Symbol" w:hAnsi="Symbol" w:hint="default"/>
      </w:rPr>
    </w:lvl>
    <w:lvl w:ilvl="4" w:tplc="080C0003" w:tentative="1">
      <w:start w:val="1"/>
      <w:numFmt w:val="bullet"/>
      <w:lvlText w:val="o"/>
      <w:lvlJc w:val="left"/>
      <w:pPr>
        <w:ind w:left="3480" w:hanging="360"/>
      </w:pPr>
      <w:rPr>
        <w:rFonts w:ascii="Courier New" w:hAnsi="Courier New" w:cs="Courier New" w:hint="default"/>
      </w:rPr>
    </w:lvl>
    <w:lvl w:ilvl="5" w:tplc="080C0005" w:tentative="1">
      <w:start w:val="1"/>
      <w:numFmt w:val="bullet"/>
      <w:lvlText w:val=""/>
      <w:lvlJc w:val="left"/>
      <w:pPr>
        <w:ind w:left="4200" w:hanging="360"/>
      </w:pPr>
      <w:rPr>
        <w:rFonts w:ascii="Wingdings" w:hAnsi="Wingdings" w:hint="default"/>
      </w:rPr>
    </w:lvl>
    <w:lvl w:ilvl="6" w:tplc="080C0001" w:tentative="1">
      <w:start w:val="1"/>
      <w:numFmt w:val="bullet"/>
      <w:lvlText w:val=""/>
      <w:lvlJc w:val="left"/>
      <w:pPr>
        <w:ind w:left="4920" w:hanging="360"/>
      </w:pPr>
      <w:rPr>
        <w:rFonts w:ascii="Symbol" w:hAnsi="Symbol" w:hint="default"/>
      </w:rPr>
    </w:lvl>
    <w:lvl w:ilvl="7" w:tplc="080C0003" w:tentative="1">
      <w:start w:val="1"/>
      <w:numFmt w:val="bullet"/>
      <w:lvlText w:val="o"/>
      <w:lvlJc w:val="left"/>
      <w:pPr>
        <w:ind w:left="5640" w:hanging="360"/>
      </w:pPr>
      <w:rPr>
        <w:rFonts w:ascii="Courier New" w:hAnsi="Courier New" w:cs="Courier New" w:hint="default"/>
      </w:rPr>
    </w:lvl>
    <w:lvl w:ilvl="8" w:tplc="080C0005" w:tentative="1">
      <w:start w:val="1"/>
      <w:numFmt w:val="bullet"/>
      <w:lvlText w:val=""/>
      <w:lvlJc w:val="left"/>
      <w:pPr>
        <w:ind w:left="6360" w:hanging="360"/>
      </w:pPr>
      <w:rPr>
        <w:rFonts w:ascii="Wingdings" w:hAnsi="Wingdings" w:hint="default"/>
      </w:rPr>
    </w:lvl>
  </w:abstractNum>
  <w:abstractNum w:abstractNumId="1">
    <w:nsid w:val="0BD21735"/>
    <w:multiLevelType w:val="hybridMultilevel"/>
    <w:tmpl w:val="09EAD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0134EF"/>
    <w:multiLevelType w:val="hybridMultilevel"/>
    <w:tmpl w:val="5F5A665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DAB7AEA"/>
    <w:multiLevelType w:val="hybridMultilevel"/>
    <w:tmpl w:val="75C4844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0ED8170C"/>
    <w:multiLevelType w:val="hybridMultilevel"/>
    <w:tmpl w:val="4106D18C"/>
    <w:lvl w:ilvl="0" w:tplc="1632DD5A">
      <w:start w:val="2"/>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05E6E"/>
    <w:multiLevelType w:val="hybridMultilevel"/>
    <w:tmpl w:val="6C22E12C"/>
    <w:lvl w:ilvl="0" w:tplc="70BA0EB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E03C3"/>
    <w:multiLevelType w:val="hybridMultilevel"/>
    <w:tmpl w:val="E48EC852"/>
    <w:lvl w:ilvl="0" w:tplc="9BA218E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14193"/>
    <w:multiLevelType w:val="hybridMultilevel"/>
    <w:tmpl w:val="3FF4F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80673A"/>
    <w:multiLevelType w:val="hybridMultilevel"/>
    <w:tmpl w:val="FF86631C"/>
    <w:lvl w:ilvl="0" w:tplc="CC043AB8">
      <w:start w:val="2"/>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CC3410"/>
    <w:multiLevelType w:val="hybridMultilevel"/>
    <w:tmpl w:val="FEB6479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CF925F7"/>
    <w:multiLevelType w:val="hybridMultilevel"/>
    <w:tmpl w:val="B5309E34"/>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298055F4"/>
    <w:multiLevelType w:val="hybridMultilevel"/>
    <w:tmpl w:val="CF767F66"/>
    <w:lvl w:ilvl="0" w:tplc="080C000D">
      <w:start w:val="1"/>
      <w:numFmt w:val="bullet"/>
      <w:lvlText w:val=""/>
      <w:lvlJc w:val="left"/>
      <w:pPr>
        <w:ind w:left="1680" w:hanging="360"/>
      </w:pPr>
      <w:rPr>
        <w:rFonts w:ascii="Wingdings" w:hAnsi="Wingdings" w:hint="default"/>
      </w:rPr>
    </w:lvl>
    <w:lvl w:ilvl="1" w:tplc="080C0003" w:tentative="1">
      <w:start w:val="1"/>
      <w:numFmt w:val="bullet"/>
      <w:lvlText w:val="o"/>
      <w:lvlJc w:val="left"/>
      <w:pPr>
        <w:ind w:left="2400" w:hanging="360"/>
      </w:pPr>
      <w:rPr>
        <w:rFonts w:ascii="Courier New" w:hAnsi="Courier New" w:cs="Courier New" w:hint="default"/>
      </w:rPr>
    </w:lvl>
    <w:lvl w:ilvl="2" w:tplc="080C0005" w:tentative="1">
      <w:start w:val="1"/>
      <w:numFmt w:val="bullet"/>
      <w:lvlText w:val=""/>
      <w:lvlJc w:val="left"/>
      <w:pPr>
        <w:ind w:left="3120" w:hanging="360"/>
      </w:pPr>
      <w:rPr>
        <w:rFonts w:ascii="Wingdings" w:hAnsi="Wingdings" w:hint="default"/>
      </w:rPr>
    </w:lvl>
    <w:lvl w:ilvl="3" w:tplc="080C0001" w:tentative="1">
      <w:start w:val="1"/>
      <w:numFmt w:val="bullet"/>
      <w:lvlText w:val=""/>
      <w:lvlJc w:val="left"/>
      <w:pPr>
        <w:ind w:left="3840" w:hanging="360"/>
      </w:pPr>
      <w:rPr>
        <w:rFonts w:ascii="Symbol" w:hAnsi="Symbol" w:hint="default"/>
      </w:rPr>
    </w:lvl>
    <w:lvl w:ilvl="4" w:tplc="080C0003" w:tentative="1">
      <w:start w:val="1"/>
      <w:numFmt w:val="bullet"/>
      <w:lvlText w:val="o"/>
      <w:lvlJc w:val="left"/>
      <w:pPr>
        <w:ind w:left="4560" w:hanging="360"/>
      </w:pPr>
      <w:rPr>
        <w:rFonts w:ascii="Courier New" w:hAnsi="Courier New" w:cs="Courier New" w:hint="default"/>
      </w:rPr>
    </w:lvl>
    <w:lvl w:ilvl="5" w:tplc="080C0005" w:tentative="1">
      <w:start w:val="1"/>
      <w:numFmt w:val="bullet"/>
      <w:lvlText w:val=""/>
      <w:lvlJc w:val="left"/>
      <w:pPr>
        <w:ind w:left="5280" w:hanging="360"/>
      </w:pPr>
      <w:rPr>
        <w:rFonts w:ascii="Wingdings" w:hAnsi="Wingdings" w:hint="default"/>
      </w:rPr>
    </w:lvl>
    <w:lvl w:ilvl="6" w:tplc="080C0001" w:tentative="1">
      <w:start w:val="1"/>
      <w:numFmt w:val="bullet"/>
      <w:lvlText w:val=""/>
      <w:lvlJc w:val="left"/>
      <w:pPr>
        <w:ind w:left="6000" w:hanging="360"/>
      </w:pPr>
      <w:rPr>
        <w:rFonts w:ascii="Symbol" w:hAnsi="Symbol" w:hint="default"/>
      </w:rPr>
    </w:lvl>
    <w:lvl w:ilvl="7" w:tplc="080C0003" w:tentative="1">
      <w:start w:val="1"/>
      <w:numFmt w:val="bullet"/>
      <w:lvlText w:val="o"/>
      <w:lvlJc w:val="left"/>
      <w:pPr>
        <w:ind w:left="6720" w:hanging="360"/>
      </w:pPr>
      <w:rPr>
        <w:rFonts w:ascii="Courier New" w:hAnsi="Courier New" w:cs="Courier New" w:hint="default"/>
      </w:rPr>
    </w:lvl>
    <w:lvl w:ilvl="8" w:tplc="080C0005" w:tentative="1">
      <w:start w:val="1"/>
      <w:numFmt w:val="bullet"/>
      <w:lvlText w:val=""/>
      <w:lvlJc w:val="left"/>
      <w:pPr>
        <w:ind w:left="7440" w:hanging="360"/>
      </w:pPr>
      <w:rPr>
        <w:rFonts w:ascii="Wingdings" w:hAnsi="Wingdings" w:hint="default"/>
      </w:rPr>
    </w:lvl>
  </w:abstractNum>
  <w:abstractNum w:abstractNumId="12">
    <w:nsid w:val="2B504CC3"/>
    <w:multiLevelType w:val="hybridMultilevel"/>
    <w:tmpl w:val="A232F71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BD722A1"/>
    <w:multiLevelType w:val="hybridMultilevel"/>
    <w:tmpl w:val="54E8CD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601C26"/>
    <w:multiLevelType w:val="hybridMultilevel"/>
    <w:tmpl w:val="513024DE"/>
    <w:lvl w:ilvl="0" w:tplc="8F4238EE">
      <w:start w:val="23"/>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1121D0"/>
    <w:multiLevelType w:val="hybridMultilevel"/>
    <w:tmpl w:val="45066FF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1E5F2F"/>
    <w:multiLevelType w:val="hybridMultilevel"/>
    <w:tmpl w:val="2C3659E6"/>
    <w:lvl w:ilvl="0" w:tplc="76C4CD8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653DDF"/>
    <w:multiLevelType w:val="hybridMultilevel"/>
    <w:tmpl w:val="AE3EF5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nsid w:val="41093DA9"/>
    <w:multiLevelType w:val="hybridMultilevel"/>
    <w:tmpl w:val="45C85EC6"/>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BB0DAA"/>
    <w:multiLevelType w:val="hybridMultilevel"/>
    <w:tmpl w:val="EF0AF9AE"/>
    <w:lvl w:ilvl="0" w:tplc="B274B7BA">
      <w:start w:val="2"/>
      <w:numFmt w:val="bullet"/>
      <w:lvlText w:val="-"/>
      <w:lvlJc w:val="left"/>
      <w:pPr>
        <w:ind w:left="720" w:hanging="360"/>
      </w:pPr>
      <w:rPr>
        <w:rFonts w:ascii="Times New Roman" w:eastAsiaTheme="minorHAnsi" w:hAnsi="Times New Roman" w:cs="Times New Roman" w:hint="default"/>
        <w:b/>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5A4D58"/>
    <w:multiLevelType w:val="hybridMultilevel"/>
    <w:tmpl w:val="16E4B0D8"/>
    <w:lvl w:ilvl="0" w:tplc="388E104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8663A9"/>
    <w:multiLevelType w:val="hybridMultilevel"/>
    <w:tmpl w:val="477A9644"/>
    <w:lvl w:ilvl="0" w:tplc="A290E6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4528B1"/>
    <w:multiLevelType w:val="hybridMultilevel"/>
    <w:tmpl w:val="382A0DA4"/>
    <w:lvl w:ilvl="0" w:tplc="B6FC980A">
      <w:start w:val="2"/>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743CD6"/>
    <w:multiLevelType w:val="hybridMultilevel"/>
    <w:tmpl w:val="CA441A9C"/>
    <w:lvl w:ilvl="0" w:tplc="B36A99E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8C65C3"/>
    <w:multiLevelType w:val="hybridMultilevel"/>
    <w:tmpl w:val="8B8E2A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3C953E8"/>
    <w:multiLevelType w:val="hybridMultilevel"/>
    <w:tmpl w:val="B70254EC"/>
    <w:lvl w:ilvl="0" w:tplc="8F4238EE">
      <w:start w:val="23"/>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4B522B"/>
    <w:multiLevelType w:val="hybridMultilevel"/>
    <w:tmpl w:val="952AE25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1B20EA7"/>
    <w:multiLevelType w:val="hybridMultilevel"/>
    <w:tmpl w:val="A5948CD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47041C8"/>
    <w:multiLevelType w:val="hybridMultilevel"/>
    <w:tmpl w:val="AE9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9A0149"/>
    <w:multiLevelType w:val="hybridMultilevel"/>
    <w:tmpl w:val="06982D5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727653B"/>
    <w:multiLevelType w:val="hybridMultilevel"/>
    <w:tmpl w:val="6CB830EA"/>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3E5E0E"/>
    <w:multiLevelType w:val="hybridMultilevel"/>
    <w:tmpl w:val="0E565A18"/>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D15D6B"/>
    <w:multiLevelType w:val="hybridMultilevel"/>
    <w:tmpl w:val="0FDE30E0"/>
    <w:lvl w:ilvl="0" w:tplc="079C6A30">
      <w:start w:val="2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32"/>
  </w:num>
  <w:num w:numId="4">
    <w:abstractNumId w:val="14"/>
  </w:num>
  <w:num w:numId="5">
    <w:abstractNumId w:val="31"/>
  </w:num>
  <w:num w:numId="6">
    <w:abstractNumId w:val="30"/>
  </w:num>
  <w:num w:numId="7">
    <w:abstractNumId w:val="18"/>
  </w:num>
  <w:num w:numId="8">
    <w:abstractNumId w:val="25"/>
  </w:num>
  <w:num w:numId="9">
    <w:abstractNumId w:val="24"/>
  </w:num>
  <w:num w:numId="10">
    <w:abstractNumId w:val="12"/>
  </w:num>
  <w:num w:numId="11">
    <w:abstractNumId w:val="11"/>
  </w:num>
  <w:num w:numId="12">
    <w:abstractNumId w:val="10"/>
  </w:num>
  <w:num w:numId="13">
    <w:abstractNumId w:val="29"/>
  </w:num>
  <w:num w:numId="14">
    <w:abstractNumId w:val="2"/>
  </w:num>
  <w:num w:numId="15">
    <w:abstractNumId w:val="27"/>
  </w:num>
  <w:num w:numId="16">
    <w:abstractNumId w:val="9"/>
  </w:num>
  <w:num w:numId="17">
    <w:abstractNumId w:val="26"/>
  </w:num>
  <w:num w:numId="18">
    <w:abstractNumId w:val="0"/>
  </w:num>
  <w:num w:numId="19">
    <w:abstractNumId w:val="13"/>
  </w:num>
  <w:num w:numId="20">
    <w:abstractNumId w:val="21"/>
  </w:num>
  <w:num w:numId="21">
    <w:abstractNumId w:val="3"/>
  </w:num>
  <w:num w:numId="22">
    <w:abstractNumId w:val="6"/>
  </w:num>
  <w:num w:numId="23">
    <w:abstractNumId w:val="23"/>
  </w:num>
  <w:num w:numId="24">
    <w:abstractNumId w:val="23"/>
  </w:num>
  <w:num w:numId="25">
    <w:abstractNumId w:val="16"/>
  </w:num>
  <w:num w:numId="26">
    <w:abstractNumId w:val="7"/>
  </w:num>
  <w:num w:numId="27">
    <w:abstractNumId w:val="15"/>
  </w:num>
  <w:num w:numId="28">
    <w:abstractNumId w:val="17"/>
  </w:num>
  <w:num w:numId="29">
    <w:abstractNumId w:val="19"/>
  </w:num>
  <w:num w:numId="30">
    <w:abstractNumId w:val="4"/>
  </w:num>
  <w:num w:numId="31">
    <w:abstractNumId w:val="8"/>
  </w:num>
  <w:num w:numId="32">
    <w:abstractNumId w:val="20"/>
  </w:num>
  <w:num w:numId="33">
    <w:abstractNumId w:val="2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nl-BE" w:vendorID="64" w:dllVersion="131078" w:nlCheck="1" w:checkStyle="0"/>
  <w:activeWritingStyle w:appName="MSWord" w:lang="es-ES" w:vendorID="64" w:dllVersion="131078" w:nlCheck="1" w:checkStyle="0"/>
  <w:activeWritingStyle w:appName="MSWord" w:lang="pt-PT" w:vendorID="64" w:dllVersion="131078" w:nlCheck="1" w:checkStyle="0"/>
  <w:activeWritingStyle w:appName="MSWord" w:lang="it-IT"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D7ACE27-277E-488C-A969-EF191FE3D547"/>
    <w:docVar w:name="LW_COVERPAGE_TYPE" w:val="1"/>
    <w:docVar w:name="LW_CROSSREFERENCE" w:val="&lt;UNUSED&gt;"/>
    <w:docVar w:name="LW_DocType" w:val="NORMAL"/>
    <w:docVar w:name="LW_EMISSION" w:val="2.12.2020"/>
    <w:docVar w:name="LW_EMISSION_ISODATE" w:val="2020-12-02"/>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rategy to strengthen the application of the Charter of Fundamental Rights in the EU   "/>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ootnote Text Char2 Char,Footnote Text Char Char1 Char,Footnote Text Char2 Char Char Char,Footnote Text Char1 Char Char Char Char,Footnote Text Char Char Char Char Char Char,5_G,Char Char Char,Char Char Char Char Char Char,Fußn"/>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link w:val="FootnoteText"/>
    <w:rPr>
      <w:sz w:val="20"/>
      <w:szCs w:val="20"/>
    </w:rPr>
  </w:style>
  <w:style w:type="character" w:styleId="FootnoteReference">
    <w:name w:val="footnote reference"/>
    <w:aliases w:val="Footnote Refernece,4_G,4_GA,Footnote symbol,Footnote reference number,note TESI,BVI fnr,Appel note de bas de p,Nota,SUPERS,Footnote number,Footnote Reference Superscript,EN Footnote Reference,-E Fußnotenzeichen,number Char Char,Ref,E"/>
    <w:basedOn w:val="DefaultParagraphFont"/>
    <w:unhideWhenUsed/>
    <w:qFormat/>
    <w:rPr>
      <w:vertAlign w:val="superscript"/>
    </w:rPr>
  </w:style>
  <w:style w:type="paragraph" w:styleId="ListParagraph">
    <w:name w:val="List Paragraph"/>
    <w:aliases w:val="Fiche List Paragraph,OBC Bullet,Dot pt,F5 List Paragraph,List Paragraph1,No Spacing1,List Paragraph Char Char Char,Indicator Text,Numbered Para 1,Bullet 1,Bullet Points,MAIN CONTENT,List Paragraph11,Conclusion de partie,List Paragraph12,L"/>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affairetitle">
    <w:name w:val="affaire_title"/>
    <w:basedOn w:val="DefaultParagraphFont"/>
  </w:style>
  <w:style w:type="character" w:customStyle="1" w:styleId="outputecliaff">
    <w:name w:val="outputecliaff"/>
    <w:basedOn w:val="DefaultParagraphFont"/>
  </w:style>
  <w:style w:type="character" w:customStyle="1" w:styleId="outputecli">
    <w:name w:val="outputecli"/>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ootnote Text Char2 Char,Footnote Text Char Char1 Char,Footnote Text Char2 Char Char Char,Footnote Text Char1 Char Char Char Char,Footnote Text Char Char Char Char Char Char,5_G,Char Char Char,Char Char Char Char Char Char,Fußn"/>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link w:val="FootnoteText"/>
    <w:rPr>
      <w:sz w:val="20"/>
      <w:szCs w:val="20"/>
    </w:rPr>
  </w:style>
  <w:style w:type="character" w:styleId="FootnoteReference">
    <w:name w:val="footnote reference"/>
    <w:aliases w:val="Footnote Refernece,4_G,4_GA,Footnote symbol,Footnote reference number,note TESI,BVI fnr,Appel note de bas de p,Nota,SUPERS,Footnote number,Footnote Reference Superscript,EN Footnote Reference,-E Fußnotenzeichen,number Char Char,Ref,E"/>
    <w:basedOn w:val="DefaultParagraphFont"/>
    <w:unhideWhenUsed/>
    <w:qFormat/>
    <w:rPr>
      <w:vertAlign w:val="superscript"/>
    </w:rPr>
  </w:style>
  <w:style w:type="paragraph" w:styleId="ListParagraph">
    <w:name w:val="List Paragraph"/>
    <w:aliases w:val="Fiche List Paragraph,OBC Bullet,Dot pt,F5 List Paragraph,List Paragraph1,No Spacing1,List Paragraph Char Char Char,Indicator Text,Numbered Para 1,Bullet 1,Bullet Points,MAIN CONTENT,List Paragraph11,Conclusion de partie,List Paragraph12,L"/>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affairetitle">
    <w:name w:val="affaire_title"/>
    <w:basedOn w:val="DefaultParagraphFont"/>
  </w:style>
  <w:style w:type="character" w:customStyle="1" w:styleId="outputecliaff">
    <w:name w:val="outputecliaff"/>
    <w:basedOn w:val="DefaultParagraphFont"/>
  </w:style>
  <w:style w:type="character" w:customStyle="1" w:styleId="outputecli">
    <w:name w:val="outputecli"/>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18">
      <w:bodyDiv w:val="1"/>
      <w:marLeft w:val="0"/>
      <w:marRight w:val="0"/>
      <w:marTop w:val="0"/>
      <w:marBottom w:val="0"/>
      <w:divBdr>
        <w:top w:val="none" w:sz="0" w:space="0" w:color="auto"/>
        <w:left w:val="none" w:sz="0" w:space="0" w:color="auto"/>
        <w:bottom w:val="none" w:sz="0" w:space="0" w:color="auto"/>
        <w:right w:val="none" w:sz="0" w:space="0" w:color="auto"/>
      </w:divBdr>
    </w:div>
    <w:div w:id="121966609">
      <w:bodyDiv w:val="1"/>
      <w:marLeft w:val="0"/>
      <w:marRight w:val="0"/>
      <w:marTop w:val="0"/>
      <w:marBottom w:val="0"/>
      <w:divBdr>
        <w:top w:val="none" w:sz="0" w:space="0" w:color="auto"/>
        <w:left w:val="none" w:sz="0" w:space="0" w:color="auto"/>
        <w:bottom w:val="none" w:sz="0" w:space="0" w:color="auto"/>
        <w:right w:val="none" w:sz="0" w:space="0" w:color="auto"/>
      </w:divBdr>
    </w:div>
    <w:div w:id="231162252">
      <w:bodyDiv w:val="1"/>
      <w:marLeft w:val="0"/>
      <w:marRight w:val="0"/>
      <w:marTop w:val="0"/>
      <w:marBottom w:val="0"/>
      <w:divBdr>
        <w:top w:val="none" w:sz="0" w:space="0" w:color="auto"/>
        <w:left w:val="none" w:sz="0" w:space="0" w:color="auto"/>
        <w:bottom w:val="none" w:sz="0" w:space="0" w:color="auto"/>
        <w:right w:val="none" w:sz="0" w:space="0" w:color="auto"/>
      </w:divBdr>
      <w:divsChild>
        <w:div w:id="472135691">
          <w:marLeft w:val="0"/>
          <w:marRight w:val="0"/>
          <w:marTop w:val="0"/>
          <w:marBottom w:val="0"/>
          <w:divBdr>
            <w:top w:val="none" w:sz="0" w:space="0" w:color="auto"/>
            <w:left w:val="none" w:sz="0" w:space="0" w:color="auto"/>
            <w:bottom w:val="none" w:sz="0" w:space="0" w:color="auto"/>
            <w:right w:val="none" w:sz="0" w:space="0" w:color="auto"/>
          </w:divBdr>
          <w:divsChild>
            <w:div w:id="16409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4994">
      <w:bodyDiv w:val="1"/>
      <w:marLeft w:val="0"/>
      <w:marRight w:val="0"/>
      <w:marTop w:val="0"/>
      <w:marBottom w:val="0"/>
      <w:divBdr>
        <w:top w:val="none" w:sz="0" w:space="0" w:color="auto"/>
        <w:left w:val="none" w:sz="0" w:space="0" w:color="auto"/>
        <w:bottom w:val="none" w:sz="0" w:space="0" w:color="auto"/>
        <w:right w:val="none" w:sz="0" w:space="0" w:color="auto"/>
      </w:divBdr>
    </w:div>
    <w:div w:id="505940495">
      <w:bodyDiv w:val="1"/>
      <w:marLeft w:val="0"/>
      <w:marRight w:val="0"/>
      <w:marTop w:val="0"/>
      <w:marBottom w:val="0"/>
      <w:divBdr>
        <w:top w:val="none" w:sz="0" w:space="0" w:color="auto"/>
        <w:left w:val="none" w:sz="0" w:space="0" w:color="auto"/>
        <w:bottom w:val="none" w:sz="0" w:space="0" w:color="auto"/>
        <w:right w:val="none" w:sz="0" w:space="0" w:color="auto"/>
      </w:divBdr>
    </w:div>
    <w:div w:id="61310076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42471963">
      <w:bodyDiv w:val="1"/>
      <w:marLeft w:val="0"/>
      <w:marRight w:val="0"/>
      <w:marTop w:val="0"/>
      <w:marBottom w:val="0"/>
      <w:divBdr>
        <w:top w:val="none" w:sz="0" w:space="0" w:color="auto"/>
        <w:left w:val="none" w:sz="0" w:space="0" w:color="auto"/>
        <w:bottom w:val="none" w:sz="0" w:space="0" w:color="auto"/>
        <w:right w:val="none" w:sz="0" w:space="0" w:color="auto"/>
      </w:divBdr>
    </w:div>
    <w:div w:id="651300510">
      <w:bodyDiv w:val="1"/>
      <w:marLeft w:val="0"/>
      <w:marRight w:val="0"/>
      <w:marTop w:val="0"/>
      <w:marBottom w:val="0"/>
      <w:divBdr>
        <w:top w:val="none" w:sz="0" w:space="0" w:color="auto"/>
        <w:left w:val="none" w:sz="0" w:space="0" w:color="auto"/>
        <w:bottom w:val="none" w:sz="0" w:space="0" w:color="auto"/>
        <w:right w:val="none" w:sz="0" w:space="0" w:color="auto"/>
      </w:divBdr>
    </w:div>
    <w:div w:id="735131257">
      <w:bodyDiv w:val="1"/>
      <w:marLeft w:val="0"/>
      <w:marRight w:val="0"/>
      <w:marTop w:val="0"/>
      <w:marBottom w:val="0"/>
      <w:divBdr>
        <w:top w:val="none" w:sz="0" w:space="0" w:color="auto"/>
        <w:left w:val="none" w:sz="0" w:space="0" w:color="auto"/>
        <w:bottom w:val="none" w:sz="0" w:space="0" w:color="auto"/>
        <w:right w:val="none" w:sz="0" w:space="0" w:color="auto"/>
      </w:divBdr>
    </w:div>
    <w:div w:id="755982936">
      <w:bodyDiv w:val="1"/>
      <w:marLeft w:val="0"/>
      <w:marRight w:val="0"/>
      <w:marTop w:val="0"/>
      <w:marBottom w:val="0"/>
      <w:divBdr>
        <w:top w:val="none" w:sz="0" w:space="0" w:color="auto"/>
        <w:left w:val="none" w:sz="0" w:space="0" w:color="auto"/>
        <w:bottom w:val="none" w:sz="0" w:space="0" w:color="auto"/>
        <w:right w:val="none" w:sz="0" w:space="0" w:color="auto"/>
      </w:divBdr>
    </w:div>
    <w:div w:id="758407276">
      <w:bodyDiv w:val="1"/>
      <w:marLeft w:val="0"/>
      <w:marRight w:val="0"/>
      <w:marTop w:val="0"/>
      <w:marBottom w:val="0"/>
      <w:divBdr>
        <w:top w:val="none" w:sz="0" w:space="0" w:color="auto"/>
        <w:left w:val="none" w:sz="0" w:space="0" w:color="auto"/>
        <w:bottom w:val="none" w:sz="0" w:space="0" w:color="auto"/>
        <w:right w:val="none" w:sz="0" w:space="0" w:color="auto"/>
      </w:divBdr>
    </w:div>
    <w:div w:id="788817092">
      <w:bodyDiv w:val="1"/>
      <w:marLeft w:val="0"/>
      <w:marRight w:val="0"/>
      <w:marTop w:val="0"/>
      <w:marBottom w:val="0"/>
      <w:divBdr>
        <w:top w:val="none" w:sz="0" w:space="0" w:color="auto"/>
        <w:left w:val="none" w:sz="0" w:space="0" w:color="auto"/>
        <w:bottom w:val="none" w:sz="0" w:space="0" w:color="auto"/>
        <w:right w:val="none" w:sz="0" w:space="0" w:color="auto"/>
      </w:divBdr>
    </w:div>
    <w:div w:id="822625755">
      <w:bodyDiv w:val="1"/>
      <w:marLeft w:val="0"/>
      <w:marRight w:val="0"/>
      <w:marTop w:val="0"/>
      <w:marBottom w:val="0"/>
      <w:divBdr>
        <w:top w:val="none" w:sz="0" w:space="0" w:color="auto"/>
        <w:left w:val="none" w:sz="0" w:space="0" w:color="auto"/>
        <w:bottom w:val="none" w:sz="0" w:space="0" w:color="auto"/>
        <w:right w:val="none" w:sz="0" w:space="0" w:color="auto"/>
      </w:divBdr>
    </w:div>
    <w:div w:id="830946696">
      <w:bodyDiv w:val="1"/>
      <w:marLeft w:val="0"/>
      <w:marRight w:val="0"/>
      <w:marTop w:val="0"/>
      <w:marBottom w:val="0"/>
      <w:divBdr>
        <w:top w:val="none" w:sz="0" w:space="0" w:color="auto"/>
        <w:left w:val="none" w:sz="0" w:space="0" w:color="auto"/>
        <w:bottom w:val="none" w:sz="0" w:space="0" w:color="auto"/>
        <w:right w:val="none" w:sz="0" w:space="0" w:color="auto"/>
      </w:divBdr>
    </w:div>
    <w:div w:id="840924912">
      <w:bodyDiv w:val="1"/>
      <w:marLeft w:val="0"/>
      <w:marRight w:val="0"/>
      <w:marTop w:val="0"/>
      <w:marBottom w:val="0"/>
      <w:divBdr>
        <w:top w:val="none" w:sz="0" w:space="0" w:color="auto"/>
        <w:left w:val="none" w:sz="0" w:space="0" w:color="auto"/>
        <w:bottom w:val="none" w:sz="0" w:space="0" w:color="auto"/>
        <w:right w:val="none" w:sz="0" w:space="0" w:color="auto"/>
      </w:divBdr>
    </w:div>
    <w:div w:id="912810767">
      <w:bodyDiv w:val="1"/>
      <w:marLeft w:val="0"/>
      <w:marRight w:val="0"/>
      <w:marTop w:val="0"/>
      <w:marBottom w:val="0"/>
      <w:divBdr>
        <w:top w:val="none" w:sz="0" w:space="0" w:color="auto"/>
        <w:left w:val="none" w:sz="0" w:space="0" w:color="auto"/>
        <w:bottom w:val="none" w:sz="0" w:space="0" w:color="auto"/>
        <w:right w:val="none" w:sz="0" w:space="0" w:color="auto"/>
      </w:divBdr>
    </w:div>
    <w:div w:id="938638944">
      <w:bodyDiv w:val="1"/>
      <w:marLeft w:val="0"/>
      <w:marRight w:val="0"/>
      <w:marTop w:val="0"/>
      <w:marBottom w:val="0"/>
      <w:divBdr>
        <w:top w:val="none" w:sz="0" w:space="0" w:color="auto"/>
        <w:left w:val="none" w:sz="0" w:space="0" w:color="auto"/>
        <w:bottom w:val="none" w:sz="0" w:space="0" w:color="auto"/>
        <w:right w:val="none" w:sz="0" w:space="0" w:color="auto"/>
      </w:divBdr>
    </w:div>
    <w:div w:id="971785020">
      <w:bodyDiv w:val="1"/>
      <w:marLeft w:val="0"/>
      <w:marRight w:val="0"/>
      <w:marTop w:val="0"/>
      <w:marBottom w:val="0"/>
      <w:divBdr>
        <w:top w:val="none" w:sz="0" w:space="0" w:color="auto"/>
        <w:left w:val="none" w:sz="0" w:space="0" w:color="auto"/>
        <w:bottom w:val="none" w:sz="0" w:space="0" w:color="auto"/>
        <w:right w:val="none" w:sz="0" w:space="0" w:color="auto"/>
      </w:divBdr>
    </w:div>
    <w:div w:id="999694109">
      <w:bodyDiv w:val="1"/>
      <w:marLeft w:val="0"/>
      <w:marRight w:val="0"/>
      <w:marTop w:val="0"/>
      <w:marBottom w:val="0"/>
      <w:divBdr>
        <w:top w:val="none" w:sz="0" w:space="0" w:color="auto"/>
        <w:left w:val="none" w:sz="0" w:space="0" w:color="auto"/>
        <w:bottom w:val="none" w:sz="0" w:space="0" w:color="auto"/>
        <w:right w:val="none" w:sz="0" w:space="0" w:color="auto"/>
      </w:divBdr>
    </w:div>
    <w:div w:id="1119569606">
      <w:bodyDiv w:val="1"/>
      <w:marLeft w:val="0"/>
      <w:marRight w:val="0"/>
      <w:marTop w:val="0"/>
      <w:marBottom w:val="0"/>
      <w:divBdr>
        <w:top w:val="none" w:sz="0" w:space="0" w:color="auto"/>
        <w:left w:val="none" w:sz="0" w:space="0" w:color="auto"/>
        <w:bottom w:val="none" w:sz="0" w:space="0" w:color="auto"/>
        <w:right w:val="none" w:sz="0" w:space="0" w:color="auto"/>
      </w:divBdr>
    </w:div>
    <w:div w:id="1153136110">
      <w:bodyDiv w:val="1"/>
      <w:marLeft w:val="0"/>
      <w:marRight w:val="0"/>
      <w:marTop w:val="0"/>
      <w:marBottom w:val="0"/>
      <w:divBdr>
        <w:top w:val="none" w:sz="0" w:space="0" w:color="auto"/>
        <w:left w:val="none" w:sz="0" w:space="0" w:color="auto"/>
        <w:bottom w:val="none" w:sz="0" w:space="0" w:color="auto"/>
        <w:right w:val="none" w:sz="0" w:space="0" w:color="auto"/>
      </w:divBdr>
    </w:div>
    <w:div w:id="1277445531">
      <w:bodyDiv w:val="1"/>
      <w:marLeft w:val="0"/>
      <w:marRight w:val="0"/>
      <w:marTop w:val="0"/>
      <w:marBottom w:val="0"/>
      <w:divBdr>
        <w:top w:val="none" w:sz="0" w:space="0" w:color="auto"/>
        <w:left w:val="none" w:sz="0" w:space="0" w:color="auto"/>
        <w:bottom w:val="none" w:sz="0" w:space="0" w:color="auto"/>
        <w:right w:val="none" w:sz="0" w:space="0" w:color="auto"/>
      </w:divBdr>
    </w:div>
    <w:div w:id="1317104350">
      <w:bodyDiv w:val="1"/>
      <w:marLeft w:val="0"/>
      <w:marRight w:val="0"/>
      <w:marTop w:val="0"/>
      <w:marBottom w:val="0"/>
      <w:divBdr>
        <w:top w:val="none" w:sz="0" w:space="0" w:color="auto"/>
        <w:left w:val="none" w:sz="0" w:space="0" w:color="auto"/>
        <w:bottom w:val="none" w:sz="0" w:space="0" w:color="auto"/>
        <w:right w:val="none" w:sz="0" w:space="0" w:color="auto"/>
      </w:divBdr>
    </w:div>
    <w:div w:id="1365401068">
      <w:bodyDiv w:val="1"/>
      <w:marLeft w:val="0"/>
      <w:marRight w:val="0"/>
      <w:marTop w:val="0"/>
      <w:marBottom w:val="0"/>
      <w:divBdr>
        <w:top w:val="none" w:sz="0" w:space="0" w:color="auto"/>
        <w:left w:val="none" w:sz="0" w:space="0" w:color="auto"/>
        <w:bottom w:val="none" w:sz="0" w:space="0" w:color="auto"/>
        <w:right w:val="none" w:sz="0" w:space="0" w:color="auto"/>
      </w:divBdr>
    </w:div>
    <w:div w:id="1502699983">
      <w:bodyDiv w:val="1"/>
      <w:marLeft w:val="0"/>
      <w:marRight w:val="0"/>
      <w:marTop w:val="0"/>
      <w:marBottom w:val="0"/>
      <w:divBdr>
        <w:top w:val="none" w:sz="0" w:space="0" w:color="auto"/>
        <w:left w:val="none" w:sz="0" w:space="0" w:color="auto"/>
        <w:bottom w:val="none" w:sz="0" w:space="0" w:color="auto"/>
        <w:right w:val="none" w:sz="0" w:space="0" w:color="auto"/>
      </w:divBdr>
    </w:div>
    <w:div w:id="1544365979">
      <w:bodyDiv w:val="1"/>
      <w:marLeft w:val="0"/>
      <w:marRight w:val="0"/>
      <w:marTop w:val="0"/>
      <w:marBottom w:val="0"/>
      <w:divBdr>
        <w:top w:val="none" w:sz="0" w:space="0" w:color="auto"/>
        <w:left w:val="none" w:sz="0" w:space="0" w:color="auto"/>
        <w:bottom w:val="none" w:sz="0" w:space="0" w:color="auto"/>
        <w:right w:val="none" w:sz="0" w:space="0" w:color="auto"/>
      </w:divBdr>
    </w:div>
    <w:div w:id="1548449529">
      <w:bodyDiv w:val="1"/>
      <w:marLeft w:val="0"/>
      <w:marRight w:val="0"/>
      <w:marTop w:val="0"/>
      <w:marBottom w:val="0"/>
      <w:divBdr>
        <w:top w:val="none" w:sz="0" w:space="0" w:color="auto"/>
        <w:left w:val="none" w:sz="0" w:space="0" w:color="auto"/>
        <w:bottom w:val="none" w:sz="0" w:space="0" w:color="auto"/>
        <w:right w:val="none" w:sz="0" w:space="0" w:color="auto"/>
      </w:divBdr>
    </w:div>
    <w:div w:id="1898466289">
      <w:bodyDiv w:val="1"/>
      <w:marLeft w:val="0"/>
      <w:marRight w:val="0"/>
      <w:marTop w:val="0"/>
      <w:marBottom w:val="0"/>
      <w:divBdr>
        <w:top w:val="none" w:sz="0" w:space="0" w:color="auto"/>
        <w:left w:val="none" w:sz="0" w:space="0" w:color="auto"/>
        <w:bottom w:val="none" w:sz="0" w:space="0" w:color="auto"/>
        <w:right w:val="none" w:sz="0" w:space="0" w:color="auto"/>
      </w:divBdr>
    </w:div>
    <w:div w:id="1909538240">
      <w:bodyDiv w:val="1"/>
      <w:marLeft w:val="0"/>
      <w:marRight w:val="0"/>
      <w:marTop w:val="0"/>
      <w:marBottom w:val="0"/>
      <w:divBdr>
        <w:top w:val="none" w:sz="0" w:space="0" w:color="auto"/>
        <w:left w:val="none" w:sz="0" w:space="0" w:color="auto"/>
        <w:bottom w:val="none" w:sz="0" w:space="0" w:color="auto"/>
        <w:right w:val="none" w:sz="0" w:space="0" w:color="auto"/>
      </w:divBdr>
    </w:div>
    <w:div w:id="1930502613">
      <w:bodyDiv w:val="1"/>
      <w:marLeft w:val="0"/>
      <w:marRight w:val="0"/>
      <w:marTop w:val="0"/>
      <w:marBottom w:val="0"/>
      <w:divBdr>
        <w:top w:val="none" w:sz="0" w:space="0" w:color="auto"/>
        <w:left w:val="none" w:sz="0" w:space="0" w:color="auto"/>
        <w:bottom w:val="none" w:sz="0" w:space="0" w:color="auto"/>
        <w:right w:val="none" w:sz="0" w:space="0" w:color="auto"/>
      </w:divBdr>
      <w:divsChild>
        <w:div w:id="533927066">
          <w:marLeft w:val="0"/>
          <w:marRight w:val="0"/>
          <w:marTop w:val="0"/>
          <w:marBottom w:val="0"/>
          <w:divBdr>
            <w:top w:val="none" w:sz="0" w:space="0" w:color="auto"/>
            <w:left w:val="none" w:sz="0" w:space="0" w:color="auto"/>
            <w:bottom w:val="none" w:sz="0" w:space="0" w:color="auto"/>
            <w:right w:val="none" w:sz="0" w:space="0" w:color="auto"/>
          </w:divBdr>
          <w:divsChild>
            <w:div w:id="533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55490">
      <w:bodyDiv w:val="1"/>
      <w:marLeft w:val="0"/>
      <w:marRight w:val="0"/>
      <w:marTop w:val="0"/>
      <w:marBottom w:val="0"/>
      <w:divBdr>
        <w:top w:val="none" w:sz="0" w:space="0" w:color="auto"/>
        <w:left w:val="none" w:sz="0" w:space="0" w:color="auto"/>
        <w:bottom w:val="none" w:sz="0" w:space="0" w:color="auto"/>
        <w:right w:val="none" w:sz="0" w:space="0" w:color="auto"/>
      </w:divBdr>
    </w:div>
    <w:div w:id="1967003743">
      <w:bodyDiv w:val="1"/>
      <w:marLeft w:val="0"/>
      <w:marRight w:val="0"/>
      <w:marTop w:val="0"/>
      <w:marBottom w:val="0"/>
      <w:divBdr>
        <w:top w:val="none" w:sz="0" w:space="0" w:color="auto"/>
        <w:left w:val="none" w:sz="0" w:space="0" w:color="auto"/>
        <w:bottom w:val="none" w:sz="0" w:space="0" w:color="auto"/>
        <w:right w:val="none" w:sz="0" w:space="0" w:color="auto"/>
      </w:divBdr>
    </w:div>
    <w:div w:id="1982878258">
      <w:bodyDiv w:val="1"/>
      <w:marLeft w:val="0"/>
      <w:marRight w:val="0"/>
      <w:marTop w:val="0"/>
      <w:marBottom w:val="0"/>
      <w:divBdr>
        <w:top w:val="none" w:sz="0" w:space="0" w:color="auto"/>
        <w:left w:val="none" w:sz="0" w:space="0" w:color="auto"/>
        <w:bottom w:val="none" w:sz="0" w:space="0" w:color="auto"/>
        <w:right w:val="none" w:sz="0" w:space="0" w:color="auto"/>
      </w:divBdr>
    </w:div>
    <w:div w:id="2016686981">
      <w:bodyDiv w:val="1"/>
      <w:marLeft w:val="0"/>
      <w:marRight w:val="0"/>
      <w:marTop w:val="0"/>
      <w:marBottom w:val="0"/>
      <w:divBdr>
        <w:top w:val="none" w:sz="0" w:space="0" w:color="auto"/>
        <w:left w:val="none" w:sz="0" w:space="0" w:color="auto"/>
        <w:bottom w:val="none" w:sz="0" w:space="0" w:color="auto"/>
        <w:right w:val="none" w:sz="0" w:space="0" w:color="auto"/>
      </w:divBdr>
    </w:div>
    <w:div w:id="2043240469">
      <w:bodyDiv w:val="1"/>
      <w:marLeft w:val="0"/>
      <w:marRight w:val="0"/>
      <w:marTop w:val="0"/>
      <w:marBottom w:val="0"/>
      <w:divBdr>
        <w:top w:val="none" w:sz="0" w:space="0" w:color="auto"/>
        <w:left w:val="none" w:sz="0" w:space="0" w:color="auto"/>
        <w:bottom w:val="none" w:sz="0" w:space="0" w:color="auto"/>
        <w:right w:val="none" w:sz="0" w:space="0" w:color="auto"/>
      </w:divBdr>
    </w:div>
    <w:div w:id="2107067826">
      <w:bodyDiv w:val="1"/>
      <w:marLeft w:val="0"/>
      <w:marRight w:val="0"/>
      <w:marTop w:val="0"/>
      <w:marBottom w:val="0"/>
      <w:divBdr>
        <w:top w:val="none" w:sz="0" w:space="0" w:color="auto"/>
        <w:left w:val="none" w:sz="0" w:space="0" w:color="auto"/>
        <w:bottom w:val="none" w:sz="0" w:space="0" w:color="auto"/>
        <w:right w:val="none" w:sz="0" w:space="0" w:color="auto"/>
      </w:divBdr>
    </w:div>
    <w:div w:id="21389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analysis-targeted-consultations-commissions-new-charter-strategy_en" TargetMode="External"/><Relationship Id="rId13" Type="http://schemas.openxmlformats.org/officeDocument/2006/relationships/hyperlink" Target="https://fra.europa.eu/sites/default/files/fra_uploads/fra-2018-charter-guidance_en.pdf" TargetMode="External"/><Relationship Id="rId18" Type="http://schemas.openxmlformats.org/officeDocument/2006/relationships/hyperlink" Target="https://fra.europa.eu/en/publication/2018/challenges-facing-civil-society-organisations-working-human-rights-eu" TargetMode="External"/><Relationship Id="rId26" Type="http://schemas.openxmlformats.org/officeDocument/2006/relationships/hyperlink" Target="http://www.ejtn.eu/Exchange-Programme/" TargetMode="External"/><Relationship Id="rId3" Type="http://schemas.openxmlformats.org/officeDocument/2006/relationships/hyperlink" Target="https://ec.europa.eu/info/events/2019-conference-eu-charter-fundamental-rights-2019-nov-12_en" TargetMode="External"/><Relationship Id="rId21" Type="http://schemas.openxmlformats.org/officeDocument/2006/relationships/hyperlink" Target="https://nhri.ohchr.org/EN/AboutUs/Pages/ParisPrinciples.aspx" TargetMode="External"/><Relationship Id="rId34" Type="http://schemas.openxmlformats.org/officeDocument/2006/relationships/hyperlink" Target="https://ec.europa.eu/info/aid-development-cooperation-fundamental-rights/your-rights-eu/eu-charter-fundamental-rights/application-charter/annual-reports-application-charter_en" TargetMode="External"/><Relationship Id="rId7" Type="http://schemas.openxmlformats.org/officeDocument/2006/relationships/hyperlink" Target="https://ec.europa.eu/info/events/2019-conference-eu-charter-fundamental-rights-2019-nov-12_en" TargetMode="External"/><Relationship Id="rId12" Type="http://schemas.openxmlformats.org/officeDocument/2006/relationships/hyperlink" Target="https://ec.europa.eu/commission/sites/beta-political/files/rp_sustainable_europe_30-01_en_web.pdf" TargetMode="External"/><Relationship Id="rId17" Type="http://schemas.openxmlformats.org/officeDocument/2006/relationships/hyperlink" Target="https://eur-lex.europa.eu/legal-content/EN/TXT/?uri=CELEX%3A52016XC0723(01)" TargetMode="External"/><Relationship Id="rId25" Type="http://schemas.openxmlformats.org/officeDocument/2006/relationships/hyperlink" Target="https://fra.europa.eu/sites/default/files/fra_uploads/fra-opinion-04-2018_charter-implementation.pdf" TargetMode="External"/><Relationship Id="rId33" Type="http://schemas.openxmlformats.org/officeDocument/2006/relationships/hyperlink" Target="https://data.consilium.europa.eu/doc/document/ST-12848-2020-INIT/en/pdf" TargetMode="External"/><Relationship Id="rId2" Type="http://schemas.openxmlformats.org/officeDocument/2006/relationships/hyperlink" Target="https://fra.europa.eu/en/publication/2020/fundamental-rights-report-2020" TargetMode="External"/><Relationship Id="rId16" Type="http://schemas.openxmlformats.org/officeDocument/2006/relationships/hyperlink" Target="https://eur-lex.europa.eu/legal-content/EN/TXT/?uri=COM%3A2018%3A375%3AFIN" TargetMode="External"/><Relationship Id="rId20" Type="http://schemas.openxmlformats.org/officeDocument/2006/relationships/hyperlink" Target="https://ganhri.org/nhri/" TargetMode="External"/><Relationship Id="rId29" Type="http://schemas.openxmlformats.org/officeDocument/2006/relationships/hyperlink" Target="https://e-justice.europa.eu/content_european_training_platform-37158-en.do" TargetMode="External"/><Relationship Id="rId1" Type="http://schemas.openxmlformats.org/officeDocument/2006/relationships/hyperlink" Target="https://ec.europa.eu/info/aid-development-cooperation-fundamental-rights/your-rights-eu/eu-charter-fundamental-rights/application-charter/annual-reports-application-charter_en" TargetMode="External"/><Relationship Id="rId6" Type="http://schemas.openxmlformats.org/officeDocument/2006/relationships/hyperlink" Target="https://data.consilium.europa.eu/doc/document/ST-11717-2020-REV-2/en/pdf" TargetMode="External"/><Relationship Id="rId11" Type="http://schemas.openxmlformats.org/officeDocument/2006/relationships/hyperlink" Target="https://www.un.org/sustainabledevelopment/" TargetMode="External"/><Relationship Id="rId24" Type="http://schemas.openxmlformats.org/officeDocument/2006/relationships/hyperlink" Target="https://fra.europa.eu/en/eu-charter" TargetMode="External"/><Relationship Id="rId32" Type="http://schemas.openxmlformats.org/officeDocument/2006/relationships/hyperlink" Target="https://ec.europa.eu/info/consultations_en" TargetMode="External"/><Relationship Id="rId5" Type="http://schemas.openxmlformats.org/officeDocument/2006/relationships/hyperlink" Target="https://ec.europa.eu/jrc/en/publication/eur-scientific-and-technical-research-reports/technology-and-democracy" TargetMode="External"/><Relationship Id="rId15" Type="http://schemas.openxmlformats.org/officeDocument/2006/relationships/hyperlink" Target="https://fra.europa.eu/en/databases/efris/" TargetMode="External"/><Relationship Id="rId23" Type="http://schemas.openxmlformats.org/officeDocument/2006/relationships/hyperlink" Target="http://ennhri.org/wp-content/uploads/2019/11/Implementation-of-the-EU-Charter-of-Fundamental-Rights-Activities-of-NHRIs.pdf" TargetMode="External"/><Relationship Id="rId28" Type="http://schemas.openxmlformats.org/officeDocument/2006/relationships/hyperlink" Target="https://fra.europa.eu/en/eu-charter" TargetMode="External"/><Relationship Id="rId36" Type="http://schemas.openxmlformats.org/officeDocument/2006/relationships/hyperlink" Target="file:///\\net1.cec.eu.int\JUST\C\2\Fundamental%20Rights%20Policies\Charter%20Strategy%202020-2030\Charter%20Strategy%20Communication\ISC\Post%20ISC%20version\www.dearprogramme.eu" TargetMode="External"/><Relationship Id="rId10" Type="http://schemas.openxmlformats.org/officeDocument/2006/relationships/hyperlink" Target="https://data.consilium.europa.eu/doc/document/ST-12848-2020-INIT/en/pdf" TargetMode="External"/><Relationship Id="rId19" Type="http://schemas.openxmlformats.org/officeDocument/2006/relationships/hyperlink" Target="https://nhri.ohchr.org/EN/AboutUs/GANHRIAccreditation/General%20Observations%201/EN_GeneralObservations_Revisions_adopted_21.02.2018_vf.pdf" TargetMode="External"/><Relationship Id="rId31" Type="http://schemas.openxmlformats.org/officeDocument/2006/relationships/hyperlink" Target="https://ec.europa.eu/info/law/better-regulation/have-your-say" TargetMode="External"/><Relationship Id="rId4" Type="http://schemas.openxmlformats.org/officeDocument/2006/relationships/hyperlink" Target="https://fra.europa.eu/en/about-fra" TargetMode="External"/><Relationship Id="rId9" Type="http://schemas.openxmlformats.org/officeDocument/2006/relationships/hyperlink" Target="https://ec.europa.eu/commission/sites/beta-political/files/social-summit-european-pillar-social-rights-booklet_en.pdf" TargetMode="External"/><Relationship Id="rId14" Type="http://schemas.openxmlformats.org/officeDocument/2006/relationships/hyperlink" Target="https://humanrightscities.net/" TargetMode="External"/><Relationship Id="rId22" Type="http://schemas.openxmlformats.org/officeDocument/2006/relationships/hyperlink" Target="https://ec.europa.eu/info/aid-development-cooperation-fundamental-rights/your-rights-eu/eu-charter-fundamental-rights/application-charter/studies-related-charter_en" TargetMode="External"/><Relationship Id="rId27" Type="http://schemas.openxmlformats.org/officeDocument/2006/relationships/hyperlink" Target="https://fra.europa.eu/en/publication/2018/applying-charter-fundamental-rights-european-union-law-and-policymaking-national" TargetMode="External"/><Relationship Id="rId30" Type="http://schemas.openxmlformats.org/officeDocument/2006/relationships/hyperlink" Target="https://ec.europa.eu/info/publications/communication-shaping-europes-digital-future_en" TargetMode="External"/><Relationship Id="rId35" Type="http://schemas.openxmlformats.org/officeDocument/2006/relationships/hyperlink" Target="https://fra.europa.eu/en/event/2020/fundamental-rights-forum-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BCAF68C-65B1-42AF-B0A8-5DE4667F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5677</Words>
  <Characters>30998</Characters>
  <Application>Microsoft Office Word</Application>
  <DocSecurity>0</DocSecurity>
  <Lines>508</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2020-11-30T11:31:00Z</dcterms:created>
  <dcterms:modified xsi:type="dcterms:W3CDTF">2020-12-01T16:49:00Z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