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908DC90D-C434-4A69-BF4F-7B3BA6B5C3E1" style="width:450.75pt;height:333.7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СЪОБЩЕНИЕ НА КОМИСИЯТА ДО ЕВРОПЕЙСКИЯ ПАРЛАМЕНТ, СЪВЕТА, ЕВРОПЕЙСКИЯ ИКОНОМИЧЕСКИ И СОЦИАЛЕН КОМИТЕТ И КОМИТЕТА НА РЕГИОНИТЕ</w:t>
      </w:r>
    </w:p>
    <w:p>
      <w:pPr>
        <w:pStyle w:val="Titreobjet"/>
        <w:rPr>
          <w:noProof/>
        </w:rPr>
      </w:pPr>
      <w:r>
        <w:rPr>
          <w:noProof/>
        </w:rPr>
        <w:t>Гарантиране на справедливост в ЕС — европейска стратегия за съдебно обучение за периода 2021—2024 г.</w:t>
      </w:r>
    </w:p>
    <w:p>
      <w:pPr>
        <w:pStyle w:val="Heading1"/>
        <w:numPr>
          <w:ilvl w:val="0"/>
          <w:numId w:val="69"/>
        </w:numPr>
        <w:rPr>
          <w:rFonts w:eastAsia="Calibri"/>
          <w:noProof/>
        </w:rPr>
      </w:pPr>
      <w:r>
        <w:rPr>
          <w:noProof/>
        </w:rPr>
        <w:t>Въведение</w:t>
      </w:r>
    </w:p>
    <w:p>
      <w:pPr>
        <w:jc w:val="both"/>
        <w:rPr>
          <w:rFonts w:ascii="Times New Roman" w:hAnsi="Times New Roman" w:cs="Times New Roman"/>
          <w:noProof/>
          <w:sz w:val="24"/>
          <w:szCs w:val="24"/>
        </w:rPr>
      </w:pPr>
      <w:r>
        <w:rPr>
          <w:rFonts w:ascii="Times New Roman" w:hAnsi="Times New Roman"/>
          <w:noProof/>
          <w:sz w:val="24"/>
          <w:szCs w:val="24"/>
        </w:rPr>
        <w:t>Договорът от Лисабон предостави на Европейския съюз (ЕС) правомощия за подпомагане на съдебното сътрудничество по гражданскоправни и наказателноправни въпроси чрез „обучение на магистрати и съдебни служители“</w:t>
      </w:r>
      <w:r>
        <w:rPr>
          <w:rStyle w:val="FootnoteReference"/>
          <w:rFonts w:ascii="Times New Roman" w:eastAsia="Calibri" w:hAnsi="Times New Roman" w:cs="Times New Roman"/>
          <w:noProof/>
          <w:color w:val="000000" w:themeColor="text1"/>
          <w:sz w:val="24"/>
          <w:szCs w:val="24"/>
        </w:rPr>
        <w:footnoteReference w:id="2"/>
      </w:r>
      <w:r>
        <w:rPr>
          <w:rFonts w:ascii="Times New Roman" w:hAnsi="Times New Roman"/>
          <w:noProof/>
          <w:sz w:val="24"/>
          <w:szCs w:val="24"/>
        </w:rPr>
        <w:t xml:space="preserve">. Оттогава съдебното обучение по правото на Съюза подобри </w:t>
      </w:r>
      <w:r>
        <w:rPr>
          <w:rFonts w:ascii="Times New Roman" w:hAnsi="Times New Roman"/>
          <w:b/>
          <w:bCs/>
          <w:noProof/>
          <w:sz w:val="24"/>
          <w:szCs w:val="24"/>
        </w:rPr>
        <w:t xml:space="preserve">правилното и еднакво прилагане на правото на Съюза </w:t>
      </w:r>
      <w:r>
        <w:rPr>
          <w:rFonts w:ascii="Times New Roman" w:hAnsi="Times New Roman"/>
          <w:noProof/>
          <w:sz w:val="24"/>
          <w:szCs w:val="24"/>
        </w:rPr>
        <w:t xml:space="preserve">и изгради </w:t>
      </w:r>
      <w:r>
        <w:rPr>
          <w:rFonts w:ascii="Times New Roman" w:hAnsi="Times New Roman"/>
          <w:b/>
          <w:bCs/>
          <w:noProof/>
          <w:sz w:val="24"/>
          <w:szCs w:val="24"/>
        </w:rPr>
        <w:t>взаимно доверие</w:t>
      </w:r>
      <w:r>
        <w:rPr>
          <w:rFonts w:ascii="Times New Roman" w:hAnsi="Times New Roman"/>
          <w:noProof/>
          <w:sz w:val="24"/>
          <w:szCs w:val="24"/>
        </w:rPr>
        <w:t xml:space="preserve"> </w:t>
      </w:r>
      <w:r>
        <w:rPr>
          <w:rFonts w:ascii="Times New Roman" w:hAnsi="Times New Roman"/>
          <w:b/>
          <w:bCs/>
          <w:noProof/>
          <w:sz w:val="24"/>
          <w:szCs w:val="24"/>
        </w:rPr>
        <w:t>в трансграничните съдебни производства</w:t>
      </w:r>
      <w:r>
        <w:rPr>
          <w:rFonts w:ascii="Times New Roman" w:hAnsi="Times New Roman"/>
          <w:noProof/>
          <w:sz w:val="24"/>
          <w:szCs w:val="24"/>
        </w:rPr>
        <w:t>, подпомагайки по този начин развитието на пространството на правосъдие на ЕС.</w:t>
      </w:r>
    </w:p>
    <w:p>
      <w:pPr>
        <w:jc w:val="both"/>
        <w:rPr>
          <w:rFonts w:ascii="Times New Roman" w:hAnsi="Times New Roman" w:cs="Times New Roman"/>
          <w:noProof/>
          <w:sz w:val="24"/>
          <w:szCs w:val="24"/>
        </w:rPr>
      </w:pPr>
      <w:r>
        <w:rPr>
          <w:rFonts w:ascii="Times New Roman" w:hAnsi="Times New Roman"/>
          <w:noProof/>
          <w:sz w:val="24"/>
          <w:szCs w:val="24"/>
        </w:rPr>
        <w:t xml:space="preserve">Съобщението на Комисията от 2011 г., </w:t>
      </w:r>
      <w:r>
        <w:rPr>
          <w:rFonts w:ascii="Times New Roman" w:hAnsi="Times New Roman"/>
          <w:i/>
          <w:iCs/>
          <w:noProof/>
          <w:sz w:val="24"/>
          <w:szCs w:val="24"/>
        </w:rPr>
        <w:t>„Изграждане на доверие в правосъдието в целия ЕС — ново измерение на европейското съдебно обучение“</w:t>
      </w:r>
      <w:r>
        <w:rPr>
          <w:rStyle w:val="FootnoteReference"/>
          <w:rFonts w:ascii="Times New Roman" w:hAnsi="Times New Roman" w:cs="Times New Roman"/>
          <w:noProof/>
        </w:rPr>
        <w:footnoteReference w:id="3"/>
      </w:r>
      <w:r>
        <w:rPr>
          <w:rFonts w:ascii="Times New Roman" w:hAnsi="Times New Roman"/>
          <w:noProof/>
          <w:sz w:val="24"/>
          <w:szCs w:val="24"/>
        </w:rPr>
        <w:t xml:space="preserve">, допринесе за </w:t>
      </w:r>
      <w:r>
        <w:rPr>
          <w:rFonts w:ascii="Times New Roman" w:hAnsi="Times New Roman"/>
          <w:b/>
          <w:bCs/>
          <w:noProof/>
          <w:sz w:val="24"/>
          <w:szCs w:val="24"/>
        </w:rPr>
        <w:t>съществена промяна</w:t>
      </w:r>
      <w:r>
        <w:rPr>
          <w:rFonts w:ascii="Times New Roman" w:hAnsi="Times New Roman"/>
          <w:noProof/>
          <w:sz w:val="24"/>
          <w:szCs w:val="24"/>
        </w:rPr>
        <w:t xml:space="preserve"> по отношение както на подхода, така и на обхвата при организирането на съдебното обучение в ЕС. Докато мнозинството от съдиите и прокурорите в ЕС, участвали в проучване, проведено през 2010 г.</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никога не са участвали в съдебно обучение по законодателството на ЕС или на друга държава членка, то след приемането на съобщението на Комисията повече от половината от всички практикуващи юристи в ЕС (над 1 милион) са го направили.</w:t>
      </w:r>
    </w:p>
    <w:p>
      <w:pPr>
        <w:jc w:val="both"/>
        <w:rPr>
          <w:rFonts w:ascii="Times New Roman" w:hAnsi="Times New Roman" w:cs="Times New Roman"/>
          <w:noProof/>
          <w:sz w:val="24"/>
          <w:szCs w:val="24"/>
        </w:rPr>
      </w:pPr>
      <w:r>
        <w:rPr>
          <w:rFonts w:ascii="Times New Roman" w:hAnsi="Times New Roman"/>
          <w:noProof/>
          <w:sz w:val="24"/>
          <w:szCs w:val="24"/>
        </w:rPr>
        <w:t xml:space="preserve">Оценката на </w:t>
      </w:r>
      <w:r>
        <w:rPr>
          <w:rFonts w:ascii="Times New Roman" w:hAnsi="Times New Roman"/>
          <w:b/>
          <w:bCs/>
          <w:noProof/>
          <w:sz w:val="24"/>
          <w:szCs w:val="24"/>
        </w:rPr>
        <w:t>Европейската стратегия за съдебно обучение 2011—2020 г.</w:t>
      </w:r>
      <w:r>
        <w:rPr>
          <w:rFonts w:ascii="Times New Roman" w:hAnsi="Times New Roman"/>
          <w:noProof/>
          <w:sz w:val="24"/>
          <w:szCs w:val="24"/>
        </w:rPr>
        <w:t xml:space="preserve"> (публикувана през 2019 г.)</w:t>
      </w:r>
      <w:r>
        <w:rPr>
          <w:rStyle w:val="FootnoteReference"/>
          <w:rFonts w:ascii="Times New Roman" w:eastAsia="Calibri" w:hAnsi="Times New Roman" w:cs="Times New Roman"/>
          <w:noProof/>
          <w:color w:val="000000" w:themeColor="text1"/>
          <w:sz w:val="24"/>
          <w:szCs w:val="24"/>
        </w:rPr>
        <w:footnoteReference w:id="5"/>
      </w:r>
      <w:r>
        <w:rPr>
          <w:rFonts w:ascii="Times New Roman" w:hAnsi="Times New Roman"/>
          <w:noProof/>
          <w:sz w:val="24"/>
          <w:szCs w:val="24"/>
        </w:rPr>
        <w:t xml:space="preserve"> и годишните доклади за европейското съдебно обучение</w:t>
      </w:r>
      <w:r>
        <w:rPr>
          <w:rStyle w:val="FootnoteReference"/>
          <w:rFonts w:ascii="Times New Roman" w:eastAsia="Calibri" w:hAnsi="Times New Roman" w:cs="Times New Roman"/>
          <w:noProof/>
          <w:color w:val="000000" w:themeColor="text1"/>
          <w:sz w:val="24"/>
          <w:szCs w:val="24"/>
          <w:lang w:eastAsia="en-GB"/>
        </w:rPr>
        <w:footnoteReference w:id="6"/>
      </w:r>
      <w:r>
        <w:rPr>
          <w:rFonts w:ascii="Times New Roman" w:hAnsi="Times New Roman"/>
          <w:noProof/>
          <w:sz w:val="24"/>
          <w:szCs w:val="24"/>
        </w:rPr>
        <w:t xml:space="preserve"> показват, че като цяло стратегията е постигнала повечето от своите цели. </w:t>
      </w:r>
      <w:r>
        <w:rPr>
          <w:rFonts w:ascii="Times New Roman" w:hAnsi="Times New Roman"/>
          <w:noProof/>
          <w:color w:val="000000" w:themeColor="text1"/>
          <w:sz w:val="24"/>
          <w:szCs w:val="24"/>
          <w:bdr w:val="nil"/>
        </w:rPr>
        <w:t xml:space="preserve">През 2017 г. беше постигната водещата цел за обучение на половината (т.е. на 800 000) от всички практикуващи юристи по правото на Съюза между 2011 г. и 2020 г. Стратегията допринесе за увеличаване на броя на дейностите, свързани с обучението, но също насърчи нови видове дейности, като програми за обмен. Чрез нея се съдейства за подобряване на обучението по правото на Съюза за няколко категории практикуващи юристи, по-специално съдии и прокурори. Също благодарение на нея </w:t>
      </w:r>
      <w:r>
        <w:rPr>
          <w:rFonts w:ascii="Times New Roman" w:hAnsi="Times New Roman"/>
          <w:noProof/>
          <w:sz w:val="24"/>
          <w:szCs w:val="24"/>
        </w:rPr>
        <w:t xml:space="preserve">се изгради капацитетът на мрежи, като </w:t>
      </w:r>
      <w:r>
        <w:rPr>
          <w:rFonts w:ascii="Times New Roman" w:hAnsi="Times New Roman"/>
          <w:noProof/>
          <w:color w:val="000000" w:themeColor="text1"/>
          <w:sz w:val="24"/>
          <w:szCs w:val="24"/>
          <w:bdr w:val="nil"/>
        </w:rPr>
        <w:t>Европейската мрежа за съдебно обучение (EJTN)</w:t>
      </w:r>
      <w:r>
        <w:rPr>
          <w:rFonts w:ascii="Times New Roman" w:hAnsi="Times New Roman"/>
          <w:noProof/>
          <w:sz w:val="24"/>
          <w:szCs w:val="24"/>
        </w:rPr>
        <w:t>, и бяха подсилени мрежите и доставчиците на обучение на равнище ЕС.</w:t>
      </w:r>
    </w:p>
    <w:p>
      <w:pPr>
        <w:jc w:val="both"/>
        <w:rPr>
          <w:rFonts w:ascii="Times New Roman" w:hAnsi="Times New Roman" w:cs="Times New Roman"/>
          <w:noProof/>
          <w:sz w:val="24"/>
          <w:szCs w:val="24"/>
        </w:rPr>
      </w:pPr>
      <w:r>
        <w:rPr>
          <w:rFonts w:ascii="Times New Roman" w:hAnsi="Times New Roman"/>
          <w:noProof/>
          <w:sz w:val="24"/>
          <w:szCs w:val="24"/>
        </w:rPr>
        <w:lastRenderedPageBreak/>
        <w:t>Въз основа на тези постижения сега е от изключително важно значение съдебното обучение да остане на челно място в дневния ред на ЕС</w:t>
      </w:r>
      <w:r>
        <w:rPr>
          <w:rFonts w:ascii="Times New Roman" w:hAnsi="Times New Roman"/>
          <w:b/>
          <w:bCs/>
          <w:noProof/>
          <w:sz w:val="24"/>
          <w:szCs w:val="24"/>
        </w:rPr>
        <w:t xml:space="preserve"> </w:t>
      </w:r>
      <w:r>
        <w:rPr>
          <w:rFonts w:ascii="Times New Roman" w:hAnsi="Times New Roman"/>
          <w:noProof/>
          <w:sz w:val="24"/>
          <w:szCs w:val="24"/>
        </w:rPr>
        <w:t xml:space="preserve">и да бъде </w:t>
      </w:r>
      <w:r>
        <w:rPr>
          <w:rFonts w:ascii="Times New Roman" w:hAnsi="Times New Roman"/>
          <w:b/>
          <w:bCs/>
          <w:noProof/>
          <w:sz w:val="24"/>
          <w:szCs w:val="24"/>
        </w:rPr>
        <w:t>засилено още повече</w:t>
      </w:r>
      <w:r>
        <w:rPr>
          <w:rFonts w:ascii="Times New Roman" w:hAnsi="Times New Roman"/>
          <w:noProof/>
          <w:sz w:val="24"/>
          <w:szCs w:val="24"/>
        </w:rPr>
        <w:t>.</w:t>
      </w:r>
    </w:p>
    <w:p>
      <w:pPr>
        <w:spacing w:after="120"/>
        <w:jc w:val="both"/>
        <w:rPr>
          <w:rFonts w:ascii="Times New Roman" w:hAnsi="Times New Roman" w:cs="Times New Roman"/>
          <w:noProof/>
          <w:sz w:val="24"/>
          <w:szCs w:val="24"/>
        </w:rPr>
      </w:pPr>
      <w:r>
        <w:rPr>
          <w:rFonts w:ascii="Times New Roman" w:hAnsi="Times New Roman"/>
          <w:noProof/>
          <w:sz w:val="24"/>
          <w:szCs w:val="24"/>
        </w:rPr>
        <w:t>ЕС е изправен пред редица нови развития и предизвикателства, които трябва да бъдат решени чрез съдебно обучение: в това число накърняване на върховенството на закона и атаките срещу основните права в някои държави членки, експоненциалната цифровизация на нашите общества и перспективите за членство в ЕС на държавите от Западните Балкани. Освен това нивото на участие в обучението все още се различава значително в държавите членки и сред професиите в системата на правосъдието. Това може да има отрицателно въздействие върху еднаквото и ефикасно прилагане на правото на Съюза.</w:t>
      </w:r>
    </w:p>
    <w:p>
      <w:pPr>
        <w:jc w:val="both"/>
        <w:rPr>
          <w:rFonts w:ascii="Times New Roman" w:hAnsi="Times New Roman" w:cs="Times New Roman"/>
          <w:noProof/>
        </w:rPr>
      </w:pPr>
      <w:r>
        <w:rPr>
          <w:rFonts w:ascii="Times New Roman" w:hAnsi="Times New Roman"/>
          <w:noProof/>
          <w:sz w:val="24"/>
          <w:szCs w:val="24"/>
        </w:rPr>
        <w:t>Настоящото съобщение се основава на извлечените поуки и на новите развития от 2011 г. насам. В него са отразени резултатите от оценката на Комисията на стратегията за периода 2011</w:t>
      </w:r>
      <w:r>
        <w:rPr>
          <w:rFonts w:ascii="Times New Roman" w:hAnsi="Times New Roman"/>
          <w:noProof/>
          <w:color w:val="000000" w:themeColor="text1"/>
          <w:sz w:val="24"/>
          <w:szCs w:val="24"/>
          <w:bdr w:val="nil"/>
        </w:rPr>
        <w:noBreakHyphen/>
      </w:r>
      <w:r>
        <w:rPr>
          <w:rFonts w:ascii="Times New Roman" w:hAnsi="Times New Roman"/>
          <w:noProof/>
          <w:sz w:val="24"/>
          <w:szCs w:val="24"/>
        </w:rPr>
        <w:t>2020 г. и от широката обществена консултация, проведена от Комисията през 2018 г.</w:t>
      </w:r>
      <w:r>
        <w:rPr>
          <w:rStyle w:val="FootnoteReference"/>
          <w:rFonts w:ascii="Times New Roman" w:hAnsi="Times New Roman" w:cs="Times New Roman"/>
          <w:noProof/>
          <w:sz w:val="24"/>
          <w:szCs w:val="24"/>
          <w:lang w:eastAsia="en-GB"/>
        </w:rPr>
        <w:footnoteReference w:id="7"/>
      </w:r>
      <w:r>
        <w:rPr>
          <w:rFonts w:ascii="Times New Roman" w:hAnsi="Times New Roman"/>
          <w:noProof/>
          <w:sz w:val="24"/>
          <w:szCs w:val="24"/>
        </w:rPr>
        <w:t>. В него се определя цялостна стратегия за по-нататъшно подобряване на обучението на специалистите в областта на правосъдието по правото на Съюза чрез разширяване на намесата на политиката към нови теми, професии и географски области, преодоляване на новите предизвикателства и поставяне на нови цели за периода 2021</w:t>
      </w:r>
      <w:r>
        <w:rPr>
          <w:rFonts w:ascii="Times New Roman" w:hAnsi="Times New Roman"/>
          <w:noProof/>
          <w:color w:val="000000" w:themeColor="text1"/>
          <w:sz w:val="24"/>
          <w:szCs w:val="24"/>
          <w:bdr w:val="nil"/>
        </w:rPr>
        <w:noBreakHyphen/>
      </w:r>
      <w:r>
        <w:rPr>
          <w:rFonts w:ascii="Times New Roman" w:hAnsi="Times New Roman"/>
          <w:noProof/>
          <w:sz w:val="24"/>
          <w:szCs w:val="24"/>
        </w:rPr>
        <w:t>2024 г.</w:t>
      </w:r>
    </w:p>
    <w:p>
      <w:pPr>
        <w:pStyle w:val="Heading1"/>
        <w:numPr>
          <w:ilvl w:val="0"/>
          <w:numId w:val="69"/>
        </w:numPr>
        <w:rPr>
          <w:noProof/>
        </w:rPr>
      </w:pPr>
      <w:r>
        <w:rPr>
          <w:noProof/>
        </w:rPr>
        <w:t>Гъвкав отговор на възникващите потребности от обучение по правото на Съюза</w:t>
      </w:r>
    </w:p>
    <w:p>
      <w:pPr>
        <w:jc w:val="both"/>
        <w:rPr>
          <w:rFonts w:ascii="Times New Roman" w:eastAsia="Calibri" w:hAnsi="Times New Roman" w:cs="Times New Roman"/>
          <w:noProof/>
          <w:color w:val="000000" w:themeColor="text1"/>
          <w:sz w:val="24"/>
          <w:szCs w:val="24"/>
        </w:rPr>
      </w:pPr>
      <w:r>
        <w:rPr>
          <w:rFonts w:ascii="Times New Roman" w:hAnsi="Times New Roman"/>
          <w:noProof/>
          <w:sz w:val="24"/>
          <w:szCs w:val="24"/>
        </w:rPr>
        <w:t>Практикуващите юристи трябва да могат да се адаптират към новите развития, включително в областта на правото на Съюза. Ето защо е важно да се предложи гъвкав отговор на възникващите потребности от обучение по правото на ЕС.</w:t>
      </w:r>
    </w:p>
    <w:p>
      <w:pPr>
        <w:pStyle w:val="Heading2"/>
        <w:tabs>
          <w:tab w:val="clear" w:pos="1077"/>
        </w:tabs>
        <w:ind w:left="709" w:hanging="709"/>
        <w:rPr>
          <w:noProof/>
        </w:rPr>
      </w:pPr>
      <w:r>
        <w:rPr>
          <w:noProof/>
        </w:rPr>
        <w:t>Съдебно обучение за насърчаване на обща култура в областта на върховенството на закона</w:t>
      </w:r>
    </w:p>
    <w:p>
      <w:pPr>
        <w:jc w:val="both"/>
        <w:rPr>
          <w:rFonts w:ascii="Times New Roman" w:hAnsi="Times New Roman" w:cs="Times New Roman"/>
          <w:noProof/>
          <w:sz w:val="24"/>
          <w:szCs w:val="24"/>
        </w:rPr>
      </w:pPr>
      <w:r>
        <w:rPr>
          <w:rFonts w:ascii="Times New Roman" w:hAnsi="Times New Roman"/>
          <w:noProof/>
          <w:sz w:val="24"/>
          <w:szCs w:val="24"/>
        </w:rPr>
        <w:t xml:space="preserve">Зачитането на върховенството на закона е от решаващо значение за ефективното прилагане на правото на Съюза и за взаимното доверие между държавите членки и техните съдебни органи. Същността на върховенството на закона е осигуряване на ефективна съдебна защита, която изисква независимост, качество и ефикасност на националните правосъдни системи. </w:t>
      </w:r>
      <w:r>
        <w:rPr>
          <w:rFonts w:ascii="Times New Roman" w:hAnsi="Times New Roman"/>
          <w:b/>
          <w:bCs/>
          <w:noProof/>
          <w:sz w:val="24"/>
          <w:szCs w:val="24"/>
        </w:rPr>
        <w:t>Практикуващите специалисти в областта на правосъдието играят съществена роля в поддържането на върховенството на закона</w:t>
      </w:r>
      <w:r>
        <w:rPr>
          <w:rFonts w:ascii="Times New Roman" w:hAnsi="Times New Roman"/>
          <w:noProof/>
          <w:sz w:val="24"/>
          <w:szCs w:val="24"/>
        </w:rPr>
        <w:t xml:space="preserve">. Те следва да са в течение с </w:t>
      </w:r>
      <w:r>
        <w:rPr>
          <w:rFonts w:ascii="Times New Roman" w:hAnsi="Times New Roman"/>
          <w:i/>
          <w:iCs/>
          <w:noProof/>
          <w:sz w:val="24"/>
          <w:szCs w:val="24"/>
        </w:rPr>
        <w:t>достиженията на правото на ЕС</w:t>
      </w:r>
      <w:r>
        <w:rPr>
          <w:rFonts w:ascii="Times New Roman" w:hAnsi="Times New Roman"/>
          <w:noProof/>
          <w:sz w:val="24"/>
          <w:szCs w:val="24"/>
        </w:rPr>
        <w:t xml:space="preserve"> в тази област, включително на бързо развиващата се съдебна практика на Съда на Европейския съюз (CJEU), за да могат да ги прилагат в своята работа. </w:t>
      </w:r>
      <w:r>
        <w:rPr>
          <w:rFonts w:ascii="Times New Roman" w:hAnsi="Times New Roman"/>
          <w:noProof/>
          <w:color w:val="000000" w:themeColor="text1"/>
          <w:sz w:val="24"/>
          <w:szCs w:val="24"/>
        </w:rPr>
        <w:t>Добре обучените специалисти и техните мрежи играят важна роля за укрепване на културата на върховенството на закона и за поддържане на самото върховенство на закона</w:t>
      </w:r>
      <w:r>
        <w:rPr>
          <w:rStyle w:val="FootnoteReference"/>
          <w:rFonts w:ascii="Times New Roman" w:hAnsi="Times New Roman" w:cs="Times New Roman"/>
          <w:noProof/>
          <w:sz w:val="24"/>
          <w:szCs w:val="24"/>
        </w:rPr>
        <w:footnoteReference w:id="8"/>
      </w:r>
      <w:r>
        <w:rPr>
          <w:rFonts w:ascii="Times New Roman" w:hAnsi="Times New Roman"/>
          <w:noProof/>
          <w:color w:val="000000" w:themeColor="text1"/>
          <w:sz w:val="24"/>
          <w:szCs w:val="24"/>
        </w:rPr>
        <w:t xml:space="preserve"> със залегналия в него принцип на независимост на съдебната власт.</w:t>
      </w:r>
    </w:p>
    <w:p>
      <w:pPr>
        <w:pStyle w:val="Heading2"/>
        <w:tabs>
          <w:tab w:val="clear" w:pos="1077"/>
        </w:tabs>
        <w:ind w:left="709" w:hanging="709"/>
        <w:rPr>
          <w:noProof/>
        </w:rPr>
      </w:pPr>
      <w:r>
        <w:rPr>
          <w:noProof/>
        </w:rPr>
        <w:t>Подкрепа на основните права</w:t>
      </w:r>
    </w:p>
    <w:p>
      <w:pPr>
        <w:jc w:val="both"/>
        <w:rPr>
          <w:rFonts w:ascii="Times New Roman" w:eastAsia="Calibri" w:hAnsi="Times New Roman" w:cs="Times New Roman"/>
          <w:strike/>
          <w:noProof/>
          <w:color w:val="000000" w:themeColor="text1"/>
          <w:sz w:val="24"/>
          <w:szCs w:val="24"/>
        </w:rPr>
      </w:pPr>
      <w:r>
        <w:rPr>
          <w:rFonts w:ascii="Times New Roman" w:hAnsi="Times New Roman"/>
          <w:noProof/>
          <w:color w:val="000000" w:themeColor="text1"/>
          <w:sz w:val="24"/>
          <w:szCs w:val="24"/>
        </w:rPr>
        <w:t>Националните съдии и останалите практикуващи специалисти в областта на правосъдието са основните действащи лица, гарантиращи ефективното прилагане на</w:t>
      </w:r>
      <w:r>
        <w:rPr>
          <w:rFonts w:ascii="Times New Roman" w:hAnsi="Times New Roman"/>
          <w:b/>
          <w:bCs/>
          <w:noProof/>
          <w:color w:val="000000" w:themeColor="text1"/>
          <w:sz w:val="24"/>
          <w:szCs w:val="24"/>
        </w:rPr>
        <w:t xml:space="preserve"> Хартата на основните права на ЕС</w:t>
      </w:r>
      <w:r>
        <w:rPr>
          <w:rFonts w:ascii="Times New Roman" w:hAnsi="Times New Roman"/>
          <w:noProof/>
          <w:color w:val="000000" w:themeColor="text1"/>
          <w:sz w:val="24"/>
          <w:szCs w:val="24"/>
        </w:rPr>
        <w:t>, които превръщат правата в Хартата в реалност в ежедневния живот на хората.</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Те следва да получат специализирано обучение относно прилагането на Хартата, нейното приложно поле и специфични права, като защита на личните данни</w:t>
      </w:r>
      <w:r>
        <w:rPr>
          <w:rStyle w:val="FootnoteReference"/>
          <w:rFonts w:ascii="Times New Roman" w:hAnsi="Times New Roman" w:cs="Times New Roman"/>
          <w:noProof/>
          <w:sz w:val="24"/>
          <w:szCs w:val="24"/>
        </w:rPr>
        <w:footnoteReference w:id="9"/>
      </w:r>
      <w:r>
        <w:rPr>
          <w:rFonts w:ascii="Times New Roman" w:hAnsi="Times New Roman"/>
          <w:noProof/>
          <w:color w:val="000000" w:themeColor="text1"/>
          <w:sz w:val="24"/>
          <w:szCs w:val="24"/>
        </w:rPr>
        <w:t>, но също така и относно връзката ѝ с националното законодателство и взаимодействието ѝ с Европейската конвенция за правата на човека. Обучението по Хартата също следва да бъде включено в модули за обучение по различни области от правото на Съюза, когато е приложимо</w:t>
      </w:r>
      <w:r>
        <w:rPr>
          <w:rStyle w:val="FootnoteReference"/>
          <w:rFonts w:ascii="Times New Roman" w:eastAsia="Calibri" w:hAnsi="Times New Roman" w:cs="Times New Roman"/>
          <w:noProof/>
          <w:color w:val="000000" w:themeColor="text1"/>
          <w:sz w:val="24"/>
          <w:szCs w:val="24"/>
          <w:lang w:eastAsia="en-GB"/>
        </w:rPr>
        <w:footnoteReference w:id="10"/>
      </w:r>
      <w:r>
        <w:rPr>
          <w:rFonts w:ascii="Times New Roman" w:hAnsi="Times New Roman"/>
          <w:noProof/>
          <w:color w:val="000000" w:themeColor="text1"/>
          <w:sz w:val="24"/>
          <w:szCs w:val="24"/>
        </w:rPr>
        <w:t>.</w:t>
      </w:r>
    </w:p>
    <w:p>
      <w:pPr>
        <w:pStyle w:val="Heading2"/>
        <w:tabs>
          <w:tab w:val="clear" w:pos="1077"/>
        </w:tabs>
        <w:ind w:left="709" w:hanging="709"/>
        <w:rPr>
          <w:noProof/>
        </w:rPr>
      </w:pPr>
      <w:r>
        <w:rPr>
          <w:noProof/>
        </w:rPr>
        <w:t>Увеличаване на цифровизацията на правосъдието</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Съдебното обучение трябва да подготви практикуващите специалисти в областта на правосъдието да приемат </w:t>
      </w:r>
      <w:r>
        <w:rPr>
          <w:rFonts w:ascii="Times New Roman" w:hAnsi="Times New Roman"/>
          <w:b/>
          <w:bCs/>
          <w:noProof/>
          <w:color w:val="000000" w:themeColor="text1"/>
          <w:sz w:val="24"/>
          <w:szCs w:val="24"/>
        </w:rPr>
        <w:t>цифровизацията</w:t>
      </w:r>
      <w:r>
        <w:rPr>
          <w:rFonts w:ascii="Times New Roman" w:hAnsi="Times New Roman"/>
          <w:noProof/>
          <w:color w:val="000000" w:themeColor="text1"/>
          <w:sz w:val="24"/>
          <w:szCs w:val="24"/>
        </w:rPr>
        <w:t xml:space="preserve"> и употребата на </w:t>
      </w:r>
      <w:r>
        <w:rPr>
          <w:rFonts w:ascii="Times New Roman" w:hAnsi="Times New Roman"/>
          <w:b/>
          <w:bCs/>
          <w:noProof/>
          <w:color w:val="000000" w:themeColor="text1"/>
          <w:sz w:val="24"/>
          <w:szCs w:val="24"/>
        </w:rPr>
        <w:t>изкуствения интелект</w:t>
      </w:r>
      <w:r>
        <w:rPr>
          <w:rStyle w:val="FootnoteReference"/>
          <w:rFonts w:ascii="Times New Roman" w:eastAsia="Calibri" w:hAnsi="Times New Roman" w:cs="Times New Roman"/>
          <w:noProof/>
          <w:color w:val="000000" w:themeColor="text1"/>
          <w:sz w:val="24"/>
          <w:szCs w:val="24"/>
          <w:lang w:eastAsia="en-GB"/>
        </w:rPr>
        <w:footnoteReference w:id="11"/>
      </w:r>
      <w:r>
        <w:rPr>
          <w:rFonts w:ascii="Times New Roman" w:hAnsi="Times New Roman"/>
          <w:noProof/>
          <w:color w:val="000000" w:themeColor="text1"/>
          <w:sz w:val="24"/>
          <w:szCs w:val="24"/>
        </w:rPr>
        <w:t xml:space="preserve">. Развитията в тази област оказват все по-голямо влияние върху всеки аспект от живота ни. Пандемията от COVID-19 показа, че правосъдните системи трябва бързо да се адаптират чрез цифровизация. Практикуващите специалисти в областта на правосъдието трябва да познават въздействието, което оказват </w:t>
      </w:r>
      <w:r>
        <w:rPr>
          <w:rFonts w:ascii="Times New Roman" w:hAnsi="Times New Roman"/>
          <w:b/>
          <w:bCs/>
          <w:noProof/>
          <w:color w:val="000000" w:themeColor="text1"/>
          <w:sz w:val="24"/>
          <w:szCs w:val="24"/>
        </w:rPr>
        <w:t>цифровите инструменти и технологии</w:t>
      </w:r>
      <w:r>
        <w:rPr>
          <w:rFonts w:ascii="Times New Roman" w:hAnsi="Times New Roman"/>
          <w:noProof/>
          <w:color w:val="000000" w:themeColor="text1"/>
          <w:sz w:val="24"/>
          <w:szCs w:val="24"/>
        </w:rPr>
        <w:t xml:space="preserve"> върху разглежданите дела, и да са готови да ги използват правилно в ежедневната практика, включително в трансграничните производства</w:t>
      </w:r>
      <w:r>
        <w:rPr>
          <w:rStyle w:val="FootnoteReference"/>
          <w:rFonts w:ascii="Times New Roman" w:eastAsia="Calibri" w:hAnsi="Times New Roman" w:cs="Times New Roman"/>
          <w:noProof/>
          <w:color w:val="000000" w:themeColor="text1"/>
          <w:sz w:val="24"/>
          <w:szCs w:val="24"/>
          <w:lang w:eastAsia="en-GB"/>
        </w:rPr>
        <w:footnoteReference w:id="12"/>
      </w:r>
      <w:r>
        <w:rPr>
          <w:rFonts w:ascii="Times New Roman" w:hAnsi="Times New Roman"/>
          <w:noProof/>
          <w:color w:val="000000" w:themeColor="text1"/>
          <w:sz w:val="24"/>
          <w:szCs w:val="24"/>
        </w:rPr>
        <w:t>. Те трябва да осигурят адекватна защита на правата на личността и на личните данни в цифровото пространство, по-специално по отношение на това страните да могат да получат достъп до преписките и да присъстват на съдебните заседания.</w:t>
      </w:r>
    </w:p>
    <w:p>
      <w:pPr>
        <w:pStyle w:val="Heading2"/>
        <w:tabs>
          <w:tab w:val="clear" w:pos="1077"/>
        </w:tabs>
        <w:ind w:left="709" w:hanging="709"/>
        <w:rPr>
          <w:noProof/>
        </w:rPr>
      </w:pPr>
      <w:r>
        <w:rPr>
          <w:noProof/>
        </w:rPr>
        <w:t>В унисон с развитието на правото на ЕС</w:t>
      </w:r>
    </w:p>
    <w:p>
      <w:pPr>
        <w:jc w:val="both"/>
        <w:rPr>
          <w:rFonts w:ascii="Times New Roman" w:hAnsi="Times New Roman" w:cs="Times New Roman"/>
          <w:noProof/>
          <w:sz w:val="24"/>
          <w:szCs w:val="24"/>
        </w:rPr>
      </w:pPr>
      <w:r>
        <w:rPr>
          <w:rFonts w:ascii="Times New Roman" w:hAnsi="Times New Roman"/>
          <w:noProof/>
          <w:sz w:val="24"/>
          <w:szCs w:val="24"/>
        </w:rPr>
        <w:t xml:space="preserve">Европейското съдебно обучение следва да даде възможност на практикуващите специалисти в областта на правосъдието да </w:t>
      </w:r>
      <w:r>
        <w:rPr>
          <w:rFonts w:ascii="Times New Roman" w:hAnsi="Times New Roman"/>
          <w:b/>
          <w:bCs/>
          <w:noProof/>
          <w:sz w:val="24"/>
          <w:szCs w:val="24"/>
        </w:rPr>
        <w:t>осмислят ролята на правото на Съюза</w:t>
      </w:r>
      <w:r>
        <w:rPr>
          <w:rFonts w:ascii="Times New Roman" w:hAnsi="Times New Roman"/>
          <w:noProof/>
          <w:sz w:val="24"/>
          <w:szCs w:val="24"/>
        </w:rPr>
        <w:t xml:space="preserve"> в ежедневната си практика, </w:t>
      </w:r>
      <w:r>
        <w:rPr>
          <w:rFonts w:ascii="Times New Roman" w:hAnsi="Times New Roman"/>
          <w:b/>
          <w:bCs/>
          <w:noProof/>
          <w:sz w:val="24"/>
          <w:szCs w:val="24"/>
        </w:rPr>
        <w:t>да го прилагат в пълна степен</w:t>
      </w:r>
      <w:r>
        <w:rPr>
          <w:rFonts w:ascii="Times New Roman" w:hAnsi="Times New Roman"/>
          <w:noProof/>
          <w:sz w:val="24"/>
          <w:szCs w:val="24"/>
        </w:rPr>
        <w:t xml:space="preserve"> и да гарантират </w:t>
      </w:r>
      <w:r>
        <w:rPr>
          <w:rFonts w:ascii="Times New Roman" w:hAnsi="Times New Roman"/>
          <w:b/>
          <w:bCs/>
          <w:noProof/>
          <w:sz w:val="24"/>
          <w:szCs w:val="24"/>
        </w:rPr>
        <w:t>спазването на правата и задълженията</w:t>
      </w:r>
      <w:r>
        <w:rPr>
          <w:rFonts w:ascii="Times New Roman" w:hAnsi="Times New Roman"/>
          <w:noProof/>
          <w:sz w:val="24"/>
          <w:szCs w:val="24"/>
        </w:rPr>
        <w:t>, произтичащи от правото на Съюза, в националните съдебни производства. Важно е също така те да бъдат в крак с развитието на правото на Съюза. Всяко ново законодателство и развития в съдебната практика на Съда на ЕС изискват обучение, за да се постигне предвиденото въздействие, а специалистите в областта на правосъдието да имат необходимите знания и умения.</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По-специално това се отнася до основните инструменти на ЕС за </w:t>
      </w:r>
      <w:r>
        <w:rPr>
          <w:rFonts w:ascii="Times New Roman" w:hAnsi="Times New Roman"/>
          <w:b/>
          <w:bCs/>
          <w:noProof/>
          <w:sz w:val="24"/>
          <w:szCs w:val="24"/>
        </w:rPr>
        <w:t>трансгранично съдебно сътрудничество</w:t>
      </w:r>
      <w:r>
        <w:rPr>
          <w:rFonts w:ascii="Times New Roman" w:hAnsi="Times New Roman"/>
          <w:noProof/>
          <w:sz w:val="24"/>
          <w:szCs w:val="24"/>
        </w:rPr>
        <w:t xml:space="preserve">. Създаването на </w:t>
      </w:r>
      <w:r>
        <w:rPr>
          <w:rFonts w:ascii="Times New Roman" w:hAnsi="Times New Roman"/>
          <w:b/>
          <w:noProof/>
          <w:sz w:val="24"/>
          <w:szCs w:val="24"/>
        </w:rPr>
        <w:t>Европейската прокуратура</w:t>
      </w:r>
      <w:r>
        <w:rPr>
          <w:rFonts w:ascii="Times New Roman" w:hAnsi="Times New Roman"/>
          <w:noProof/>
          <w:sz w:val="24"/>
          <w:szCs w:val="24"/>
        </w:rPr>
        <w:t xml:space="preserve"> (EPPO) също има значителни последици за обучението на прокурорите, съдиите и адвокатите на ответника. </w:t>
      </w:r>
      <w:r>
        <w:rPr>
          <w:rFonts w:ascii="Times New Roman" w:hAnsi="Times New Roman"/>
          <w:noProof/>
          <w:color w:val="000000" w:themeColor="text1"/>
          <w:sz w:val="24"/>
          <w:szCs w:val="24"/>
        </w:rPr>
        <w:t>По-специално стратегията следва да подобри обучението за тези професии по правното основание на Европейската прокуратура, адаптациите в националните правни системи и съдебни структури, отношенията на Европейската прокуратура с други органи и агенции на ЕС, извършващи дейност в защита на финансовите интереси на ЕС, като ЕВРОЮСТ, ЕВРОПОЛ и OLAF, както и по прилагането на правните инструменти на ЕС, използвани от Европейската прокуратура в трансграничното съдебно сътрудничество.</w:t>
      </w:r>
    </w:p>
    <w:p>
      <w:pPr>
        <w:jc w:val="both"/>
        <w:rPr>
          <w:rFonts w:ascii="Times New Roman" w:hAnsi="Times New Roman" w:cs="Times New Roman"/>
          <w:noProof/>
          <w:sz w:val="24"/>
          <w:szCs w:val="24"/>
        </w:rPr>
      </w:pPr>
      <w:r>
        <w:rPr>
          <w:rFonts w:ascii="Times New Roman" w:hAnsi="Times New Roman"/>
          <w:noProof/>
          <w:sz w:val="24"/>
          <w:szCs w:val="24"/>
        </w:rPr>
        <w:t xml:space="preserve">В областта на </w:t>
      </w:r>
      <w:r>
        <w:rPr>
          <w:rFonts w:ascii="Times New Roman" w:hAnsi="Times New Roman"/>
          <w:b/>
          <w:bCs/>
          <w:noProof/>
          <w:sz w:val="24"/>
          <w:szCs w:val="24"/>
        </w:rPr>
        <w:t>сигурността</w:t>
      </w:r>
      <w:r>
        <w:rPr>
          <w:rFonts w:ascii="Times New Roman" w:hAnsi="Times New Roman"/>
          <w:noProof/>
          <w:sz w:val="24"/>
          <w:szCs w:val="24"/>
        </w:rPr>
        <w:t xml:space="preserve">, борбата с тероризма, </w:t>
      </w:r>
      <w:r>
        <w:rPr>
          <w:rFonts w:ascii="Times New Roman" w:hAnsi="Times New Roman"/>
          <w:noProof/>
          <w:color w:val="000000" w:themeColor="text1"/>
          <w:sz w:val="24"/>
          <w:szCs w:val="24"/>
        </w:rPr>
        <w:t xml:space="preserve"> организираната престъпност (включително трафика на хора,</w:t>
      </w:r>
      <w:r>
        <w:rPr>
          <w:rFonts w:ascii="Times New Roman" w:hAnsi="Times New Roman"/>
          <w:noProof/>
          <w:color w:val="000000" w:themeColor="text1"/>
        </w:rPr>
        <w:t xml:space="preserve"> </w:t>
      </w:r>
      <w:r>
        <w:rPr>
          <w:rFonts w:ascii="Times New Roman" w:hAnsi="Times New Roman"/>
          <w:noProof/>
          <w:color w:val="000000" w:themeColor="text1"/>
          <w:sz w:val="24"/>
          <w:szCs w:val="24"/>
        </w:rPr>
        <w:t xml:space="preserve">огнестрелни оръжия и наркотици), предотвратяването и </w:t>
      </w:r>
      <w:r>
        <w:rPr>
          <w:rFonts w:ascii="Times New Roman" w:hAnsi="Times New Roman"/>
          <w:noProof/>
        </w:rPr>
        <w:t>противодействието на радикализацията, водеща до насилнически екстремизъм и борбата с изпирането на пари, остават основни теми в обучението.</w:t>
      </w:r>
      <w:r>
        <w:rPr>
          <w:rFonts w:ascii="Times New Roman" w:hAnsi="Times New Roman"/>
          <w:noProof/>
          <w:sz w:val="24"/>
          <w:szCs w:val="24"/>
        </w:rPr>
        <w:t xml:space="preserve"> </w:t>
      </w:r>
    </w:p>
    <w:p>
      <w:pPr>
        <w:jc w:val="both"/>
        <w:rPr>
          <w:rFonts w:ascii="Times New Roman" w:hAnsi="Times New Roman" w:cs="Times New Roman"/>
          <w:noProof/>
          <w:color w:val="000000" w:themeColor="text1"/>
          <w:sz w:val="24"/>
          <w:szCs w:val="24"/>
        </w:rPr>
      </w:pPr>
      <w:r>
        <w:rPr>
          <w:rFonts w:ascii="Times New Roman" w:hAnsi="Times New Roman"/>
          <w:noProof/>
          <w:sz w:val="24"/>
          <w:szCs w:val="24"/>
        </w:rPr>
        <w:t xml:space="preserve">Практикуващите юристи, които са в контакт с </w:t>
      </w:r>
      <w:r>
        <w:rPr>
          <w:rFonts w:ascii="Times New Roman" w:hAnsi="Times New Roman"/>
          <w:b/>
          <w:bCs/>
          <w:noProof/>
          <w:sz w:val="24"/>
          <w:szCs w:val="24"/>
        </w:rPr>
        <w:t>жертви</w:t>
      </w:r>
      <w:r>
        <w:rPr>
          <w:rFonts w:ascii="Times New Roman" w:hAnsi="Times New Roman"/>
          <w:noProof/>
          <w:sz w:val="24"/>
          <w:szCs w:val="24"/>
        </w:rPr>
        <w:t>, следва да бъдат обучени да им оказват по-добра подкрепа и да общуват по-добре с тях, като се вземат предвид по-специално нуждите на най-уязвимите</w:t>
      </w:r>
      <w:r>
        <w:rPr>
          <w:rStyle w:val="FootnoteReference"/>
          <w:rFonts w:ascii="Times New Roman" w:hAnsi="Times New Roman" w:cs="Times New Roman"/>
          <w:noProof/>
          <w:sz w:val="24"/>
          <w:szCs w:val="24"/>
          <w:lang w:eastAsia="en-GB"/>
        </w:rPr>
        <w:footnoteReference w:id="13"/>
      </w:r>
      <w:r>
        <w:rPr>
          <w:rFonts w:ascii="Times New Roman" w:hAnsi="Times New Roman"/>
          <w:noProof/>
          <w:sz w:val="24"/>
          <w:szCs w:val="24"/>
        </w:rPr>
        <w:t>.</w:t>
      </w:r>
      <w:r>
        <w:rPr>
          <w:rFonts w:ascii="Times New Roman" w:hAnsi="Times New Roman"/>
          <w:noProof/>
          <w:color w:val="000000" w:themeColor="text1"/>
          <w:sz w:val="24"/>
          <w:szCs w:val="24"/>
        </w:rPr>
        <w:t xml:space="preserve"> Също така те следва да знаят как да разпознават </w:t>
      </w:r>
      <w:r>
        <w:rPr>
          <w:rFonts w:ascii="Times New Roman" w:hAnsi="Times New Roman"/>
          <w:b/>
          <w:bCs/>
          <w:noProof/>
          <w:color w:val="000000" w:themeColor="text1"/>
          <w:sz w:val="24"/>
          <w:szCs w:val="24"/>
        </w:rPr>
        <w:t>злоупотребите с предявяването на съдебни искове</w:t>
      </w:r>
      <w:r>
        <w:rPr>
          <w:rFonts w:ascii="Times New Roman" w:hAnsi="Times New Roman"/>
          <w:noProof/>
          <w:color w:val="000000" w:themeColor="text1"/>
          <w:sz w:val="24"/>
          <w:szCs w:val="24"/>
        </w:rPr>
        <w:t xml:space="preserve"> и да използват наличните инструменти за решаването им. </w:t>
      </w:r>
    </w:p>
    <w:p>
      <w:pPr>
        <w:jc w:val="both"/>
        <w:rPr>
          <w:rFonts w:ascii="Times New Roman" w:hAnsi="Times New Roman" w:cs="Times New Roman"/>
          <w:noProof/>
          <w:color w:val="000000" w:themeColor="text1"/>
        </w:rPr>
      </w:pPr>
      <w:r>
        <w:rPr>
          <w:rFonts w:ascii="Times New Roman" w:hAnsi="Times New Roman"/>
          <w:noProof/>
          <w:sz w:val="24"/>
          <w:szCs w:val="24"/>
        </w:rPr>
        <w:t>Необходимо е специализирано обучение относно</w:t>
      </w:r>
      <w:r>
        <w:rPr>
          <w:rFonts w:ascii="Times New Roman" w:hAnsi="Times New Roman"/>
          <w:b/>
          <w:bCs/>
          <w:noProof/>
          <w:sz w:val="24"/>
          <w:szCs w:val="24"/>
        </w:rPr>
        <w:t xml:space="preserve"> правата на децата</w:t>
      </w:r>
      <w:r>
        <w:rPr>
          <w:rFonts w:ascii="Times New Roman" w:hAnsi="Times New Roman" w:cs="Times New Roman"/>
          <w:noProof/>
          <w:sz w:val="24"/>
          <w:szCs w:val="24"/>
          <w:vertAlign w:val="superscript"/>
          <w:lang w:eastAsia="en-GB"/>
        </w:rPr>
        <w:footnoteReference w:id="14"/>
      </w:r>
      <w:r>
        <w:rPr>
          <w:rFonts w:ascii="Times New Roman" w:hAnsi="Times New Roman"/>
          <w:noProof/>
          <w:color w:val="000000" w:themeColor="text1"/>
          <w:sz w:val="24"/>
          <w:szCs w:val="24"/>
        </w:rPr>
        <w:t xml:space="preserve">, правата на хората с </w:t>
      </w:r>
      <w:r>
        <w:rPr>
          <w:rFonts w:ascii="Times New Roman" w:hAnsi="Times New Roman"/>
          <w:b/>
          <w:bCs/>
          <w:noProof/>
          <w:color w:val="000000" w:themeColor="text1"/>
          <w:sz w:val="24"/>
          <w:szCs w:val="24"/>
        </w:rPr>
        <w:t>увреждания</w:t>
      </w:r>
      <w:r>
        <w:rPr>
          <w:rFonts w:ascii="Times New Roman" w:hAnsi="Times New Roman"/>
          <w:noProof/>
          <w:color w:val="000000" w:themeColor="text1"/>
          <w:sz w:val="24"/>
          <w:szCs w:val="24"/>
        </w:rPr>
        <w:t xml:space="preserve"> и адаптирането на съдебните системи към тези групи, специфичните предизвикателства, пред които са изправени жертвите на насилие, основано на пола</w:t>
      </w:r>
      <w:r>
        <w:rPr>
          <w:rFonts w:ascii="Times New Roman" w:hAnsi="Times New Roman" w:cs="Times New Roman"/>
          <w:noProof/>
          <w:color w:val="000000" w:themeColor="text1"/>
          <w:sz w:val="24"/>
          <w:szCs w:val="24"/>
          <w:vertAlign w:val="superscript"/>
          <w:lang w:eastAsia="en-GB"/>
        </w:rPr>
        <w:footnoteReference w:id="15"/>
      </w:r>
      <w:r>
        <w:rPr>
          <w:rFonts w:ascii="Times New Roman" w:hAnsi="Times New Roman"/>
          <w:noProof/>
          <w:color w:val="000000" w:themeColor="text1"/>
          <w:sz w:val="24"/>
          <w:szCs w:val="24"/>
        </w:rPr>
        <w:t xml:space="preserve">, но също така равенството и </w:t>
      </w:r>
      <w:r>
        <w:rPr>
          <w:rFonts w:ascii="Times New Roman" w:hAnsi="Times New Roman"/>
          <w:b/>
          <w:bCs/>
          <w:noProof/>
          <w:color w:val="000000" w:themeColor="text1"/>
          <w:sz w:val="24"/>
          <w:szCs w:val="24"/>
        </w:rPr>
        <w:t>недопускането на дискриминация</w:t>
      </w:r>
      <w:r>
        <w:rPr>
          <w:rFonts w:ascii="Times New Roman" w:hAnsi="Times New Roman"/>
          <w:noProof/>
          <w:color w:val="000000" w:themeColor="text1"/>
          <w:sz w:val="24"/>
          <w:szCs w:val="24"/>
        </w:rPr>
        <w:t>, като тези теми следва да бъдат обхванати и в други курсове.</w:t>
      </w:r>
      <w:r>
        <w:rPr>
          <w:rFonts w:ascii="Times New Roman" w:hAnsi="Times New Roman"/>
          <w:noProof/>
          <w:color w:val="000000" w:themeColor="text1"/>
        </w:rPr>
        <w:t xml:space="preserve"> </w:t>
      </w:r>
    </w:p>
    <w:p>
      <w:pPr>
        <w:jc w:val="both"/>
        <w:rPr>
          <w:rFonts w:ascii="Times New Roman" w:eastAsia="Times New Roman" w:hAnsi="Times New Roman" w:cs="Times New Roman"/>
          <w:noProof/>
          <w:color w:val="000000" w:themeColor="text1"/>
        </w:rPr>
      </w:pPr>
      <w:r>
        <w:rPr>
          <w:rFonts w:ascii="Times New Roman" w:hAnsi="Times New Roman"/>
          <w:noProof/>
          <w:sz w:val="24"/>
          <w:szCs w:val="24"/>
        </w:rPr>
        <w:t xml:space="preserve">Гарантирането на </w:t>
      </w:r>
      <w:r>
        <w:rPr>
          <w:rFonts w:ascii="Times New Roman" w:hAnsi="Times New Roman"/>
          <w:b/>
          <w:bCs/>
          <w:noProof/>
          <w:sz w:val="24"/>
          <w:szCs w:val="24"/>
        </w:rPr>
        <w:t>правата на потребителите</w:t>
      </w:r>
      <w:r>
        <w:rPr>
          <w:rFonts w:ascii="Times New Roman" w:hAnsi="Times New Roman"/>
          <w:noProof/>
          <w:sz w:val="24"/>
          <w:szCs w:val="24"/>
        </w:rPr>
        <w:t xml:space="preserve"> чрез продължаващо обучение</w:t>
      </w:r>
      <w:r>
        <w:rPr>
          <w:rStyle w:val="FootnoteReference"/>
          <w:rFonts w:ascii="Times New Roman" w:hAnsi="Times New Roman" w:cs="Times New Roman"/>
          <w:noProof/>
          <w:sz w:val="24"/>
          <w:szCs w:val="24"/>
          <w:lang w:eastAsia="en-GB"/>
        </w:rPr>
        <w:footnoteReference w:id="16"/>
      </w:r>
      <w:r>
        <w:rPr>
          <w:rFonts w:ascii="Times New Roman" w:hAnsi="Times New Roman"/>
          <w:noProof/>
          <w:sz w:val="24"/>
          <w:szCs w:val="24"/>
        </w:rPr>
        <w:t xml:space="preserve"> както по материално, така и по процесуално право е </w:t>
      </w:r>
      <w:r>
        <w:rPr>
          <w:rFonts w:ascii="Times New Roman" w:hAnsi="Times New Roman"/>
          <w:noProof/>
          <w:color w:val="000000" w:themeColor="text1"/>
          <w:sz w:val="24"/>
          <w:szCs w:val="24"/>
        </w:rPr>
        <w:t>приоритет</w:t>
      </w:r>
      <w:r>
        <w:rPr>
          <w:rStyle w:val="FootnoteReference"/>
          <w:rFonts w:ascii="Times New Roman" w:eastAsia="Calibri" w:hAnsi="Times New Roman" w:cs="Times New Roman"/>
          <w:noProof/>
          <w:color w:val="000000" w:themeColor="text1"/>
          <w:sz w:val="24"/>
          <w:szCs w:val="24"/>
          <w:lang w:eastAsia="en-GB"/>
        </w:rPr>
        <w:footnoteReference w:id="17"/>
      </w:r>
      <w:r>
        <w:rPr>
          <w:rFonts w:ascii="Times New Roman" w:hAnsi="Times New Roman"/>
          <w:noProof/>
          <w:color w:val="000000" w:themeColor="text1"/>
          <w:sz w:val="24"/>
          <w:szCs w:val="24"/>
        </w:rPr>
        <w:t>, както се потвърждава от увеличаването на незаконните практики, установени по време на пандемията от COVID</w:t>
      </w:r>
      <w:r>
        <w:rPr>
          <w:rFonts w:ascii="Times New Roman" w:hAnsi="Times New Roman"/>
          <w:noProof/>
          <w:color w:val="000000" w:themeColor="text1"/>
          <w:sz w:val="24"/>
          <w:szCs w:val="24"/>
        </w:rPr>
        <w:noBreakHyphen/>
        <w:t>19</w:t>
      </w:r>
      <w:r>
        <w:rPr>
          <w:rStyle w:val="FootnoteReference"/>
          <w:rFonts w:ascii="Times New Roman" w:eastAsia="Calibri" w:hAnsi="Times New Roman" w:cs="Times New Roman"/>
          <w:noProof/>
          <w:color w:val="000000" w:themeColor="text1"/>
          <w:sz w:val="24"/>
          <w:szCs w:val="24"/>
          <w:lang w:eastAsia="en-GB"/>
        </w:rPr>
        <w:footnoteReference w:id="18"/>
      </w:r>
      <w:r>
        <w:rPr>
          <w:rFonts w:ascii="Times New Roman" w:hAnsi="Times New Roman"/>
          <w:noProof/>
          <w:color w:val="000000" w:themeColor="text1"/>
          <w:sz w:val="24"/>
          <w:szCs w:val="24"/>
        </w:rPr>
        <w:t>. Трябва да се гарантира</w:t>
      </w:r>
      <w:r>
        <w:rPr>
          <w:rFonts w:ascii="Times New Roman" w:hAnsi="Times New Roman"/>
          <w:noProof/>
          <w:color w:val="000000" w:themeColor="text1"/>
        </w:rPr>
        <w:t xml:space="preserve"> </w:t>
      </w:r>
      <w:r>
        <w:rPr>
          <w:rFonts w:ascii="Times New Roman" w:hAnsi="Times New Roman"/>
          <w:noProof/>
          <w:color w:val="000000" w:themeColor="text1"/>
          <w:sz w:val="24"/>
          <w:szCs w:val="24"/>
        </w:rPr>
        <w:t xml:space="preserve">ефективното упражняване на </w:t>
      </w:r>
      <w:r>
        <w:rPr>
          <w:rFonts w:ascii="Times New Roman" w:hAnsi="Times New Roman"/>
          <w:b/>
          <w:bCs/>
          <w:noProof/>
          <w:color w:val="000000" w:themeColor="text1"/>
          <w:sz w:val="24"/>
          <w:szCs w:val="24"/>
        </w:rPr>
        <w:t>правата, свързани с гражданството на ЕС</w:t>
      </w:r>
      <w:r>
        <w:rPr>
          <w:rFonts w:ascii="Times New Roman" w:hAnsi="Times New Roman"/>
          <w:noProof/>
          <w:color w:val="000000" w:themeColor="text1"/>
          <w:sz w:val="24"/>
          <w:szCs w:val="24"/>
        </w:rPr>
        <w:t>, включително в пространството на свободно движение.</w:t>
      </w:r>
      <w:r>
        <w:rPr>
          <w:rFonts w:ascii="Times New Roman" w:hAnsi="Times New Roman"/>
          <w:noProof/>
          <w:color w:val="000000" w:themeColor="text1"/>
        </w:rPr>
        <w:t xml:space="preserve"> </w:t>
      </w:r>
    </w:p>
    <w:p>
      <w:pPr>
        <w:jc w:val="both"/>
        <w:rPr>
          <w:rFonts w:ascii="Times New Roman" w:hAnsi="Times New Roman" w:cs="Times New Roman"/>
          <w:noProof/>
          <w:sz w:val="24"/>
          <w:szCs w:val="24"/>
        </w:rPr>
      </w:pPr>
      <w:r>
        <w:rPr>
          <w:rFonts w:ascii="Times New Roman" w:hAnsi="Times New Roman"/>
          <w:noProof/>
          <w:color w:val="000000" w:themeColor="text1"/>
          <w:sz w:val="24"/>
          <w:szCs w:val="24"/>
        </w:rPr>
        <w:t xml:space="preserve">Необходимо е обучение за </w:t>
      </w:r>
      <w:r>
        <w:rPr>
          <w:rFonts w:ascii="Times New Roman" w:hAnsi="Times New Roman"/>
          <w:noProof/>
          <w:sz w:val="24"/>
          <w:szCs w:val="24"/>
        </w:rPr>
        <w:t xml:space="preserve">големия брой практикуващи специалисти, участващи в прилагането на </w:t>
      </w:r>
      <w:r>
        <w:rPr>
          <w:rFonts w:ascii="Times New Roman" w:hAnsi="Times New Roman"/>
          <w:noProof/>
          <w:color w:val="000000" w:themeColor="text1"/>
          <w:sz w:val="24"/>
          <w:szCs w:val="24"/>
        </w:rPr>
        <w:t>правилата на</w:t>
      </w:r>
      <w:r>
        <w:rPr>
          <w:rFonts w:ascii="Times New Roman" w:hAnsi="Times New Roman"/>
          <w:noProof/>
          <w:sz w:val="24"/>
          <w:szCs w:val="24"/>
        </w:rPr>
        <w:t xml:space="preserve"> </w:t>
      </w:r>
      <w:r>
        <w:rPr>
          <w:rFonts w:ascii="Times New Roman" w:hAnsi="Times New Roman"/>
          <w:b/>
          <w:bCs/>
          <w:noProof/>
          <w:sz w:val="24"/>
          <w:szCs w:val="24"/>
        </w:rPr>
        <w:t>единния</w:t>
      </w:r>
      <w:r>
        <w:rPr>
          <w:rFonts w:ascii="Times New Roman" w:hAnsi="Times New Roman"/>
          <w:noProof/>
          <w:sz w:val="24"/>
          <w:szCs w:val="24"/>
        </w:rPr>
        <w:t xml:space="preserve"> </w:t>
      </w:r>
      <w:r>
        <w:rPr>
          <w:rFonts w:ascii="Times New Roman" w:hAnsi="Times New Roman"/>
          <w:b/>
          <w:bCs/>
          <w:noProof/>
          <w:sz w:val="24"/>
          <w:szCs w:val="24"/>
        </w:rPr>
        <w:t>пазар</w:t>
      </w:r>
      <w:r>
        <w:rPr>
          <w:rStyle w:val="FootnoteReference"/>
          <w:rFonts w:ascii="Times New Roman" w:eastAsia="Calibri" w:hAnsi="Times New Roman" w:cs="Times New Roman"/>
          <w:noProof/>
          <w:color w:val="000000" w:themeColor="text1"/>
          <w:sz w:val="24"/>
          <w:szCs w:val="24"/>
          <w:lang w:eastAsia="en-GB"/>
        </w:rPr>
        <w:footnoteReference w:id="19"/>
      </w:r>
      <w:r>
        <w:rPr>
          <w:rFonts w:ascii="Times New Roman" w:hAnsi="Times New Roman"/>
          <w:noProof/>
          <w:sz w:val="24"/>
          <w:szCs w:val="24"/>
        </w:rPr>
        <w:t>, включително тези от особено значение за бизнеса, като правилата за защита на инвестициите в рамките на ЕС</w:t>
      </w:r>
      <w:r>
        <w:rPr>
          <w:rStyle w:val="FootnoteReference"/>
          <w:rFonts w:ascii="Times New Roman" w:hAnsi="Times New Roman" w:cs="Times New Roman"/>
          <w:b/>
          <w:bCs/>
          <w:noProof/>
          <w:sz w:val="24"/>
          <w:szCs w:val="24"/>
          <w:lang w:eastAsia="en-GB"/>
        </w:rPr>
        <w:footnoteReference w:id="20"/>
      </w:r>
      <w:r>
        <w:rPr>
          <w:rFonts w:ascii="Times New Roman" w:hAnsi="Times New Roman"/>
          <w:noProof/>
          <w:sz w:val="24"/>
          <w:szCs w:val="24"/>
        </w:rPr>
        <w:t xml:space="preserve">, отчасти за да се гарантира доверието на инвеститорите. За онези, които се нуждаят, следва също да се организира обучение по </w:t>
      </w:r>
      <w:r>
        <w:rPr>
          <w:rFonts w:ascii="Times New Roman" w:hAnsi="Times New Roman"/>
          <w:b/>
          <w:bCs/>
          <w:noProof/>
          <w:sz w:val="24"/>
          <w:szCs w:val="24"/>
        </w:rPr>
        <w:t>дружествено право на ЕС</w:t>
      </w:r>
      <w:r>
        <w:rPr>
          <w:rFonts w:ascii="Times New Roman" w:hAnsi="Times New Roman"/>
          <w:noProof/>
          <w:sz w:val="24"/>
          <w:szCs w:val="24"/>
        </w:rPr>
        <w:t>, по</w:t>
      </w:r>
      <w:r>
        <w:rPr>
          <w:rFonts w:ascii="Times New Roman" w:hAnsi="Times New Roman"/>
          <w:noProof/>
          <w:sz w:val="24"/>
          <w:szCs w:val="24"/>
        </w:rPr>
        <w:noBreakHyphen/>
        <w:t xml:space="preserve">специално по цифровите инструменти и процеси, трансграничните преобразувания и сливания/разделения на дружества, и по правото на ЕС в областта на конкуренцията. </w:t>
      </w:r>
    </w:p>
    <w:p>
      <w:pPr>
        <w:jc w:val="both"/>
        <w:rPr>
          <w:rFonts w:ascii="Times New Roman" w:hAnsi="Times New Roman" w:cs="Times New Roman"/>
          <w:noProof/>
          <w:sz w:val="24"/>
          <w:szCs w:val="24"/>
        </w:rPr>
      </w:pPr>
      <w:r>
        <w:rPr>
          <w:rFonts w:ascii="Times New Roman" w:hAnsi="Times New Roman"/>
          <w:noProof/>
          <w:color w:val="000000" w:themeColor="text1"/>
          <w:sz w:val="24"/>
          <w:szCs w:val="24"/>
        </w:rPr>
        <w:t xml:space="preserve">Освен това прилагането на </w:t>
      </w:r>
      <w:r>
        <w:rPr>
          <w:rFonts w:ascii="Times New Roman" w:hAnsi="Times New Roman"/>
          <w:b/>
          <w:bCs/>
          <w:noProof/>
          <w:color w:val="000000" w:themeColor="text1"/>
          <w:sz w:val="24"/>
          <w:szCs w:val="24"/>
        </w:rPr>
        <w:t>законодателството на ЕС в областта на околната среда</w:t>
      </w:r>
      <w:r>
        <w:rPr>
          <w:rFonts w:ascii="Times New Roman" w:hAnsi="Times New Roman"/>
          <w:noProof/>
          <w:color w:val="000000" w:themeColor="text1"/>
          <w:sz w:val="24"/>
          <w:szCs w:val="24"/>
        </w:rPr>
        <w:t xml:space="preserve"> изисква специализирани знания и допълнително обучение.</w:t>
      </w:r>
    </w:p>
    <w:p>
      <w:pPr>
        <w:pStyle w:val="Heading2"/>
        <w:tabs>
          <w:tab w:val="clear" w:pos="1077"/>
        </w:tabs>
        <w:ind w:left="709" w:hanging="709"/>
        <w:rPr>
          <w:noProof/>
          <w:spacing w:val="-4"/>
        </w:rPr>
      </w:pPr>
      <w:r>
        <w:rPr>
          <w:noProof/>
          <w:spacing w:val="-4"/>
        </w:rPr>
        <w:t>Подготовка на практикуващите специалисти за справяне с нови предизвикателства</w:t>
      </w:r>
    </w:p>
    <w:p>
      <w:pPr>
        <w:jc w:val="both"/>
        <w:rPr>
          <w:rFonts w:ascii="Times New Roman" w:hAnsi="Times New Roman" w:cs="Times New Roman"/>
          <w:noProof/>
          <w:sz w:val="24"/>
          <w:szCs w:val="24"/>
        </w:rPr>
      </w:pPr>
      <w:r>
        <w:rPr>
          <w:rFonts w:ascii="Times New Roman" w:hAnsi="Times New Roman"/>
          <w:noProof/>
          <w:sz w:val="24"/>
          <w:szCs w:val="24"/>
        </w:rPr>
        <w:t xml:space="preserve">Новите форми на тероризъм, насилническият екстремизъм, киберпрестъпността и пандемията от COVID-19 оказаха влияние не само върху живота на хората и предприятията, но и върху националните съдебни системи, които трябва да се адаптират. По-конкретно пандемията промени </w:t>
      </w:r>
      <w:r>
        <w:rPr>
          <w:rFonts w:ascii="Times New Roman" w:hAnsi="Times New Roman"/>
          <w:i/>
          <w:iCs/>
          <w:noProof/>
          <w:sz w:val="24"/>
          <w:szCs w:val="24"/>
        </w:rPr>
        <w:t>начините на действие</w:t>
      </w:r>
      <w:r>
        <w:rPr>
          <w:rFonts w:ascii="Times New Roman" w:hAnsi="Times New Roman"/>
          <w:noProof/>
          <w:sz w:val="24"/>
          <w:szCs w:val="24"/>
        </w:rPr>
        <w:t xml:space="preserve"> на престъпниците, което доведе до значително увеличаване на престъпленията, включително на киберпрестъпленията, на онлайн престъпните дейности и на здравето</w:t>
      </w:r>
      <w:r>
        <w:rPr>
          <w:rStyle w:val="FootnoteReference"/>
          <w:rFonts w:ascii="Times New Roman" w:hAnsi="Times New Roman" w:cs="Times New Roman"/>
          <w:noProof/>
          <w:sz w:val="24"/>
          <w:szCs w:val="24"/>
          <w:lang w:eastAsia="en-GB"/>
        </w:rPr>
        <w:footnoteReference w:id="21"/>
      </w:r>
      <w:r>
        <w:rPr>
          <w:rFonts w:ascii="Times New Roman" w:hAnsi="Times New Roman"/>
          <w:noProof/>
          <w:sz w:val="24"/>
          <w:szCs w:val="24"/>
        </w:rPr>
        <w:t>. Практикуващите специалисти в областта на правосъдието трябва да реагират на тези промени</w:t>
      </w:r>
      <w:r>
        <w:rPr>
          <w:rStyle w:val="FootnoteReference"/>
          <w:rFonts w:ascii="Times New Roman" w:hAnsi="Times New Roman" w:cs="Times New Roman"/>
          <w:noProof/>
          <w:sz w:val="24"/>
          <w:szCs w:val="24"/>
          <w:lang w:eastAsia="en-GB"/>
        </w:rPr>
        <w:footnoteReference w:id="22"/>
      </w:r>
      <w:r>
        <w:rPr>
          <w:rFonts w:ascii="Times New Roman" w:hAnsi="Times New Roman"/>
          <w:noProof/>
          <w:sz w:val="24"/>
          <w:szCs w:val="24"/>
        </w:rPr>
        <w:t xml:space="preserve">. Новите форми на работа създават също предизвикателства в областта на трудовото и социалното право. </w:t>
      </w:r>
      <w:r>
        <w:rPr>
          <w:rFonts w:ascii="Times New Roman" w:hAnsi="Times New Roman"/>
          <w:b/>
          <w:bCs/>
          <w:noProof/>
          <w:sz w:val="24"/>
          <w:szCs w:val="24"/>
        </w:rPr>
        <w:t xml:space="preserve">Новите предложения за обучение </w:t>
      </w:r>
      <w:r>
        <w:rPr>
          <w:rFonts w:ascii="Times New Roman" w:hAnsi="Times New Roman"/>
          <w:noProof/>
          <w:sz w:val="24"/>
          <w:szCs w:val="24"/>
        </w:rPr>
        <w:t>следва бързо да бъдат организирани и предоставени, какъвто беше случаят неотдавна по отношение на обученията за киберпрестъпност и предоставяне на убежище.</w:t>
      </w:r>
    </w:p>
    <w:p>
      <w:pPr>
        <w:spacing w:after="160" w:line="259" w:lineRule="auto"/>
        <w:rPr>
          <w:rFonts w:ascii="Times New Roman" w:hAnsi="Times New Roman" w:cs="Times New Roman"/>
          <w:b/>
          <w:bCs/>
          <w:i/>
          <w:iCs/>
          <w:noProof/>
          <w:sz w:val="24"/>
          <w:szCs w:val="24"/>
        </w:rPr>
      </w:pPr>
      <w:r>
        <w:rPr>
          <w:noProof/>
        </w:rPr>
        <w:br w:type="page"/>
      </w:r>
    </w:p>
    <w:p>
      <w:pPr>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noProof/>
        </w:rPr>
      </w:pPr>
      <w:r>
        <w:rPr>
          <w:rFonts w:ascii="Times New Roman" w:hAnsi="Times New Roman"/>
          <w:b/>
          <w:bCs/>
          <w:i/>
          <w:iCs/>
          <w:noProof/>
          <w:sz w:val="24"/>
          <w:szCs w:val="24"/>
        </w:rPr>
        <w:t>Действия за доставчиците на обучение:</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noProof/>
        </w:rPr>
        <w:t xml:space="preserve">превръщане на обучението в областта на достиженията на правото на ЕС относно </w:t>
      </w:r>
      <w:r>
        <w:rPr>
          <w:b/>
          <w:bCs/>
          <w:noProof/>
        </w:rPr>
        <w:t>върховенството на закона</w:t>
      </w:r>
      <w:r>
        <w:rPr>
          <w:noProof/>
        </w:rPr>
        <w:t xml:space="preserve"> и</w:t>
      </w:r>
      <w:r>
        <w:rPr>
          <w:b/>
          <w:bCs/>
          <w:noProof/>
        </w:rPr>
        <w:t xml:space="preserve"> основните права</w:t>
      </w:r>
      <w:r>
        <w:rPr>
          <w:noProof/>
        </w:rPr>
        <w:t>, определени в Договорите на ЕС и Хартата на основните права на ЕС, в системна част от предложението за непрекъснато обучение на</w:t>
      </w:r>
      <w:r>
        <w:rPr>
          <w:b/>
          <w:bCs/>
          <w:noProof/>
        </w:rPr>
        <w:t xml:space="preserve"> </w:t>
      </w:r>
      <w:r>
        <w:rPr>
          <w:noProof/>
        </w:rPr>
        <w:t>съдиите и останалите специалисти в областта на правосъдието;</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b/>
          <w:bCs/>
          <w:noProof/>
        </w:rPr>
        <w:t>включване на правото на Съюза</w:t>
      </w:r>
      <w:r>
        <w:rPr>
          <w:noProof/>
        </w:rPr>
        <w:t xml:space="preserve">, </w:t>
      </w:r>
      <w:r>
        <w:rPr>
          <w:noProof/>
          <w:color w:val="000000" w:themeColor="text1"/>
        </w:rPr>
        <w:t xml:space="preserve">както и на Хартата на основните права на ЕС, </w:t>
      </w:r>
      <w:r>
        <w:rPr>
          <w:noProof/>
        </w:rPr>
        <w:t>в</w:t>
      </w:r>
      <w:r>
        <w:rPr>
          <w:b/>
          <w:bCs/>
          <w:noProof/>
        </w:rPr>
        <w:t xml:space="preserve"> </w:t>
      </w:r>
      <w:r>
        <w:rPr>
          <w:noProof/>
        </w:rPr>
        <w:t>дейностите за обучение по национално право</w:t>
      </w:r>
      <w:r>
        <w:rPr>
          <w:b/>
          <w:bCs/>
          <w:noProof/>
        </w:rPr>
        <w:t xml:space="preserve"> </w:t>
      </w:r>
      <w:r>
        <w:rPr>
          <w:noProof/>
        </w:rPr>
        <w:t>и организиране на специално обучение по правото на Съюза, когато е приложимо;</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noProof/>
        </w:rPr>
        <w:t xml:space="preserve">провеждане на обучение за подобряване на осведомеността и уменията по отношение на </w:t>
      </w:r>
      <w:r>
        <w:rPr>
          <w:b/>
          <w:bCs/>
          <w:noProof/>
        </w:rPr>
        <w:t>цифровизацията</w:t>
      </w:r>
      <w:r>
        <w:rPr>
          <w:noProof/>
        </w:rPr>
        <w:t xml:space="preserve"> и </w:t>
      </w:r>
      <w:r>
        <w:rPr>
          <w:b/>
          <w:bCs/>
          <w:noProof/>
        </w:rPr>
        <w:t>изкуствения интелект</w:t>
      </w:r>
      <w:r>
        <w:rPr>
          <w:noProof/>
        </w:rPr>
        <w:t xml:space="preserve"> </w:t>
      </w:r>
      <w:r>
        <w:rPr>
          <w:b/>
          <w:bCs/>
          <w:noProof/>
        </w:rPr>
        <w:t xml:space="preserve"> </w:t>
      </w:r>
      <w:r>
        <w:rPr>
          <w:noProof/>
        </w:rPr>
        <w:t>и ефикасното използване на цифровизирани съдебни процедури и регистри;</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noProof/>
        </w:rPr>
        <w:t>осигуряване на ефективно обучение по</w:t>
      </w:r>
      <w:r>
        <w:rPr>
          <w:b/>
          <w:bCs/>
          <w:noProof/>
        </w:rPr>
        <w:t xml:space="preserve"> новото законодателство на ЕС </w:t>
      </w:r>
      <w:r>
        <w:rPr>
          <w:noProof/>
        </w:rPr>
        <w:t>и</w:t>
      </w:r>
      <w:r>
        <w:rPr>
          <w:b/>
          <w:bCs/>
          <w:noProof/>
        </w:rPr>
        <w:t xml:space="preserve"> развитията в съдебната практика</w:t>
      </w:r>
      <w:r>
        <w:rPr>
          <w:noProof/>
        </w:rPr>
        <w:t>, включително инструментите за трансгранично съдебно сътрудничество и Европейската прокуратура;</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noProof/>
        </w:rPr>
        <w:t>поставяне на акцент върху защитата на</w:t>
      </w:r>
      <w:r>
        <w:rPr>
          <w:b/>
          <w:bCs/>
          <w:noProof/>
        </w:rPr>
        <w:t xml:space="preserve"> правата на личността в цифровото пространство</w:t>
      </w:r>
      <w:r>
        <w:rPr>
          <w:noProof/>
        </w:rPr>
        <w:t xml:space="preserve"> (напр. защита на личните данни, неприкосновеност на личния живот, недискриминация, защита от онлайн насилие, основано на пола, договорно право, права на потребителите) и</w:t>
      </w:r>
      <w:r>
        <w:rPr>
          <w:b/>
          <w:bCs/>
          <w:noProof/>
        </w:rPr>
        <w:t xml:space="preserve"> правата на</w:t>
      </w:r>
      <w:r>
        <w:rPr>
          <w:noProof/>
        </w:rPr>
        <w:t xml:space="preserve"> </w:t>
      </w:r>
      <w:r>
        <w:rPr>
          <w:b/>
          <w:bCs/>
          <w:noProof/>
        </w:rPr>
        <w:t>специални групи</w:t>
      </w:r>
      <w:r>
        <w:rPr>
          <w:noProof/>
        </w:rPr>
        <w:t xml:space="preserve"> (напр. деца, хора с увреждания, жертви на насилие, основано на пола, расизъм и дискриминация) при обучението;</w:t>
      </w:r>
    </w:p>
    <w:p>
      <w:pPr>
        <w:pStyle w:val="ListBullet2"/>
        <w:pBdr>
          <w:top w:val="single" w:sz="4" w:space="1" w:color="auto"/>
          <w:left w:val="single" w:sz="4" w:space="4" w:color="auto"/>
          <w:bottom w:val="single" w:sz="4" w:space="1" w:color="auto"/>
          <w:right w:val="single" w:sz="4" w:space="4" w:color="auto"/>
        </w:pBdr>
        <w:spacing w:after="200" w:line="276" w:lineRule="auto"/>
        <w:rPr>
          <w:rFonts w:eastAsia="Calibri"/>
          <w:noProof/>
        </w:rPr>
      </w:pPr>
      <w:r>
        <w:rPr>
          <w:b/>
          <w:bCs/>
          <w:noProof/>
        </w:rPr>
        <w:t xml:space="preserve">наблюдение </w:t>
      </w:r>
      <w:r>
        <w:rPr>
          <w:bCs/>
          <w:noProof/>
        </w:rPr>
        <w:t>на</w:t>
      </w:r>
      <w:r>
        <w:rPr>
          <w:noProof/>
        </w:rPr>
        <w:t xml:space="preserve"> нуждите от обучение и </w:t>
      </w:r>
      <w:r>
        <w:rPr>
          <w:b/>
          <w:bCs/>
          <w:noProof/>
        </w:rPr>
        <w:t xml:space="preserve">адаптиране </w:t>
      </w:r>
      <w:r>
        <w:rPr>
          <w:bCs/>
          <w:noProof/>
        </w:rPr>
        <w:t>на</w:t>
      </w:r>
      <w:r>
        <w:rPr>
          <w:b/>
          <w:bCs/>
          <w:noProof/>
        </w:rPr>
        <w:t xml:space="preserve"> </w:t>
      </w:r>
      <w:r>
        <w:rPr>
          <w:noProof/>
        </w:rPr>
        <w:t>учебните програми съобразно възникващите предизвикателства.</w:t>
      </w:r>
    </w:p>
    <w:p>
      <w:pPr>
        <w:pBdr>
          <w:top w:val="single" w:sz="4" w:space="1" w:color="auto"/>
          <w:left w:val="single" w:sz="4" w:space="4" w:color="auto"/>
          <w:bottom w:val="single" w:sz="4" w:space="1" w:color="auto"/>
          <w:right w:val="single" w:sz="4" w:space="4" w:color="auto"/>
        </w:pBdr>
        <w:spacing w:before="120" w:after="120"/>
        <w:jc w:val="both"/>
        <w:rPr>
          <w:rFonts w:ascii="Times New Roman" w:hAnsi="Times New Roman" w:cs="Times New Roman"/>
          <w:b/>
          <w:bCs/>
          <w:i/>
          <w:iCs/>
          <w:noProof/>
          <w:sz w:val="24"/>
          <w:szCs w:val="24"/>
        </w:rPr>
      </w:pPr>
      <w:r>
        <w:rPr>
          <w:rFonts w:ascii="Times New Roman" w:hAnsi="Times New Roman"/>
          <w:b/>
          <w:bCs/>
          <w:i/>
          <w:iCs/>
          <w:noProof/>
          <w:sz w:val="24"/>
          <w:szCs w:val="24"/>
        </w:rPr>
        <w:t>Действия за Комисията:</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b/>
          <w:bCs/>
          <w:noProof/>
        </w:rPr>
      </w:pPr>
      <w:r>
        <w:rPr>
          <w:b/>
          <w:bCs/>
          <w:noProof/>
        </w:rPr>
        <w:t xml:space="preserve">подпомагане на обучението по правото на Съюза </w:t>
      </w:r>
      <w:r>
        <w:rPr>
          <w:noProof/>
        </w:rPr>
        <w:t>за практикуващите специалисти в областта на правосъдието в съответствие с техните нужди;</w:t>
      </w:r>
    </w:p>
    <w:p>
      <w:pPr>
        <w:pStyle w:val="ListBullet2"/>
        <w:pBdr>
          <w:top w:val="single" w:sz="4" w:space="1" w:color="auto"/>
          <w:left w:val="single" w:sz="4" w:space="4" w:color="auto"/>
          <w:bottom w:val="single" w:sz="4" w:space="1" w:color="auto"/>
          <w:right w:val="single" w:sz="4" w:space="4" w:color="auto"/>
        </w:pBdr>
        <w:spacing w:after="200" w:line="276" w:lineRule="auto"/>
        <w:rPr>
          <w:rFonts w:eastAsia="Calibri"/>
          <w:noProof/>
        </w:rPr>
      </w:pPr>
      <w:r>
        <w:rPr>
          <w:noProof/>
        </w:rPr>
        <w:t>продължаване на сътрудничеството със</w:t>
      </w:r>
      <w:r>
        <w:rPr>
          <w:b/>
          <w:bCs/>
          <w:noProof/>
        </w:rPr>
        <w:t xml:space="preserve"> Съвета на Европа </w:t>
      </w:r>
      <w:r>
        <w:rPr>
          <w:noProof/>
        </w:rPr>
        <w:t>по обучението, което включва Хартата на основните права на ЕС.</w:t>
      </w:r>
    </w:p>
    <w:p>
      <w:pPr>
        <w:pStyle w:val="Heading1"/>
        <w:numPr>
          <w:ilvl w:val="0"/>
          <w:numId w:val="69"/>
        </w:numPr>
        <w:rPr>
          <w:rFonts w:eastAsia="Calibri"/>
          <w:noProof/>
        </w:rPr>
      </w:pPr>
      <w:r>
        <w:rPr>
          <w:noProof/>
        </w:rPr>
        <w:t>Необходими компоненти за обучението на специалистите в областта на правосъдието, надхвърлящо рамките на правото на Съюза</w:t>
      </w:r>
    </w:p>
    <w:p>
      <w:pPr>
        <w:jc w:val="both"/>
        <w:rPr>
          <w:rFonts w:ascii="Times New Roman" w:hAnsi="Times New Roman" w:cs="Times New Roman"/>
          <w:noProof/>
          <w:sz w:val="24"/>
          <w:szCs w:val="24"/>
        </w:rPr>
      </w:pPr>
      <w:r>
        <w:rPr>
          <w:rFonts w:ascii="Times New Roman" w:hAnsi="Times New Roman"/>
          <w:noProof/>
          <w:sz w:val="24"/>
          <w:szCs w:val="24"/>
        </w:rPr>
        <w:t xml:space="preserve">Европейското съдебно обучение следва да надхвърля рамките на юридическото образование и да подпомага развитието на професионални </w:t>
      </w:r>
      <w:r>
        <w:rPr>
          <w:rFonts w:ascii="Times New Roman" w:hAnsi="Times New Roman"/>
          <w:b/>
          <w:bCs/>
          <w:noProof/>
          <w:sz w:val="24"/>
          <w:szCs w:val="24"/>
        </w:rPr>
        <w:t>умения</w:t>
      </w:r>
      <w:r>
        <w:rPr>
          <w:rFonts w:ascii="Times New Roman" w:hAnsi="Times New Roman"/>
          <w:noProof/>
          <w:sz w:val="24"/>
          <w:szCs w:val="24"/>
        </w:rPr>
        <w:t>. Законодателството и правните принципи не функционират във вакуум, така че практикуващите специалисти в областта на правосъдието трябва да придобият мултидисциплинарни компетентности.</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Въпреки че е национална отговорност, обучението по </w:t>
      </w:r>
      <w:r>
        <w:rPr>
          <w:rFonts w:ascii="Times New Roman" w:hAnsi="Times New Roman"/>
          <w:b/>
          <w:bCs/>
          <w:noProof/>
          <w:color w:val="000000" w:themeColor="text1"/>
          <w:sz w:val="24"/>
          <w:szCs w:val="24"/>
        </w:rPr>
        <w:t>„професията на съдията“</w:t>
      </w:r>
      <w:r>
        <w:rPr>
          <w:rStyle w:val="FootnoteReference"/>
          <w:rFonts w:ascii="Times New Roman" w:hAnsi="Times New Roman" w:cs="Times New Roman"/>
          <w:noProof/>
        </w:rPr>
        <w:footnoteReference w:id="23"/>
      </w:r>
      <w:r>
        <w:rPr>
          <w:rFonts w:ascii="Times New Roman" w:hAnsi="Times New Roman"/>
          <w:noProof/>
          <w:color w:val="000000" w:themeColor="text1"/>
          <w:sz w:val="24"/>
          <w:szCs w:val="24"/>
        </w:rPr>
        <w:t xml:space="preserve"> е от основно значение за ефикасността на правосъдието, отношенията на доверие между съдебните системи и обществеността и доверието между практикуващите специалисти в трансграничното сътрудничество. Основните теми на обучение за </w:t>
      </w:r>
      <w:r>
        <w:rPr>
          <w:rFonts w:ascii="Times New Roman" w:hAnsi="Times New Roman"/>
          <w:b/>
          <w:bCs/>
          <w:noProof/>
          <w:color w:val="000000" w:themeColor="text1"/>
          <w:sz w:val="24"/>
          <w:szCs w:val="24"/>
        </w:rPr>
        <w:t>съдиите</w:t>
      </w:r>
      <w:r>
        <w:rPr>
          <w:rFonts w:ascii="Times New Roman" w:hAnsi="Times New Roman"/>
          <w:noProof/>
          <w:color w:val="000000" w:themeColor="text1"/>
          <w:sz w:val="24"/>
          <w:szCs w:val="24"/>
        </w:rPr>
        <w:t xml:space="preserve"> включват съдебно поведение, устойчивост, неосъзнато пристрастие, управление на делата и съдебната зала и лидерски умения.</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Освен това, за да придобият необходимото ноу-хау, нагласи и експертни знания, </w:t>
      </w:r>
      <w:r>
        <w:rPr>
          <w:rFonts w:ascii="Times New Roman" w:hAnsi="Times New Roman"/>
          <w:b/>
          <w:bCs/>
          <w:noProof/>
          <w:color w:val="000000" w:themeColor="text1"/>
          <w:sz w:val="24"/>
          <w:szCs w:val="24"/>
        </w:rPr>
        <w:t>всички практикуващи специалисти в областта на правосъдието</w:t>
      </w:r>
      <w:r>
        <w:rPr>
          <w:rFonts w:ascii="Times New Roman" w:hAnsi="Times New Roman"/>
          <w:noProof/>
          <w:color w:val="000000" w:themeColor="text1"/>
          <w:sz w:val="24"/>
          <w:szCs w:val="24"/>
        </w:rPr>
        <w:t xml:space="preserve"> се нуждаят от обучение по </w:t>
      </w:r>
      <w:r>
        <w:rPr>
          <w:rFonts w:ascii="Times New Roman" w:hAnsi="Times New Roman"/>
          <w:b/>
          <w:bCs/>
          <w:noProof/>
          <w:color w:val="000000" w:themeColor="text1"/>
          <w:sz w:val="24"/>
          <w:szCs w:val="24"/>
        </w:rPr>
        <w:t>неюридически знания и умения</w:t>
      </w:r>
      <w:r>
        <w:rPr>
          <w:rFonts w:ascii="Times New Roman" w:hAnsi="Times New Roman"/>
          <w:noProof/>
          <w:color w:val="000000" w:themeColor="text1"/>
          <w:sz w:val="24"/>
          <w:szCs w:val="24"/>
        </w:rPr>
        <w:t>, напр. каквито се предоставят от поведенческите науки, психологията, антропологията, икономиката и когнитивната лингвистика.</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Развитието на </w:t>
      </w:r>
      <w:r>
        <w:rPr>
          <w:rFonts w:ascii="Times New Roman" w:hAnsi="Times New Roman"/>
          <w:b/>
          <w:bCs/>
          <w:noProof/>
          <w:color w:val="000000" w:themeColor="text1"/>
          <w:sz w:val="24"/>
          <w:szCs w:val="24"/>
        </w:rPr>
        <w:t>правни езикови умения</w:t>
      </w:r>
      <w:r>
        <w:rPr>
          <w:rFonts w:ascii="Times New Roman" w:hAnsi="Times New Roman"/>
          <w:noProof/>
          <w:color w:val="000000" w:themeColor="text1"/>
          <w:sz w:val="24"/>
          <w:szCs w:val="24"/>
        </w:rPr>
        <w:t xml:space="preserve"> е от съществено значение за постигане на гладък диалог между практикуващите, което, от своя страна, насърчава взаимното доверие в трансграничните съдебни производства. Владеенето на чужди езици помага на практикуващите специалисти в областта на правосъдието да разбират чуждестранните правни системи и понятия и увеличава участието в трансгранични дейности по обучение.</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Комисията подкрепя предоставянето на специализирано и техническо юридическо езиково обучение като допълнение към националното предложение и насърчава съчетаването на езикови и правни аспекти в това обучение, което е доказало своята ефективност.</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rPr>
      </w:pPr>
      <w:r>
        <w:rPr>
          <w:rFonts w:ascii="Times New Roman" w:hAnsi="Times New Roman"/>
          <w:b/>
          <w:bCs/>
          <w:i/>
          <w:iCs/>
          <w:noProof/>
          <w:sz w:val="24"/>
          <w:szCs w:val="24"/>
        </w:rPr>
        <w:t>Действия за доставчиците на обучение:</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noProof/>
        </w:rPr>
        <w:t xml:space="preserve">включване на </w:t>
      </w:r>
      <w:r>
        <w:rPr>
          <w:b/>
          <w:bCs/>
          <w:noProof/>
        </w:rPr>
        <w:t>обучение по „професията на съдията“ и неюридически знания и умения</w:t>
      </w:r>
      <w:r>
        <w:rPr>
          <w:noProof/>
        </w:rPr>
        <w:t xml:space="preserve"> в националните програми за непрекъснато обучение;</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noProof/>
        </w:rPr>
        <w:t>предлагане на курсове по</w:t>
      </w:r>
      <w:r>
        <w:rPr>
          <w:b/>
          <w:bCs/>
          <w:noProof/>
        </w:rPr>
        <w:t xml:space="preserve"> юридическо обучение на чужд език</w:t>
      </w:r>
      <w:r>
        <w:rPr>
          <w:noProof/>
        </w:rPr>
        <w:t>, най-вече за практикуващи в областта на правосъдието, които се занимават с трансгранични дела.</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rPr>
      </w:pPr>
      <w:r>
        <w:rPr>
          <w:rFonts w:ascii="Times New Roman" w:hAnsi="Times New Roman"/>
          <w:b/>
          <w:bCs/>
          <w:i/>
          <w:iCs/>
          <w:noProof/>
          <w:sz w:val="24"/>
          <w:szCs w:val="24"/>
        </w:rPr>
        <w:t>Действия за Комисията:</w:t>
      </w:r>
    </w:p>
    <w:p>
      <w:pPr>
        <w:pStyle w:val="ListBullet2"/>
        <w:pBdr>
          <w:top w:val="single" w:sz="4" w:space="1" w:color="auto"/>
          <w:left w:val="single" w:sz="4" w:space="4" w:color="auto"/>
          <w:bottom w:val="single" w:sz="4" w:space="1" w:color="auto"/>
          <w:right w:val="single" w:sz="4" w:space="4" w:color="auto"/>
        </w:pBdr>
        <w:spacing w:after="200" w:line="276" w:lineRule="auto"/>
        <w:rPr>
          <w:rFonts w:eastAsia="Calibri"/>
          <w:noProof/>
        </w:rPr>
      </w:pPr>
      <w:r>
        <w:rPr>
          <w:noProof/>
        </w:rPr>
        <w:t>осигуряване на финансова подкрепа за</w:t>
      </w:r>
      <w:r>
        <w:rPr>
          <w:b/>
          <w:bCs/>
          <w:noProof/>
        </w:rPr>
        <w:t xml:space="preserve"> трансгранично обучение по неюридически въпроси</w:t>
      </w:r>
      <w:r>
        <w:rPr>
          <w:noProof/>
        </w:rPr>
        <w:t>, когато е свързано с юридическо обучение.</w:t>
      </w:r>
    </w:p>
    <w:p>
      <w:pPr>
        <w:pStyle w:val="Heading1"/>
        <w:numPr>
          <w:ilvl w:val="0"/>
          <w:numId w:val="69"/>
        </w:numPr>
        <w:spacing w:before="200" w:after="200"/>
        <w:rPr>
          <w:noProof/>
        </w:rPr>
      </w:pPr>
      <w:r>
        <w:rPr>
          <w:noProof/>
        </w:rPr>
        <w:t>Засилено, разширено и по-целенасочено обучение за специалисти в областта на правосъдието</w:t>
      </w:r>
    </w:p>
    <w:p>
      <w:pPr>
        <w:jc w:val="both"/>
        <w:rPr>
          <w:rFonts w:ascii="Times New Roman" w:hAnsi="Times New Roman"/>
          <w:noProof/>
          <w:color w:val="000000" w:themeColor="text1"/>
          <w:sz w:val="24"/>
          <w:szCs w:val="24"/>
        </w:rPr>
      </w:pPr>
      <w:r>
        <w:rPr>
          <w:rFonts w:ascii="Times New Roman" w:hAnsi="Times New Roman"/>
          <w:noProof/>
          <w:color w:val="000000" w:themeColor="text1"/>
          <w:sz w:val="24"/>
          <w:szCs w:val="24"/>
        </w:rPr>
        <w:t xml:space="preserve">В основата на Съобщението от 2011 г. беше заложена общата цел за увеличаване на броя на обучените практикуващи юристи, за да се създаде необходимият стимул. Само по себе това се оказа успешен двигател на промяната. При оценката на стратегията за обучение обаче се откроиха някои въпроси, като например разликите в резултатите сред различните професии и държави. Това изисква подход, определящ </w:t>
      </w:r>
      <w:r>
        <w:rPr>
          <w:rFonts w:ascii="Times New Roman" w:hAnsi="Times New Roman"/>
          <w:b/>
          <w:bCs/>
          <w:noProof/>
          <w:color w:val="000000" w:themeColor="text1"/>
          <w:sz w:val="24"/>
          <w:szCs w:val="24"/>
        </w:rPr>
        <w:t>нови и амбициозни (макар и диференцирани) цели</w:t>
      </w:r>
      <w:r>
        <w:rPr>
          <w:rFonts w:ascii="Times New Roman" w:hAnsi="Times New Roman"/>
          <w:noProof/>
          <w:color w:val="000000" w:themeColor="text1"/>
          <w:sz w:val="24"/>
          <w:szCs w:val="24"/>
        </w:rPr>
        <w:t xml:space="preserve">, които са </w:t>
      </w:r>
      <w:r>
        <w:rPr>
          <w:rFonts w:ascii="Times New Roman" w:hAnsi="Times New Roman"/>
          <w:b/>
          <w:bCs/>
          <w:noProof/>
          <w:color w:val="000000" w:themeColor="text1"/>
          <w:sz w:val="24"/>
          <w:szCs w:val="24"/>
        </w:rPr>
        <w:t xml:space="preserve">съобразени </w:t>
      </w:r>
      <w:r>
        <w:rPr>
          <w:rFonts w:ascii="Times New Roman" w:hAnsi="Times New Roman"/>
          <w:noProof/>
          <w:color w:val="000000" w:themeColor="text1"/>
          <w:sz w:val="24"/>
          <w:szCs w:val="24"/>
        </w:rPr>
        <w:t>в по-голяма степен с нуждите от обучение и нивата на участие в обучението по правото на Съюза на визираните професии.</w:t>
      </w:r>
    </w:p>
    <w:p>
      <w:pPr>
        <w:spacing w:after="160" w:line="259" w:lineRule="auto"/>
        <w:rPr>
          <w:rFonts w:ascii="Times New Roman" w:hAnsi="Times New Roman"/>
          <w:noProof/>
          <w:color w:val="000000" w:themeColor="text1"/>
          <w:sz w:val="24"/>
          <w:szCs w:val="24"/>
        </w:rPr>
      </w:pPr>
      <w:r>
        <w:rPr>
          <w:rFonts w:ascii="Times New Roman" w:hAnsi="Times New Roman"/>
          <w:noProof/>
          <w:color w:val="000000" w:themeColor="text1"/>
          <w:sz w:val="24"/>
          <w:szCs w:val="24"/>
        </w:rPr>
        <w:br w:type="page"/>
      </w:r>
    </w:p>
    <w:p>
      <w:pPr>
        <w:jc w:val="both"/>
        <w:rPr>
          <w:rFonts w:ascii="Times New Roman" w:eastAsia="Calibri" w:hAnsi="Times New Roman" w:cs="Times New Roman"/>
          <w:noProof/>
          <w:color w:val="000000" w:themeColor="text1"/>
          <w:sz w:val="24"/>
          <w:szCs w:val="24"/>
        </w:rPr>
      </w:pPr>
      <w:r>
        <w:rPr>
          <w:rFonts w:ascii="Times New Roman" w:hAnsi="Times New Roman"/>
          <w:b/>
          <w:bCs/>
          <w:i/>
          <w:iCs/>
          <w:noProof/>
          <w:sz w:val="24"/>
          <w:szCs w:val="24"/>
        </w:rPr>
        <w:t>Участие в продължаващо обучение по правото на Съюза в ЕС в (%)</w:t>
      </w:r>
    </w:p>
    <w:tbl>
      <w:tblPr>
        <w:tblStyle w:val="TableGrid"/>
        <w:tblW w:w="0" w:type="auto"/>
        <w:tblLook w:val="04A0" w:firstRow="1" w:lastRow="0" w:firstColumn="1" w:lastColumn="0" w:noHBand="0" w:noVBand="1"/>
      </w:tblPr>
      <w:tblGrid>
        <w:gridCol w:w="1838"/>
        <w:gridCol w:w="841"/>
        <w:gridCol w:w="824"/>
        <w:gridCol w:w="824"/>
        <w:gridCol w:w="824"/>
        <w:gridCol w:w="824"/>
        <w:gridCol w:w="824"/>
        <w:gridCol w:w="824"/>
        <w:gridCol w:w="824"/>
        <w:gridCol w:w="841"/>
      </w:tblGrid>
      <w:tr>
        <w:tc>
          <w:tcPr>
            <w:tcW w:w="2265" w:type="dxa"/>
          </w:tcPr>
          <w:p>
            <w:pPr>
              <w:rPr>
                <w:rFonts w:ascii="Times New Roman" w:eastAsia="Times New Roman" w:hAnsi="Times New Roman" w:cs="Times New Roman"/>
                <w:b/>
                <w:bCs/>
                <w:noProof/>
                <w:spacing w:val="-6"/>
              </w:rPr>
            </w:pPr>
            <w:r>
              <w:rPr>
                <w:rFonts w:ascii="Times New Roman" w:hAnsi="Times New Roman"/>
                <w:b/>
                <w:bCs/>
                <w:noProof/>
                <w:spacing w:val="-6"/>
              </w:rPr>
              <w:t>Професии</w:t>
            </w:r>
          </w:p>
        </w:tc>
        <w:tc>
          <w:tcPr>
            <w:tcW w:w="755" w:type="dxa"/>
          </w:tcPr>
          <w:p>
            <w:pPr>
              <w:jc w:val="center"/>
              <w:rPr>
                <w:rFonts w:ascii="Times New Roman" w:eastAsia="Times New Roman" w:hAnsi="Times New Roman" w:cs="Times New Roman"/>
                <w:b/>
                <w:bCs/>
                <w:noProof/>
                <w:spacing w:val="-6"/>
              </w:rPr>
            </w:pPr>
            <w:r>
              <w:rPr>
                <w:rFonts w:ascii="Times New Roman" w:hAnsi="Times New Roman"/>
                <w:b/>
                <w:bCs/>
                <w:noProof/>
                <w:spacing w:val="-6"/>
              </w:rPr>
              <w:t>2011 г.</w:t>
            </w:r>
          </w:p>
        </w:tc>
        <w:tc>
          <w:tcPr>
            <w:tcW w:w="755" w:type="dxa"/>
          </w:tcPr>
          <w:p>
            <w:pPr>
              <w:jc w:val="center"/>
              <w:rPr>
                <w:rFonts w:ascii="Times New Roman" w:hAnsi="Times New Roman" w:cs="Times New Roman"/>
                <w:noProof/>
                <w:spacing w:val="-6"/>
              </w:rPr>
            </w:pPr>
            <w:r>
              <w:rPr>
                <w:rFonts w:ascii="Times New Roman" w:hAnsi="Times New Roman"/>
                <w:b/>
                <w:bCs/>
                <w:noProof/>
                <w:spacing w:val="-6"/>
              </w:rPr>
              <w:t>2012 г.</w:t>
            </w:r>
          </w:p>
        </w:tc>
        <w:tc>
          <w:tcPr>
            <w:tcW w:w="755" w:type="dxa"/>
          </w:tcPr>
          <w:p>
            <w:pPr>
              <w:jc w:val="center"/>
              <w:rPr>
                <w:rFonts w:ascii="Times New Roman" w:hAnsi="Times New Roman" w:cs="Times New Roman"/>
                <w:noProof/>
                <w:spacing w:val="-6"/>
              </w:rPr>
            </w:pPr>
            <w:r>
              <w:rPr>
                <w:rFonts w:ascii="Times New Roman" w:hAnsi="Times New Roman"/>
                <w:b/>
                <w:bCs/>
                <w:noProof/>
                <w:spacing w:val="-6"/>
              </w:rPr>
              <w:t>2013 г.</w:t>
            </w:r>
          </w:p>
        </w:tc>
        <w:tc>
          <w:tcPr>
            <w:tcW w:w="755" w:type="dxa"/>
          </w:tcPr>
          <w:p>
            <w:pPr>
              <w:jc w:val="center"/>
              <w:rPr>
                <w:rFonts w:ascii="Times New Roman" w:hAnsi="Times New Roman" w:cs="Times New Roman"/>
                <w:noProof/>
                <w:spacing w:val="-6"/>
              </w:rPr>
            </w:pPr>
            <w:r>
              <w:rPr>
                <w:rFonts w:ascii="Times New Roman" w:hAnsi="Times New Roman"/>
                <w:b/>
                <w:bCs/>
                <w:noProof/>
                <w:spacing w:val="-6"/>
              </w:rPr>
              <w:t>2014 г.</w:t>
            </w:r>
          </w:p>
        </w:tc>
        <w:tc>
          <w:tcPr>
            <w:tcW w:w="755" w:type="dxa"/>
          </w:tcPr>
          <w:p>
            <w:pPr>
              <w:jc w:val="center"/>
              <w:rPr>
                <w:rFonts w:ascii="Times New Roman" w:hAnsi="Times New Roman" w:cs="Times New Roman"/>
                <w:noProof/>
                <w:spacing w:val="-6"/>
              </w:rPr>
            </w:pPr>
            <w:r>
              <w:rPr>
                <w:rFonts w:ascii="Times New Roman" w:hAnsi="Times New Roman"/>
                <w:b/>
                <w:bCs/>
                <w:noProof/>
                <w:spacing w:val="-6"/>
              </w:rPr>
              <w:t>2015 г.</w:t>
            </w:r>
          </w:p>
        </w:tc>
        <w:tc>
          <w:tcPr>
            <w:tcW w:w="755" w:type="dxa"/>
          </w:tcPr>
          <w:p>
            <w:pPr>
              <w:jc w:val="center"/>
              <w:rPr>
                <w:rFonts w:ascii="Times New Roman" w:hAnsi="Times New Roman" w:cs="Times New Roman"/>
                <w:noProof/>
                <w:spacing w:val="-6"/>
              </w:rPr>
            </w:pPr>
            <w:r>
              <w:rPr>
                <w:rFonts w:ascii="Times New Roman" w:hAnsi="Times New Roman"/>
                <w:b/>
                <w:bCs/>
                <w:noProof/>
                <w:spacing w:val="-6"/>
              </w:rPr>
              <w:t>2016 г.</w:t>
            </w:r>
          </w:p>
        </w:tc>
        <w:tc>
          <w:tcPr>
            <w:tcW w:w="755" w:type="dxa"/>
          </w:tcPr>
          <w:p>
            <w:pPr>
              <w:jc w:val="center"/>
              <w:rPr>
                <w:rFonts w:ascii="Times New Roman" w:eastAsia="Times New Roman" w:hAnsi="Times New Roman" w:cs="Times New Roman"/>
                <w:b/>
                <w:bCs/>
                <w:noProof/>
                <w:spacing w:val="-6"/>
              </w:rPr>
            </w:pPr>
            <w:r>
              <w:rPr>
                <w:rFonts w:ascii="Times New Roman" w:hAnsi="Times New Roman"/>
                <w:b/>
                <w:bCs/>
                <w:noProof/>
                <w:spacing w:val="-6"/>
              </w:rPr>
              <w:t>2017 г.</w:t>
            </w:r>
          </w:p>
        </w:tc>
        <w:tc>
          <w:tcPr>
            <w:tcW w:w="756" w:type="dxa"/>
          </w:tcPr>
          <w:p>
            <w:pPr>
              <w:jc w:val="center"/>
              <w:rPr>
                <w:rFonts w:ascii="Times New Roman" w:hAnsi="Times New Roman" w:cs="Times New Roman"/>
                <w:noProof/>
                <w:spacing w:val="-6"/>
              </w:rPr>
            </w:pPr>
            <w:r>
              <w:rPr>
                <w:rFonts w:ascii="Times New Roman" w:hAnsi="Times New Roman"/>
                <w:b/>
                <w:bCs/>
                <w:noProof/>
                <w:spacing w:val="-6"/>
              </w:rPr>
              <w:t>2018 г.</w:t>
            </w:r>
          </w:p>
        </w:tc>
        <w:tc>
          <w:tcPr>
            <w:tcW w:w="756" w:type="dxa"/>
          </w:tcPr>
          <w:p>
            <w:pPr>
              <w:jc w:val="center"/>
              <w:rPr>
                <w:rFonts w:ascii="Times New Roman" w:hAnsi="Times New Roman" w:cs="Times New Roman"/>
                <w:noProof/>
                <w:spacing w:val="-6"/>
              </w:rPr>
            </w:pPr>
            <w:r>
              <w:rPr>
                <w:rFonts w:ascii="Times New Roman" w:hAnsi="Times New Roman"/>
                <w:b/>
                <w:bCs/>
                <w:noProof/>
                <w:spacing w:val="-6"/>
              </w:rPr>
              <w:t>2019 г.</w:t>
            </w:r>
          </w:p>
        </w:tc>
      </w:tr>
      <w:tr>
        <w:tc>
          <w:tcPr>
            <w:tcW w:w="2265" w:type="dxa"/>
          </w:tcPr>
          <w:p>
            <w:pPr>
              <w:rPr>
                <w:rFonts w:ascii="Times New Roman" w:hAnsi="Times New Roman" w:cs="Times New Roman"/>
                <w:noProof/>
                <w:spacing w:val="-6"/>
              </w:rPr>
            </w:pPr>
            <w:r>
              <w:rPr>
                <w:rFonts w:ascii="Times New Roman" w:hAnsi="Times New Roman"/>
                <w:noProof/>
                <w:spacing w:val="-6"/>
              </w:rPr>
              <w:t>Съдии и прокурори</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24,62 %</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23,04%</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24,00%</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29,11%</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28,10%</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38,03%</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48,22%</w:t>
            </w:r>
          </w:p>
        </w:tc>
        <w:tc>
          <w:tcPr>
            <w:tcW w:w="756" w:type="dxa"/>
          </w:tcPr>
          <w:p>
            <w:pPr>
              <w:jc w:val="center"/>
              <w:rPr>
                <w:rFonts w:ascii="Times New Roman" w:hAnsi="Times New Roman" w:cs="Times New Roman"/>
                <w:noProof/>
                <w:spacing w:val="-6"/>
              </w:rPr>
            </w:pPr>
            <w:r>
              <w:rPr>
                <w:rFonts w:ascii="Times New Roman" w:hAnsi="Times New Roman"/>
                <w:noProof/>
                <w:spacing w:val="-6"/>
                <w:sz w:val="20"/>
                <w:szCs w:val="20"/>
              </w:rPr>
              <w:t>54,66%</w:t>
            </w:r>
          </w:p>
        </w:tc>
        <w:tc>
          <w:tcPr>
            <w:tcW w:w="756" w:type="dxa"/>
          </w:tcPr>
          <w:p>
            <w:pPr>
              <w:jc w:val="center"/>
              <w:rPr>
                <w:rFonts w:ascii="Times New Roman" w:eastAsia="Times New Roman" w:hAnsi="Times New Roman" w:cs="Times New Roman"/>
                <w:noProof/>
                <w:spacing w:val="-6"/>
                <w:sz w:val="20"/>
                <w:szCs w:val="20"/>
              </w:rPr>
            </w:pPr>
            <w:r>
              <w:rPr>
                <w:rFonts w:ascii="Times New Roman" w:hAnsi="Times New Roman"/>
                <w:noProof/>
                <w:spacing w:val="-6"/>
                <w:sz w:val="20"/>
                <w:szCs w:val="20"/>
              </w:rPr>
              <w:t>55,70 %</w:t>
            </w:r>
          </w:p>
        </w:tc>
      </w:tr>
      <w:tr>
        <w:tc>
          <w:tcPr>
            <w:tcW w:w="2265" w:type="dxa"/>
          </w:tcPr>
          <w:p>
            <w:pPr>
              <w:rPr>
                <w:rFonts w:ascii="Times New Roman" w:hAnsi="Times New Roman" w:cs="Times New Roman"/>
                <w:noProof/>
                <w:spacing w:val="-6"/>
              </w:rPr>
            </w:pPr>
            <w:r>
              <w:rPr>
                <w:rFonts w:ascii="Times New Roman" w:hAnsi="Times New Roman"/>
                <w:noProof/>
                <w:spacing w:val="-6"/>
              </w:rPr>
              <w:t>Служители на съда и прокуратурата</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1,75%</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0,90%</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1,52%</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1,32%</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2,06%</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2,39%</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3,23%</w:t>
            </w:r>
          </w:p>
        </w:tc>
        <w:tc>
          <w:tcPr>
            <w:tcW w:w="756" w:type="dxa"/>
          </w:tcPr>
          <w:p>
            <w:pPr>
              <w:jc w:val="center"/>
              <w:rPr>
                <w:rFonts w:ascii="Times New Roman" w:hAnsi="Times New Roman" w:cs="Times New Roman"/>
                <w:noProof/>
                <w:spacing w:val="-6"/>
              </w:rPr>
            </w:pPr>
            <w:r>
              <w:rPr>
                <w:rFonts w:ascii="Times New Roman" w:hAnsi="Times New Roman"/>
                <w:noProof/>
                <w:spacing w:val="-6"/>
                <w:sz w:val="20"/>
                <w:szCs w:val="20"/>
              </w:rPr>
              <w:t>4,14%</w:t>
            </w:r>
          </w:p>
        </w:tc>
        <w:tc>
          <w:tcPr>
            <w:tcW w:w="756" w:type="dxa"/>
          </w:tcPr>
          <w:p>
            <w:pPr>
              <w:jc w:val="center"/>
              <w:rPr>
                <w:rFonts w:ascii="Times New Roman" w:eastAsia="Times New Roman" w:hAnsi="Times New Roman" w:cs="Times New Roman"/>
                <w:noProof/>
                <w:spacing w:val="-6"/>
                <w:sz w:val="20"/>
                <w:szCs w:val="20"/>
              </w:rPr>
            </w:pPr>
            <w:r>
              <w:rPr>
                <w:rFonts w:ascii="Times New Roman" w:hAnsi="Times New Roman"/>
                <w:noProof/>
                <w:spacing w:val="-6"/>
                <w:sz w:val="20"/>
                <w:szCs w:val="20"/>
              </w:rPr>
              <w:t>6,40%</w:t>
            </w:r>
          </w:p>
        </w:tc>
      </w:tr>
      <w:tr>
        <w:tc>
          <w:tcPr>
            <w:tcW w:w="2265" w:type="dxa"/>
          </w:tcPr>
          <w:p>
            <w:pPr>
              <w:rPr>
                <w:rFonts w:ascii="Times New Roman" w:hAnsi="Times New Roman" w:cs="Times New Roman"/>
                <w:noProof/>
                <w:spacing w:val="-6"/>
              </w:rPr>
            </w:pPr>
            <w:r>
              <w:rPr>
                <w:rFonts w:ascii="Times New Roman" w:hAnsi="Times New Roman"/>
                <w:noProof/>
                <w:spacing w:val="-6"/>
              </w:rPr>
              <w:t>Адвокати</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1,79%</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1,73%</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5,04%</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5,28%</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3,54%</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4,11%</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4,88%</w:t>
            </w:r>
          </w:p>
        </w:tc>
        <w:tc>
          <w:tcPr>
            <w:tcW w:w="756" w:type="dxa"/>
          </w:tcPr>
          <w:p>
            <w:pPr>
              <w:jc w:val="center"/>
              <w:rPr>
                <w:rFonts w:ascii="Times New Roman" w:hAnsi="Times New Roman" w:cs="Times New Roman"/>
                <w:noProof/>
                <w:spacing w:val="-6"/>
              </w:rPr>
            </w:pPr>
            <w:r>
              <w:rPr>
                <w:rFonts w:ascii="Times New Roman" w:hAnsi="Times New Roman"/>
                <w:noProof/>
                <w:spacing w:val="-6"/>
                <w:sz w:val="20"/>
                <w:szCs w:val="20"/>
              </w:rPr>
              <w:t>4,82%</w:t>
            </w:r>
          </w:p>
        </w:tc>
        <w:tc>
          <w:tcPr>
            <w:tcW w:w="756" w:type="dxa"/>
          </w:tcPr>
          <w:p>
            <w:pPr>
              <w:jc w:val="center"/>
              <w:rPr>
                <w:rFonts w:ascii="Times New Roman" w:eastAsia="Times New Roman" w:hAnsi="Times New Roman" w:cs="Times New Roman"/>
                <w:noProof/>
                <w:spacing w:val="-6"/>
                <w:sz w:val="20"/>
                <w:szCs w:val="20"/>
              </w:rPr>
            </w:pPr>
            <w:r>
              <w:rPr>
                <w:rFonts w:ascii="Times New Roman" w:hAnsi="Times New Roman"/>
                <w:noProof/>
                <w:spacing w:val="-6"/>
                <w:sz w:val="20"/>
                <w:szCs w:val="20"/>
              </w:rPr>
              <w:t>3,36%</w:t>
            </w:r>
          </w:p>
        </w:tc>
      </w:tr>
      <w:tr>
        <w:tc>
          <w:tcPr>
            <w:tcW w:w="2265" w:type="dxa"/>
          </w:tcPr>
          <w:p>
            <w:pPr>
              <w:rPr>
                <w:rFonts w:ascii="Times New Roman" w:hAnsi="Times New Roman" w:cs="Times New Roman"/>
                <w:noProof/>
                <w:spacing w:val="-6"/>
              </w:rPr>
            </w:pPr>
            <w:r>
              <w:rPr>
                <w:rFonts w:ascii="Times New Roman" w:hAnsi="Times New Roman"/>
                <w:noProof/>
                <w:spacing w:val="-6"/>
              </w:rPr>
              <w:t>Нотариуси</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11,36%</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5,75%</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10,37%</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15,31%</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18,07%</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13,89%</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27,03%</w:t>
            </w:r>
          </w:p>
        </w:tc>
        <w:tc>
          <w:tcPr>
            <w:tcW w:w="756" w:type="dxa"/>
          </w:tcPr>
          <w:p>
            <w:pPr>
              <w:jc w:val="center"/>
              <w:rPr>
                <w:rFonts w:ascii="Times New Roman" w:hAnsi="Times New Roman" w:cs="Times New Roman"/>
                <w:noProof/>
                <w:spacing w:val="-6"/>
              </w:rPr>
            </w:pPr>
            <w:r>
              <w:rPr>
                <w:rFonts w:ascii="Times New Roman" w:hAnsi="Times New Roman"/>
                <w:noProof/>
                <w:spacing w:val="-6"/>
                <w:sz w:val="20"/>
                <w:szCs w:val="20"/>
              </w:rPr>
              <w:t>22,35%</w:t>
            </w:r>
          </w:p>
        </w:tc>
        <w:tc>
          <w:tcPr>
            <w:tcW w:w="756" w:type="dxa"/>
          </w:tcPr>
          <w:p>
            <w:pPr>
              <w:jc w:val="center"/>
              <w:rPr>
                <w:rFonts w:ascii="Times New Roman" w:eastAsia="Times New Roman" w:hAnsi="Times New Roman" w:cs="Times New Roman"/>
                <w:noProof/>
                <w:spacing w:val="-6"/>
                <w:sz w:val="20"/>
                <w:szCs w:val="20"/>
              </w:rPr>
            </w:pPr>
            <w:r>
              <w:rPr>
                <w:rFonts w:ascii="Times New Roman" w:hAnsi="Times New Roman"/>
                <w:noProof/>
                <w:spacing w:val="-6"/>
                <w:sz w:val="20"/>
                <w:szCs w:val="20"/>
              </w:rPr>
              <w:t>26,03%</w:t>
            </w:r>
          </w:p>
        </w:tc>
      </w:tr>
      <w:tr>
        <w:tc>
          <w:tcPr>
            <w:tcW w:w="2265" w:type="dxa"/>
          </w:tcPr>
          <w:p>
            <w:pPr>
              <w:rPr>
                <w:rFonts w:ascii="Times New Roman" w:hAnsi="Times New Roman" w:cs="Times New Roman"/>
                <w:noProof/>
                <w:spacing w:val="-6"/>
              </w:rPr>
            </w:pPr>
            <w:r>
              <w:rPr>
                <w:rFonts w:ascii="Times New Roman" w:hAnsi="Times New Roman"/>
                <w:noProof/>
                <w:spacing w:val="-6"/>
              </w:rPr>
              <w:t>Съдебни изпълнители</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3,57%</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4,02%</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3,12%</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8,29%</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5,67%</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7,57%</w:t>
            </w:r>
          </w:p>
        </w:tc>
        <w:tc>
          <w:tcPr>
            <w:tcW w:w="755" w:type="dxa"/>
          </w:tcPr>
          <w:p>
            <w:pPr>
              <w:jc w:val="center"/>
              <w:rPr>
                <w:rFonts w:ascii="Times New Roman" w:hAnsi="Times New Roman" w:cs="Times New Roman"/>
                <w:noProof/>
                <w:spacing w:val="-6"/>
              </w:rPr>
            </w:pPr>
            <w:r>
              <w:rPr>
                <w:rFonts w:ascii="Times New Roman" w:hAnsi="Times New Roman"/>
                <w:noProof/>
                <w:spacing w:val="-6"/>
                <w:sz w:val="20"/>
                <w:szCs w:val="20"/>
              </w:rPr>
              <w:t>9,55%</w:t>
            </w:r>
          </w:p>
        </w:tc>
        <w:tc>
          <w:tcPr>
            <w:tcW w:w="756" w:type="dxa"/>
          </w:tcPr>
          <w:p>
            <w:pPr>
              <w:jc w:val="center"/>
              <w:rPr>
                <w:rFonts w:ascii="Times New Roman" w:hAnsi="Times New Roman" w:cs="Times New Roman"/>
                <w:noProof/>
                <w:spacing w:val="-6"/>
              </w:rPr>
            </w:pPr>
            <w:r>
              <w:rPr>
                <w:rFonts w:ascii="Times New Roman" w:hAnsi="Times New Roman"/>
                <w:noProof/>
                <w:spacing w:val="-6"/>
                <w:sz w:val="20"/>
                <w:szCs w:val="20"/>
              </w:rPr>
              <w:t>12,77%</w:t>
            </w:r>
          </w:p>
        </w:tc>
        <w:tc>
          <w:tcPr>
            <w:tcW w:w="756" w:type="dxa"/>
          </w:tcPr>
          <w:p>
            <w:pPr>
              <w:jc w:val="center"/>
              <w:rPr>
                <w:rFonts w:ascii="Times New Roman" w:eastAsia="Times New Roman" w:hAnsi="Times New Roman" w:cs="Times New Roman"/>
                <w:noProof/>
                <w:spacing w:val="-6"/>
                <w:sz w:val="20"/>
                <w:szCs w:val="20"/>
              </w:rPr>
            </w:pPr>
            <w:r>
              <w:rPr>
                <w:rFonts w:ascii="Times New Roman" w:hAnsi="Times New Roman"/>
                <w:noProof/>
                <w:spacing w:val="-6"/>
                <w:sz w:val="20"/>
                <w:szCs w:val="20"/>
              </w:rPr>
              <w:t>16,19%</w:t>
            </w:r>
          </w:p>
        </w:tc>
      </w:tr>
    </w:tbl>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0"/>
          <w:szCs w:val="20"/>
        </w:rPr>
        <w:t xml:space="preserve">Източник: Европейска комисия (ЕС-28, с изключение на 2019 г.: ЕС-27, тъй като от Обединеното кралство не са получени данни; данни от годишните европейски доклади по съдебно обучение </w:t>
      </w:r>
      <w:r>
        <w:rPr>
          <w:rStyle w:val="FootnoteReference"/>
          <w:rFonts w:ascii="Times New Roman" w:eastAsia="Times New Roman" w:hAnsi="Times New Roman" w:cs="Times New Roman"/>
          <w:noProof/>
          <w:sz w:val="20"/>
          <w:szCs w:val="20"/>
          <w:lang w:eastAsia="fr-BE"/>
        </w:rPr>
        <w:footnoteReference w:id="24"/>
      </w:r>
      <w:r>
        <w:rPr>
          <w:rFonts w:ascii="Times New Roman" w:hAnsi="Times New Roman"/>
          <w:noProof/>
          <w:color w:val="000000" w:themeColor="text1"/>
          <w:sz w:val="20"/>
          <w:szCs w:val="20"/>
        </w:rPr>
        <w:t xml:space="preserve">). </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В общи линии</w:t>
      </w:r>
      <w:r>
        <w:rPr>
          <w:rFonts w:ascii="Times New Roman" w:hAnsi="Times New Roman"/>
          <w:b/>
          <w:bCs/>
          <w:noProof/>
          <w:color w:val="000000" w:themeColor="text1"/>
          <w:sz w:val="24"/>
          <w:szCs w:val="24"/>
        </w:rPr>
        <w:t xml:space="preserve"> повече специалисти в областта на правосъдието </w:t>
      </w:r>
      <w:r>
        <w:rPr>
          <w:rFonts w:ascii="Times New Roman" w:hAnsi="Times New Roman"/>
          <w:noProof/>
          <w:color w:val="000000" w:themeColor="text1"/>
          <w:sz w:val="24"/>
          <w:szCs w:val="24"/>
        </w:rPr>
        <w:t xml:space="preserve">следва да посещават обучения по правото на Съюза, а доставчиците на обучение да </w:t>
      </w:r>
      <w:r>
        <w:rPr>
          <w:rFonts w:ascii="Times New Roman" w:hAnsi="Times New Roman"/>
          <w:b/>
          <w:bCs/>
          <w:noProof/>
          <w:color w:val="000000" w:themeColor="text1"/>
          <w:sz w:val="24"/>
          <w:szCs w:val="24"/>
        </w:rPr>
        <w:t>подобряват предложеното обучение по право на Съюза</w:t>
      </w:r>
      <w:r>
        <w:rPr>
          <w:rFonts w:ascii="Times New Roman" w:hAnsi="Times New Roman"/>
          <w:noProof/>
          <w:color w:val="000000" w:themeColor="text1"/>
          <w:sz w:val="24"/>
          <w:szCs w:val="24"/>
        </w:rPr>
        <w:t> — национално или трансгранично — независимо дали е съфинансирано от ЕС или не. Това се отнася до всички специалисти в областта на правосъдието, които прилагат правото на Съюза, включително, на първо място, до съдии, прокурори и съдебен персонал, но така също и до професии като адвокати, нотариуси, съдебни изпълнители, медиатори, устни и писмени юридически преводачи, съдебни експерти, а в дадени ситуации и до затворнически и пробационни служители.</w:t>
      </w:r>
    </w:p>
    <w:p>
      <w:pPr>
        <w:pStyle w:val="Heading2"/>
        <w:tabs>
          <w:tab w:val="clear" w:pos="1077"/>
        </w:tabs>
        <w:ind w:left="709" w:hanging="709"/>
        <w:rPr>
          <w:noProof/>
        </w:rPr>
      </w:pPr>
      <w:r>
        <w:rPr>
          <w:noProof/>
        </w:rPr>
        <w:t>Адаптирани цели</w:t>
      </w:r>
    </w:p>
    <w:p>
      <w:pPr>
        <w:jc w:val="both"/>
        <w:rPr>
          <w:rFonts w:ascii="Times New Roman" w:hAnsi="Times New Roman" w:cs="Times New Roman"/>
          <w:noProof/>
          <w:sz w:val="24"/>
          <w:szCs w:val="24"/>
        </w:rPr>
      </w:pPr>
      <w:r>
        <w:rPr>
          <w:rFonts w:ascii="Times New Roman" w:hAnsi="Times New Roman"/>
          <w:b/>
          <w:bCs/>
          <w:noProof/>
          <w:sz w:val="24"/>
          <w:szCs w:val="24"/>
        </w:rPr>
        <w:t>Съдиите и прокурорите</w:t>
      </w:r>
      <w:r>
        <w:rPr>
          <w:rFonts w:ascii="Times New Roman" w:hAnsi="Times New Roman"/>
          <w:noProof/>
          <w:sz w:val="24"/>
          <w:szCs w:val="24"/>
        </w:rPr>
        <w:t xml:space="preserve"> са основните гаранти за правилното прилагане на правото на Съюза на национално равнище</w:t>
      </w:r>
      <w:r>
        <w:rPr>
          <w:rStyle w:val="FootnoteReference"/>
          <w:rFonts w:ascii="Times New Roman" w:hAnsi="Times New Roman" w:cs="Times New Roman"/>
          <w:noProof/>
          <w:sz w:val="24"/>
          <w:szCs w:val="24"/>
          <w:lang w:eastAsia="en-GB"/>
        </w:rPr>
        <w:footnoteReference w:id="25"/>
      </w:r>
      <w:r>
        <w:rPr>
          <w:rFonts w:ascii="Times New Roman" w:hAnsi="Times New Roman"/>
          <w:noProof/>
          <w:sz w:val="24"/>
          <w:szCs w:val="24"/>
        </w:rPr>
        <w:t xml:space="preserve">. Те следва да останат </w:t>
      </w:r>
      <w:r>
        <w:rPr>
          <w:rFonts w:ascii="Times New Roman" w:hAnsi="Times New Roman"/>
          <w:b/>
          <w:bCs/>
          <w:noProof/>
          <w:sz w:val="24"/>
          <w:szCs w:val="24"/>
        </w:rPr>
        <w:t>основната целева група</w:t>
      </w:r>
      <w:r>
        <w:rPr>
          <w:rFonts w:ascii="Times New Roman" w:hAnsi="Times New Roman"/>
          <w:noProof/>
          <w:sz w:val="24"/>
          <w:szCs w:val="24"/>
        </w:rPr>
        <w:t xml:space="preserve"> за обучение по правото на Съюза. Съдиите прилагат правото на Съюза </w:t>
      </w:r>
      <w:r>
        <w:rPr>
          <w:rFonts w:ascii="Times New Roman" w:hAnsi="Times New Roman"/>
          <w:i/>
          <w:iCs/>
          <w:noProof/>
          <w:sz w:val="24"/>
          <w:szCs w:val="24"/>
        </w:rPr>
        <w:t>служебно</w:t>
      </w:r>
      <w:r>
        <w:rPr>
          <w:rFonts w:ascii="Times New Roman" w:hAnsi="Times New Roman"/>
          <w:noProof/>
          <w:sz w:val="24"/>
          <w:szCs w:val="24"/>
        </w:rPr>
        <w:t xml:space="preserve">, осъществяват на практика принципите на върховенството и прякото действие на правото на Съюза и отправят преюдициални въпроси към Съда на Европейския съюз. Прокурорите трябва да познават и прилагат съответните части на </w:t>
      </w:r>
      <w:r>
        <w:rPr>
          <w:rFonts w:ascii="Times New Roman" w:hAnsi="Times New Roman"/>
          <w:i/>
          <w:iCs/>
          <w:noProof/>
          <w:sz w:val="24"/>
          <w:szCs w:val="24"/>
        </w:rPr>
        <w:t>достиженията на правото на ЕС</w:t>
      </w:r>
      <w:r>
        <w:rPr>
          <w:rFonts w:ascii="Times New Roman" w:hAnsi="Times New Roman"/>
          <w:noProof/>
          <w:sz w:val="24"/>
          <w:szCs w:val="24"/>
        </w:rPr>
        <w:t xml:space="preserve"> в областта на правосъдието, </w:t>
      </w:r>
      <w:r>
        <w:rPr>
          <w:rFonts w:ascii="Times New Roman" w:hAnsi="Times New Roman"/>
          <w:noProof/>
          <w:color w:val="000000" w:themeColor="text1"/>
          <w:sz w:val="24"/>
          <w:szCs w:val="24"/>
        </w:rPr>
        <w:t xml:space="preserve">включително процесуалните права на заподозрените и обвиняемите в наказателното производство, </w:t>
      </w:r>
      <w:r>
        <w:rPr>
          <w:rFonts w:ascii="Times New Roman" w:hAnsi="Times New Roman"/>
          <w:noProof/>
          <w:sz w:val="24"/>
          <w:szCs w:val="24"/>
        </w:rPr>
        <w:t>защитата на финансовите интереси на ЕС и новите правила за функциониране след създаването на Европейската прокуратура.</w:t>
      </w:r>
    </w:p>
    <w:p>
      <w:pPr>
        <w:jc w:val="both"/>
        <w:rPr>
          <w:rFonts w:ascii="Times New Roman" w:eastAsia="Calibri" w:hAnsi="Times New Roman" w:cs="Times New Roman"/>
          <w:noProof/>
          <w:color w:val="000000" w:themeColor="text1"/>
          <w:sz w:val="24"/>
          <w:szCs w:val="24"/>
        </w:rPr>
      </w:pPr>
      <w:r>
        <w:rPr>
          <w:rFonts w:ascii="Times New Roman" w:hAnsi="Times New Roman"/>
          <w:b/>
          <w:bCs/>
          <w:noProof/>
          <w:color w:val="000000" w:themeColor="text1"/>
          <w:sz w:val="24"/>
          <w:szCs w:val="24"/>
        </w:rPr>
        <w:t>Служителите на съда и прокуратурата</w:t>
      </w:r>
      <w:r>
        <w:rPr>
          <w:rFonts w:ascii="Times New Roman" w:hAnsi="Times New Roman"/>
          <w:noProof/>
          <w:color w:val="000000" w:themeColor="text1"/>
          <w:sz w:val="24"/>
          <w:szCs w:val="24"/>
        </w:rPr>
        <w:t xml:space="preserve"> са от основно значение за гладкото функциониране на съдебните системи. Някои участват в изготвянето и изпълнението на съдебни решения, трансграничното връчване на документи, европейски заповеди за плащане, европейски заповеди за арест и други трансгранични процедури. Това изисква широк спектър от обучения по правото на Съюза, които следва да бъдат точно съобразени с установените нужди. Комисията насърчава работата в мрежа на всички доставчици на обучение за съдебни служители на национално равнище и на равнището на ЕС с оглед споделяне на най-добрите практики и подобряване на националните предложения за обучение.</w:t>
      </w:r>
    </w:p>
    <w:p>
      <w:pPr>
        <w:jc w:val="both"/>
        <w:rPr>
          <w:rFonts w:ascii="Times New Roman" w:hAnsi="Times New Roman" w:cs="Times New Roman"/>
          <w:strike/>
          <w:noProof/>
          <w:sz w:val="24"/>
          <w:szCs w:val="24"/>
        </w:rPr>
      </w:pPr>
      <w:r>
        <w:rPr>
          <w:rFonts w:ascii="Times New Roman" w:hAnsi="Times New Roman"/>
          <w:b/>
          <w:bCs/>
          <w:noProof/>
          <w:sz w:val="24"/>
          <w:szCs w:val="24"/>
        </w:rPr>
        <w:t>Адвокатите</w:t>
      </w:r>
      <w:r>
        <w:rPr>
          <w:rFonts w:ascii="Times New Roman" w:hAnsi="Times New Roman"/>
          <w:noProof/>
          <w:sz w:val="24"/>
          <w:szCs w:val="24"/>
        </w:rPr>
        <w:t xml:space="preserve"> играят жизненоважна роля в практическото прилагане на правото на Съюза в много съдебни производства, независимо дали национални или трансгранични, граждански, семейни, административни или наказателни. От тях зависи също така да повдигат въпроси относно правото на Съюза в конкретни правни ситуации. Те трябва да са в течение с последните </w:t>
      </w:r>
      <w:r>
        <w:rPr>
          <w:rFonts w:ascii="Times New Roman" w:hAnsi="Times New Roman"/>
          <w:i/>
          <w:iCs/>
          <w:noProof/>
          <w:sz w:val="24"/>
          <w:szCs w:val="24"/>
        </w:rPr>
        <w:t>достижения на правото</w:t>
      </w:r>
      <w:r>
        <w:rPr>
          <w:rFonts w:ascii="Times New Roman" w:hAnsi="Times New Roman"/>
          <w:noProof/>
          <w:sz w:val="24"/>
          <w:szCs w:val="24"/>
        </w:rPr>
        <w:t xml:space="preserve"> на ЕС. Ето защо е от съществено значение да се постави акцент върху обучението на адвокатите на свободна практика и на техните доставчици на обучение.</w:t>
      </w:r>
    </w:p>
    <w:p>
      <w:pPr>
        <w:jc w:val="both"/>
        <w:rPr>
          <w:rFonts w:ascii="Times New Roman" w:hAnsi="Times New Roman" w:cs="Times New Roman"/>
          <w:noProof/>
          <w:sz w:val="24"/>
          <w:szCs w:val="24"/>
        </w:rPr>
      </w:pPr>
      <w:r>
        <w:rPr>
          <w:rFonts w:ascii="Times New Roman" w:hAnsi="Times New Roman"/>
          <w:b/>
          <w:bCs/>
          <w:noProof/>
          <w:sz w:val="24"/>
          <w:szCs w:val="24"/>
        </w:rPr>
        <w:t>Нотариусите</w:t>
      </w:r>
      <w:r>
        <w:rPr>
          <w:rFonts w:ascii="Times New Roman" w:hAnsi="Times New Roman"/>
          <w:noProof/>
          <w:sz w:val="24"/>
          <w:szCs w:val="24"/>
        </w:rPr>
        <w:t xml:space="preserve"> помагат да се гарантира действието на правото на Съюза в области, които са от значение за физическите лица и предприятията, като наследяване, посредничество, несъстоятелност и мерки срещу изпирането на пари. Това следва да бъде отразено по-добре в съдържанието на обучението, като същевременно се насърчава използването на интерактивни методологии, включително на електронно обучение.</w:t>
      </w:r>
    </w:p>
    <w:p>
      <w:pPr>
        <w:jc w:val="both"/>
        <w:rPr>
          <w:rFonts w:ascii="Times New Roman" w:hAnsi="Times New Roman" w:cs="Times New Roman"/>
          <w:noProof/>
          <w:sz w:val="24"/>
          <w:szCs w:val="24"/>
        </w:rPr>
      </w:pPr>
      <w:r>
        <w:rPr>
          <w:rFonts w:ascii="Times New Roman" w:hAnsi="Times New Roman"/>
          <w:b/>
          <w:bCs/>
          <w:noProof/>
          <w:sz w:val="24"/>
          <w:szCs w:val="24"/>
        </w:rPr>
        <w:t>Съдебните изпълнители</w:t>
      </w:r>
      <w:r>
        <w:rPr>
          <w:rFonts w:ascii="Times New Roman" w:hAnsi="Times New Roman"/>
          <w:noProof/>
          <w:sz w:val="24"/>
          <w:szCs w:val="24"/>
        </w:rPr>
        <w:t xml:space="preserve"> участват в трансграничното изпълнение на съдебни решения, например в европейски процедури за искове с малък материален интерес и при трансгранично възстановяване на активи. Въпреки разликите в техния трудов статус и квалификация, те са съдебни служители в приблизително една трета от държавите членки. Те се нуждаят от допълнително обучение по съответното право на Съюза, за да се гарантира, че го прилагат правилно в ежедневните си задачи.</w:t>
      </w:r>
    </w:p>
    <w:p>
      <w:pPr>
        <w:pStyle w:val="Heading2"/>
        <w:tabs>
          <w:tab w:val="clear" w:pos="1077"/>
        </w:tabs>
        <w:ind w:left="709" w:hanging="709"/>
        <w:rPr>
          <w:noProof/>
        </w:rPr>
      </w:pPr>
      <w:r>
        <w:rPr>
          <w:noProof/>
        </w:rPr>
        <w:t>Подобряване на обучението по правото на Съюза за други професии</w:t>
      </w:r>
    </w:p>
    <w:p>
      <w:pPr>
        <w:jc w:val="both"/>
        <w:rPr>
          <w:rFonts w:ascii="Times New Roman" w:hAnsi="Times New Roman" w:cs="Times New Roman"/>
          <w:b/>
          <w:bCs/>
          <w:noProof/>
          <w:color w:val="000000" w:themeColor="text1"/>
          <w:sz w:val="24"/>
          <w:szCs w:val="24"/>
        </w:rPr>
      </w:pPr>
      <w:r>
        <w:rPr>
          <w:rFonts w:ascii="Times New Roman" w:hAnsi="Times New Roman"/>
          <w:noProof/>
          <w:color w:val="000000" w:themeColor="text1"/>
          <w:sz w:val="24"/>
          <w:szCs w:val="24"/>
        </w:rPr>
        <w:t>При взаимодействието на тази стратегия и европейската схема за обучение в областта на правоприлагането (LETS)</w:t>
      </w:r>
      <w:r>
        <w:rPr>
          <w:rStyle w:val="FootnoteReference"/>
          <w:rFonts w:ascii="Times New Roman" w:hAnsi="Times New Roman" w:cs="Times New Roman"/>
          <w:noProof/>
          <w:color w:val="000000" w:themeColor="text1"/>
          <w:sz w:val="24"/>
          <w:szCs w:val="24"/>
        </w:rPr>
        <w:footnoteReference w:id="26"/>
      </w:r>
      <w:r>
        <w:rPr>
          <w:rFonts w:ascii="Times New Roman" w:hAnsi="Times New Roman"/>
          <w:noProof/>
          <w:color w:val="000000" w:themeColor="text1"/>
          <w:sz w:val="24"/>
          <w:szCs w:val="24"/>
        </w:rPr>
        <w:t xml:space="preserve"> беше полезно да се разработят и популяризират общи учебни материали и съвместни сесии за обучение на прокурори, съдии и следователи. В този контекст се приветства ползотворното сътрудничество между EJTN и Агенцията на Европейския съюз за обучение в областта на правоприлагането (CEPOL) и то би могло да бъде доразвито.</w:t>
      </w:r>
    </w:p>
    <w:p>
      <w:pPr>
        <w:jc w:val="both"/>
        <w:rPr>
          <w:rFonts w:ascii="Times New Roman" w:hAnsi="Times New Roman" w:cs="Times New Roman"/>
          <w:noProof/>
          <w:color w:val="000000" w:themeColor="text1"/>
          <w:sz w:val="24"/>
          <w:szCs w:val="24"/>
        </w:rPr>
      </w:pPr>
      <w:r>
        <w:rPr>
          <w:rFonts w:ascii="Times New Roman" w:hAnsi="Times New Roman"/>
          <w:b/>
          <w:bCs/>
          <w:noProof/>
          <w:color w:val="000000" w:themeColor="text1"/>
          <w:sz w:val="24"/>
          <w:szCs w:val="24"/>
        </w:rPr>
        <w:t>Затворническият персонал и пробационните служители</w:t>
      </w:r>
      <w:r>
        <w:rPr>
          <w:rFonts w:ascii="Times New Roman" w:hAnsi="Times New Roman"/>
          <w:noProof/>
          <w:color w:val="000000" w:themeColor="text1"/>
          <w:sz w:val="24"/>
          <w:szCs w:val="24"/>
        </w:rPr>
        <w:t xml:space="preserve"> са нова целева аудитория, тъй като тяхното обучение е от решаващо значение за </w:t>
      </w:r>
      <w:r>
        <w:rPr>
          <w:rFonts w:ascii="Times New Roman" w:hAnsi="Times New Roman"/>
          <w:noProof/>
          <w:sz w:val="24"/>
          <w:szCs w:val="24"/>
        </w:rPr>
        <w:t>спазването на основните права по време на задържане (по-специално в контекста на европейските заповеди за арест</w:t>
      </w:r>
      <w:r>
        <w:rPr>
          <w:rStyle w:val="FootnoteReference"/>
          <w:rFonts w:ascii="Times New Roman" w:hAnsi="Times New Roman" w:cs="Times New Roman"/>
          <w:noProof/>
          <w:sz w:val="24"/>
          <w:szCs w:val="24"/>
          <w:lang w:eastAsia="en-GB"/>
        </w:rPr>
        <w:footnoteReference w:id="27"/>
      </w:r>
      <w:r>
        <w:rPr>
          <w:rFonts w:ascii="Times New Roman" w:hAnsi="Times New Roman"/>
          <w:noProof/>
          <w:sz w:val="24"/>
          <w:szCs w:val="24"/>
        </w:rPr>
        <w:t xml:space="preserve">) и за затвърждаване на тяхната ключова роля за предотвратяване на радикализацията в затворите и гарантиране на успеха на програмите за рехабилитация. Те трябва да са запознати също и с политиките на ЕС, по-специално по отношение на прехвърлянето на затворници, пробацията, алтернативните наказания, надзора, законодателството, свързано с </w:t>
      </w:r>
      <w:r>
        <w:rPr>
          <w:rFonts w:ascii="Times New Roman" w:hAnsi="Times New Roman"/>
          <w:noProof/>
          <w:color w:val="000000" w:themeColor="text1"/>
          <w:sz w:val="24"/>
          <w:szCs w:val="24"/>
        </w:rPr>
        <w:t>наркотици, и други въпроси в затворите</w:t>
      </w:r>
      <w:r>
        <w:rPr>
          <w:rStyle w:val="FootnoteReference"/>
          <w:rFonts w:ascii="Times New Roman" w:hAnsi="Times New Roman" w:cs="Times New Roman"/>
          <w:noProof/>
          <w:color w:val="000000" w:themeColor="text1"/>
          <w:sz w:val="24"/>
          <w:szCs w:val="24"/>
          <w:lang w:eastAsia="en-GB"/>
        </w:rPr>
        <w:footnoteReference w:id="28"/>
      </w:r>
      <w:r>
        <w:rPr>
          <w:rFonts w:ascii="Times New Roman" w:hAnsi="Times New Roman"/>
          <w:noProof/>
          <w:color w:val="000000" w:themeColor="text1"/>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И накрая, </w:t>
      </w:r>
      <w:r>
        <w:rPr>
          <w:rFonts w:ascii="Times New Roman" w:hAnsi="Times New Roman"/>
          <w:b/>
          <w:bCs/>
          <w:noProof/>
          <w:sz w:val="24"/>
          <w:szCs w:val="24"/>
        </w:rPr>
        <w:t>други специалисти в областта на правосъдието,</w:t>
      </w:r>
      <w:r>
        <w:rPr>
          <w:rFonts w:ascii="Times New Roman" w:hAnsi="Times New Roman"/>
          <w:noProof/>
          <w:sz w:val="24"/>
          <w:szCs w:val="24"/>
        </w:rPr>
        <w:t xml:space="preserve"> като медиатори</w:t>
      </w:r>
      <w:r>
        <w:rPr>
          <w:rStyle w:val="FootnoteReference"/>
          <w:rFonts w:ascii="Times New Roman" w:hAnsi="Times New Roman" w:cs="Times New Roman"/>
          <w:noProof/>
          <w:sz w:val="24"/>
          <w:szCs w:val="24"/>
          <w:lang w:eastAsia="en-GB"/>
        </w:rPr>
        <w:footnoteReference w:id="29"/>
      </w:r>
      <w:r>
        <w:rPr>
          <w:rFonts w:ascii="Times New Roman" w:hAnsi="Times New Roman"/>
          <w:noProof/>
          <w:sz w:val="24"/>
          <w:szCs w:val="24"/>
        </w:rPr>
        <w:t>, съдебни експерти</w:t>
      </w:r>
      <w:r>
        <w:rPr>
          <w:rStyle w:val="FootnoteReference"/>
          <w:rFonts w:ascii="Times New Roman" w:hAnsi="Times New Roman" w:cs="Times New Roman"/>
          <w:noProof/>
          <w:sz w:val="24"/>
          <w:szCs w:val="24"/>
          <w:lang w:eastAsia="en-GB"/>
        </w:rPr>
        <w:footnoteReference w:id="30"/>
      </w:r>
      <w:r>
        <w:rPr>
          <w:rFonts w:ascii="Times New Roman" w:hAnsi="Times New Roman"/>
          <w:noProof/>
          <w:sz w:val="24"/>
          <w:szCs w:val="24"/>
        </w:rPr>
        <w:t>, ликвидатори</w:t>
      </w:r>
      <w:r>
        <w:rPr>
          <w:rStyle w:val="FootnoteReference"/>
          <w:rFonts w:ascii="Times New Roman" w:hAnsi="Times New Roman" w:cs="Times New Roman"/>
          <w:noProof/>
          <w:sz w:val="24"/>
          <w:szCs w:val="24"/>
          <w:lang w:eastAsia="en-GB"/>
        </w:rPr>
        <w:footnoteReference w:id="31"/>
      </w:r>
      <w:r>
        <w:rPr>
          <w:rFonts w:ascii="Times New Roman" w:hAnsi="Times New Roman"/>
          <w:noProof/>
          <w:sz w:val="24"/>
          <w:szCs w:val="24"/>
        </w:rPr>
        <w:t xml:space="preserve"> и писмени и устни юридически преводачи</w:t>
      </w:r>
      <w:r>
        <w:rPr>
          <w:rStyle w:val="FootnoteReference"/>
          <w:rFonts w:ascii="Times New Roman" w:hAnsi="Times New Roman" w:cs="Times New Roman"/>
          <w:noProof/>
          <w:sz w:val="24"/>
          <w:szCs w:val="24"/>
          <w:lang w:eastAsia="en-GB"/>
        </w:rPr>
        <w:footnoteReference w:id="32"/>
      </w:r>
      <w:r>
        <w:rPr>
          <w:rFonts w:ascii="Times New Roman" w:hAnsi="Times New Roman"/>
          <w:noProof/>
          <w:sz w:val="24"/>
          <w:szCs w:val="24"/>
        </w:rPr>
        <w:t xml:space="preserve"> все повече се нуждаят от познания и компетентност при прилагането на правото на Съюза. Качеството на техния принос в съдебните процеси следва да бъде повишено чрез съответно обучение по правото на Съюза.</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rPr>
      </w:pPr>
      <w:bookmarkStart w:id="2" w:name="_Toc32909995"/>
      <w:r>
        <w:rPr>
          <w:rFonts w:ascii="Times New Roman" w:hAnsi="Times New Roman"/>
          <w:b/>
          <w:bCs/>
          <w:i/>
          <w:iCs/>
          <w:noProof/>
          <w:sz w:val="24"/>
          <w:szCs w:val="24"/>
        </w:rPr>
        <w:t>Действия за всички заинтересовани страни:</w:t>
      </w:r>
    </w:p>
    <w:p>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noProof/>
          <w:sz w:val="24"/>
          <w:szCs w:val="24"/>
        </w:rPr>
      </w:pPr>
      <w:r>
        <w:rPr>
          <w:rFonts w:ascii="Times New Roman" w:hAnsi="Times New Roman"/>
          <w:noProof/>
          <w:sz w:val="24"/>
          <w:szCs w:val="24"/>
        </w:rPr>
        <w:t>До 2024 г. непрекъснатото обучение по правото на Съюза следва всяка година да достигне до:</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noProof/>
        </w:rPr>
        <w:t>65 % от съдиите и прокурорите;</w:t>
      </w:r>
    </w:p>
    <w:p>
      <w:pPr>
        <w:pStyle w:val="ListBullet2"/>
        <w:pBdr>
          <w:top w:val="single" w:sz="4" w:space="1" w:color="auto"/>
          <w:left w:val="single" w:sz="4" w:space="4" w:color="auto"/>
          <w:bottom w:val="single" w:sz="4" w:space="1" w:color="auto"/>
          <w:right w:val="single" w:sz="4" w:space="4" w:color="auto"/>
        </w:pBdr>
        <w:spacing w:after="120" w:line="276" w:lineRule="auto"/>
        <w:rPr>
          <w:noProof/>
        </w:rPr>
      </w:pPr>
      <w:r>
        <w:rPr>
          <w:noProof/>
        </w:rPr>
        <w:t>15 % от служителите на съда и прокуратурата, които се нуждаят от компетентност по правото на Съюза;</w:t>
      </w:r>
    </w:p>
    <w:p>
      <w:pPr>
        <w:pStyle w:val="ListBullet2"/>
        <w:pBdr>
          <w:top w:val="single" w:sz="4" w:space="1" w:color="auto"/>
          <w:left w:val="single" w:sz="4" w:space="4" w:color="auto"/>
          <w:bottom w:val="single" w:sz="4" w:space="1" w:color="auto"/>
          <w:right w:val="single" w:sz="4" w:space="4" w:color="auto"/>
        </w:pBdr>
        <w:spacing w:after="120" w:line="276" w:lineRule="auto"/>
        <w:rPr>
          <w:noProof/>
        </w:rPr>
      </w:pPr>
      <w:r>
        <w:rPr>
          <w:noProof/>
        </w:rPr>
        <w:t>15 % от адвокатите</w:t>
      </w:r>
      <w:r>
        <w:rPr>
          <w:rStyle w:val="FootnoteReference"/>
          <w:rFonts w:eastAsia="Calibri"/>
          <w:noProof/>
        </w:rPr>
        <w:footnoteReference w:id="33"/>
      </w:r>
      <w:r>
        <w:rPr>
          <w:noProof/>
        </w:rPr>
        <w:t>;</w:t>
      </w:r>
    </w:p>
    <w:p>
      <w:pPr>
        <w:pStyle w:val="ListBullet2"/>
        <w:pBdr>
          <w:top w:val="single" w:sz="4" w:space="1" w:color="auto"/>
          <w:left w:val="single" w:sz="4" w:space="4" w:color="auto"/>
          <w:bottom w:val="single" w:sz="4" w:space="1" w:color="auto"/>
          <w:right w:val="single" w:sz="4" w:space="4" w:color="auto"/>
        </w:pBdr>
        <w:spacing w:after="120" w:line="276" w:lineRule="auto"/>
        <w:rPr>
          <w:noProof/>
        </w:rPr>
      </w:pPr>
      <w:r>
        <w:rPr>
          <w:noProof/>
        </w:rPr>
        <w:t>30 % от нотариусите;</w:t>
      </w:r>
    </w:p>
    <w:p>
      <w:pPr>
        <w:pStyle w:val="ListBullet2"/>
        <w:pBdr>
          <w:top w:val="single" w:sz="4" w:space="1" w:color="auto"/>
          <w:left w:val="single" w:sz="4" w:space="4" w:color="auto"/>
          <w:bottom w:val="single" w:sz="4" w:space="1" w:color="auto"/>
          <w:right w:val="single" w:sz="4" w:space="4" w:color="auto"/>
        </w:pBdr>
        <w:spacing w:after="120" w:line="276" w:lineRule="auto"/>
        <w:rPr>
          <w:noProof/>
        </w:rPr>
      </w:pPr>
      <w:r>
        <w:rPr>
          <w:noProof/>
        </w:rPr>
        <w:t>20 % от съдебните изпълнители.</w:t>
      </w:r>
    </w:p>
    <w:p>
      <w:pPr>
        <w:pBdr>
          <w:top w:val="single" w:sz="4" w:space="1" w:color="auto"/>
          <w:left w:val="single" w:sz="4" w:space="4" w:color="auto"/>
          <w:bottom w:val="single" w:sz="4" w:space="1" w:color="auto"/>
          <w:right w:val="single" w:sz="4" w:space="4" w:color="auto"/>
        </w:pBdr>
        <w:spacing w:after="120"/>
        <w:jc w:val="both"/>
        <w:rPr>
          <w:rFonts w:ascii="Times New Roman" w:eastAsia="Calibri" w:hAnsi="Times New Roman" w:cs="Times New Roman"/>
          <w:noProof/>
        </w:rPr>
      </w:pPr>
      <w:r>
        <w:rPr>
          <w:rFonts w:ascii="Times New Roman" w:hAnsi="Times New Roman"/>
          <w:b/>
          <w:bCs/>
          <w:i/>
          <w:iCs/>
          <w:noProof/>
          <w:sz w:val="24"/>
          <w:szCs w:val="24"/>
        </w:rPr>
        <w:t>Действия за мрежите:</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b/>
          <w:bCs/>
          <w:noProof/>
        </w:rPr>
        <w:t>Европейска мрежа за съдебно обучение (EJTN)</w:t>
      </w:r>
      <w:r>
        <w:rPr>
          <w:noProof/>
        </w:rPr>
        <w:t> — създаване на мрежа на всички доставчици на обучение за съдебния персонал за обмен на опит и най-добри практики</w:t>
      </w:r>
      <w:r>
        <w:rPr>
          <w:rStyle w:val="FootnoteReference"/>
          <w:rFonts w:eastAsia="Calibri"/>
          <w:noProof/>
        </w:rPr>
        <w:footnoteReference w:id="34"/>
      </w:r>
      <w:r>
        <w:rPr>
          <w:noProof/>
        </w:rPr>
        <w:t>;</w:t>
      </w:r>
    </w:p>
    <w:p>
      <w:pPr>
        <w:pStyle w:val="ListBullet2"/>
        <w:pBdr>
          <w:top w:val="single" w:sz="4" w:space="1" w:color="auto"/>
          <w:left w:val="single" w:sz="4" w:space="4" w:color="auto"/>
          <w:bottom w:val="single" w:sz="4" w:space="1" w:color="auto"/>
          <w:right w:val="single" w:sz="4" w:space="4" w:color="auto"/>
        </w:pBdr>
        <w:spacing w:after="120" w:line="276" w:lineRule="auto"/>
        <w:rPr>
          <w:noProof/>
        </w:rPr>
      </w:pPr>
      <w:r>
        <w:rPr>
          <w:b/>
          <w:bCs/>
          <w:noProof/>
        </w:rPr>
        <w:t>Европейска мрежа от академии за обучение в затворите (EPTA)</w:t>
      </w:r>
      <w:r>
        <w:rPr>
          <w:noProof/>
        </w:rPr>
        <w:t> — приобщаване на всички държави членки</w:t>
      </w:r>
      <w:r>
        <w:rPr>
          <w:rStyle w:val="FootnoteReference"/>
          <w:noProof/>
          <w:lang w:eastAsia="en-GB"/>
        </w:rPr>
        <w:footnoteReference w:id="35"/>
      </w:r>
      <w:r>
        <w:rPr>
          <w:noProof/>
        </w:rPr>
        <w:t>, преглед на свързаните с правото на ЕС потребности от обучение и формулиране на адекватен отговор;</w:t>
      </w:r>
    </w:p>
    <w:p>
      <w:pPr>
        <w:pStyle w:val="ListBullet2"/>
        <w:pBdr>
          <w:top w:val="single" w:sz="4" w:space="1" w:color="auto"/>
          <w:left w:val="single" w:sz="4" w:space="4" w:color="auto"/>
          <w:bottom w:val="single" w:sz="4" w:space="1" w:color="auto"/>
          <w:right w:val="single" w:sz="4" w:space="4" w:color="auto"/>
        </w:pBdr>
        <w:spacing w:after="120" w:line="276" w:lineRule="auto"/>
        <w:rPr>
          <w:noProof/>
        </w:rPr>
      </w:pPr>
      <w:r>
        <w:rPr>
          <w:b/>
          <w:bCs/>
          <w:noProof/>
        </w:rPr>
        <w:t>Европейска организация за пробация (CEP)</w:t>
      </w:r>
      <w:r>
        <w:rPr>
          <w:noProof/>
        </w:rPr>
        <w:t> — по-нататъшна работа за провеждане на обучение.</w:t>
      </w:r>
    </w:p>
    <w:bookmarkEnd w:id="2"/>
    <w:p>
      <w:pPr>
        <w:pStyle w:val="Heading1"/>
        <w:numPr>
          <w:ilvl w:val="0"/>
          <w:numId w:val="69"/>
        </w:numPr>
        <w:spacing w:before="200" w:after="200"/>
        <w:rPr>
          <w:noProof/>
        </w:rPr>
      </w:pPr>
      <w:r>
        <w:rPr>
          <w:noProof/>
        </w:rPr>
        <w:t>Насърчаване на висококачествени и ефективни дейности за обучение</w:t>
      </w:r>
    </w:p>
    <w:p>
      <w:pPr>
        <w:jc w:val="both"/>
        <w:rPr>
          <w:rFonts w:ascii="Times New Roman" w:eastAsia="Calibri" w:hAnsi="Times New Roman" w:cs="Times New Roman"/>
          <w:noProof/>
          <w:color w:val="000000" w:themeColor="text1"/>
          <w:sz w:val="24"/>
          <w:szCs w:val="24"/>
        </w:rPr>
      </w:pPr>
      <w:r>
        <w:rPr>
          <w:rFonts w:ascii="Times New Roman" w:hAnsi="Times New Roman"/>
          <w:noProof/>
          <w:sz w:val="24"/>
          <w:szCs w:val="24"/>
        </w:rPr>
        <w:t xml:space="preserve">Провеждането на съдебно обучение не е самоцел. Също така е от жизненоважно значение обучението да е достатъчно </w:t>
      </w:r>
      <w:r>
        <w:rPr>
          <w:rFonts w:ascii="Times New Roman" w:hAnsi="Times New Roman"/>
          <w:b/>
          <w:bCs/>
          <w:noProof/>
          <w:sz w:val="24"/>
          <w:szCs w:val="24"/>
        </w:rPr>
        <w:t>висококачествено</w:t>
      </w:r>
      <w:r>
        <w:rPr>
          <w:rFonts w:ascii="Times New Roman" w:hAnsi="Times New Roman"/>
          <w:noProof/>
          <w:sz w:val="24"/>
          <w:szCs w:val="24"/>
        </w:rPr>
        <w:t xml:space="preserve">, за да постигне своите цели. Добрата методология е от съществено значение, от замисъла до изпълнението и оценката. </w:t>
      </w:r>
      <w:r>
        <w:rPr>
          <w:rFonts w:ascii="Times New Roman" w:hAnsi="Times New Roman"/>
          <w:noProof/>
          <w:color w:val="000000" w:themeColor="text1"/>
          <w:sz w:val="24"/>
          <w:szCs w:val="24"/>
        </w:rPr>
        <w:t xml:space="preserve">За предоставяне на гъвкав отговор на ежедневните предизвикателства на практикуващите в областта на правосъдието, доставчиците на обучение трябва постоянно да следят </w:t>
      </w:r>
      <w:r>
        <w:rPr>
          <w:rFonts w:ascii="Times New Roman" w:hAnsi="Times New Roman"/>
          <w:b/>
          <w:bCs/>
          <w:noProof/>
          <w:color w:val="000000" w:themeColor="text1"/>
          <w:sz w:val="24"/>
          <w:szCs w:val="24"/>
        </w:rPr>
        <w:t>нуждите от обучение</w:t>
      </w:r>
      <w:r>
        <w:rPr>
          <w:rFonts w:ascii="Times New Roman" w:hAnsi="Times New Roman"/>
          <w:noProof/>
          <w:color w:val="000000" w:themeColor="text1"/>
          <w:sz w:val="24"/>
          <w:szCs w:val="24"/>
        </w:rPr>
        <w:t xml:space="preserve"> от гледна точка както на националните, така и на европейските заинтересовани страни.</w:t>
      </w:r>
      <w:bookmarkStart w:id="3" w:name="_Toc32909997"/>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Практикуващите в областта на правосъдието се нуждаят от предоставяне на </w:t>
      </w:r>
      <w:r>
        <w:rPr>
          <w:rFonts w:ascii="Times New Roman" w:hAnsi="Times New Roman"/>
          <w:b/>
          <w:bCs/>
          <w:noProof/>
          <w:color w:val="000000" w:themeColor="text1"/>
          <w:sz w:val="24"/>
          <w:szCs w:val="24"/>
        </w:rPr>
        <w:t>различни форми на обучение</w:t>
      </w:r>
      <w:r>
        <w:rPr>
          <w:rFonts w:ascii="Times New Roman" w:hAnsi="Times New Roman"/>
          <w:noProof/>
          <w:color w:val="000000" w:themeColor="text1"/>
          <w:sz w:val="24"/>
          <w:szCs w:val="24"/>
        </w:rPr>
        <w:t xml:space="preserve">: рефлективни, концептуални, експериментални и конкретни. Тяхното обучение следва да включва комбинация от </w:t>
      </w:r>
      <w:r>
        <w:rPr>
          <w:rFonts w:ascii="Times New Roman" w:hAnsi="Times New Roman"/>
          <w:b/>
          <w:bCs/>
          <w:noProof/>
          <w:color w:val="000000" w:themeColor="text1"/>
          <w:sz w:val="24"/>
          <w:szCs w:val="24"/>
        </w:rPr>
        <w:t>присъствени</w:t>
      </w:r>
      <w:r>
        <w:rPr>
          <w:rFonts w:ascii="Times New Roman" w:hAnsi="Times New Roman"/>
          <w:noProof/>
          <w:color w:val="000000" w:themeColor="text1"/>
          <w:sz w:val="24"/>
          <w:szCs w:val="24"/>
        </w:rPr>
        <w:t xml:space="preserve"> дейности по местоживеене, </w:t>
      </w:r>
      <w:r>
        <w:rPr>
          <w:rFonts w:ascii="Times New Roman" w:hAnsi="Times New Roman"/>
          <w:bCs/>
          <w:noProof/>
          <w:color w:val="000000" w:themeColor="text1"/>
          <w:sz w:val="24"/>
          <w:szCs w:val="24"/>
        </w:rPr>
        <w:t xml:space="preserve">инструменти за </w:t>
      </w:r>
      <w:r>
        <w:rPr>
          <w:rFonts w:ascii="Times New Roman" w:hAnsi="Times New Roman"/>
          <w:b/>
          <w:bCs/>
          <w:noProof/>
          <w:color w:val="000000" w:themeColor="text1"/>
          <w:sz w:val="24"/>
          <w:szCs w:val="24"/>
        </w:rPr>
        <w:t>електронно обучение</w:t>
      </w:r>
      <w:r>
        <w:rPr>
          <w:rFonts w:ascii="Times New Roman" w:hAnsi="Times New Roman"/>
          <w:noProof/>
          <w:color w:val="000000" w:themeColor="text1"/>
          <w:sz w:val="24"/>
          <w:szCs w:val="24"/>
        </w:rPr>
        <w:t xml:space="preserve"> </w:t>
      </w:r>
      <w:r>
        <w:rPr>
          <w:rFonts w:ascii="Times New Roman" w:hAnsi="Times New Roman"/>
          <w:bCs/>
          <w:noProof/>
          <w:color w:val="000000" w:themeColor="text1"/>
          <w:sz w:val="24"/>
          <w:szCs w:val="24"/>
        </w:rPr>
        <w:t>и обучение</w:t>
      </w:r>
      <w:r>
        <w:rPr>
          <w:rFonts w:ascii="Times New Roman" w:hAnsi="Times New Roman"/>
          <w:b/>
          <w:bCs/>
          <w:noProof/>
          <w:color w:val="000000" w:themeColor="text1"/>
          <w:sz w:val="24"/>
          <w:szCs w:val="24"/>
        </w:rPr>
        <w:t xml:space="preserve"> на работното</w:t>
      </w:r>
      <w:r>
        <w:rPr>
          <w:rFonts w:ascii="Times New Roman" w:hAnsi="Times New Roman"/>
          <w:noProof/>
          <w:color w:val="000000" w:themeColor="text1"/>
          <w:sz w:val="24"/>
          <w:szCs w:val="24"/>
        </w:rPr>
        <w:t xml:space="preserve"> </w:t>
      </w:r>
      <w:r>
        <w:rPr>
          <w:rFonts w:ascii="Times New Roman" w:hAnsi="Times New Roman"/>
          <w:b/>
          <w:bCs/>
          <w:noProof/>
          <w:color w:val="000000" w:themeColor="text1"/>
          <w:sz w:val="24"/>
          <w:szCs w:val="24"/>
        </w:rPr>
        <w:t>място</w:t>
      </w:r>
      <w:r>
        <w:rPr>
          <w:rFonts w:ascii="Times New Roman" w:hAnsi="Times New Roman"/>
          <w:noProof/>
          <w:color w:val="000000" w:themeColor="text1"/>
          <w:sz w:val="24"/>
          <w:szCs w:val="24"/>
        </w:rPr>
        <w:t xml:space="preserve">. Дейностите по присъствено обучение („лице в лице“, включително трансграничното обучение) са от съществено значение за развиване на умения и нагласи и за изграждане на взаимно доверие посредством свободни дискусии в атмосфера на доверие и уважение. Те следва да се възобновят незабавно, щом условията по отношение на санитарните изисквания го позволят. Обучението на равнището на ЕС също следва да подпомогне новите пилотни подходи, като </w:t>
      </w:r>
      <w:r>
        <w:rPr>
          <w:rFonts w:ascii="Times New Roman" w:hAnsi="Times New Roman"/>
          <w:b/>
          <w:bCs/>
          <w:noProof/>
          <w:color w:val="000000" w:themeColor="text1"/>
          <w:sz w:val="24"/>
          <w:szCs w:val="24"/>
        </w:rPr>
        <w:t>хибридни</w:t>
      </w:r>
      <w:r>
        <w:rPr>
          <w:rFonts w:ascii="Times New Roman" w:hAnsi="Times New Roman"/>
          <w:noProof/>
          <w:color w:val="000000" w:themeColor="text1"/>
          <w:sz w:val="24"/>
          <w:szCs w:val="24"/>
        </w:rPr>
        <w:t xml:space="preserve"> формати (комбиниращи присъствени и онлайн форми на обучение) и присъствено </w:t>
      </w:r>
      <w:r>
        <w:rPr>
          <w:rFonts w:ascii="Times New Roman" w:hAnsi="Times New Roman"/>
          <w:b/>
          <w:bCs/>
          <w:noProof/>
          <w:color w:val="000000" w:themeColor="text1"/>
          <w:sz w:val="24"/>
          <w:szCs w:val="24"/>
        </w:rPr>
        <w:t>междусекторно</w:t>
      </w:r>
      <w:r>
        <w:rPr>
          <w:rFonts w:ascii="Times New Roman" w:hAnsi="Times New Roman"/>
          <w:noProof/>
          <w:color w:val="000000" w:themeColor="text1"/>
          <w:sz w:val="24"/>
          <w:szCs w:val="24"/>
        </w:rPr>
        <w:t xml:space="preserve"> </w:t>
      </w:r>
      <w:r>
        <w:rPr>
          <w:rFonts w:ascii="Times New Roman" w:hAnsi="Times New Roman"/>
          <w:b/>
          <w:bCs/>
          <w:noProof/>
          <w:color w:val="000000" w:themeColor="text1"/>
          <w:sz w:val="24"/>
          <w:szCs w:val="24"/>
        </w:rPr>
        <w:t>професионално</w:t>
      </w:r>
      <w:r>
        <w:rPr>
          <w:rFonts w:ascii="Times New Roman" w:hAnsi="Times New Roman"/>
          <w:noProof/>
          <w:color w:val="000000" w:themeColor="text1"/>
          <w:sz w:val="24"/>
          <w:szCs w:val="24"/>
        </w:rPr>
        <w:t xml:space="preserve"> обучение по теми от конкретно значение. </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Следва да се използват </w:t>
      </w:r>
      <w:r>
        <w:rPr>
          <w:rFonts w:ascii="Times New Roman" w:hAnsi="Times New Roman"/>
          <w:b/>
          <w:bCs/>
          <w:noProof/>
          <w:color w:val="000000" w:themeColor="text1"/>
          <w:sz w:val="24"/>
          <w:szCs w:val="24"/>
        </w:rPr>
        <w:t>разнообразни</w:t>
      </w:r>
      <w:r>
        <w:rPr>
          <w:rFonts w:ascii="Times New Roman" w:hAnsi="Times New Roman"/>
          <w:noProof/>
          <w:color w:val="000000" w:themeColor="text1"/>
          <w:sz w:val="24"/>
          <w:szCs w:val="24"/>
        </w:rPr>
        <w:t xml:space="preserve">, </w:t>
      </w:r>
      <w:r>
        <w:rPr>
          <w:rFonts w:ascii="Times New Roman" w:hAnsi="Times New Roman"/>
          <w:b/>
          <w:bCs/>
          <w:noProof/>
          <w:color w:val="000000" w:themeColor="text1"/>
          <w:sz w:val="24"/>
          <w:szCs w:val="24"/>
        </w:rPr>
        <w:t>достъпни</w:t>
      </w:r>
      <w:r>
        <w:rPr>
          <w:rFonts w:ascii="Times New Roman" w:hAnsi="Times New Roman"/>
          <w:noProof/>
          <w:color w:val="000000" w:themeColor="text1"/>
          <w:sz w:val="24"/>
          <w:szCs w:val="24"/>
        </w:rPr>
        <w:t xml:space="preserve"> инструменти и формати за обучение с цел адаптиране към присъствието и разнообразието на обучаващите се. При обучението следва да се използват по-пълноценно</w:t>
      </w:r>
      <w:r>
        <w:rPr>
          <w:rFonts w:ascii="Times New Roman" w:hAnsi="Times New Roman"/>
          <w:b/>
          <w:bCs/>
          <w:noProof/>
          <w:color w:val="000000" w:themeColor="text1"/>
          <w:sz w:val="24"/>
          <w:szCs w:val="24"/>
        </w:rPr>
        <w:t xml:space="preserve"> новите технологии</w:t>
      </w:r>
      <w:r>
        <w:rPr>
          <w:rStyle w:val="FootnoteReference"/>
          <w:rFonts w:ascii="Times New Roman" w:eastAsia="Calibri" w:hAnsi="Times New Roman" w:cs="Times New Roman"/>
          <w:noProof/>
          <w:color w:val="000000" w:themeColor="text1"/>
          <w:sz w:val="24"/>
          <w:szCs w:val="24"/>
        </w:rPr>
        <w:footnoteReference w:id="36"/>
      </w:r>
      <w:r>
        <w:rPr>
          <w:rFonts w:ascii="Times New Roman" w:hAnsi="Times New Roman"/>
          <w:noProof/>
          <w:color w:val="000000" w:themeColor="text1"/>
          <w:sz w:val="24"/>
          <w:szCs w:val="24"/>
        </w:rPr>
        <w:t>, за да се достигне до по-широка аудитория и да се подпомогне качеството на обучението. Тази необходимост се засилва от продължаващата пандемия и преминаването от присъствени дейности към онлайн обучение.</w:t>
      </w:r>
    </w:p>
    <w:p>
      <w:pPr>
        <w:jc w:val="both"/>
        <w:rPr>
          <w:rFonts w:ascii="Times New Roman" w:eastAsia="Calibri" w:hAnsi="Times New Roman" w:cs="Times New Roman"/>
          <w:noProof/>
          <w:color w:val="000000" w:themeColor="text1"/>
          <w:sz w:val="24"/>
          <w:szCs w:val="24"/>
        </w:rPr>
      </w:pPr>
      <w:r>
        <w:rPr>
          <w:rFonts w:ascii="Times New Roman" w:hAnsi="Times New Roman"/>
          <w:b/>
          <w:bCs/>
          <w:noProof/>
          <w:color w:val="000000" w:themeColor="text1"/>
          <w:sz w:val="24"/>
          <w:szCs w:val="24"/>
        </w:rPr>
        <w:t>Електронното обучение</w:t>
      </w:r>
      <w:r>
        <w:rPr>
          <w:rFonts w:ascii="Times New Roman" w:hAnsi="Times New Roman"/>
          <w:noProof/>
          <w:color w:val="000000" w:themeColor="text1"/>
          <w:sz w:val="24"/>
          <w:szCs w:val="24"/>
        </w:rPr>
        <w:t xml:space="preserve"> с най-високо качество </w:t>
      </w:r>
      <w:r>
        <w:rPr>
          <w:rFonts w:ascii="Times New Roman" w:hAnsi="Times New Roman"/>
          <w:noProof/>
          <w:sz w:val="24"/>
          <w:szCs w:val="24"/>
        </w:rPr>
        <w:t xml:space="preserve">и достъпът до </w:t>
      </w:r>
      <w:r>
        <w:rPr>
          <w:rFonts w:ascii="Times New Roman" w:hAnsi="Times New Roman"/>
          <w:b/>
          <w:bCs/>
          <w:noProof/>
          <w:sz w:val="24"/>
          <w:szCs w:val="24"/>
        </w:rPr>
        <w:t>електронни ресурси</w:t>
      </w:r>
      <w:r>
        <w:rPr>
          <w:rFonts w:ascii="Times New Roman" w:hAnsi="Times New Roman"/>
          <w:noProof/>
          <w:sz w:val="24"/>
          <w:szCs w:val="24"/>
        </w:rPr>
        <w:t xml:space="preserve"> по правото на Съюза следва да станат реалност за всички професионалисти в тази област. Те следва да допълват и умножават предимствата на присъствените дейности с актуални материали и инструменти за самостоятелно обучение, за да се постигне възможно най-голяма полза от използването на електронното правосъдие.</w:t>
      </w:r>
      <w:bookmarkStart w:id="4" w:name="_Toc32910002"/>
      <w:bookmarkEnd w:id="3"/>
    </w:p>
    <w:p>
      <w:pPr>
        <w:jc w:val="both"/>
        <w:rPr>
          <w:rFonts w:ascii="Times New Roman" w:hAnsi="Times New Roman" w:cs="Times New Roman"/>
          <w:noProof/>
        </w:rPr>
      </w:pPr>
      <w:r>
        <w:rPr>
          <w:rFonts w:ascii="Times New Roman" w:hAnsi="Times New Roman"/>
          <w:noProof/>
          <w:color w:val="000000" w:themeColor="text1"/>
          <w:sz w:val="24"/>
          <w:szCs w:val="24"/>
        </w:rPr>
        <w:t xml:space="preserve">Дейностите на национално равнище не могат да окажат същото въздействие като </w:t>
      </w:r>
      <w:r>
        <w:rPr>
          <w:rFonts w:ascii="Times New Roman" w:hAnsi="Times New Roman"/>
          <w:b/>
          <w:bCs/>
          <w:noProof/>
          <w:color w:val="000000" w:themeColor="text1"/>
          <w:sz w:val="24"/>
          <w:szCs w:val="24"/>
        </w:rPr>
        <w:t>трансграничните дейности</w:t>
      </w:r>
      <w:r>
        <w:rPr>
          <w:rFonts w:ascii="Times New Roman" w:hAnsi="Times New Roman"/>
          <w:noProof/>
          <w:color w:val="000000" w:themeColor="text1"/>
          <w:sz w:val="24"/>
          <w:szCs w:val="24"/>
        </w:rPr>
        <w:t>. Общият и специализираният трансграничен обмен на съдии, прокурори и председатели на съдилища остават приоритет. Те укрепват общата европейска съдебна култура, изграждат доверие и насърчават еднаквото прилагане на правото на Съюза. Обменът следва да донесе осезаема добавена стойност за участниците и да окаже мултиплициращ ефект в професионалната среда.</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Цялото обучение следва да покаже, че е постигнало целите си. </w:t>
      </w:r>
      <w:r>
        <w:rPr>
          <w:rFonts w:ascii="Times New Roman" w:hAnsi="Times New Roman"/>
          <w:b/>
          <w:bCs/>
          <w:noProof/>
          <w:color w:val="000000" w:themeColor="text1"/>
          <w:sz w:val="24"/>
          <w:szCs w:val="24"/>
        </w:rPr>
        <w:t>Оценката</w:t>
      </w:r>
      <w:r>
        <w:rPr>
          <w:rFonts w:ascii="Times New Roman" w:hAnsi="Times New Roman"/>
          <w:noProof/>
          <w:color w:val="000000" w:themeColor="text1"/>
          <w:sz w:val="24"/>
          <w:szCs w:val="24"/>
        </w:rPr>
        <w:t xml:space="preserve"> следва да включва придобиването на знания и умения, промени в нагласите и въздействия върху професионалните резултати в допълнение към нивото на удовлетворение на обучаващите се</w:t>
      </w:r>
      <w:r>
        <w:rPr>
          <w:rStyle w:val="FootnoteReference"/>
          <w:rFonts w:ascii="Times New Roman" w:eastAsia="Calibri" w:hAnsi="Times New Roman" w:cs="Times New Roman"/>
          <w:noProof/>
          <w:color w:val="000000" w:themeColor="text1"/>
          <w:sz w:val="24"/>
          <w:szCs w:val="24"/>
        </w:rPr>
        <w:footnoteReference w:id="37"/>
      </w:r>
      <w:r>
        <w:rPr>
          <w:rFonts w:ascii="Times New Roman" w:hAnsi="Times New Roman"/>
          <w:noProof/>
          <w:color w:val="000000" w:themeColor="text1"/>
          <w:sz w:val="24"/>
          <w:szCs w:val="24"/>
        </w:rPr>
        <w:t>.</w:t>
      </w:r>
    </w:p>
    <w:bookmarkEnd w:id="4"/>
    <w:p>
      <w:pPr>
        <w:pBdr>
          <w:top w:val="single" w:sz="4" w:space="1" w:color="auto"/>
          <w:left w:val="single" w:sz="4" w:space="4" w:color="auto"/>
          <w:bottom w:val="single" w:sz="4" w:space="11" w:color="auto"/>
          <w:right w:val="single" w:sz="4" w:space="4" w:color="auto"/>
        </w:pBdr>
        <w:spacing w:after="120"/>
        <w:jc w:val="both"/>
        <w:rPr>
          <w:rFonts w:ascii="Times New Roman" w:hAnsi="Times New Roman" w:cs="Times New Roman"/>
          <w:noProof/>
          <w:sz w:val="24"/>
          <w:szCs w:val="24"/>
        </w:rPr>
      </w:pPr>
      <w:r>
        <w:rPr>
          <w:rFonts w:ascii="Times New Roman" w:hAnsi="Times New Roman"/>
          <w:b/>
          <w:bCs/>
          <w:i/>
          <w:iCs/>
          <w:noProof/>
          <w:sz w:val="24"/>
          <w:szCs w:val="24"/>
        </w:rPr>
        <w:t>Действия за доставчиците на обучение:</w:t>
      </w:r>
    </w:p>
    <w:p>
      <w:pPr>
        <w:pStyle w:val="ListBullet2"/>
        <w:pBdr>
          <w:top w:val="single" w:sz="4" w:space="1" w:color="auto"/>
          <w:left w:val="single" w:sz="4" w:space="4" w:color="auto"/>
          <w:bottom w:val="single" w:sz="4" w:space="11" w:color="auto"/>
          <w:right w:val="single" w:sz="4" w:space="4" w:color="auto"/>
        </w:pBdr>
        <w:spacing w:after="120" w:line="276" w:lineRule="auto"/>
        <w:rPr>
          <w:noProof/>
        </w:rPr>
      </w:pPr>
      <w:r>
        <w:rPr>
          <w:noProof/>
        </w:rPr>
        <w:t xml:space="preserve">по-внимателно следване на </w:t>
      </w:r>
      <w:r>
        <w:rPr>
          <w:b/>
          <w:bCs/>
          <w:noProof/>
        </w:rPr>
        <w:t>препоръките</w:t>
      </w:r>
      <w:r>
        <w:rPr>
          <w:noProof/>
        </w:rPr>
        <w:t xml:space="preserve"> в </w:t>
      </w:r>
      <w:r>
        <w:rPr>
          <w:i/>
          <w:iCs/>
          <w:noProof/>
        </w:rPr>
        <w:t>„Съвети за доставчици на обучение“</w:t>
      </w:r>
      <w:r>
        <w:rPr>
          <w:rStyle w:val="FootnoteReference"/>
          <w:noProof/>
        </w:rPr>
        <w:footnoteReference w:id="38"/>
      </w:r>
      <w:r>
        <w:rPr>
          <w:noProof/>
        </w:rPr>
        <w:t xml:space="preserve"> и </w:t>
      </w:r>
      <w:r>
        <w:rPr>
          <w:i/>
          <w:iCs/>
          <w:noProof/>
        </w:rPr>
        <w:t>„Наръчник по методология на съдебното обучение в Европа“ на Европейската мрежа за съдебно обучение</w:t>
      </w:r>
      <w:r>
        <w:rPr>
          <w:rStyle w:val="FootnoteReference"/>
          <w:rFonts w:eastAsia="Calibri"/>
          <w:noProof/>
          <w:color w:val="000000" w:themeColor="text1"/>
        </w:rPr>
        <w:footnoteReference w:id="39"/>
      </w:r>
      <w:r>
        <w:rPr>
          <w:noProof/>
        </w:rPr>
        <w:t>;</w:t>
      </w:r>
    </w:p>
    <w:p>
      <w:pPr>
        <w:pStyle w:val="ListBullet2"/>
        <w:pBdr>
          <w:top w:val="single" w:sz="4" w:space="1" w:color="auto"/>
          <w:left w:val="single" w:sz="4" w:space="4" w:color="auto"/>
          <w:bottom w:val="single" w:sz="4" w:space="11" w:color="auto"/>
          <w:right w:val="single" w:sz="4" w:space="4" w:color="auto"/>
        </w:pBdr>
        <w:spacing w:after="120" w:line="276" w:lineRule="auto"/>
        <w:rPr>
          <w:rFonts w:eastAsia="Calibri"/>
          <w:noProof/>
        </w:rPr>
      </w:pPr>
      <w:r>
        <w:rPr>
          <w:noProof/>
        </w:rPr>
        <w:t xml:space="preserve">организиране на ежегодни </w:t>
      </w:r>
      <w:r>
        <w:rPr>
          <w:b/>
          <w:bCs/>
          <w:noProof/>
        </w:rPr>
        <w:t>трансгранични дейности за обучение</w:t>
      </w:r>
      <w:r>
        <w:rPr>
          <w:noProof/>
        </w:rPr>
        <w:t xml:space="preserve"> поне за 5 % от състава на всички съдии и прокурори; насърчаване на присъствието на нови участници;</w:t>
      </w:r>
    </w:p>
    <w:p>
      <w:pPr>
        <w:pStyle w:val="ListBullet2"/>
        <w:pBdr>
          <w:top w:val="single" w:sz="4" w:space="1" w:color="auto"/>
          <w:left w:val="single" w:sz="4" w:space="4" w:color="auto"/>
          <w:bottom w:val="single" w:sz="4" w:space="11" w:color="auto"/>
          <w:right w:val="single" w:sz="4" w:space="4" w:color="auto"/>
        </w:pBdr>
        <w:spacing w:after="120" w:line="276" w:lineRule="auto"/>
        <w:rPr>
          <w:rFonts w:eastAsia="Calibri"/>
          <w:noProof/>
          <w:color w:val="000000" w:themeColor="text1"/>
        </w:rPr>
      </w:pPr>
      <w:r>
        <w:rPr>
          <w:noProof/>
          <w:color w:val="000000" w:themeColor="text1"/>
        </w:rPr>
        <w:t xml:space="preserve">предлагане на интерактивно, практично и достъпно за всички обучаващи се </w:t>
      </w:r>
      <w:r>
        <w:rPr>
          <w:b/>
          <w:bCs/>
          <w:noProof/>
          <w:color w:val="000000" w:themeColor="text1"/>
        </w:rPr>
        <w:t>електронно обучение</w:t>
      </w:r>
      <w:r>
        <w:rPr>
          <w:noProof/>
          <w:color w:val="000000" w:themeColor="text1"/>
        </w:rPr>
        <w:t>, което е точно съобразено с целите на обучението;</w:t>
      </w:r>
    </w:p>
    <w:p>
      <w:pPr>
        <w:pStyle w:val="ListBullet2"/>
        <w:pBdr>
          <w:top w:val="single" w:sz="4" w:space="1" w:color="auto"/>
          <w:left w:val="single" w:sz="4" w:space="4" w:color="auto"/>
          <w:bottom w:val="single" w:sz="4" w:space="11" w:color="auto"/>
          <w:right w:val="single" w:sz="4" w:space="4" w:color="auto"/>
        </w:pBdr>
        <w:spacing w:after="120" w:line="276" w:lineRule="auto"/>
        <w:rPr>
          <w:rFonts w:eastAsia="Calibri"/>
          <w:noProof/>
          <w:color w:val="000000" w:themeColor="text1"/>
        </w:rPr>
      </w:pPr>
      <w:r>
        <w:rPr>
          <w:noProof/>
          <w:color w:val="000000" w:themeColor="text1"/>
        </w:rPr>
        <w:t xml:space="preserve">по-нататъшно проучване на потенциала на </w:t>
      </w:r>
      <w:r>
        <w:rPr>
          <w:b/>
          <w:bCs/>
          <w:noProof/>
          <w:color w:val="000000" w:themeColor="text1"/>
        </w:rPr>
        <w:t>съвременните техники</w:t>
      </w:r>
      <w:r>
        <w:rPr>
          <w:noProof/>
          <w:color w:val="000000" w:themeColor="text1"/>
        </w:rPr>
        <w:t>, като виртуално присъствено обучение и решения относно разширената реалност;</w:t>
      </w:r>
    </w:p>
    <w:p>
      <w:pPr>
        <w:pStyle w:val="ListBullet2"/>
        <w:pBdr>
          <w:top w:val="single" w:sz="4" w:space="1" w:color="auto"/>
          <w:left w:val="single" w:sz="4" w:space="4" w:color="auto"/>
          <w:bottom w:val="single" w:sz="4" w:space="11" w:color="auto"/>
          <w:right w:val="single" w:sz="4" w:space="4" w:color="auto"/>
        </w:pBdr>
        <w:spacing w:after="120" w:line="276" w:lineRule="auto"/>
        <w:rPr>
          <w:rFonts w:eastAsia="Calibri"/>
          <w:noProof/>
        </w:rPr>
      </w:pPr>
      <w:r>
        <w:rPr>
          <w:noProof/>
          <w:color w:val="000000" w:themeColor="text1"/>
        </w:rPr>
        <w:t xml:space="preserve">повишено използване на </w:t>
      </w:r>
      <w:r>
        <w:rPr>
          <w:b/>
          <w:bCs/>
          <w:noProof/>
          <w:color w:val="000000" w:themeColor="text1"/>
        </w:rPr>
        <w:t>електронно обучение</w:t>
      </w:r>
      <w:r>
        <w:rPr>
          <w:noProof/>
          <w:color w:val="000000" w:themeColor="text1"/>
        </w:rPr>
        <w:t xml:space="preserve"> в </w:t>
      </w:r>
      <w:r>
        <w:rPr>
          <w:b/>
          <w:bCs/>
          <w:noProof/>
          <w:color w:val="000000" w:themeColor="text1"/>
        </w:rPr>
        <w:t>„капсулован“ вид</w:t>
      </w:r>
      <w:r>
        <w:rPr>
          <w:noProof/>
          <w:color w:val="000000" w:themeColor="text1"/>
        </w:rPr>
        <w:t xml:space="preserve"> (кратко, осъвременено, с конкретна насоченост) в отговор на непосредствените нужди на специалистите в областта на правосъдието в контекста на конкретния случай;</w:t>
      </w:r>
    </w:p>
    <w:p>
      <w:pPr>
        <w:pStyle w:val="ListBullet2"/>
        <w:pBdr>
          <w:top w:val="single" w:sz="4" w:space="1" w:color="auto"/>
          <w:left w:val="single" w:sz="4" w:space="4" w:color="auto"/>
          <w:bottom w:val="single" w:sz="4" w:space="11" w:color="auto"/>
          <w:right w:val="single" w:sz="4" w:space="4" w:color="auto"/>
        </w:pBdr>
        <w:spacing w:after="120" w:line="276" w:lineRule="auto"/>
        <w:rPr>
          <w:rFonts w:eastAsia="Calibri"/>
          <w:noProof/>
        </w:rPr>
      </w:pPr>
      <w:r>
        <w:rPr>
          <w:noProof/>
          <w:color w:val="000000" w:themeColor="text1"/>
        </w:rPr>
        <w:t xml:space="preserve">гарантиране, че </w:t>
      </w:r>
      <w:r>
        <w:rPr>
          <w:b/>
          <w:bCs/>
          <w:noProof/>
          <w:color w:val="000000" w:themeColor="text1"/>
        </w:rPr>
        <w:t>обучителите</w:t>
      </w:r>
      <w:r>
        <w:rPr>
          <w:noProof/>
          <w:color w:val="000000" w:themeColor="text1"/>
        </w:rPr>
        <w:t xml:space="preserve"> </w:t>
      </w:r>
      <w:r>
        <w:rPr>
          <w:b/>
          <w:bCs/>
          <w:noProof/>
          <w:color w:val="000000" w:themeColor="text1"/>
        </w:rPr>
        <w:t>са подготвени</w:t>
      </w:r>
      <w:r>
        <w:rPr>
          <w:noProof/>
          <w:color w:val="000000" w:themeColor="text1"/>
        </w:rPr>
        <w:t xml:space="preserve"> да използват пълния потенциал на методологиите на електронното обучение;</w:t>
      </w:r>
    </w:p>
    <w:p>
      <w:pPr>
        <w:pStyle w:val="ListBullet2"/>
        <w:pBdr>
          <w:top w:val="single" w:sz="4" w:space="1" w:color="auto"/>
          <w:left w:val="single" w:sz="4" w:space="4" w:color="auto"/>
          <w:bottom w:val="single" w:sz="4" w:space="11" w:color="auto"/>
          <w:right w:val="single" w:sz="4" w:space="4" w:color="auto"/>
        </w:pBdr>
        <w:spacing w:after="120" w:line="276" w:lineRule="auto"/>
        <w:rPr>
          <w:rFonts w:eastAsia="Calibri"/>
          <w:noProof/>
        </w:rPr>
      </w:pPr>
      <w:r>
        <w:rPr>
          <w:b/>
          <w:bCs/>
          <w:noProof/>
        </w:rPr>
        <w:t>оценяване</w:t>
      </w:r>
      <w:r>
        <w:rPr>
          <w:noProof/>
        </w:rPr>
        <w:t xml:space="preserve"> на всяка дейност за обучение въз основа на удовлетвореността на участниците, повишаването на компетентността и, когато е приложимо, въздействието върху тяхното представяне.</w:t>
      </w:r>
    </w:p>
    <w:p>
      <w:pPr>
        <w:pBdr>
          <w:top w:val="single" w:sz="4" w:space="1" w:color="auto"/>
          <w:left w:val="single" w:sz="4" w:space="4" w:color="auto"/>
          <w:bottom w:val="single" w:sz="4" w:space="11" w:color="auto"/>
          <w:right w:val="single" w:sz="4" w:space="4" w:color="auto"/>
        </w:pBdr>
        <w:spacing w:after="120"/>
        <w:jc w:val="both"/>
        <w:rPr>
          <w:rFonts w:ascii="Times New Roman" w:hAnsi="Times New Roman" w:cs="Times New Roman"/>
          <w:noProof/>
          <w:sz w:val="24"/>
          <w:szCs w:val="24"/>
        </w:rPr>
      </w:pPr>
      <w:r>
        <w:rPr>
          <w:rFonts w:ascii="Times New Roman" w:hAnsi="Times New Roman"/>
          <w:b/>
          <w:bCs/>
          <w:i/>
          <w:iCs/>
          <w:noProof/>
          <w:sz w:val="24"/>
          <w:szCs w:val="24"/>
        </w:rPr>
        <w:t>Действия за Комисията:</w:t>
      </w:r>
    </w:p>
    <w:p>
      <w:pPr>
        <w:pStyle w:val="ListBullet2"/>
        <w:pBdr>
          <w:top w:val="single" w:sz="4" w:space="1" w:color="auto"/>
          <w:left w:val="single" w:sz="4" w:space="4" w:color="auto"/>
          <w:bottom w:val="single" w:sz="4" w:space="11" w:color="auto"/>
          <w:right w:val="single" w:sz="4" w:space="4" w:color="auto"/>
        </w:pBdr>
        <w:spacing w:after="120" w:line="276" w:lineRule="auto"/>
        <w:rPr>
          <w:rFonts w:eastAsia="Calibri"/>
          <w:noProof/>
        </w:rPr>
      </w:pPr>
      <w:r>
        <w:rPr>
          <w:noProof/>
          <w:color w:val="000000" w:themeColor="text1"/>
        </w:rPr>
        <w:t xml:space="preserve">използване на </w:t>
      </w:r>
      <w:r>
        <w:rPr>
          <w:b/>
          <w:bCs/>
          <w:noProof/>
          <w:color w:val="000000" w:themeColor="text1"/>
        </w:rPr>
        <w:t>общ формуляр за оценка</w:t>
      </w:r>
      <w:r>
        <w:rPr>
          <w:noProof/>
          <w:color w:val="000000" w:themeColor="text1"/>
        </w:rPr>
        <w:t xml:space="preserve"> в подкрепяните от ЕС</w:t>
      </w:r>
      <w:r>
        <w:rPr>
          <w:noProof/>
          <w:color w:val="000000" w:themeColor="text1"/>
          <w:szCs w:val="24"/>
        </w:rPr>
        <w:noBreakHyphen/>
      </w:r>
      <w:r>
        <w:rPr>
          <w:noProof/>
          <w:color w:val="000000" w:themeColor="text1"/>
        </w:rPr>
        <w:t xml:space="preserve"> дейности, когато е възможно;</w:t>
      </w:r>
    </w:p>
    <w:p>
      <w:pPr>
        <w:pStyle w:val="ListBullet2"/>
        <w:pBdr>
          <w:top w:val="single" w:sz="4" w:space="1" w:color="auto"/>
          <w:left w:val="single" w:sz="4" w:space="4" w:color="auto"/>
          <w:bottom w:val="single" w:sz="4" w:space="11" w:color="auto"/>
          <w:right w:val="single" w:sz="4" w:space="4" w:color="auto"/>
        </w:pBdr>
        <w:spacing w:after="120" w:line="276" w:lineRule="auto"/>
        <w:rPr>
          <w:rFonts w:eastAsia="Calibri"/>
          <w:noProof/>
        </w:rPr>
      </w:pPr>
      <w:r>
        <w:rPr>
          <w:noProof/>
        </w:rPr>
        <w:t xml:space="preserve">включване на </w:t>
      </w:r>
      <w:r>
        <w:rPr>
          <w:b/>
          <w:bCs/>
          <w:noProof/>
        </w:rPr>
        <w:t>„Европейска платформа за обучение“</w:t>
      </w:r>
      <w:r>
        <w:rPr>
          <w:b/>
          <w:bCs/>
          <w:noProof/>
          <w:lang w:val="en-GB"/>
        </w:rPr>
        <w:t xml:space="preserve"> </w:t>
      </w:r>
      <w:r>
        <w:rPr>
          <w:noProof/>
        </w:rPr>
        <w:t>в европейския портал за електронно правосъдие</w:t>
      </w:r>
      <w:r>
        <w:rPr>
          <w:rStyle w:val="FootnoteReference"/>
          <w:rFonts w:eastAsia="Calibri"/>
          <w:noProof/>
          <w:color w:val="000000" w:themeColor="text1"/>
        </w:rPr>
        <w:footnoteReference w:id="40"/>
      </w:r>
      <w:r>
        <w:rPr>
          <w:noProof/>
        </w:rPr>
        <w:t xml:space="preserve"> като централен информационен център за дейностите по обучение на специалистите в областта на правосъдието и единна точка за достъп до учебните материали по правото на Съюза за самостоятелно обучение.</w:t>
      </w:r>
    </w:p>
    <w:p>
      <w:pPr>
        <w:pStyle w:val="Heading1"/>
        <w:numPr>
          <w:ilvl w:val="0"/>
          <w:numId w:val="69"/>
        </w:numPr>
        <w:spacing w:before="200" w:after="200"/>
        <w:rPr>
          <w:noProof/>
        </w:rPr>
      </w:pPr>
      <w:bookmarkStart w:id="5" w:name="_Toc32910004"/>
      <w:r>
        <w:rPr>
          <w:noProof/>
        </w:rPr>
        <w:t>Насърчаване на съдебното обучение за млади практикуващи специалисти</w:t>
      </w:r>
    </w:p>
    <w:p>
      <w:pPr>
        <w:jc w:val="both"/>
        <w:rPr>
          <w:rFonts w:ascii="Times New Roman" w:hAnsi="Times New Roman" w:cs="Times New Roman"/>
          <w:noProof/>
        </w:rPr>
      </w:pPr>
      <w:r>
        <w:rPr>
          <w:rFonts w:ascii="Times New Roman" w:hAnsi="Times New Roman"/>
          <w:noProof/>
          <w:sz w:val="24"/>
          <w:szCs w:val="24"/>
        </w:rPr>
        <w:t xml:space="preserve">Младите специалисти в областта на правосъдието следва да получат </w:t>
      </w:r>
      <w:r>
        <w:rPr>
          <w:rFonts w:ascii="Times New Roman" w:hAnsi="Times New Roman"/>
          <w:b/>
          <w:bCs/>
          <w:noProof/>
          <w:sz w:val="24"/>
          <w:szCs w:val="24"/>
        </w:rPr>
        <w:t xml:space="preserve">обучение по правната система и правната култура на ЕС </w:t>
      </w:r>
      <w:r>
        <w:rPr>
          <w:rFonts w:ascii="Times New Roman" w:hAnsi="Times New Roman"/>
          <w:noProof/>
          <w:sz w:val="24"/>
          <w:szCs w:val="24"/>
        </w:rPr>
        <w:t>в хода на първоначалното си обучение</w:t>
      </w:r>
      <w:r>
        <w:rPr>
          <w:rStyle w:val="FootnoteReference"/>
          <w:rFonts w:ascii="Times New Roman" w:hAnsi="Times New Roman" w:cs="Times New Roman"/>
          <w:smallCaps/>
          <w:noProof/>
          <w:sz w:val="24"/>
          <w:szCs w:val="24"/>
        </w:rPr>
        <w:footnoteReference w:id="41"/>
      </w:r>
      <w:r>
        <w:rPr>
          <w:rFonts w:ascii="Times New Roman" w:hAnsi="Times New Roman"/>
          <w:noProof/>
          <w:sz w:val="24"/>
          <w:szCs w:val="24"/>
        </w:rPr>
        <w:t xml:space="preserve">. Това следва да помогне за изграждане на практическото им разбиране за ролята на правото на Съюза в националните правни системи, </w:t>
      </w:r>
      <w:r>
        <w:rPr>
          <w:rFonts w:ascii="Times New Roman" w:hAnsi="Times New Roman"/>
          <w:i/>
          <w:iCs/>
          <w:noProof/>
          <w:sz w:val="24"/>
          <w:szCs w:val="24"/>
        </w:rPr>
        <w:t>достиженията</w:t>
      </w:r>
      <w:r>
        <w:rPr>
          <w:rFonts w:ascii="Times New Roman" w:hAnsi="Times New Roman"/>
          <w:noProof/>
          <w:sz w:val="24"/>
          <w:szCs w:val="24"/>
        </w:rPr>
        <w:t xml:space="preserve"> по отношение на върховенството на закона и за ролята им като европейски специалисти в областта на правосъдието. Следователно при първоначалното обучение (когато то съществува), следва да се отделя достатъчно време на доброкачественото обучение по правото на Съюза, основните права, върховенството на закона, „професията на съдията “ и езиковите умения. Обучението по системните елементи на правото на Съюза</w:t>
      </w:r>
      <w:r>
        <w:rPr>
          <w:rStyle w:val="FootnoteReference"/>
          <w:rFonts w:ascii="Times New Roman" w:hAnsi="Times New Roman" w:cs="Times New Roman"/>
          <w:noProof/>
          <w:sz w:val="24"/>
          <w:szCs w:val="24"/>
        </w:rPr>
        <w:footnoteReference w:id="42"/>
      </w:r>
      <w:r>
        <w:rPr>
          <w:rFonts w:ascii="Times New Roman" w:hAnsi="Times New Roman"/>
          <w:noProof/>
          <w:sz w:val="24"/>
          <w:szCs w:val="24"/>
        </w:rPr>
        <w:t xml:space="preserve"> следва да бъде стандартно.  </w:t>
      </w:r>
    </w:p>
    <w:p>
      <w:pPr>
        <w:pBdr>
          <w:top w:val="single" w:sz="4" w:space="1" w:color="auto"/>
          <w:left w:val="single" w:sz="4" w:space="4" w:color="auto"/>
          <w:bottom w:val="single" w:sz="4" w:space="1" w:color="auto"/>
          <w:right w:val="single" w:sz="4" w:space="4" w:color="auto"/>
        </w:pBdr>
        <w:spacing w:after="120"/>
        <w:jc w:val="both"/>
        <w:rPr>
          <w:rFonts w:ascii="Times New Roman" w:hAnsi="Times New Roman" w:cs="Times New Roman"/>
          <w:noProof/>
        </w:rPr>
      </w:pPr>
      <w:r>
        <w:rPr>
          <w:rFonts w:ascii="Times New Roman" w:hAnsi="Times New Roman"/>
          <w:b/>
          <w:bCs/>
          <w:i/>
          <w:iCs/>
          <w:noProof/>
          <w:sz w:val="24"/>
          <w:szCs w:val="24"/>
        </w:rPr>
        <w:t>Действия за доставчиците на обучение:</w:t>
      </w:r>
    </w:p>
    <w:p>
      <w:pPr>
        <w:pStyle w:val="ListBullet2"/>
        <w:pBdr>
          <w:top w:val="single" w:sz="4" w:space="1" w:color="auto"/>
          <w:left w:val="single" w:sz="4" w:space="4" w:color="auto"/>
          <w:bottom w:val="single" w:sz="4" w:space="1" w:color="auto"/>
          <w:right w:val="single" w:sz="4" w:space="4" w:color="auto"/>
        </w:pBdr>
        <w:spacing w:after="120" w:line="276" w:lineRule="auto"/>
        <w:rPr>
          <w:noProof/>
        </w:rPr>
      </w:pPr>
      <w:r>
        <w:rPr>
          <w:noProof/>
        </w:rPr>
        <w:t xml:space="preserve">гарантиране, че всяка </w:t>
      </w:r>
      <w:r>
        <w:rPr>
          <w:b/>
          <w:bCs/>
          <w:noProof/>
        </w:rPr>
        <w:t>програма за първоначално обучение</w:t>
      </w:r>
      <w:r>
        <w:rPr>
          <w:noProof/>
        </w:rPr>
        <w:t xml:space="preserve"> включва модули по правото на Съюза, залегнали в обучението по националното законодателство, и самостоятелни, където е уместно;</w:t>
      </w:r>
    </w:p>
    <w:p>
      <w:pPr>
        <w:pStyle w:val="ListBullet2"/>
        <w:pBdr>
          <w:top w:val="single" w:sz="4" w:space="1" w:color="auto"/>
          <w:left w:val="single" w:sz="4" w:space="4" w:color="auto"/>
          <w:bottom w:val="single" w:sz="4" w:space="1" w:color="auto"/>
          <w:right w:val="single" w:sz="4" w:space="4" w:color="auto"/>
        </w:pBdr>
        <w:spacing w:after="120" w:line="276" w:lineRule="auto"/>
        <w:rPr>
          <w:noProof/>
        </w:rPr>
      </w:pPr>
      <w:r>
        <w:rPr>
          <w:noProof/>
        </w:rPr>
        <w:t xml:space="preserve">включване на </w:t>
      </w:r>
      <w:r>
        <w:rPr>
          <w:b/>
          <w:bCs/>
          <w:noProof/>
        </w:rPr>
        <w:t>достиженията на правото на ЕС</w:t>
      </w:r>
      <w:r>
        <w:rPr>
          <w:b/>
          <w:bCs/>
          <w:i/>
          <w:iCs/>
          <w:noProof/>
        </w:rPr>
        <w:t xml:space="preserve"> </w:t>
      </w:r>
      <w:r>
        <w:rPr>
          <w:b/>
          <w:bCs/>
          <w:noProof/>
        </w:rPr>
        <w:t xml:space="preserve">относно върховенството на закона и Хартата на основните права на ЕС, </w:t>
      </w:r>
      <w:r>
        <w:rPr>
          <w:noProof/>
        </w:rPr>
        <w:t>както и „</w:t>
      </w:r>
      <w:r>
        <w:rPr>
          <w:b/>
          <w:bCs/>
          <w:noProof/>
        </w:rPr>
        <w:t>професията на съдията</w:t>
      </w:r>
      <w:r>
        <w:rPr>
          <w:noProof/>
        </w:rPr>
        <w:t>“ като стандартни компоненти на предложението за първоначално съдебно обучение за нови практикуващи специалисти в областта на правосъдието;</w:t>
      </w:r>
    </w:p>
    <w:p>
      <w:pPr>
        <w:pStyle w:val="ListBullet2"/>
        <w:pBdr>
          <w:top w:val="single" w:sz="4" w:space="1" w:color="auto"/>
          <w:left w:val="single" w:sz="4" w:space="4" w:color="auto"/>
          <w:bottom w:val="single" w:sz="4" w:space="1" w:color="auto"/>
          <w:right w:val="single" w:sz="4" w:space="4" w:color="auto"/>
        </w:pBdr>
        <w:spacing w:after="120" w:line="276" w:lineRule="auto"/>
        <w:rPr>
          <w:rFonts w:eastAsia="Calibri"/>
          <w:noProof/>
        </w:rPr>
      </w:pPr>
      <w:r>
        <w:rPr>
          <w:noProof/>
        </w:rPr>
        <w:t xml:space="preserve">осигуряване на всеки бъдещ или новоназначен съдия и прокурор участие в </w:t>
      </w:r>
      <w:r>
        <w:rPr>
          <w:b/>
          <w:bCs/>
          <w:noProof/>
        </w:rPr>
        <w:t>трансграничен обмен</w:t>
      </w:r>
      <w:r>
        <w:rPr>
          <w:noProof/>
        </w:rPr>
        <w:t xml:space="preserve"> в хода на първоначалното обучение;</w:t>
      </w:r>
    </w:p>
    <w:p>
      <w:pPr>
        <w:pStyle w:val="ListBullet2"/>
        <w:pBdr>
          <w:top w:val="single" w:sz="4" w:space="1" w:color="auto"/>
          <w:left w:val="single" w:sz="4" w:space="4" w:color="auto"/>
          <w:bottom w:val="single" w:sz="4" w:space="1" w:color="auto"/>
          <w:right w:val="single" w:sz="4" w:space="4" w:color="auto"/>
        </w:pBdr>
        <w:spacing w:after="120" w:line="276" w:lineRule="auto"/>
        <w:rPr>
          <w:noProof/>
        </w:rPr>
      </w:pPr>
      <w:r>
        <w:rPr>
          <w:noProof/>
        </w:rPr>
        <w:t xml:space="preserve">превръщане на </w:t>
      </w:r>
      <w:r>
        <w:rPr>
          <w:b/>
          <w:bCs/>
          <w:noProof/>
        </w:rPr>
        <w:t>обмена на бъдещи и новоназначени съдии и прокурори</w:t>
      </w:r>
      <w:r>
        <w:rPr>
          <w:rStyle w:val="FootnoteReference"/>
          <w:rFonts w:eastAsia="Calibri"/>
          <w:noProof/>
        </w:rPr>
        <w:footnoteReference w:id="43"/>
      </w:r>
      <w:r>
        <w:rPr>
          <w:noProof/>
        </w:rPr>
        <w:t xml:space="preserve"> по програмата AIAKOS на Европейската мрежа за съдебно обучение в стандартен компонент на предложението за първоначално обучение. Националните органи за съдебно обучение следва да съдействат за тяхното организиране;</w:t>
      </w:r>
    </w:p>
    <w:p>
      <w:pPr>
        <w:pStyle w:val="ListBullet2"/>
        <w:pBdr>
          <w:top w:val="single" w:sz="4" w:space="1" w:color="auto"/>
          <w:left w:val="single" w:sz="4" w:space="4" w:color="auto"/>
          <w:bottom w:val="single" w:sz="4" w:space="1" w:color="auto"/>
          <w:right w:val="single" w:sz="4" w:space="4" w:color="auto"/>
        </w:pBdr>
        <w:spacing w:after="120" w:line="276" w:lineRule="auto"/>
        <w:rPr>
          <w:noProof/>
        </w:rPr>
      </w:pPr>
      <w:r>
        <w:rPr>
          <w:noProof/>
        </w:rPr>
        <w:t xml:space="preserve">превръщане на </w:t>
      </w:r>
      <w:r>
        <w:rPr>
          <w:b/>
          <w:bCs/>
          <w:noProof/>
        </w:rPr>
        <w:t xml:space="preserve">юридическите езикови курсове </w:t>
      </w:r>
      <w:r>
        <w:rPr>
          <w:noProof/>
        </w:rPr>
        <w:t>в стандартен компонент на предложението за първоначално обучение.</w:t>
      </w:r>
    </w:p>
    <w:p>
      <w:pPr>
        <w:pStyle w:val="Heading1"/>
        <w:numPr>
          <w:ilvl w:val="0"/>
          <w:numId w:val="69"/>
        </w:numPr>
        <w:spacing w:before="200" w:after="200"/>
        <w:rPr>
          <w:noProof/>
        </w:rPr>
      </w:pPr>
      <w:r>
        <w:rPr>
          <w:noProof/>
        </w:rPr>
        <w:t>Повишаване на споделената отговорност</w:t>
      </w:r>
    </w:p>
    <w:p>
      <w:pPr>
        <w:jc w:val="both"/>
        <w:rPr>
          <w:rFonts w:ascii="Times New Roman" w:hAnsi="Times New Roman" w:cs="Times New Roman"/>
          <w:noProof/>
        </w:rPr>
      </w:pPr>
      <w:r>
        <w:rPr>
          <w:rFonts w:ascii="Times New Roman" w:hAnsi="Times New Roman"/>
          <w:noProof/>
          <w:sz w:val="24"/>
          <w:szCs w:val="24"/>
        </w:rPr>
        <w:t xml:space="preserve">Отговорността за съдебното обучение се споделя между държавите членки, доставчиците на обучение, националните и европейските организации на съдебните професии и ЕС. </w:t>
      </w:r>
      <w:r>
        <w:rPr>
          <w:rFonts w:ascii="Times New Roman" w:hAnsi="Times New Roman"/>
          <w:b/>
          <w:bCs/>
          <w:noProof/>
          <w:sz w:val="24"/>
          <w:szCs w:val="24"/>
        </w:rPr>
        <w:t>Необходима е по-голяма ангажираност от страна на всички заинтересовани.</w:t>
      </w:r>
    </w:p>
    <w:p>
      <w:pPr>
        <w:pStyle w:val="Heading2"/>
        <w:tabs>
          <w:tab w:val="clear" w:pos="1077"/>
        </w:tabs>
        <w:ind w:left="0" w:firstLine="0"/>
        <w:rPr>
          <w:b w:val="0"/>
          <w:noProof/>
          <w:color w:val="000000" w:themeColor="text1"/>
        </w:rPr>
      </w:pPr>
      <w:r>
        <w:rPr>
          <w:noProof/>
          <w:color w:val="000000" w:themeColor="text1"/>
        </w:rPr>
        <w:t>Националните заинтересовани страни носят основната отговорност</w:t>
      </w:r>
    </w:p>
    <w:p>
      <w:pPr>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 xml:space="preserve">Националните доставчици на обучение, министерствата на правосъдието, съветите на съдебната власт и прокуратурата и органите на регламентираните професии са основните участници, които гарантират, че предоставянето на обучение отговаря на </w:t>
      </w:r>
      <w:r>
        <w:rPr>
          <w:rFonts w:ascii="Times New Roman" w:hAnsi="Times New Roman"/>
          <w:b/>
          <w:bCs/>
          <w:noProof/>
          <w:color w:val="000000" w:themeColor="text1"/>
          <w:sz w:val="24"/>
          <w:szCs w:val="24"/>
        </w:rPr>
        <w:t>нуждите на практикуващите</w:t>
      </w:r>
      <w:r>
        <w:rPr>
          <w:rFonts w:ascii="Times New Roman" w:hAnsi="Times New Roman"/>
          <w:noProof/>
          <w:color w:val="000000" w:themeColor="text1"/>
          <w:sz w:val="24"/>
          <w:szCs w:val="24"/>
        </w:rPr>
        <w:t xml:space="preserve">. Трябва да се предоставят подходящи </w:t>
      </w:r>
      <w:r>
        <w:rPr>
          <w:rFonts w:ascii="Times New Roman" w:hAnsi="Times New Roman"/>
          <w:b/>
          <w:bCs/>
          <w:noProof/>
          <w:color w:val="000000" w:themeColor="text1"/>
          <w:sz w:val="24"/>
          <w:szCs w:val="24"/>
        </w:rPr>
        <w:t>ресурси</w:t>
      </w:r>
      <w:r>
        <w:rPr>
          <w:rFonts w:ascii="Times New Roman" w:hAnsi="Times New Roman"/>
          <w:noProof/>
          <w:color w:val="000000" w:themeColor="text1"/>
          <w:sz w:val="24"/>
          <w:szCs w:val="24"/>
        </w:rPr>
        <w:t xml:space="preserve"> по отношение на бюджета, персонал, който да организира обучението, и време, за да могат професионалистите в областта на правосъдието да присъстват. Определянето на задължителни квоти за обучение може да гарантира, че то се приема като част от редовните работни договорености. </w:t>
      </w:r>
      <w:r>
        <w:rPr>
          <w:rFonts w:ascii="Times New Roman" w:hAnsi="Times New Roman"/>
          <w:b/>
          <w:bCs/>
          <w:noProof/>
          <w:color w:val="000000" w:themeColor="text1"/>
          <w:sz w:val="24"/>
          <w:szCs w:val="24"/>
        </w:rPr>
        <w:t>Информацията</w:t>
      </w:r>
      <w:r>
        <w:rPr>
          <w:rFonts w:ascii="Times New Roman" w:hAnsi="Times New Roman"/>
          <w:noProof/>
          <w:color w:val="000000" w:themeColor="text1"/>
          <w:sz w:val="24"/>
          <w:szCs w:val="24"/>
        </w:rPr>
        <w:t xml:space="preserve"> за обучението на национално равнище и на равнището на ЕС трябва да се разпространява проактивно, а участието да се подкрепя.</w:t>
      </w:r>
    </w:p>
    <w:p>
      <w:pPr>
        <w:jc w:val="both"/>
        <w:rPr>
          <w:rFonts w:ascii="Times New Roman" w:hAnsi="Times New Roman" w:cs="Times New Roman"/>
          <w:noProof/>
          <w:color w:val="000000" w:themeColor="text1"/>
          <w:sz w:val="24"/>
          <w:szCs w:val="24"/>
        </w:rPr>
      </w:pPr>
      <w:r>
        <w:rPr>
          <w:rFonts w:ascii="Times New Roman" w:hAnsi="Times New Roman"/>
          <w:b/>
          <w:bCs/>
          <w:noProof/>
          <w:color w:val="000000" w:themeColor="text1"/>
          <w:sz w:val="24"/>
          <w:szCs w:val="24"/>
        </w:rPr>
        <w:t>Ръководителите и висшите членове на съдебните професии</w:t>
      </w:r>
      <w:r>
        <w:rPr>
          <w:rFonts w:ascii="Times New Roman" w:hAnsi="Times New Roman"/>
          <w:noProof/>
          <w:color w:val="000000" w:themeColor="text1"/>
          <w:sz w:val="24"/>
          <w:szCs w:val="24"/>
        </w:rPr>
        <w:t xml:space="preserve"> следва да бъдат ангажирани в създаването на истинска култура на обучение. Необходима е промяна в нагласите, за да станат органите на правосъдието и професионалните организации </w:t>
      </w:r>
      <w:r>
        <w:rPr>
          <w:rFonts w:ascii="Times New Roman" w:hAnsi="Times New Roman"/>
          <w:b/>
          <w:bCs/>
          <w:noProof/>
          <w:color w:val="000000" w:themeColor="text1"/>
          <w:sz w:val="24"/>
          <w:szCs w:val="24"/>
        </w:rPr>
        <w:t>обучаващи се организации</w:t>
      </w:r>
      <w:r>
        <w:rPr>
          <w:rFonts w:ascii="Times New Roman" w:hAnsi="Times New Roman"/>
          <w:noProof/>
          <w:color w:val="000000" w:themeColor="text1"/>
          <w:sz w:val="24"/>
          <w:szCs w:val="24"/>
        </w:rPr>
        <w:t>, в които обучението се възприема като инвестиция, а не като откъсване от ежедневната работа.</w:t>
      </w:r>
    </w:p>
    <w:p>
      <w:pPr>
        <w:pStyle w:val="Heading2"/>
        <w:tabs>
          <w:tab w:val="clear" w:pos="1077"/>
        </w:tabs>
        <w:ind w:left="0" w:firstLine="0"/>
        <w:rPr>
          <w:noProof/>
          <w:color w:val="000000" w:themeColor="text1"/>
        </w:rPr>
      </w:pPr>
      <w:r>
        <w:rPr>
          <w:noProof/>
          <w:color w:val="000000" w:themeColor="text1"/>
        </w:rPr>
        <w:t>Мрежи от експерти по правото на Съюза</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Практикуващите в областта на правосъдието не са длъжни да изучават всички подробности на правото на Съюза, а да го спазват, когато възникне необходимост. Те следва да могат да разчитат на </w:t>
      </w:r>
      <w:r>
        <w:rPr>
          <w:rFonts w:ascii="Times New Roman" w:hAnsi="Times New Roman"/>
          <w:b/>
          <w:bCs/>
          <w:noProof/>
          <w:color w:val="000000" w:themeColor="text1"/>
          <w:sz w:val="24"/>
          <w:szCs w:val="24"/>
        </w:rPr>
        <w:t>партньор</w:t>
      </w:r>
      <w:r>
        <w:rPr>
          <w:rFonts w:ascii="Times New Roman" w:hAnsi="Times New Roman"/>
          <w:noProof/>
          <w:color w:val="000000" w:themeColor="text1"/>
          <w:sz w:val="24"/>
          <w:szCs w:val="24"/>
        </w:rPr>
        <w:t>, който може да предложи</w:t>
      </w:r>
      <w:r>
        <w:rPr>
          <w:rFonts w:ascii="Times New Roman" w:hAnsi="Times New Roman"/>
          <w:b/>
          <w:bCs/>
          <w:noProof/>
          <w:color w:val="000000" w:themeColor="text1"/>
          <w:sz w:val="24"/>
          <w:szCs w:val="24"/>
        </w:rPr>
        <w:t xml:space="preserve"> експертни знания и помощ по правото на Съюза </w:t>
      </w:r>
      <w:r>
        <w:rPr>
          <w:rFonts w:ascii="Times New Roman" w:hAnsi="Times New Roman"/>
          <w:noProof/>
          <w:color w:val="000000" w:themeColor="text1"/>
          <w:sz w:val="24"/>
          <w:szCs w:val="24"/>
        </w:rPr>
        <w:t>при пълна съдебна независимост и да принадлежи към мрежа, създадена за тази цел на национално равнище. Това е признатата добавена стойност на националните мрежи</w:t>
      </w:r>
      <w:r>
        <w:rPr>
          <w:rFonts w:ascii="Times New Roman" w:hAnsi="Times New Roman"/>
          <w:b/>
          <w:bCs/>
          <w:noProof/>
          <w:color w:val="000000" w:themeColor="text1"/>
          <w:sz w:val="24"/>
          <w:szCs w:val="24"/>
        </w:rPr>
        <w:t xml:space="preserve"> </w:t>
      </w:r>
      <w:r>
        <w:rPr>
          <w:rFonts w:ascii="Times New Roman" w:hAnsi="Times New Roman"/>
          <w:noProof/>
          <w:color w:val="000000" w:themeColor="text1"/>
          <w:sz w:val="24"/>
          <w:szCs w:val="24"/>
        </w:rPr>
        <w:t>на съдебните координатори по правото на Съюза.</w:t>
      </w:r>
    </w:p>
    <w:p>
      <w:pPr>
        <w:pStyle w:val="Heading2"/>
        <w:tabs>
          <w:tab w:val="clear" w:pos="1077"/>
        </w:tabs>
        <w:ind w:left="709" w:hanging="709"/>
        <w:rPr>
          <w:noProof/>
        </w:rPr>
      </w:pPr>
      <w:r>
        <w:rPr>
          <w:noProof/>
        </w:rPr>
        <w:t xml:space="preserve">Уникалната роля на </w:t>
      </w:r>
      <w:r>
        <w:rPr>
          <w:noProof/>
          <w:color w:val="000000" w:themeColor="text1"/>
        </w:rPr>
        <w:t>Европейската мрежа за съдебно обучение</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Чрез своите членове Европейската мрежа за съдебно обучение е най-подходяща за координирането на националните дейности по обучение по правото на Съюза и за развитието на трансграничното обучение на съдии и прокурори, включително за осъществяването на обмен</w:t>
      </w:r>
      <w:r>
        <w:rPr>
          <w:rStyle w:val="FootnoteReference"/>
          <w:rFonts w:ascii="Times New Roman" w:hAnsi="Times New Roman" w:cs="Times New Roman"/>
          <w:noProof/>
          <w:color w:val="000000" w:themeColor="text1"/>
          <w:sz w:val="24"/>
          <w:szCs w:val="24"/>
          <w:lang w:eastAsia="fr-BE"/>
        </w:rPr>
        <w:footnoteReference w:id="44"/>
      </w:r>
      <w:r>
        <w:rPr>
          <w:rFonts w:ascii="Times New Roman" w:hAnsi="Times New Roman"/>
          <w:noProof/>
          <w:color w:val="000000" w:themeColor="text1"/>
          <w:sz w:val="24"/>
          <w:szCs w:val="24"/>
        </w:rPr>
        <w:t>. Нейните девет „принципа на съдебно обучение“</w:t>
      </w:r>
      <w:r>
        <w:rPr>
          <w:rStyle w:val="FootnoteReference"/>
          <w:rFonts w:ascii="Times New Roman" w:hAnsi="Times New Roman" w:cs="Times New Roman"/>
          <w:noProof/>
          <w:color w:val="000000" w:themeColor="text1"/>
          <w:sz w:val="24"/>
          <w:szCs w:val="24"/>
          <w:lang w:eastAsia="fr-BE"/>
        </w:rPr>
        <w:footnoteReference w:id="45"/>
      </w:r>
      <w:r>
        <w:rPr>
          <w:rFonts w:ascii="Times New Roman" w:hAnsi="Times New Roman"/>
          <w:noProof/>
          <w:color w:val="000000" w:themeColor="text1"/>
          <w:sz w:val="24"/>
          <w:szCs w:val="24"/>
        </w:rPr>
        <w:t xml:space="preserve"> се превръщат в глобална отправна точка за добро съдебно обучение. Тя се нуждае от стабилно и адекватно финансиране.</w:t>
      </w:r>
    </w:p>
    <w:p>
      <w:pPr>
        <w:pStyle w:val="Heading2"/>
        <w:tabs>
          <w:tab w:val="clear" w:pos="1077"/>
        </w:tabs>
        <w:ind w:left="709" w:hanging="709"/>
        <w:rPr>
          <w:noProof/>
        </w:rPr>
      </w:pPr>
      <w:r>
        <w:rPr>
          <w:noProof/>
        </w:rPr>
        <w:t>Основни разпространители са участниците на равнище ЕС</w:t>
      </w:r>
    </w:p>
    <w:p>
      <w:pPr>
        <w:jc w:val="both"/>
        <w:rPr>
          <w:rFonts w:ascii="Times New Roman" w:hAnsi="Times New Roman" w:cs="Times New Roman"/>
          <w:noProof/>
          <w:color w:val="000000" w:themeColor="text1"/>
          <w:sz w:val="24"/>
          <w:szCs w:val="24"/>
        </w:rPr>
      </w:pPr>
      <w:r>
        <w:rPr>
          <w:rFonts w:ascii="Times New Roman" w:hAnsi="Times New Roman"/>
          <w:b/>
          <w:bCs/>
          <w:noProof/>
          <w:color w:val="000000" w:themeColor="text1"/>
          <w:sz w:val="24"/>
          <w:szCs w:val="24"/>
        </w:rPr>
        <w:t>Академията по европейско право (ERA)</w:t>
      </w:r>
      <w:r>
        <w:rPr>
          <w:rFonts w:ascii="Times New Roman" w:hAnsi="Times New Roman"/>
          <w:noProof/>
          <w:color w:val="000000" w:themeColor="text1"/>
          <w:sz w:val="24"/>
          <w:szCs w:val="24"/>
        </w:rPr>
        <w:t xml:space="preserve"> и </w:t>
      </w:r>
      <w:r>
        <w:rPr>
          <w:rFonts w:ascii="Times New Roman" w:hAnsi="Times New Roman"/>
          <w:b/>
          <w:bCs/>
          <w:noProof/>
          <w:color w:val="000000" w:themeColor="text1"/>
          <w:sz w:val="24"/>
          <w:szCs w:val="24"/>
        </w:rPr>
        <w:t>Европейският институт по публична администрация (EIPA-Люксембург)</w:t>
      </w:r>
      <w:r>
        <w:rPr>
          <w:rFonts w:ascii="Times New Roman" w:hAnsi="Times New Roman"/>
          <w:noProof/>
          <w:color w:val="000000" w:themeColor="text1"/>
          <w:sz w:val="24"/>
          <w:szCs w:val="24"/>
        </w:rPr>
        <w:t xml:space="preserve"> помагат за консолидиране на знанията по правото на Съюза. Те следва да увеличат допълнително предлагането на обучение от своя страна, да гарантират качеството на своите дейности и да насърчават преносимостта на своите резултати.</w:t>
      </w:r>
    </w:p>
    <w:p>
      <w:pPr>
        <w:jc w:val="both"/>
        <w:rPr>
          <w:rFonts w:ascii="Times New Roman" w:eastAsia="Calibri" w:hAnsi="Times New Roman" w:cs="Times New Roman"/>
          <w:noProof/>
          <w:sz w:val="24"/>
          <w:szCs w:val="24"/>
        </w:rPr>
      </w:pPr>
      <w:r>
        <w:rPr>
          <w:rFonts w:ascii="Times New Roman" w:hAnsi="Times New Roman"/>
          <w:b/>
          <w:bCs/>
          <w:noProof/>
          <w:color w:val="000000" w:themeColor="text1"/>
          <w:sz w:val="24"/>
          <w:szCs w:val="24"/>
        </w:rPr>
        <w:t>Мрежи от специалисти в областта на правосъдието</w:t>
      </w:r>
      <w:r>
        <w:rPr>
          <w:rFonts w:ascii="Times New Roman" w:hAnsi="Times New Roman"/>
          <w:noProof/>
          <w:color w:val="000000" w:themeColor="text1"/>
          <w:sz w:val="24"/>
          <w:szCs w:val="24"/>
        </w:rPr>
        <w:t xml:space="preserve">, каквито са </w:t>
      </w:r>
      <w:r>
        <w:rPr>
          <w:rFonts w:ascii="Times New Roman" w:hAnsi="Times New Roman"/>
          <w:b/>
          <w:bCs/>
          <w:noProof/>
          <w:color w:val="000000" w:themeColor="text1"/>
          <w:sz w:val="24"/>
          <w:szCs w:val="24"/>
        </w:rPr>
        <w:t xml:space="preserve">Съветът на адвокатурите и правните общества в Европа (CCBE) </w:t>
      </w:r>
      <w:r>
        <w:rPr>
          <w:rFonts w:ascii="Times New Roman" w:hAnsi="Times New Roman"/>
          <w:noProof/>
          <w:color w:val="000000" w:themeColor="text1"/>
          <w:sz w:val="24"/>
          <w:szCs w:val="24"/>
        </w:rPr>
        <w:t xml:space="preserve">за адвокати, </w:t>
      </w:r>
      <w:r>
        <w:rPr>
          <w:rFonts w:ascii="Times New Roman" w:hAnsi="Times New Roman"/>
          <w:b/>
          <w:bCs/>
          <w:noProof/>
          <w:color w:val="000000" w:themeColor="text1"/>
          <w:sz w:val="24"/>
          <w:szCs w:val="24"/>
        </w:rPr>
        <w:t>Съветът на нотариатите на ЕС (CNUE)</w:t>
      </w:r>
      <w:r>
        <w:rPr>
          <w:rFonts w:ascii="Times New Roman" w:hAnsi="Times New Roman"/>
          <w:noProof/>
          <w:color w:val="000000" w:themeColor="text1"/>
          <w:sz w:val="24"/>
          <w:szCs w:val="24"/>
        </w:rPr>
        <w:t xml:space="preserve"> за нотариуси и </w:t>
      </w:r>
      <w:r>
        <w:rPr>
          <w:rFonts w:ascii="Times New Roman" w:hAnsi="Times New Roman"/>
          <w:b/>
          <w:bCs/>
          <w:noProof/>
          <w:color w:val="000000" w:themeColor="text1"/>
          <w:sz w:val="24"/>
          <w:szCs w:val="24"/>
        </w:rPr>
        <w:t>Европейският съюз на съдебните служители (UEHJ)</w:t>
      </w:r>
      <w:r>
        <w:rPr>
          <w:rFonts w:ascii="Times New Roman" w:hAnsi="Times New Roman"/>
          <w:noProof/>
          <w:color w:val="000000" w:themeColor="text1"/>
          <w:sz w:val="24"/>
          <w:szCs w:val="24"/>
        </w:rPr>
        <w:t xml:space="preserve"> за съдебни изпълнители, също играят ключова роля за подобряване на обучението по правото на Съюза. Те са особено важни за цялостното прилагане на тази стратегия, като гарантират, че изготвените материали се възприемат и използват повторно от техните членовете и насърчават националното разпространение на дейностите по обучението. </w:t>
      </w:r>
      <w:r>
        <w:rPr>
          <w:rFonts w:ascii="Times New Roman" w:hAnsi="Times New Roman"/>
          <w:noProof/>
          <w:sz w:val="24"/>
          <w:szCs w:val="24"/>
        </w:rPr>
        <w:t>Обменът на опит между доставчиците на обучение от различните държави членки следва да им даде възможност да осмислят пропуските в обучението, което предоставят, да въведат иновации и да надграждат добрите практики с доказани резултати.</w:t>
      </w:r>
    </w:p>
    <w:p>
      <w:pPr>
        <w:jc w:val="both"/>
        <w:rPr>
          <w:rFonts w:ascii="Times New Roman" w:hAnsi="Times New Roman" w:cs="Times New Roman"/>
          <w:noProof/>
          <w:color w:val="000000" w:themeColor="text1"/>
          <w:sz w:val="24"/>
          <w:szCs w:val="24"/>
        </w:rPr>
      </w:pPr>
      <w:r>
        <w:rPr>
          <w:rFonts w:ascii="Times New Roman" w:hAnsi="Times New Roman"/>
          <w:b/>
          <w:bCs/>
          <w:noProof/>
          <w:color w:val="000000" w:themeColor="text1"/>
          <w:sz w:val="24"/>
          <w:szCs w:val="24"/>
        </w:rPr>
        <w:t>Европейските мрежи от специалисти в областта на правосъдието</w:t>
      </w:r>
      <w:r>
        <w:rPr>
          <w:rFonts w:ascii="Times New Roman" w:hAnsi="Times New Roman"/>
          <w:noProof/>
          <w:color w:val="000000" w:themeColor="text1"/>
          <w:sz w:val="24"/>
          <w:szCs w:val="24"/>
        </w:rPr>
        <w:t>, занимаващи се с конкретни области от правото на Съюза, също играят важна роля като разпространители.</w:t>
      </w:r>
    </w:p>
    <w:p>
      <w:pPr>
        <w:pStyle w:val="Heading2"/>
        <w:tabs>
          <w:tab w:val="clear" w:pos="1077"/>
        </w:tabs>
        <w:ind w:left="709" w:hanging="709"/>
        <w:rPr>
          <w:noProof/>
        </w:rPr>
      </w:pPr>
      <w:r>
        <w:rPr>
          <w:noProof/>
        </w:rPr>
        <w:t>Подкрепата на Комисията</w:t>
      </w:r>
    </w:p>
    <w:p>
      <w:pPr>
        <w:jc w:val="both"/>
        <w:rPr>
          <w:rFonts w:ascii="Times New Roman" w:hAnsi="Times New Roman" w:cs="Times New Roman"/>
          <w:noProof/>
          <w:sz w:val="24"/>
          <w:szCs w:val="24"/>
        </w:rPr>
      </w:pPr>
      <w:r>
        <w:rPr>
          <w:rFonts w:ascii="Times New Roman" w:hAnsi="Times New Roman"/>
          <w:noProof/>
          <w:sz w:val="24"/>
          <w:szCs w:val="24"/>
        </w:rPr>
        <w:t xml:space="preserve">Комисията ще подкрепя </w:t>
      </w:r>
      <w:r>
        <w:rPr>
          <w:rFonts w:ascii="Times New Roman" w:hAnsi="Times New Roman"/>
          <w:b/>
          <w:bCs/>
          <w:noProof/>
          <w:sz w:val="24"/>
          <w:szCs w:val="24"/>
        </w:rPr>
        <w:t>висококачествените проекти за обучение с европейско измерение</w:t>
      </w:r>
      <w:r>
        <w:rPr>
          <w:rFonts w:ascii="Times New Roman" w:hAnsi="Times New Roman"/>
          <w:noProof/>
          <w:sz w:val="24"/>
          <w:szCs w:val="24"/>
        </w:rPr>
        <w:t xml:space="preserve"> чрез програма „Правосъдие“ и други подходящи схеми на финансиране</w:t>
      </w:r>
      <w:r>
        <w:rPr>
          <w:rStyle w:val="FootnoteReference"/>
          <w:rFonts w:ascii="Times New Roman" w:hAnsi="Times New Roman" w:cs="Times New Roman"/>
          <w:noProof/>
          <w:sz w:val="24"/>
          <w:szCs w:val="24"/>
        </w:rPr>
        <w:footnoteReference w:id="46"/>
      </w:r>
      <w:r>
        <w:rPr>
          <w:rFonts w:ascii="Times New Roman" w:hAnsi="Times New Roman"/>
          <w:noProof/>
          <w:sz w:val="24"/>
          <w:szCs w:val="24"/>
        </w:rPr>
        <w:t>. Тя ще подкрепя обучението на разпространители, включително обучители, и ще насърчава трансграничните консорциуми на доставчиците на обучение. Тя ще насърчава също така работата на мрежите, участващи в тази сфера, ще поощрява тяхното сътрудничество чрез конференции и ще стимулира използването на съвременни технологии и на европейския портал за електронно правосъдие.</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Комисията ще подкрепя</w:t>
      </w:r>
      <w:r>
        <w:rPr>
          <w:rFonts w:ascii="Times New Roman" w:hAnsi="Times New Roman"/>
          <w:b/>
          <w:bCs/>
          <w:noProof/>
          <w:color w:val="000000" w:themeColor="text1"/>
          <w:sz w:val="24"/>
          <w:szCs w:val="24"/>
        </w:rPr>
        <w:t xml:space="preserve"> проекти, насочени към приоритетни области на ЕС</w:t>
      </w:r>
      <w:r>
        <w:rPr>
          <w:rFonts w:ascii="Times New Roman" w:hAnsi="Times New Roman"/>
          <w:noProof/>
          <w:color w:val="000000" w:themeColor="text1"/>
          <w:sz w:val="24"/>
          <w:szCs w:val="24"/>
        </w:rPr>
        <w:t xml:space="preserve">, изпитване на нови идеи и действия в отговор на специфични </w:t>
      </w:r>
      <w:r>
        <w:rPr>
          <w:rFonts w:ascii="Times New Roman" w:hAnsi="Times New Roman"/>
          <w:i/>
          <w:iCs/>
          <w:noProof/>
          <w:color w:val="000000" w:themeColor="text1"/>
          <w:sz w:val="24"/>
          <w:szCs w:val="24"/>
        </w:rPr>
        <w:t>ad hoc</w:t>
      </w:r>
      <w:r>
        <w:rPr>
          <w:rFonts w:ascii="Times New Roman" w:hAnsi="Times New Roman"/>
          <w:noProof/>
          <w:color w:val="000000" w:themeColor="text1"/>
          <w:sz w:val="24"/>
          <w:szCs w:val="24"/>
        </w:rPr>
        <w:t xml:space="preserve"> нужди. Тя</w:t>
      </w:r>
      <w:r>
        <w:rPr>
          <w:rFonts w:ascii="Times New Roman" w:hAnsi="Times New Roman"/>
          <w:noProof/>
          <w:sz w:val="24"/>
          <w:szCs w:val="24"/>
        </w:rPr>
        <w:t xml:space="preserve"> ще следи внимателно преценката на нуждите от обучение и </w:t>
      </w:r>
      <w:r>
        <w:rPr>
          <w:rFonts w:ascii="Times New Roman" w:hAnsi="Times New Roman"/>
          <w:noProof/>
          <w:color w:val="000000" w:themeColor="text1"/>
          <w:sz w:val="24"/>
          <w:szCs w:val="24"/>
        </w:rPr>
        <w:t>устойчивостта на постигнатите резултати. Ще изисква от доставчиците, ползващи се от съфинансиране от ЕС, да направят повече, за да гарантират дълготрайността на обучението и постигането на повече резултати. Ще използва всички средства съгласно Регламента относно финансовите правила, приложими за общия бюджет на Съюза, за да опрости достъпа до финансиране от ЕС, включително процесите на кандидатстване и управление на безвъзмездни средства</w:t>
      </w:r>
      <w:r>
        <w:rPr>
          <w:rStyle w:val="FootnoteReference"/>
          <w:rFonts w:ascii="Times New Roman" w:hAnsi="Times New Roman" w:cs="Times New Roman"/>
          <w:noProof/>
          <w:color w:val="000000" w:themeColor="text1"/>
          <w:sz w:val="24"/>
          <w:szCs w:val="24"/>
          <w:lang w:eastAsia="fr-BE"/>
        </w:rPr>
        <w:footnoteReference w:id="47"/>
      </w:r>
      <w:r>
        <w:rPr>
          <w:rFonts w:ascii="Times New Roman" w:hAnsi="Times New Roman"/>
          <w:noProof/>
          <w:color w:val="000000" w:themeColor="text1"/>
          <w:sz w:val="24"/>
          <w:szCs w:val="24"/>
        </w:rPr>
        <w:t>.</w:t>
      </w:r>
    </w:p>
    <w:p>
      <w:pPr>
        <w:pStyle w:val="Heading2"/>
        <w:tabs>
          <w:tab w:val="clear" w:pos="1077"/>
        </w:tabs>
        <w:ind w:left="709" w:hanging="709"/>
        <w:rPr>
          <w:noProof/>
        </w:rPr>
      </w:pPr>
      <w:r>
        <w:rPr>
          <w:noProof/>
        </w:rPr>
        <w:t>Насоченост към специалисти в областта на правосъдието извън ЕС</w:t>
      </w:r>
    </w:p>
    <w:p>
      <w:pPr>
        <w:jc w:val="both"/>
        <w:rPr>
          <w:rFonts w:ascii="Times New Roman" w:eastAsia="Calibri" w:hAnsi="Times New Roman" w:cs="Times New Roman"/>
          <w:noProof/>
          <w:color w:val="000000" w:themeColor="text1"/>
          <w:sz w:val="24"/>
          <w:szCs w:val="24"/>
        </w:rPr>
      </w:pPr>
      <w:r>
        <w:rPr>
          <w:rFonts w:ascii="Times New Roman" w:hAnsi="Times New Roman"/>
          <w:noProof/>
          <w:sz w:val="24"/>
          <w:szCs w:val="24"/>
        </w:rPr>
        <w:t>Европейското съдебно обучение е насочено към специалисти в областта на правосъдието в ЕС. През изминалите</w:t>
      </w:r>
      <w:r>
        <w:rPr>
          <w:rFonts w:ascii="Times New Roman" w:hAnsi="Times New Roman"/>
          <w:noProof/>
          <w:color w:val="000000" w:themeColor="text1"/>
          <w:sz w:val="24"/>
          <w:szCs w:val="24"/>
        </w:rPr>
        <w:t xml:space="preserve"> години обаче сътрудничеството бе разширено до </w:t>
      </w:r>
      <w:r>
        <w:rPr>
          <w:rFonts w:ascii="Times New Roman" w:hAnsi="Times New Roman"/>
          <w:b/>
          <w:bCs/>
          <w:noProof/>
          <w:color w:val="000000" w:themeColor="text1"/>
          <w:sz w:val="24"/>
          <w:szCs w:val="24"/>
        </w:rPr>
        <w:t xml:space="preserve">държавите кандидатки и потенциални кандидатки </w:t>
      </w:r>
      <w:r>
        <w:rPr>
          <w:rFonts w:ascii="Times New Roman" w:hAnsi="Times New Roman"/>
          <w:noProof/>
          <w:color w:val="000000" w:themeColor="text1"/>
          <w:sz w:val="24"/>
          <w:szCs w:val="24"/>
        </w:rPr>
        <w:t>за членство в ЕС и до други държави, които са изразили интерес да се запознаят със съдебната култура на ЕС</w:t>
      </w:r>
      <w:r>
        <w:rPr>
          <w:rStyle w:val="FootnoteReference"/>
          <w:rFonts w:ascii="Times New Roman" w:eastAsia="Calibri" w:hAnsi="Times New Roman" w:cs="Times New Roman"/>
          <w:noProof/>
          <w:color w:val="000000" w:themeColor="text1"/>
          <w:sz w:val="24"/>
          <w:szCs w:val="24"/>
          <w:lang w:eastAsia="en-GB"/>
        </w:rPr>
        <w:footnoteReference w:id="48"/>
      </w:r>
      <w:r>
        <w:rPr>
          <w:rFonts w:ascii="Times New Roman" w:hAnsi="Times New Roman"/>
          <w:noProof/>
          <w:color w:val="000000" w:themeColor="text1"/>
          <w:sz w:val="24"/>
          <w:szCs w:val="24"/>
        </w:rPr>
        <w:t xml:space="preserve">, за да </w:t>
      </w:r>
      <w:r>
        <w:rPr>
          <w:rFonts w:ascii="Times New Roman" w:hAnsi="Times New Roman"/>
          <w:noProof/>
          <w:sz w:val="24"/>
          <w:szCs w:val="24"/>
        </w:rPr>
        <w:t xml:space="preserve">подобрят функционирането на своите правосъдни системи. Необходимо е </w:t>
      </w:r>
      <w:r>
        <w:rPr>
          <w:rFonts w:ascii="Times New Roman" w:hAnsi="Times New Roman"/>
          <w:noProof/>
          <w:color w:val="000000" w:themeColor="text1"/>
          <w:sz w:val="24"/>
          <w:szCs w:val="24"/>
        </w:rPr>
        <w:t xml:space="preserve">обучение относно принципите на върховенството на закона </w:t>
      </w:r>
      <w:r>
        <w:rPr>
          <w:rFonts w:ascii="Times New Roman" w:hAnsi="Times New Roman"/>
          <w:i/>
          <w:iCs/>
          <w:noProof/>
          <w:color w:val="000000" w:themeColor="text1"/>
          <w:sz w:val="24"/>
          <w:szCs w:val="24"/>
        </w:rPr>
        <w:t>като част от достиженията на правото на ЕС</w:t>
      </w:r>
      <w:r>
        <w:rPr>
          <w:rFonts w:ascii="Times New Roman" w:hAnsi="Times New Roman"/>
          <w:noProof/>
          <w:color w:val="000000" w:themeColor="text1"/>
          <w:sz w:val="24"/>
          <w:szCs w:val="24"/>
        </w:rPr>
        <w:t xml:space="preserve">, по-специално в </w:t>
      </w:r>
      <w:r>
        <w:rPr>
          <w:rFonts w:ascii="Times New Roman" w:hAnsi="Times New Roman"/>
          <w:noProof/>
          <w:sz w:val="24"/>
          <w:szCs w:val="24"/>
        </w:rPr>
        <w:t>държавите кандидатки и потенциални кандидатки</w:t>
      </w:r>
      <w:r>
        <w:rPr>
          <w:rStyle w:val="FootnoteReference"/>
          <w:rFonts w:ascii="Times New Roman" w:eastAsia="Calibri" w:hAnsi="Times New Roman" w:cs="Times New Roman"/>
          <w:noProof/>
          <w:color w:val="000000" w:themeColor="text1"/>
          <w:sz w:val="24"/>
          <w:szCs w:val="24"/>
          <w:lang w:eastAsia="en-GB"/>
        </w:rPr>
        <w:footnoteReference w:id="49"/>
      </w:r>
      <w:r>
        <w:rPr>
          <w:rFonts w:ascii="Times New Roman" w:hAnsi="Times New Roman"/>
          <w:noProof/>
          <w:color w:val="000000" w:themeColor="text1"/>
          <w:sz w:val="24"/>
          <w:szCs w:val="24"/>
        </w:rPr>
        <w:t>, тъй като работата за насърчаване на демокрацията, върховенството на закона и зачитането на основните права с оглед подготовката им за присъединяване към ЕС трябва да се превърне в техен приоритет</w:t>
      </w:r>
      <w:r>
        <w:rPr>
          <w:rStyle w:val="FootnoteReference"/>
          <w:rFonts w:ascii="Times New Roman" w:eastAsia="Calibri" w:hAnsi="Times New Roman" w:cs="Times New Roman"/>
          <w:noProof/>
          <w:color w:val="000000" w:themeColor="text1"/>
          <w:sz w:val="24"/>
          <w:szCs w:val="24"/>
          <w:lang w:eastAsia="en-GB"/>
        </w:rPr>
        <w:footnoteReference w:id="50"/>
      </w:r>
      <w:r>
        <w:rPr>
          <w:rFonts w:ascii="Times New Roman" w:hAnsi="Times New Roman"/>
          <w:noProof/>
          <w:color w:val="000000" w:themeColor="text1"/>
          <w:sz w:val="24"/>
          <w:szCs w:val="24"/>
        </w:rPr>
        <w:t>.</w:t>
      </w:r>
    </w:p>
    <w:p>
      <w:pPr>
        <w:jc w:val="both"/>
        <w:rPr>
          <w:rFonts w:ascii="Times New Roman" w:eastAsia="Calibri" w:hAnsi="Times New Roman" w:cs="Times New Roman"/>
          <w:noProof/>
          <w:sz w:val="24"/>
          <w:szCs w:val="24"/>
        </w:rPr>
      </w:pPr>
      <w:r>
        <w:rPr>
          <w:rFonts w:ascii="Times New Roman" w:hAnsi="Times New Roman"/>
          <w:noProof/>
          <w:sz w:val="24"/>
          <w:szCs w:val="24"/>
        </w:rPr>
        <w:t xml:space="preserve">Комисията насърчава по-конкретно участието на специалисти в областта на правосъдието от региона на </w:t>
      </w:r>
      <w:r>
        <w:rPr>
          <w:rFonts w:ascii="Times New Roman" w:hAnsi="Times New Roman"/>
          <w:b/>
          <w:bCs/>
          <w:noProof/>
          <w:sz w:val="24"/>
          <w:szCs w:val="24"/>
        </w:rPr>
        <w:t xml:space="preserve">Западните Балкани </w:t>
      </w:r>
      <w:r>
        <w:rPr>
          <w:rFonts w:ascii="Times New Roman" w:hAnsi="Times New Roman"/>
          <w:noProof/>
          <w:sz w:val="24"/>
          <w:szCs w:val="24"/>
        </w:rPr>
        <w:t>в трансграничното съдебно обучение. Подкрепата на ЕС в региона е насочена към осигуряване на съгласуваност и устойчивост и към преодоляване на предизвикателствата въз основа на правилна оценка на потребностите от обучение и подход, ориентиран повече към проблемите (отколкото към донорите). Структурното сътрудничество на доставчиците на съдебно обучение за Западните Балкани следва да бъде засилено още повече както на регионално, така и на равнище ЕС. Когато е подходящо това следва да включва консолидиране на ролята на Европейската мрежа за съдебно обучение, която е център на експертни знания и може да помогне за изграждане на капацитет и методологични подобрения.</w:t>
      </w:r>
    </w:p>
    <w:p>
      <w:pPr>
        <w:jc w:val="both"/>
        <w:rPr>
          <w:rFonts w:ascii="Times New Roman" w:eastAsia="Calibri" w:hAnsi="Times New Roman" w:cs="Times New Roman"/>
          <w:noProof/>
          <w:color w:val="000000" w:themeColor="text1"/>
          <w:sz w:val="28"/>
          <w:szCs w:val="28"/>
        </w:rPr>
      </w:pPr>
      <w:r>
        <w:rPr>
          <w:rFonts w:ascii="Times New Roman" w:hAnsi="Times New Roman"/>
          <w:noProof/>
          <w:color w:val="000000" w:themeColor="text1"/>
          <w:sz w:val="24"/>
          <w:szCs w:val="24"/>
        </w:rPr>
        <w:t xml:space="preserve">По-нататъшно взаимодействие може да се търси с финансирани от ЕС инициативи за съдебно обучение в </w:t>
      </w:r>
      <w:r>
        <w:rPr>
          <w:rFonts w:ascii="Times New Roman" w:hAnsi="Times New Roman"/>
          <w:b/>
          <w:bCs/>
          <w:noProof/>
          <w:color w:val="000000" w:themeColor="text1"/>
          <w:sz w:val="24"/>
          <w:szCs w:val="24"/>
        </w:rPr>
        <w:t>други държави извън ЕС</w:t>
      </w:r>
      <w:r>
        <w:rPr>
          <w:rFonts w:ascii="Times New Roman" w:hAnsi="Times New Roman"/>
          <w:noProof/>
          <w:color w:val="000000" w:themeColor="text1"/>
          <w:sz w:val="24"/>
          <w:szCs w:val="24"/>
        </w:rPr>
        <w:t>, по-специално в Африка и Латинска Америка, като принос за укрепване на демокрацията, правата на човека и върховенството на закона</w:t>
      </w:r>
      <w:r>
        <w:rPr>
          <w:rStyle w:val="FootnoteReference"/>
          <w:rFonts w:ascii="Times New Roman" w:hAnsi="Times New Roman" w:cs="Times New Roman"/>
          <w:noProof/>
          <w:color w:val="000000" w:themeColor="text1"/>
          <w:sz w:val="24"/>
          <w:szCs w:val="24"/>
        </w:rPr>
        <w:footnoteReference w:id="51"/>
      </w:r>
      <w:r>
        <w:rPr>
          <w:rFonts w:ascii="Times New Roman" w:hAnsi="Times New Roman"/>
          <w:noProof/>
          <w:color w:val="000000" w:themeColor="text1"/>
          <w:sz w:val="24"/>
          <w:szCs w:val="24"/>
        </w:rPr>
        <w:t>.</w:t>
      </w:r>
    </w:p>
    <w:p>
      <w:pPr>
        <w:pStyle w:val="Heading2"/>
        <w:tabs>
          <w:tab w:val="clear" w:pos="1077"/>
        </w:tabs>
        <w:ind w:left="709" w:hanging="709"/>
        <w:rPr>
          <w:noProof/>
        </w:rPr>
      </w:pPr>
      <w:r>
        <w:rPr>
          <w:noProof/>
        </w:rPr>
        <w:t>Устойчивост</w:t>
      </w:r>
    </w:p>
    <w:p>
      <w:pPr>
        <w:jc w:val="both"/>
        <w:rPr>
          <w:rFonts w:ascii="Times New Roman" w:eastAsia="Calibri" w:hAnsi="Times New Roman" w:cs="Times New Roman"/>
          <w:noProof/>
          <w:sz w:val="24"/>
          <w:szCs w:val="24"/>
        </w:rPr>
      </w:pPr>
      <w:r>
        <w:rPr>
          <w:rFonts w:ascii="Times New Roman" w:hAnsi="Times New Roman"/>
          <w:noProof/>
          <w:sz w:val="24"/>
          <w:szCs w:val="24"/>
        </w:rPr>
        <w:t xml:space="preserve">Разпространението, внедряването, повторното използване, актуализирането и адаптирането към националния контекст на модули за </w:t>
      </w:r>
      <w:r>
        <w:rPr>
          <w:rFonts w:ascii="Times New Roman" w:hAnsi="Times New Roman"/>
          <w:b/>
          <w:bCs/>
          <w:noProof/>
          <w:sz w:val="24"/>
          <w:szCs w:val="24"/>
        </w:rPr>
        <w:t>обучение, пакети и публикации</w:t>
      </w:r>
      <w:r>
        <w:rPr>
          <w:rFonts w:ascii="Times New Roman" w:hAnsi="Times New Roman"/>
          <w:noProof/>
          <w:sz w:val="24"/>
          <w:szCs w:val="24"/>
        </w:rPr>
        <w:t xml:space="preserve"> като наръчници и насоки, изготвени с подкрепата на фондовете на ЕС</w:t>
      </w:r>
      <w:r>
        <w:rPr>
          <w:rStyle w:val="FootnoteReference"/>
          <w:rFonts w:ascii="Times New Roman" w:eastAsia="Calibri" w:hAnsi="Times New Roman" w:cs="Times New Roman"/>
          <w:noProof/>
          <w:sz w:val="24"/>
          <w:szCs w:val="24"/>
          <w:lang w:eastAsia="en-GB"/>
        </w:rPr>
        <w:footnoteReference w:id="52"/>
      </w:r>
      <w:r>
        <w:rPr>
          <w:rFonts w:ascii="Times New Roman" w:hAnsi="Times New Roman"/>
          <w:noProof/>
          <w:sz w:val="24"/>
          <w:szCs w:val="24"/>
        </w:rPr>
        <w:t xml:space="preserve"> и споделени от доставчиците на обучение на национално равнище и равнище ЕС, ще бъдат силно насърчавани, както и обучението, насочено към разпространителите, като например обучители.</w:t>
      </w:r>
    </w:p>
    <w:p>
      <w:pPr>
        <w:pStyle w:val="Heading2"/>
        <w:tabs>
          <w:tab w:val="clear" w:pos="1077"/>
        </w:tabs>
        <w:ind w:left="709" w:hanging="709"/>
        <w:rPr>
          <w:noProof/>
        </w:rPr>
      </w:pPr>
      <w:r>
        <w:rPr>
          <w:noProof/>
        </w:rPr>
        <w:t>Наблюдение</w:t>
      </w:r>
    </w:p>
    <w:p>
      <w:pPr>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Комисията ще продължи да </w:t>
      </w:r>
      <w:r>
        <w:rPr>
          <w:rFonts w:ascii="Times New Roman" w:hAnsi="Times New Roman"/>
          <w:b/>
          <w:bCs/>
          <w:noProof/>
          <w:color w:val="000000" w:themeColor="text1"/>
          <w:sz w:val="24"/>
          <w:szCs w:val="24"/>
        </w:rPr>
        <w:t>докладва</w:t>
      </w:r>
      <w:r>
        <w:rPr>
          <w:rFonts w:ascii="Times New Roman" w:hAnsi="Times New Roman"/>
          <w:noProof/>
          <w:color w:val="000000" w:themeColor="text1"/>
          <w:sz w:val="24"/>
          <w:szCs w:val="24"/>
        </w:rPr>
        <w:t xml:space="preserve"> за напредъка в обучението по правото на Съюза за специалисти в областта на правосъдието. Заедно със заинтересованите страни ще обсъди начините за подобряване на събирането и анализа на данни.</w:t>
      </w:r>
      <w:bookmarkEnd w:id="5"/>
    </w:p>
    <w:p>
      <w:pPr>
        <w:spacing w:after="160" w:line="259" w:lineRule="auto"/>
        <w:rPr>
          <w:rFonts w:ascii="Times New Roman" w:hAnsi="Times New Roman" w:cs="Times New Roman"/>
          <w:b/>
          <w:bCs/>
          <w:i/>
          <w:iCs/>
          <w:noProof/>
          <w:sz w:val="24"/>
          <w:szCs w:val="24"/>
        </w:rPr>
      </w:pPr>
    </w:p>
    <w:p>
      <w:pPr>
        <w:pBdr>
          <w:top w:val="single" w:sz="4" w:space="1" w:color="auto"/>
          <w:left w:val="single" w:sz="4" w:space="4" w:color="auto"/>
          <w:bottom w:val="single" w:sz="4" w:space="15" w:color="auto"/>
          <w:right w:val="single" w:sz="4" w:space="4" w:color="auto"/>
        </w:pBdr>
        <w:spacing w:after="120"/>
        <w:jc w:val="both"/>
        <w:rPr>
          <w:rFonts w:ascii="Times New Roman" w:hAnsi="Times New Roman" w:cs="Times New Roman"/>
          <w:b/>
          <w:bCs/>
          <w:i/>
          <w:iCs/>
          <w:noProof/>
          <w:sz w:val="24"/>
          <w:szCs w:val="24"/>
        </w:rPr>
      </w:pPr>
      <w:r>
        <w:rPr>
          <w:rFonts w:ascii="Times New Roman" w:hAnsi="Times New Roman"/>
          <w:b/>
          <w:bCs/>
          <w:i/>
          <w:iCs/>
          <w:noProof/>
          <w:sz w:val="24"/>
          <w:szCs w:val="24"/>
        </w:rPr>
        <w:t>Препоръки:</w:t>
      </w:r>
    </w:p>
    <w:p>
      <w:pPr>
        <w:pStyle w:val="ListBullet2"/>
        <w:pBdr>
          <w:top w:val="single" w:sz="4" w:space="1" w:color="auto"/>
          <w:left w:val="single" w:sz="4" w:space="4" w:color="auto"/>
          <w:bottom w:val="single" w:sz="4" w:space="15" w:color="auto"/>
          <w:right w:val="single" w:sz="4" w:space="4" w:color="auto"/>
        </w:pBdr>
        <w:spacing w:after="120" w:line="276" w:lineRule="auto"/>
        <w:rPr>
          <w:rFonts w:eastAsia="Calibri"/>
          <w:noProof/>
        </w:rPr>
      </w:pPr>
      <w:r>
        <w:rPr>
          <w:b/>
          <w:bCs/>
          <w:noProof/>
        </w:rPr>
        <w:t>Всички държави членки</w:t>
      </w:r>
      <w:r>
        <w:rPr>
          <w:noProof/>
        </w:rPr>
        <w:t xml:space="preserve"> — да създадат </w:t>
      </w:r>
      <w:r>
        <w:rPr>
          <w:b/>
          <w:bCs/>
          <w:noProof/>
        </w:rPr>
        <w:t>национална мрежа</w:t>
      </w:r>
      <w:r>
        <w:rPr>
          <w:noProof/>
        </w:rPr>
        <w:t xml:space="preserve"> </w:t>
      </w:r>
      <w:r>
        <w:rPr>
          <w:b/>
          <w:bCs/>
          <w:noProof/>
        </w:rPr>
        <w:t>от координатори в областта на правото на Съюза</w:t>
      </w:r>
      <w:r>
        <w:rPr>
          <w:noProof/>
        </w:rPr>
        <w:t xml:space="preserve"> за съдии и прокурори; да насърчават трансграничното сътрудничество между такива мрежи.</w:t>
      </w:r>
    </w:p>
    <w:p>
      <w:pPr>
        <w:pStyle w:val="ListBullet2"/>
        <w:pBdr>
          <w:top w:val="single" w:sz="4" w:space="1" w:color="auto"/>
          <w:left w:val="single" w:sz="4" w:space="4" w:color="auto"/>
          <w:bottom w:val="single" w:sz="4" w:space="15" w:color="auto"/>
          <w:right w:val="single" w:sz="4" w:space="4" w:color="auto"/>
        </w:pBdr>
        <w:spacing w:after="120" w:line="276" w:lineRule="auto"/>
        <w:rPr>
          <w:rFonts w:eastAsia="Calibri"/>
          <w:noProof/>
        </w:rPr>
      </w:pPr>
      <w:r>
        <w:rPr>
          <w:b/>
          <w:bCs/>
          <w:noProof/>
        </w:rPr>
        <w:t>Други професии в областта на правосъдието</w:t>
      </w:r>
      <w:r>
        <w:rPr>
          <w:noProof/>
        </w:rPr>
        <w:t> — да създадат подобни позиции в подкрепа на партньорското обучение на работното място.</w:t>
      </w:r>
    </w:p>
    <w:p>
      <w:pPr>
        <w:pBdr>
          <w:top w:val="single" w:sz="4" w:space="1" w:color="auto"/>
          <w:left w:val="single" w:sz="4" w:space="4" w:color="auto"/>
          <w:bottom w:val="single" w:sz="4" w:space="15"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b/>
          <w:bCs/>
          <w:i/>
          <w:iCs/>
          <w:noProof/>
          <w:sz w:val="24"/>
          <w:szCs w:val="24"/>
        </w:rPr>
        <w:t>Действия за заинтересованите страни:</w:t>
      </w:r>
    </w:p>
    <w:p>
      <w:pPr>
        <w:pStyle w:val="ListBullet2"/>
        <w:pBdr>
          <w:top w:val="single" w:sz="4" w:space="1" w:color="auto"/>
          <w:left w:val="single" w:sz="4" w:space="4" w:color="auto"/>
          <w:bottom w:val="single" w:sz="4" w:space="15" w:color="auto"/>
          <w:right w:val="single" w:sz="4" w:space="4" w:color="auto"/>
        </w:pBdr>
        <w:spacing w:after="120" w:line="276" w:lineRule="auto"/>
        <w:rPr>
          <w:noProof/>
        </w:rPr>
      </w:pPr>
      <w:r>
        <w:rPr>
          <w:b/>
          <w:bCs/>
          <w:noProof/>
        </w:rPr>
        <w:t>Европейска мрежа за съдебно обучение</w:t>
      </w:r>
      <w:r>
        <w:rPr>
          <w:noProof/>
        </w:rPr>
        <w:t xml:space="preserve"> — предоставяне на </w:t>
      </w:r>
      <w:r>
        <w:rPr>
          <w:b/>
          <w:bCs/>
          <w:noProof/>
        </w:rPr>
        <w:t>качествено обучение</w:t>
      </w:r>
      <w:r>
        <w:rPr>
          <w:noProof/>
        </w:rPr>
        <w:t>, включително електронно, за съдиите и прокурорите, задоволяване на потребностите на съдебните служители и повишаване на мултиплициращия ефект от резултатите на равнище ЕС чрез засилване на предлагането на обучение на своите членове по правото на Съюза.</w:t>
      </w:r>
    </w:p>
    <w:p>
      <w:pPr>
        <w:pStyle w:val="ListBullet2"/>
        <w:pBdr>
          <w:top w:val="single" w:sz="4" w:space="1" w:color="auto"/>
          <w:left w:val="single" w:sz="4" w:space="4" w:color="auto"/>
          <w:bottom w:val="single" w:sz="4" w:space="15" w:color="auto"/>
          <w:right w:val="single" w:sz="4" w:space="4" w:color="auto"/>
        </w:pBdr>
        <w:spacing w:after="120" w:line="276" w:lineRule="auto"/>
        <w:rPr>
          <w:noProof/>
          <w:color w:val="000000" w:themeColor="text1"/>
        </w:rPr>
      </w:pPr>
      <w:r>
        <w:rPr>
          <w:b/>
          <w:bCs/>
          <w:noProof/>
        </w:rPr>
        <w:t>Мрежи, доставчици на обучение и организации за специалисти в областта на правосъдието на равнище ЕС</w:t>
      </w:r>
      <w:r>
        <w:rPr>
          <w:noProof/>
        </w:rPr>
        <w:t xml:space="preserve"> — допълнително насърчаване, координиране и/или организиране на </w:t>
      </w:r>
      <w:r>
        <w:rPr>
          <w:b/>
          <w:bCs/>
          <w:noProof/>
        </w:rPr>
        <w:t>трансгранични дейности по обучение</w:t>
      </w:r>
      <w:r>
        <w:rPr>
          <w:noProof/>
        </w:rPr>
        <w:t>, включително интерактивни онлайн обучения, и същевременно умножаване на ефекта на обучението.</w:t>
      </w:r>
    </w:p>
    <w:p>
      <w:pPr>
        <w:pBdr>
          <w:top w:val="single" w:sz="4" w:space="1" w:color="auto"/>
          <w:left w:val="single" w:sz="4" w:space="4" w:color="auto"/>
          <w:bottom w:val="single" w:sz="4" w:space="15" w:color="auto"/>
          <w:right w:val="single" w:sz="4" w:space="4" w:color="auto"/>
        </w:pBdr>
        <w:spacing w:after="120"/>
        <w:jc w:val="both"/>
        <w:rPr>
          <w:rFonts w:ascii="Times New Roman" w:hAnsi="Times New Roman" w:cs="Times New Roman"/>
          <w:noProof/>
          <w:color w:val="000000" w:themeColor="text1"/>
          <w:sz w:val="24"/>
          <w:szCs w:val="24"/>
        </w:rPr>
      </w:pPr>
      <w:r>
        <w:rPr>
          <w:rFonts w:ascii="Times New Roman" w:hAnsi="Times New Roman"/>
          <w:b/>
          <w:bCs/>
          <w:i/>
          <w:iCs/>
          <w:noProof/>
          <w:sz w:val="24"/>
          <w:szCs w:val="24"/>
        </w:rPr>
        <w:t>Действия за Комисията:</w:t>
      </w:r>
    </w:p>
    <w:p>
      <w:pPr>
        <w:pStyle w:val="ListBullet2"/>
        <w:pBdr>
          <w:top w:val="single" w:sz="4" w:space="1" w:color="auto"/>
          <w:left w:val="single" w:sz="4" w:space="4" w:color="auto"/>
          <w:bottom w:val="single" w:sz="4" w:space="15" w:color="auto"/>
          <w:right w:val="single" w:sz="4" w:space="4" w:color="auto"/>
        </w:pBdr>
        <w:spacing w:after="120" w:line="276" w:lineRule="auto"/>
        <w:rPr>
          <w:noProof/>
        </w:rPr>
      </w:pPr>
      <w:r>
        <w:rPr>
          <w:noProof/>
        </w:rPr>
        <w:t xml:space="preserve">подпомагане на </w:t>
      </w:r>
      <w:r>
        <w:rPr>
          <w:b/>
          <w:bCs/>
          <w:noProof/>
        </w:rPr>
        <w:t>сътрудничеството между заинтересованите страни</w:t>
      </w:r>
      <w:r>
        <w:rPr>
          <w:noProof/>
        </w:rPr>
        <w:t>, за да се съдейства за постигането на целите на тази стратегия;</w:t>
      </w:r>
    </w:p>
    <w:p>
      <w:pPr>
        <w:pStyle w:val="ListBullet2"/>
        <w:pBdr>
          <w:top w:val="single" w:sz="4" w:space="1" w:color="auto"/>
          <w:left w:val="single" w:sz="4" w:space="4" w:color="auto"/>
          <w:bottom w:val="single" w:sz="4" w:space="15" w:color="auto"/>
          <w:right w:val="single" w:sz="4" w:space="4" w:color="auto"/>
        </w:pBdr>
        <w:spacing w:after="120" w:line="276" w:lineRule="auto"/>
        <w:rPr>
          <w:noProof/>
        </w:rPr>
      </w:pPr>
      <w:r>
        <w:rPr>
          <w:noProof/>
        </w:rPr>
        <w:t xml:space="preserve">предоставяне на финансова подкрепа от страна на ЕС за </w:t>
      </w:r>
      <w:r>
        <w:rPr>
          <w:b/>
          <w:bCs/>
          <w:noProof/>
        </w:rPr>
        <w:t>висококачествени проекти</w:t>
      </w:r>
      <w:r>
        <w:rPr>
          <w:noProof/>
        </w:rPr>
        <w:t xml:space="preserve">, които отговарят на конкретните нужди от обучение по </w:t>
      </w:r>
      <w:r>
        <w:rPr>
          <w:b/>
          <w:bCs/>
          <w:noProof/>
        </w:rPr>
        <w:t>устойчив</w:t>
      </w:r>
      <w:r>
        <w:rPr>
          <w:noProof/>
        </w:rPr>
        <w:t xml:space="preserve"> начин, и за Европейската мрежа за съдебно обучение чрез програма „Правосъдие“;</w:t>
      </w:r>
    </w:p>
    <w:p>
      <w:pPr>
        <w:pStyle w:val="ListBullet2"/>
        <w:pBdr>
          <w:top w:val="single" w:sz="4" w:space="1" w:color="auto"/>
          <w:left w:val="single" w:sz="4" w:space="4" w:color="auto"/>
          <w:bottom w:val="single" w:sz="4" w:space="15" w:color="auto"/>
          <w:right w:val="single" w:sz="4" w:space="4" w:color="auto"/>
        </w:pBdr>
        <w:spacing w:after="200" w:line="276" w:lineRule="auto"/>
        <w:rPr>
          <w:noProof/>
        </w:rPr>
      </w:pPr>
      <w:r>
        <w:rPr>
          <w:noProof/>
        </w:rPr>
        <w:t xml:space="preserve">в сътрудничество със заинтересованите страни, създаване на подобрена система за </w:t>
      </w:r>
      <w:r>
        <w:rPr>
          <w:b/>
          <w:bCs/>
          <w:noProof/>
        </w:rPr>
        <w:t>наблюдение</w:t>
      </w:r>
      <w:r>
        <w:rPr>
          <w:noProof/>
        </w:rPr>
        <w:t>.</w:t>
      </w:r>
    </w:p>
    <w:p>
      <w:pPr>
        <w:pStyle w:val="Heading1"/>
        <w:numPr>
          <w:ilvl w:val="0"/>
          <w:numId w:val="69"/>
        </w:numPr>
        <w:spacing w:before="200" w:after="200"/>
        <w:rPr>
          <w:noProof/>
        </w:rPr>
      </w:pPr>
      <w:r>
        <w:rPr>
          <w:noProof/>
        </w:rPr>
        <w:t>Заключение</w:t>
      </w:r>
    </w:p>
    <w:p>
      <w:pPr>
        <w:jc w:val="both"/>
        <w:rPr>
          <w:rFonts w:ascii="Times New Roman" w:hAnsi="Times New Roman" w:cs="Times New Roman"/>
          <w:noProof/>
          <w:sz w:val="24"/>
          <w:szCs w:val="24"/>
        </w:rPr>
      </w:pPr>
      <w:r>
        <w:rPr>
          <w:rFonts w:ascii="Times New Roman" w:hAnsi="Times New Roman"/>
          <w:noProof/>
          <w:sz w:val="24"/>
          <w:szCs w:val="24"/>
        </w:rPr>
        <w:t>Европейската стратегия за съдебно обучение през периода 2021</w:t>
      </w:r>
      <w:r>
        <w:rPr>
          <w:rFonts w:ascii="Times New Roman" w:hAnsi="Times New Roman"/>
          <w:b/>
          <w:bCs/>
          <w:noProof/>
          <w:sz w:val="24"/>
          <w:szCs w:val="24"/>
        </w:rPr>
        <w:t>—</w:t>
      </w:r>
      <w:r>
        <w:rPr>
          <w:rFonts w:ascii="Times New Roman" w:hAnsi="Times New Roman"/>
          <w:noProof/>
          <w:sz w:val="24"/>
          <w:szCs w:val="24"/>
        </w:rPr>
        <w:t>2024 г. очертава рамката на амбициозен набор от ключови действия за засилване на правилното и ефективно прилагане на правото на ЕС. Целта ѝ е да се утвърди обща европейска съдебна култура, основана на върховенството на закона, основните права и взаимното доверие.</w:t>
      </w:r>
    </w:p>
    <w:p>
      <w:pPr>
        <w:jc w:val="both"/>
        <w:rPr>
          <w:rFonts w:ascii="Times New Roman" w:hAnsi="Times New Roman" w:cs="Times New Roman"/>
          <w:noProof/>
          <w:sz w:val="24"/>
          <w:szCs w:val="24"/>
        </w:rPr>
      </w:pPr>
      <w:r>
        <w:rPr>
          <w:rFonts w:ascii="Times New Roman" w:hAnsi="Times New Roman"/>
          <w:noProof/>
          <w:sz w:val="24"/>
          <w:szCs w:val="24"/>
        </w:rPr>
        <w:t>За да се гарантира успехът на стратегията, Комисията призовава всички заинтересовани страни — министерства на правосъдието, съдебни съвети и прокуратура, съвети на самостоятелно регулираните професии, европейски асоциации на специалистите в областта на правосъдието, доставчици на обучение на национално равнище и на равнище ЕС, институции на ЕС и органи — да се ангажират с постигането на нейните количествени и качествени цели.</w:t>
      </w:r>
    </w:p>
    <w:p>
      <w:pPr>
        <w:jc w:val="both"/>
        <w:rPr>
          <w:rFonts w:ascii="Times New Roman" w:hAnsi="Times New Roman" w:cs="Times New Roman"/>
          <w:noProof/>
          <w:sz w:val="24"/>
          <w:szCs w:val="24"/>
        </w:rPr>
      </w:pPr>
      <w:r>
        <w:rPr>
          <w:rFonts w:ascii="Times New Roman" w:hAnsi="Times New Roman"/>
          <w:noProof/>
          <w:sz w:val="24"/>
          <w:szCs w:val="24"/>
        </w:rPr>
        <w:t>Комисията ще наблюдава редовно изпълнението на стратегията и ще работи с останалите институции на ЕС, за да осигури необходимата политическа подкрепа за постигането на целите.</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84847"/>
      <w:docPartObj>
        <w:docPartGallery w:val="Page Numbers (Bottom of Page)"/>
        <w:docPartUnique/>
      </w:docPartObj>
    </w:sdtPr>
    <w:sdtEndPr>
      <w:rPr>
        <w:rFonts w:ascii="Times New Roman" w:hAnsi="Times New Roman" w:cs="Times New Roman"/>
        <w:sz w:val="24"/>
        <w:szCs w:val="24"/>
      </w:rPr>
    </w:sdtEndPr>
    <w:sdtContent>
      <w:p>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noProof/>
            <w:sz w:val="24"/>
            <w:szCs w:val="24"/>
          </w:rPr>
          <w:t>1</w:t>
        </w:r>
        <w:r>
          <w:rPr>
            <w:rFonts w:ascii="Times New Roman" w:hAnsi="Times New Roman" w:cs="Times New Roman"/>
            <w:sz w:val="24"/>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Член 81, параграф 2, буква з) и член 82, параграф 1, буква в) от Договора за функционирането на ЕС.</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COM(2011) 551 окончателен.</w:t>
      </w:r>
    </w:p>
  </w:footnote>
  <w:footnote w:id="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i/>
          <w:iCs/>
        </w:rPr>
        <w:t>Съдебно обучение в държавите — членки на ЕС</w:t>
      </w:r>
      <w:r>
        <w:rPr>
          <w:rFonts w:ascii="Times New Roman" w:hAnsi="Times New Roman"/>
        </w:rPr>
        <w:t>, проучване на Европейския парламент (IPOL-JURI-ET(2011)453.198).</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i/>
          <w:iCs/>
        </w:rPr>
        <w:t>Оценка на европейската стратегия за съдебно обучение за периода 2011—2020 г.</w:t>
      </w:r>
      <w:r>
        <w:rPr>
          <w:rFonts w:ascii="Times New Roman" w:hAnsi="Times New Roman"/>
        </w:rPr>
        <w:t xml:space="preserve">, работен документ на службите на Комисията (SWD (2019) 380). </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Доклади от генерална дирекция „Правосъдие и потребители“ на Комисията.</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1" w:history="1">
        <w:r>
          <w:rPr>
            <w:rStyle w:val="Hyperlink"/>
            <w:rFonts w:ascii="Times New Roman" w:hAnsi="Times New Roman"/>
          </w:rPr>
          <w:t>https://ec.europa.eu/info/consultations/training-justice-professionals-eu-law-evaluation_bg</w:t>
        </w:r>
      </w:hyperlink>
    </w:p>
  </w:footnote>
  <w:footnote w:id="8">
    <w:p>
      <w:pPr>
        <w:pStyle w:val="FootnoteText"/>
        <w:ind w:left="284" w:hanging="284"/>
        <w:jc w:val="both"/>
        <w:rPr>
          <w:rFonts w:ascii="Times New Roman" w:eastAsia="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Съобщения на Комисията, </w:t>
      </w:r>
      <w:r>
        <w:rPr>
          <w:rFonts w:ascii="Times New Roman" w:hAnsi="Times New Roman"/>
          <w:i/>
          <w:iCs/>
        </w:rPr>
        <w:t xml:space="preserve">Укрепване на върховенството на закона в Съюза: план за действие </w:t>
      </w:r>
      <w:r>
        <w:rPr>
          <w:rFonts w:ascii="Times New Roman" w:hAnsi="Times New Roman"/>
        </w:rPr>
        <w:t xml:space="preserve">(COM (2019) 343 final) и </w:t>
      </w:r>
      <w:r>
        <w:rPr>
          <w:rFonts w:ascii="Times New Roman" w:hAnsi="Times New Roman"/>
          <w:i/>
          <w:iCs/>
        </w:rPr>
        <w:t>Доклад относно върховенството на закона за 2020 г.: Ситуация в областта на върховенството а закона в Европейския съюз</w:t>
      </w:r>
      <w:r>
        <w:rPr>
          <w:rFonts w:ascii="Times New Roman" w:hAnsi="Times New Roman"/>
        </w:rPr>
        <w:t xml:space="preserve"> (COM(2020) 580 final).</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Вж. Общия регламент относно защитата на данните, Директивата относно правоприлагането в областта на защитата на данните и най-новата съдебна практика на Съда на Европейския съюз, напр. решението от 8 април 2014 г., </w:t>
      </w:r>
      <w:r>
        <w:rPr>
          <w:rFonts w:ascii="Times New Roman" w:hAnsi="Times New Roman"/>
          <w:i/>
          <w:iCs/>
        </w:rPr>
        <w:t>Digital Rights</w:t>
      </w:r>
      <w:r>
        <w:rPr>
          <w:rFonts w:ascii="Times New Roman" w:hAnsi="Times New Roman"/>
        </w:rPr>
        <w:t xml:space="preserve">, съединени дела C-293/12 и C-594/12; решение от 21 декември 2016 г., </w:t>
      </w:r>
      <w:r>
        <w:rPr>
          <w:rFonts w:ascii="Times New Roman" w:hAnsi="Times New Roman"/>
          <w:i/>
          <w:iCs/>
        </w:rPr>
        <w:t>Tele2 Sverige</w:t>
      </w:r>
      <w:r>
        <w:rPr>
          <w:rFonts w:ascii="Times New Roman" w:hAnsi="Times New Roman"/>
        </w:rPr>
        <w:t>, C-203/15.</w:t>
      </w:r>
    </w:p>
  </w:footnote>
  <w:footnote w:id="10">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 xml:space="preserve">Съобщение на Комисията, </w:t>
      </w:r>
      <w:r>
        <w:rPr>
          <w:rFonts w:ascii="Times New Roman" w:hAnsi="Times New Roman"/>
          <w:i/>
          <w:color w:val="000000" w:themeColor="text1"/>
        </w:rPr>
        <w:t>Стратегия за засилване прилагането на Хартата на основните права в ЕС</w:t>
      </w:r>
      <w:r>
        <w:rPr>
          <w:rFonts w:ascii="Times New Roman" w:hAnsi="Times New Roman"/>
          <w:color w:val="000000" w:themeColor="text1"/>
        </w:rPr>
        <w:t xml:space="preserve"> (</w:t>
      </w:r>
      <w:r>
        <w:rPr>
          <w:rFonts w:ascii="Times New Roman" w:eastAsia="Times New Roman" w:hAnsi="Times New Roman" w:cs="Times New Roman"/>
          <w:lang w:eastAsia="fr-BE"/>
        </w:rPr>
        <w:t>COM(2020) 711 final</w:t>
      </w:r>
      <w:r>
        <w:rPr>
          <w:rFonts w:ascii="Times New Roman" w:hAnsi="Times New Roman"/>
          <w:color w:val="000000" w:themeColor="text1"/>
        </w:rPr>
        <w:t>).</w:t>
      </w:r>
    </w:p>
  </w:footnote>
  <w:footnote w:id="1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В съответствие със Съобщението на </w:t>
      </w:r>
      <w:r>
        <w:rPr>
          <w:rFonts w:ascii="Times New Roman" w:hAnsi="Times New Roman"/>
          <w:color w:val="000000" w:themeColor="text1"/>
        </w:rPr>
        <w:t xml:space="preserve">Комисията относно </w:t>
      </w:r>
      <w:r>
        <w:rPr>
          <w:rFonts w:ascii="Times New Roman" w:hAnsi="Times New Roman"/>
          <w:i/>
          <w:iCs/>
          <w:color w:val="000000" w:themeColor="text1"/>
        </w:rPr>
        <w:t>цифровизацията на правосъдието в ЕС</w:t>
      </w:r>
      <w:r>
        <w:rPr>
          <w:rFonts w:ascii="Times New Roman" w:hAnsi="Times New Roman"/>
          <w:color w:val="000000" w:themeColor="text1"/>
        </w:rPr>
        <w:t xml:space="preserve"> (</w:t>
      </w:r>
      <w:r>
        <w:rPr>
          <w:rFonts w:ascii="Times New Roman" w:eastAsia="Times New Roman" w:hAnsi="Times New Roman" w:cs="Times New Roman"/>
          <w:lang w:eastAsia="fr-BE"/>
        </w:rPr>
        <w:t>COM(2020) 710 final</w:t>
      </w:r>
      <w:r>
        <w:rPr>
          <w:rFonts w:ascii="Times New Roman" w:hAnsi="Times New Roman"/>
        </w:rPr>
        <w:t>).</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Заключения на Съвета</w:t>
      </w:r>
      <w:r>
        <w:rPr>
          <w:rFonts w:ascii="Times New Roman" w:hAnsi="Times New Roman"/>
          <w:i/>
          <w:iCs/>
        </w:rPr>
        <w:t xml:space="preserve"> „Достъп до правосъдие — оползотворяване на възможностите на цифровизацията“</w:t>
      </w:r>
      <w:r>
        <w:rPr>
          <w:rFonts w:ascii="Times New Roman" w:hAnsi="Times New Roman"/>
        </w:rPr>
        <w:t xml:space="preserve"> (2020/C 342 I/01).</w:t>
      </w:r>
    </w:p>
  </w:footnote>
  <w:footnote w:id="1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Съобщение на Комисията, </w:t>
      </w:r>
      <w:r>
        <w:rPr>
          <w:rFonts w:ascii="Times New Roman" w:hAnsi="Times New Roman"/>
          <w:i/>
          <w:iCs/>
        </w:rPr>
        <w:t>Стратегия на ЕС за правата на жертвите (2020—2025 г.)</w:t>
      </w:r>
      <w:r>
        <w:rPr>
          <w:rFonts w:ascii="Times New Roman" w:hAnsi="Times New Roman"/>
        </w:rPr>
        <w:t xml:space="preserve"> (COM(2020) 258 final).</w:t>
      </w:r>
    </w:p>
  </w:footnote>
  <w:footnote w:id="14">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Предстояща</w:t>
      </w:r>
      <w:r>
        <w:rPr>
          <w:rFonts w:ascii="Times New Roman" w:hAnsi="Times New Roman"/>
          <w:color w:val="000000" w:themeColor="text1"/>
        </w:rPr>
        <w:t xml:space="preserve"> </w:t>
      </w:r>
      <w:r>
        <w:rPr>
          <w:rFonts w:ascii="Times New Roman" w:hAnsi="Times New Roman"/>
          <w:i/>
          <w:iCs/>
          <w:color w:val="000000" w:themeColor="text1"/>
        </w:rPr>
        <w:t>Стратегия на ЕС за правата на детето</w:t>
      </w:r>
      <w:r>
        <w:rPr>
          <w:rFonts w:ascii="Times New Roman" w:hAnsi="Times New Roman"/>
          <w:color w:val="000000" w:themeColor="text1"/>
        </w:rPr>
        <w:t xml:space="preserve"> (която ще бъде приета през 2021 г.).</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Вж. Ръководството на Международната комисия на юристите „</w:t>
      </w:r>
      <w:r>
        <w:rPr>
          <w:rFonts w:ascii="Times New Roman" w:hAnsi="Times New Roman"/>
          <w:i/>
          <w:iCs/>
        </w:rPr>
        <w:t>Достъп до правосъдие на жени в случаите на насилие, основано на пола“</w:t>
      </w:r>
      <w:r>
        <w:rPr>
          <w:rFonts w:ascii="Times New Roman" w:hAnsi="Times New Roman"/>
        </w:rPr>
        <w:t xml:space="preserve">: </w:t>
      </w:r>
      <w:hyperlink r:id="rId2" w:history="1">
        <w:r>
          <w:rPr>
            <w:rStyle w:val="Hyperlink"/>
            <w:rFonts w:ascii="Times New Roman" w:hAnsi="Times New Roman"/>
          </w:rPr>
          <w:t>http://www.icj.org/wp-content/uploads/2016/03/Universal-Womens-accesss-to-justice-Publications-Practitioners-Guide-Series-2016-ENG.pdf</w:t>
        </w:r>
      </w:hyperlink>
    </w:p>
  </w:footnote>
  <w:footnote w:id="1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Професионално обучение през целия живот.</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То включва </w:t>
      </w:r>
      <w:r>
        <w:rPr>
          <w:rFonts w:ascii="Times New Roman" w:hAnsi="Times New Roman"/>
          <w:color w:val="000000" w:themeColor="text1"/>
        </w:rPr>
        <w:t>обучение по уникалните механизми за сътрудничество в областта на правоприлагането, напр. съгласно Регламента за сътрудничество в областта на защитата на потребителите (СОЗП) (Регламент (ЕС) 2017/2394).</w:t>
      </w:r>
    </w:p>
  </w:footnote>
  <w:footnote w:id="1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color w:val="000000"/>
        </w:rPr>
        <w:t>Напр.</w:t>
      </w:r>
      <w:r>
        <w:rPr>
          <w:rFonts w:ascii="Times New Roman" w:hAnsi="Times New Roman"/>
        </w:rPr>
        <w:t>недобросъвестни търговци, прибягващи до нелоялни търговски практики, масова отмяна на полети, без да се зачитат правата на потребителите на възстановяване на разходите.</w:t>
      </w:r>
    </w:p>
  </w:footnote>
  <w:footnote w:id="19">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tab/>
      </w:r>
      <w:r>
        <w:rPr>
          <w:rFonts w:ascii="Times New Roman" w:hAnsi="Times New Roman"/>
        </w:rPr>
        <w:t xml:space="preserve">Съобщение на Комисията, </w:t>
      </w:r>
      <w:r>
        <w:rPr>
          <w:rFonts w:ascii="Times New Roman" w:hAnsi="Times New Roman"/>
          <w:i/>
          <w:iCs/>
          <w:color w:val="000000" w:themeColor="text1"/>
        </w:rPr>
        <w:t>Дългосрочен план за действие за по</w:t>
      </w:r>
      <w:r>
        <w:rPr>
          <w:rFonts w:ascii="Times New Roman" w:hAnsi="Times New Roman"/>
          <w:i/>
          <w:iCs/>
          <w:color w:val="000000" w:themeColor="text1"/>
        </w:rPr>
        <w:noBreakHyphen/>
        <w:t>добро изпълнение и ефективно прилагане на правилата на единния пазар</w:t>
      </w:r>
      <w:r>
        <w:rPr>
          <w:rFonts w:ascii="Times New Roman" w:hAnsi="Times New Roman"/>
          <w:color w:val="000000" w:themeColor="text1"/>
        </w:rPr>
        <w:t xml:space="preserve"> (COM(2020) 94 final).</w:t>
      </w:r>
    </w:p>
  </w:footnote>
  <w:footnote w:id="20">
    <w:p>
      <w:pPr>
        <w:pStyle w:val="NormalWeb"/>
        <w:spacing w:before="0" w:beforeAutospacing="0" w:after="0" w:afterAutospacing="0"/>
        <w:ind w:left="284" w:hanging="284"/>
        <w:rPr>
          <w:sz w:val="20"/>
          <w:szCs w:val="20"/>
        </w:rPr>
      </w:pPr>
      <w:r>
        <w:rPr>
          <w:rStyle w:val="FootnoteReference"/>
          <w:sz w:val="20"/>
          <w:szCs w:val="20"/>
        </w:rPr>
        <w:footnoteRef/>
      </w:r>
      <w:r>
        <w:t xml:space="preserve"> </w:t>
      </w:r>
      <w:r>
        <w:rPr>
          <w:sz w:val="20"/>
          <w:szCs w:val="20"/>
        </w:rPr>
        <w:t xml:space="preserve">Съобщение на Комисията, </w:t>
      </w:r>
      <w:r>
        <w:rPr>
          <w:i/>
          <w:iCs/>
          <w:sz w:val="20"/>
          <w:szCs w:val="20"/>
        </w:rPr>
        <w:t>Закрила на инвестициите в рамките на ЕС</w:t>
      </w:r>
      <w:r>
        <w:rPr>
          <w:sz w:val="20"/>
          <w:szCs w:val="20"/>
        </w:rPr>
        <w:t xml:space="preserve"> (COM(2018) 547 final).</w:t>
      </w:r>
    </w:p>
  </w:footnote>
  <w:footnote w:id="21">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Напр. кибератаки в областта на здравеопазването, търговията с лекарствени продукти, нарушаващи правата на интелектуалната собственост, измами, включващи предпазни средства или тестове за COVID-19, и незаконното изхвърляне на санитарни отпадъци.</w:t>
      </w:r>
    </w:p>
  </w:footnote>
  <w:footnote w:id="2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3" w:history="1">
        <w:r>
          <w:rPr>
            <w:rStyle w:val="Hyperlink"/>
            <w:rFonts w:ascii="Times New Roman" w:hAnsi="Times New Roman"/>
          </w:rPr>
          <w:t>https://www.cepol.europa.eu/media/news/cepol-issues-fast-track-needs-analysis-impact-covid-19-law-enforcement-training</w:t>
        </w:r>
      </w:hyperlink>
    </w:p>
  </w:footnote>
  <w:footnote w:id="2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T. е. наборът от умения и нагласи на съдията.</w:t>
      </w:r>
    </w:p>
  </w:footnote>
  <w:footnote w:id="2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color w:val="000000" w:themeColor="text1"/>
        </w:rPr>
        <w:t xml:space="preserve">Вж. бележка под линия 5 и </w:t>
      </w:r>
      <w:r>
        <w:rPr>
          <w:rFonts w:ascii="Times New Roman" w:hAnsi="Times New Roman"/>
        </w:rPr>
        <w:t xml:space="preserve">доклада за 2020 г.; </w:t>
      </w:r>
      <w:hyperlink r:id="rId4" w:history="1">
        <w:r>
          <w:rPr>
            <w:rStyle w:val="Hyperlink"/>
            <w:rFonts w:ascii="Times New Roman" w:hAnsi="Times New Roman"/>
          </w:rPr>
          <w:t>https://ec.europa.eu/info/law/cross-border-cases/training-legal-practitioners-and-training-practices_bg</w:t>
        </w:r>
      </w:hyperlink>
      <w:r>
        <w:rPr>
          <w:rFonts w:ascii="Times New Roman" w:hAnsi="Times New Roman"/>
        </w:rPr>
        <w:t>.</w:t>
      </w:r>
    </w:p>
  </w:footnote>
  <w:footnote w:id="2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Отнася се до всички юрисдикции, включително административните.</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Вж. Съобщение на Комисията (COM(2013) 172).</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Вж. решение от 5 април 2016 г., </w:t>
      </w:r>
      <w:r>
        <w:rPr>
          <w:rFonts w:ascii="Times New Roman" w:hAnsi="Times New Roman"/>
          <w:i/>
          <w:iCs/>
        </w:rPr>
        <w:t>PPU Aranyosi and Căldăraru</w:t>
      </w:r>
      <w:r>
        <w:rPr>
          <w:rFonts w:ascii="Times New Roman" w:hAnsi="Times New Roman"/>
        </w:rPr>
        <w:t xml:space="preserve">, C-404/15 и C-659/15, решение от 25 юли 2018 г., </w:t>
      </w:r>
      <w:r>
        <w:rPr>
          <w:rFonts w:ascii="Times New Roman" w:hAnsi="Times New Roman"/>
          <w:i/>
          <w:iCs/>
        </w:rPr>
        <w:t>PPU ML</w:t>
      </w:r>
      <w:r>
        <w:rPr>
          <w:rFonts w:ascii="Times New Roman" w:hAnsi="Times New Roman"/>
        </w:rPr>
        <w:t xml:space="preserve">, C-220/18, и решение от 15 октомври 2019 г., </w:t>
      </w:r>
      <w:r>
        <w:rPr>
          <w:rFonts w:ascii="Times New Roman" w:hAnsi="Times New Roman"/>
          <w:i/>
          <w:iCs/>
        </w:rPr>
        <w:t>Dorobantu</w:t>
      </w:r>
      <w:r>
        <w:rPr>
          <w:rFonts w:ascii="Times New Roman" w:hAnsi="Times New Roman"/>
        </w:rPr>
        <w:t>, C-128/18.</w:t>
      </w:r>
    </w:p>
  </w:footnote>
  <w:footnote w:id="28">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tab/>
      </w:r>
      <w:r>
        <w:rPr>
          <w:rFonts w:ascii="Times New Roman" w:hAnsi="Times New Roman"/>
          <w:i/>
          <w:iCs/>
          <w:color w:val="000000" w:themeColor="text1"/>
        </w:rPr>
        <w:t>Програма и План за действие на ЕС относно наркотиците за периода 2021 —2025 г.</w:t>
      </w:r>
      <w:r>
        <w:rPr>
          <w:rFonts w:ascii="Times New Roman" w:hAnsi="Times New Roman"/>
          <w:color w:val="000000" w:themeColor="text1"/>
        </w:rPr>
        <w:t xml:space="preserve"> (COM(2020) 606).</w:t>
      </w:r>
    </w:p>
  </w:footnote>
  <w:footnote w:id="2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Директива 2008/52/ЕО на Европейския парламент и на Съвета от 21 май 2008 г. относно някои аспекти на медиацията по гражданскоправни и търговскоправни въпроси (ОВ L 136, 24.5.2008 г., стр. 3).</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Заключения на Съвета и план за действие относно </w:t>
      </w:r>
      <w:r>
        <w:rPr>
          <w:rFonts w:ascii="Times New Roman" w:hAnsi="Times New Roman"/>
          <w:i/>
          <w:iCs/>
        </w:rPr>
        <w:t>предстоящите стъпки с оглед на създаването на европейско пространство в областта на криминалистиката</w:t>
      </w:r>
      <w:r>
        <w:rPr>
          <w:rFonts w:ascii="Times New Roman" w:hAnsi="Times New Roman"/>
        </w:rPr>
        <w:t xml:space="preserve"> (10128/16).</w:t>
      </w:r>
    </w:p>
  </w:footnote>
  <w:footnote w:id="3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color w:val="000000" w:themeColor="text1"/>
          <w:shd w:val="clear" w:color="auto" w:fill="FFFFFF"/>
        </w:rPr>
        <w:t>Регламент (ЕС) 2015/848 на Европейския парламент и на Съвета от 20 май 2015 г. относно производството по несъстоятелност</w:t>
      </w:r>
      <w:r>
        <w:rPr>
          <w:rFonts w:ascii="Times New Roman" w:hAnsi="Times New Roman"/>
        </w:rPr>
        <w:t xml:space="preserve"> (</w:t>
      </w:r>
      <w:r>
        <w:rPr>
          <w:rFonts w:ascii="Times New Roman" w:hAnsi="Times New Roman"/>
          <w:color w:val="000000" w:themeColor="text1"/>
          <w:shd w:val="clear" w:color="auto" w:fill="FFFFFF"/>
        </w:rPr>
        <w:t xml:space="preserve">ОВ L 141, 5.6 .2015 г., стр. 19) и </w:t>
      </w:r>
      <w:r>
        <w:rPr>
          <w:rFonts w:ascii="Times New Roman" w:hAnsi="Times New Roman"/>
        </w:rPr>
        <w:t>Директива (ЕС) 2019/1023 на Европейския парламент и на Съвета от 20 юни 2019 г. за рамките за превантивно преструктуриране, за опрощаването на задължения и забраната за осъществяване на дейност, за мерките за повишаване на ефективността на производствата по преструктуриране, несъстоятелност и опрощаване на задължения и за изменение на Директива (ЕС) 2017/1132 (Директива за преструктурирането и несъстоятелността) (ОВ L 172, 26.6.2019 г., стр. 18).</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Директива 2010/64/ЕС на Европейския парламент и на Съвета от 20 октомври 2010 г. относно правото на устен и писмен превод в наказателното производство (ОВ L 280, 26.10.2010 г., стр. 1).</w:t>
      </w:r>
    </w:p>
  </w:footnote>
  <w:footnote w:id="33">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Трудностите при събирането на данни ще бъдат взети предвид при мониторинга на обучението на адвокати.</w:t>
      </w:r>
    </w:p>
  </w:footnote>
  <w:footnote w:id="3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Комисията приветства решението на Европейската мрежа за съдебно обучение да разшири целевата си аудитория до служители на съда и прокуратурата.</w:t>
      </w:r>
    </w:p>
  </w:footnote>
  <w:footnote w:id="3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Настоящи държави — членки на ЕС: Австрия, Белгия, България, Германия, Естония, Ирландия, Испания, Италия, Латвия, Люксембург, Нидерландия, Полша, Португалия, Румъния, Словения, Финландия, Франция, Хърватия, Чехия и Швеция.</w:t>
      </w:r>
    </w:p>
  </w:footnote>
  <w:footnote w:id="36">
    <w:p>
      <w:pPr>
        <w:pStyle w:val="FootnoteText"/>
        <w:ind w:left="284" w:hanging="284"/>
        <w:jc w:val="both"/>
        <w:rPr>
          <w:rStyle w:val="FootnoteReference"/>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rPr>
        <w:t xml:space="preserve"> </w:t>
      </w:r>
      <w:r>
        <w:tab/>
      </w:r>
      <w:r>
        <w:rPr>
          <w:rFonts w:ascii="Times New Roman" w:hAnsi="Times New Roman"/>
        </w:rPr>
        <w:t>Напр. виртуално присъствено обучение: интерактивна виртуална класна стая; виртуална реалност: виртуална среда за обучение достъпна с цифрови устройства; добавена реалност: среда в реални условия, подобрена от изготвена на компютър възприятийна информация; смесена реалност: виртуални елементи, добавени към реалността.</w:t>
      </w:r>
    </w:p>
  </w:footnote>
  <w:footnote w:id="3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Вж. </w:t>
      </w:r>
      <w:r>
        <w:rPr>
          <w:rFonts w:ascii="Times New Roman" w:hAnsi="Times New Roman"/>
          <w:i/>
          <w:iCs/>
        </w:rPr>
        <w:t>Насоки на EJTN за оценяване на съдебните практики за обучение</w:t>
      </w:r>
      <w:r>
        <w:rPr>
          <w:rFonts w:ascii="Times New Roman" w:hAnsi="Times New Roman"/>
        </w:rPr>
        <w:t xml:space="preserve">; </w:t>
      </w:r>
      <w:hyperlink r:id="rId5" w:history="1">
        <w:r>
          <w:rPr>
            <w:rStyle w:val="Hyperlink"/>
            <w:rFonts w:ascii="Times New Roman" w:hAnsi="Times New Roman"/>
          </w:rPr>
          <w:t>https://bit.ly/2UDmqtX</w:t>
        </w:r>
      </w:hyperlink>
    </w:p>
  </w:footnote>
  <w:footnote w:id="38">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6" w:history="1">
        <w:r>
          <w:rPr>
            <w:rStyle w:val="Hyperlink"/>
            <w:rFonts w:ascii="Times New Roman" w:hAnsi="Times New Roman"/>
          </w:rPr>
          <w:t>https://e-justice.europa.eu/fileDownload.do?id=9f252d82-8ef4-4f6e-b562-372f9fa50096</w:t>
        </w:r>
      </w:hyperlink>
    </w:p>
  </w:footnote>
  <w:footnote w:id="3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7" w:history="1">
        <w:r>
          <w:rPr>
            <w:rStyle w:val="Hyperlink"/>
            <w:rFonts w:ascii="Times New Roman" w:hAnsi="Times New Roman"/>
          </w:rPr>
          <w:t>http://www.ejtn.eu/Methodologies--Resources/Training-Methods</w:t>
        </w:r>
      </w:hyperlink>
    </w:p>
  </w:footnote>
  <w:footnote w:id="4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8" w:history="1">
        <w:r>
          <w:rPr>
            <w:rStyle w:val="Hyperlink"/>
            <w:rFonts w:ascii="Times New Roman" w:hAnsi="Times New Roman"/>
          </w:rPr>
          <w:t>https://e-justice.europa.eu/content_european_training_platform-37158-en.do</w:t>
        </w:r>
      </w:hyperlink>
    </w:p>
  </w:footnote>
  <w:footnote w:id="41">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Обучение на бъдещи или новоназначени практикуващи специалисти в областта на правосъдието.</w:t>
      </w:r>
    </w:p>
  </w:footnote>
  <w:footnote w:id="4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Общи принципи на правото на Съюза и средства за правна защита, ролята на Съда на Европейския съюз, как функционира съдебното сътрудничество, къде да намерите подходяща информация и формуляри и др.</w:t>
      </w:r>
    </w:p>
  </w:footnote>
  <w:footnote w:id="43">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tab/>
      </w:r>
      <w:r>
        <w:rPr>
          <w:rFonts w:ascii="Times New Roman" w:hAnsi="Times New Roman"/>
          <w:color w:val="000000" w:themeColor="text1"/>
        </w:rPr>
        <w:t>Програмата AIAKOS обединява бъдещи или новоназначени съдии от различни държави членки в институция за съдебно обучение или в съдилища/прокуратури, за да се насърчи взаимното разбиране на различните европейски съдебни култури и системи и да се повиши тяхната информираност относно европейското измерение на тяхната (бъдеща) работа.</w:t>
      </w:r>
    </w:p>
  </w:footnote>
  <w:footnote w:id="44">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Заключения на Съвета, </w:t>
      </w:r>
      <w:r>
        <w:rPr>
          <w:rFonts w:ascii="Times New Roman" w:hAnsi="Times New Roman"/>
          <w:i/>
          <w:iCs/>
        </w:rPr>
        <w:t>Обучение на практикуващи юристи: съществен инструмент за консолидиране на достиженията на правото на ЕС</w:t>
      </w:r>
      <w:r>
        <w:rPr>
          <w:rFonts w:ascii="Times New Roman" w:hAnsi="Times New Roman"/>
        </w:rPr>
        <w:t xml:space="preserve"> (2014/C443/04).</w:t>
      </w:r>
    </w:p>
  </w:footnote>
  <w:footnote w:id="45">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hyperlink r:id="rId9" w:history="1">
        <w:r>
          <w:rPr>
            <w:rStyle w:val="Hyperlink"/>
            <w:rFonts w:ascii="Times New Roman" w:hAnsi="Times New Roman"/>
          </w:rPr>
          <w:t>http://www.ejtn.eu/PageFiles/15756/Judicial%20Training%20Principles_BG.pdf</w:t>
        </w:r>
      </w:hyperlink>
      <w:r>
        <w:rPr>
          <w:rFonts w:ascii="Times New Roman" w:hAnsi="Times New Roman"/>
        </w:rPr>
        <w:t xml:space="preserve"> </w:t>
      </w:r>
    </w:p>
  </w:footnote>
  <w:footnote w:id="46">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Те включват предложения на Комисията за регламенти на Европейския парламент и на Съвета относно създаването на Европейския социален фонд плюс (ЕСФ+) (COM(2018) 382), „Еразъм“: програма на Съюза в областта на образованието, обучението, младежта и спорта (COM(2018) 367), програма „Права и ценности“ (2021—2027 г.) (COM(2018) 383), Програма за околната среда и действията по климата (LIFE) (COM(2018) 385), Програма на ЕС за борба с измамите (COM(2018) 386) и Инструмент за предприсъединителна помощ (ИПП III) (COM(2018) 465).</w:t>
      </w:r>
    </w:p>
  </w:footnote>
  <w:footnote w:id="47">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Вж. бележка под линия 4 (страница 44).</w:t>
      </w:r>
    </w:p>
  </w:footnote>
  <w:footnote w:id="48">
    <w:p>
      <w:pPr>
        <w:pStyle w:val="FootnoteText"/>
        <w:ind w:left="284" w:hanging="284"/>
        <w:jc w:val="both"/>
        <w:rPr>
          <w:rStyle w:val="FootnoteReference"/>
          <w:rFonts w:ascii="Times New Roman" w:hAnsi="Times New Roman" w:cs="Times New Roman"/>
          <w:sz w:val="22"/>
          <w:szCs w:val="22"/>
          <w:vertAlign w:val="baseline"/>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Съвместно съобщение, </w:t>
      </w:r>
      <w:r>
        <w:rPr>
          <w:rFonts w:ascii="Times New Roman" w:hAnsi="Times New Roman"/>
          <w:i/>
          <w:iCs/>
        </w:rPr>
        <w:t>Преглед на европейската политика за съседство</w:t>
      </w:r>
      <w:r>
        <w:rPr>
          <w:rFonts w:ascii="Times New Roman" w:hAnsi="Times New Roman"/>
        </w:rPr>
        <w:t xml:space="preserve"> (JOIN(2015) 50 final); </w:t>
      </w:r>
      <w:r>
        <w:rPr>
          <w:rFonts w:ascii="Times New Roman" w:hAnsi="Times New Roman"/>
          <w:i/>
          <w:iCs/>
        </w:rPr>
        <w:t>Политиката за Източното партньорство след 2020 г.: Повишаване на устойчивостта — Източно партньорство, което постига резултати в полза на всички</w:t>
      </w:r>
      <w:r>
        <w:rPr>
          <w:rFonts w:ascii="Times New Roman" w:hAnsi="Times New Roman"/>
        </w:rPr>
        <w:t xml:space="preserve"> (JOIN(2020) 7 final).</w:t>
      </w:r>
    </w:p>
  </w:footnote>
  <w:footnote w:id="49">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Съобщение на Комисията, </w:t>
      </w:r>
      <w:r>
        <w:rPr>
          <w:rFonts w:ascii="Times New Roman" w:hAnsi="Times New Roman"/>
          <w:i/>
          <w:iCs/>
        </w:rPr>
        <w:t>Засилване на процеса на разширяване — надеждна перспектива за членство в ЕС за Западните Балкани</w:t>
      </w:r>
      <w:r>
        <w:rPr>
          <w:rFonts w:ascii="Times New Roman" w:hAnsi="Times New Roman"/>
        </w:rPr>
        <w:t>(COM(2020) 57 final).</w:t>
      </w:r>
    </w:p>
  </w:footnote>
  <w:footnote w:id="50">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color w:val="000000"/>
        </w:rPr>
        <w:t>Заключение на Съвета относно разширяването и процеса на стабилизиране и асоцииране (7002/20).</w:t>
      </w:r>
    </w:p>
  </w:footnote>
  <w:footnote w:id="51">
    <w:p>
      <w:pPr>
        <w:pStyle w:val="FootnoteText"/>
        <w:ind w:left="284" w:hanging="284"/>
        <w:jc w:val="both"/>
        <w:rPr>
          <w:rFonts w:ascii="Times New Roman" w:hAnsi="Times New Roman" w:cs="Times New Roman"/>
          <w:color w:val="000000" w:themeColor="text1"/>
        </w:rPr>
      </w:pPr>
      <w:r>
        <w:rPr>
          <w:rStyle w:val="FootnoteReference"/>
          <w:rFonts w:ascii="Times New Roman" w:hAnsi="Times New Roman" w:cs="Times New Roman"/>
          <w:color w:val="000000" w:themeColor="text1"/>
        </w:rPr>
        <w:footnoteRef/>
      </w:r>
      <w:r>
        <w:rPr>
          <w:rFonts w:ascii="Times New Roman" w:hAnsi="Times New Roman"/>
          <w:color w:val="000000" w:themeColor="text1"/>
        </w:rPr>
        <w:t xml:space="preserve"> </w:t>
      </w:r>
      <w:r>
        <w:tab/>
      </w:r>
      <w:r>
        <w:rPr>
          <w:rFonts w:ascii="Times New Roman" w:hAnsi="Times New Roman"/>
          <w:i/>
          <w:iCs/>
          <w:color w:val="000000" w:themeColor="text1"/>
        </w:rPr>
        <w:t>Към цялостна стратегия с Африка</w:t>
      </w:r>
      <w:r>
        <w:rPr>
          <w:rFonts w:ascii="Times New Roman" w:hAnsi="Times New Roman"/>
          <w:color w:val="000000" w:themeColor="text1"/>
        </w:rPr>
        <w:t xml:space="preserve"> (JOIN(2020) 4 final); </w:t>
      </w:r>
      <w:r>
        <w:rPr>
          <w:rFonts w:ascii="Times New Roman" w:hAnsi="Times New Roman"/>
          <w:i/>
          <w:iCs/>
          <w:color w:val="000000" w:themeColor="text1"/>
        </w:rPr>
        <w:t>Латинска Америка и Карибският басейн: с обединени сили за общо бъдеще</w:t>
      </w:r>
      <w:r>
        <w:rPr>
          <w:rFonts w:ascii="Times New Roman" w:hAnsi="Times New Roman"/>
          <w:color w:val="000000" w:themeColor="text1"/>
        </w:rPr>
        <w:t xml:space="preserve"> (JOIN(2019) 6 final).</w:t>
      </w:r>
    </w:p>
  </w:footnote>
  <w:footnote w:id="52">
    <w:p>
      <w:pPr>
        <w:pStyle w:val="FootnoteText"/>
        <w:ind w:left="284" w:hanging="284"/>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tab/>
      </w:r>
      <w:r>
        <w:rPr>
          <w:rFonts w:ascii="Times New Roman" w:hAnsi="Times New Roman"/>
        </w:rPr>
        <w:t xml:space="preserve">Напр. </w:t>
      </w:r>
      <w:r>
        <w:rPr>
          <w:rFonts w:ascii="Times New Roman" w:hAnsi="Times New Roman"/>
          <w:i/>
          <w:iCs/>
        </w:rPr>
        <w:t>„Наръчник за обучение на съдии и прокурори в областта на върховенството на закона“</w:t>
      </w:r>
      <w:r>
        <w:rPr>
          <w:rFonts w:ascii="Times New Roman" w:hAnsi="Times New Roman"/>
        </w:rPr>
        <w:t xml:space="preserve"> (</w:t>
      </w:r>
      <w:hyperlink r:id="rId10" w:history="1">
        <w:r>
          <w:rPr>
            <w:rStyle w:val="Hyperlink"/>
            <w:rFonts w:ascii="Times New Roman" w:hAnsi="Times New Roman"/>
          </w:rPr>
          <w:t>http://www.ejtn.eu/PageFiles/16144/2019-056-Training%20guide-v5_FINAL.pdf</w:t>
        </w:r>
      </w:hyperlink>
      <w:r>
        <w:rPr>
          <w:rFonts w:ascii="Times New Roman" w:hAnsi="Times New Roman"/>
        </w:rPr>
        <w:t xml:space="preserve">); </w:t>
      </w:r>
      <w:r>
        <w:rPr>
          <w:rFonts w:ascii="Times New Roman" w:hAnsi="Times New Roman"/>
          <w:i/>
          <w:iCs/>
        </w:rPr>
        <w:t>Върховенство на закона в Европа — гледната точка на практиците и на академичната общност</w:t>
      </w:r>
      <w:r>
        <w:rPr>
          <w:rFonts w:ascii="Times New Roman" w:hAnsi="Times New Roman"/>
        </w:rPr>
        <w:t xml:space="preserve"> (</w:t>
      </w:r>
      <w:hyperlink r:id="rId11" w:history="1">
        <w:r>
          <w:rPr>
            <w:rStyle w:val="Hyperlink"/>
            <w:rFonts w:ascii="Times New Roman" w:hAnsi="Times New Roman"/>
          </w:rPr>
          <w:t>http://www.ejtn.eu/PageFiles/16144/2019-056-RoL%20Manual-170x240-WEB_FINAL.pdf</w:t>
        </w:r>
      </w:hyperlink>
      <w:r>
        <w:rPr>
          <w:rFonts w:ascii="Times New Roman" w:hAnsi="Times New Roman"/>
        </w:rPr>
        <w:t xml:space="preserve">), </w:t>
      </w:r>
      <w:r>
        <w:rPr>
          <w:rFonts w:ascii="Times New Roman" w:hAnsi="Times New Roman"/>
          <w:i/>
          <w:iCs/>
        </w:rPr>
        <w:t>Пакет за обучение по законодателството на ЕС в областта на околната среда</w:t>
      </w:r>
      <w:r>
        <w:rPr>
          <w:rFonts w:ascii="Times New Roman" w:hAnsi="Times New Roman"/>
        </w:rPr>
        <w:t xml:space="preserve"> (</w:t>
      </w:r>
      <w:hyperlink r:id="rId12" w:history="1">
        <w:r>
          <w:rPr>
            <w:rStyle w:val="Hyperlink"/>
            <w:rFonts w:ascii="Times New Roman" w:hAnsi="Times New Roman"/>
          </w:rPr>
          <w:t>https://ec.europa.eu/environment/legal/law/training_package.htm</w:t>
        </w:r>
      </w:hyperlink>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9"/>
    <w:multiLevelType w:val="singleLevel"/>
    <w:tmpl w:val="E1F2BEC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535399"/>
    <w:multiLevelType w:val="hybridMultilevel"/>
    <w:tmpl w:val="420888FE"/>
    <w:lvl w:ilvl="0" w:tplc="B0BA521A">
      <w:start w:val="1"/>
      <w:numFmt w:val="decimal"/>
      <w:lvlText w:val="4.%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
    <w:nsid w:val="03492CBB"/>
    <w:multiLevelType w:val="hybridMultilevel"/>
    <w:tmpl w:val="087AA2F8"/>
    <w:lvl w:ilvl="0" w:tplc="226CD0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900F7"/>
    <w:multiLevelType w:val="multilevel"/>
    <w:tmpl w:val="49106B6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0E713DC6"/>
    <w:multiLevelType w:val="multilevel"/>
    <w:tmpl w:val="2770806E"/>
    <w:lvl w:ilvl="0">
      <w:start w:val="1"/>
      <w:numFmt w:val="decimal"/>
      <w:lvlText w:val="%1."/>
      <w:lvlJc w:val="left"/>
      <w:pPr>
        <w:ind w:left="720" w:hanging="360"/>
      </w:pPr>
    </w:lvl>
    <w:lvl w:ilvl="1">
      <w:start w:val="1"/>
      <w:numFmt w:val="decimal"/>
      <w:isLgl/>
      <w:lvlText w:val="%1.%2."/>
      <w:lvlJc w:val="left"/>
      <w:pPr>
        <w:ind w:left="780" w:hanging="4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6">
    <w:nsid w:val="12F2747C"/>
    <w:multiLevelType w:val="hybridMultilevel"/>
    <w:tmpl w:val="920652E2"/>
    <w:lvl w:ilvl="0" w:tplc="F7A2C6AC">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2F0F1B"/>
    <w:multiLevelType w:val="hybridMultilevel"/>
    <w:tmpl w:val="1366A452"/>
    <w:lvl w:ilvl="0" w:tplc="080C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8">
    <w:nsid w:val="1A6F476E"/>
    <w:multiLevelType w:val="hybridMultilevel"/>
    <w:tmpl w:val="1868A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C53AA8"/>
    <w:multiLevelType w:val="hybridMultilevel"/>
    <w:tmpl w:val="8828E3E8"/>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0">
    <w:nsid w:val="212120BD"/>
    <w:multiLevelType w:val="hybridMultilevel"/>
    <w:tmpl w:val="7458DEB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236B69C9"/>
    <w:multiLevelType w:val="hybridMultilevel"/>
    <w:tmpl w:val="1640D2E4"/>
    <w:lvl w:ilvl="0" w:tplc="92C2ADE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25A96FAA"/>
    <w:multiLevelType w:val="hybridMultilevel"/>
    <w:tmpl w:val="2592A2FE"/>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8DFDF8"/>
    <w:multiLevelType w:val="multilevel"/>
    <w:tmpl w:val="FAE01C1E"/>
    <w:name w:val="ListBullet2Numbering"/>
    <w:lvl w:ilvl="0">
      <w:start w:val="1"/>
      <w:numFmt w:val="bullet"/>
      <w:pStyle w:val="ListBullet2"/>
      <w:lvlText w:val=""/>
      <w:lvlJc w:val="left"/>
      <w:pPr>
        <w:tabs>
          <w:tab w:val="num" w:pos="284"/>
        </w:tabs>
        <w:ind w:left="284" w:hanging="284"/>
      </w:pPr>
      <w:rPr>
        <w:rFonts w:ascii="Symbol" w:hAnsi="Symbol"/>
      </w:rPr>
    </w:lvl>
    <w:lvl w:ilvl="1">
      <w:start w:val="1"/>
      <w:numFmt w:val="bullet"/>
      <w:pStyle w:val="ListBullet2Level2"/>
      <w:lvlText w:val=""/>
      <w:lvlJc w:val="left"/>
      <w:pPr>
        <w:tabs>
          <w:tab w:val="num" w:pos="567"/>
        </w:tabs>
        <w:ind w:left="567" w:hanging="283"/>
      </w:pPr>
      <w:rPr>
        <w:rFonts w:ascii="Symbol" w:hAnsi="Symbol"/>
      </w:rPr>
    </w:lvl>
    <w:lvl w:ilvl="2">
      <w:start w:val="1"/>
      <w:numFmt w:val="bullet"/>
      <w:pStyle w:val="ListBullet2Level3"/>
      <w:lvlText w:val=""/>
      <w:lvlJc w:val="left"/>
      <w:pPr>
        <w:tabs>
          <w:tab w:val="num" w:pos="851"/>
        </w:tabs>
        <w:ind w:left="851" w:hanging="284"/>
      </w:pPr>
      <w:rPr>
        <w:rFonts w:ascii="Symbol" w:hAnsi="Symbol"/>
      </w:rPr>
    </w:lvl>
    <w:lvl w:ilvl="3">
      <w:start w:val="1"/>
      <w:numFmt w:val="bullet"/>
      <w:pStyle w:val="ListBullet2Level4"/>
      <w:lvlText w:val=""/>
      <w:lvlJc w:val="left"/>
      <w:pPr>
        <w:tabs>
          <w:tab w:val="num" w:pos="1134"/>
        </w:tabs>
        <w:ind w:left="1134"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5F66487"/>
    <w:multiLevelType w:val="hybridMultilevel"/>
    <w:tmpl w:val="0D8E7E7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371965CB"/>
    <w:multiLevelType w:val="hybridMultilevel"/>
    <w:tmpl w:val="A926B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6C4029"/>
    <w:multiLevelType w:val="hybridMultilevel"/>
    <w:tmpl w:val="2C82CF08"/>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8">
    <w:nsid w:val="3D7C7450"/>
    <w:multiLevelType w:val="hybridMultilevel"/>
    <w:tmpl w:val="877AC158"/>
    <w:lvl w:ilvl="0" w:tplc="DEE81D76">
      <w:start w:val="1"/>
      <w:numFmt w:val="decimal"/>
      <w:lvlText w:val="2.%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9">
    <w:nsid w:val="41261B73"/>
    <w:multiLevelType w:val="hybridMultilevel"/>
    <w:tmpl w:val="0F962A12"/>
    <w:lvl w:ilvl="0" w:tplc="A7E81F6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7BF37D6"/>
    <w:multiLevelType w:val="hybridMultilevel"/>
    <w:tmpl w:val="CB88DD96"/>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D95012"/>
    <w:multiLevelType w:val="hybridMultilevel"/>
    <w:tmpl w:val="F0801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8027F2A"/>
    <w:multiLevelType w:val="hybridMultilevel"/>
    <w:tmpl w:val="45EE127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0C0345"/>
    <w:multiLevelType w:val="hybridMultilevel"/>
    <w:tmpl w:val="D4D45E7E"/>
    <w:lvl w:ilvl="0" w:tplc="080C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6FC2DD0"/>
    <w:multiLevelType w:val="hybridMultilevel"/>
    <w:tmpl w:val="87C6427E"/>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E16B36"/>
    <w:multiLevelType w:val="hybridMultilevel"/>
    <w:tmpl w:val="A41A224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75E813EE"/>
    <w:multiLevelType w:val="hybridMultilevel"/>
    <w:tmpl w:val="67CA4EC2"/>
    <w:lvl w:ilvl="0" w:tplc="382674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65145E"/>
    <w:multiLevelType w:val="multilevel"/>
    <w:tmpl w:val="D28CD5D0"/>
    <w:lvl w:ilvl="0">
      <w:start w:val="1"/>
      <w:numFmt w:val="decimal"/>
      <w:lvlText w:val="%1."/>
      <w:lvlJc w:val="left"/>
      <w:pPr>
        <w:tabs>
          <w:tab w:val="num" w:pos="482"/>
        </w:tabs>
        <w:ind w:left="482" w:hanging="482"/>
      </w:pPr>
    </w:lvl>
    <w:lvl w:ilvl="1">
      <w:start w:val="1"/>
      <w:numFmt w:val="decimal"/>
      <w:lvlText w:val="%1.%2."/>
      <w:lvlJc w:val="left"/>
      <w:pPr>
        <w:tabs>
          <w:tab w:val="num" w:pos="1077"/>
        </w:tabs>
        <w:ind w:left="1077" w:hanging="601"/>
      </w:pPr>
    </w:lvl>
    <w:lvl w:ilvl="2">
      <w:start w:val="1"/>
      <w:numFmt w:val="decimal"/>
      <w:lvlText w:val="%1.%2.%3."/>
      <w:lvlJc w:val="left"/>
      <w:pPr>
        <w:tabs>
          <w:tab w:val="num" w:pos="1922"/>
        </w:tabs>
        <w:ind w:left="1922" w:hanging="839"/>
      </w:pPr>
    </w:lvl>
    <w:lvl w:ilvl="3">
      <w:start w:val="1"/>
      <w:numFmt w:val="decimal"/>
      <w:lvlText w:val="%1.%2.%3.%4."/>
      <w:lvlJc w:val="left"/>
      <w:pPr>
        <w:tabs>
          <w:tab w:val="num" w:pos="2880"/>
        </w:tabs>
        <w:ind w:left="2880" w:hanging="958"/>
      </w:pPr>
    </w:lvl>
    <w:lvl w:ilvl="4">
      <w:start w:val="1"/>
      <w:numFmt w:val="decimal"/>
      <w:lvlText w:val="%1.%2.%3.%4.%5."/>
      <w:lvlJc w:val="left"/>
      <w:pPr>
        <w:tabs>
          <w:tab w:val="num" w:pos="2880"/>
        </w:tabs>
        <w:ind w:left="3838" w:hanging="958"/>
      </w:pPr>
    </w:lvl>
    <w:lvl w:ilvl="5">
      <w:start w:val="1"/>
      <w:numFmt w:val="decimal"/>
      <w:lvlText w:val="%1.%2.%3.%4.%5.%6."/>
      <w:lvlJc w:val="left"/>
      <w:pPr>
        <w:tabs>
          <w:tab w:val="num" w:pos="2880"/>
        </w:tabs>
        <w:ind w:left="3838" w:hanging="958"/>
      </w:pPr>
    </w:lvl>
    <w:lvl w:ilvl="6">
      <w:start w:val="1"/>
      <w:numFmt w:val="decimal"/>
      <w:lvlText w:val="%1.%2.%3.%4.%5.%6.%7."/>
      <w:lvlJc w:val="left"/>
      <w:pPr>
        <w:tabs>
          <w:tab w:val="num" w:pos="2880"/>
        </w:tabs>
        <w:ind w:left="3838" w:hanging="958"/>
      </w:pPr>
    </w:lvl>
    <w:lvl w:ilvl="7">
      <w:start w:val="1"/>
      <w:numFmt w:val="decimal"/>
      <w:lvlText w:val="%1.%2.%3.%4.%5.%6.%7.%8."/>
      <w:lvlJc w:val="left"/>
      <w:pPr>
        <w:tabs>
          <w:tab w:val="num" w:pos="2880"/>
        </w:tabs>
        <w:ind w:left="3838" w:hanging="958"/>
      </w:pPr>
    </w:lvl>
    <w:lvl w:ilvl="8">
      <w:start w:val="1"/>
      <w:numFmt w:val="decimal"/>
      <w:lvlText w:val="%1.%2.%3.%4.%5.%6.%7.%8.%9."/>
      <w:lvlJc w:val="left"/>
      <w:pPr>
        <w:tabs>
          <w:tab w:val="num" w:pos="2880"/>
        </w:tabs>
        <w:ind w:left="3838" w:hanging="958"/>
      </w:pPr>
    </w:lvl>
  </w:abstractNum>
  <w:abstractNum w:abstractNumId="29">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8"/>
  </w:num>
  <w:num w:numId="2">
    <w:abstractNumId w:val="13"/>
  </w:num>
  <w:num w:numId="3">
    <w:abstractNumId w:val="29"/>
  </w:num>
  <w:num w:numId="4">
    <w:abstractNumId w:val="20"/>
    <w:lvlOverride w:ilvl="0">
      <w:startOverride w:val="1"/>
    </w:lvlOverride>
  </w:num>
  <w:num w:numId="5">
    <w:abstractNumId w:val="1"/>
  </w:num>
  <w:num w:numId="6">
    <w:abstractNumId w:val="0"/>
  </w:num>
  <w:num w:numId="7">
    <w:abstractNumId w:val="15"/>
  </w:num>
  <w:num w:numId="8">
    <w:abstractNumId w:val="26"/>
  </w:num>
  <w:num w:numId="9">
    <w:abstractNumId w:val="8"/>
  </w:num>
  <w:num w:numId="10">
    <w:abstractNumId w:val="16"/>
  </w:num>
  <w:num w:numId="11">
    <w:abstractNumId w:val="14"/>
  </w:num>
  <w:num w:numId="12">
    <w:abstractNumId w:val="12"/>
  </w:num>
  <w:num w:numId="13">
    <w:abstractNumId w:val="5"/>
  </w:num>
  <w:num w:numId="14">
    <w:abstractNumId w:val="7"/>
  </w:num>
  <w:num w:numId="15">
    <w:abstractNumId w:val="24"/>
  </w:num>
  <w:num w:numId="16">
    <w:abstractNumId w:val="10"/>
  </w:num>
  <w:num w:numId="17">
    <w:abstractNumId w:val="19"/>
  </w:num>
  <w:num w:numId="18">
    <w:abstractNumId w:val="21"/>
  </w:num>
  <w:num w:numId="19">
    <w:abstractNumId w:val="28"/>
  </w:num>
  <w:num w:numId="20">
    <w:abstractNumId w:val="13"/>
  </w:num>
  <w:num w:numId="21">
    <w:abstractNumId w:val="13"/>
  </w:num>
  <w:num w:numId="22">
    <w:abstractNumId w:val="13"/>
  </w:num>
  <w:num w:numId="23">
    <w:abstractNumId w:val="28"/>
  </w:num>
  <w:num w:numId="24">
    <w:abstractNumId w:val="13"/>
  </w:num>
  <w:num w:numId="25">
    <w:abstractNumId w:val="13"/>
  </w:num>
  <w:num w:numId="26">
    <w:abstractNumId w:val="13"/>
  </w:num>
  <w:num w:numId="27">
    <w:abstractNumId w:val="13"/>
  </w:num>
  <w:num w:numId="28">
    <w:abstractNumId w:val="28"/>
  </w:num>
  <w:num w:numId="29">
    <w:abstractNumId w:val="28"/>
  </w:num>
  <w:num w:numId="30">
    <w:abstractNumId w:val="28"/>
  </w:num>
  <w:num w:numId="31">
    <w:abstractNumId w:val="28"/>
  </w:num>
  <w:num w:numId="32">
    <w:abstractNumId w:val="28"/>
  </w:num>
  <w:num w:numId="33">
    <w:abstractNumId w:val="28"/>
  </w:num>
  <w:num w:numId="34">
    <w:abstractNumId w:val="28"/>
  </w:num>
  <w:num w:numId="35">
    <w:abstractNumId w:val="28"/>
  </w:num>
  <w:num w:numId="36">
    <w:abstractNumId w:val="28"/>
  </w:num>
  <w:num w:numId="37">
    <w:abstractNumId w:val="28"/>
  </w:num>
  <w:num w:numId="38">
    <w:abstractNumId w:val="28"/>
  </w:num>
  <w:num w:numId="39">
    <w:abstractNumId w:val="28"/>
  </w:num>
  <w:num w:numId="40">
    <w:abstractNumId w:val="28"/>
  </w:num>
  <w:num w:numId="41">
    <w:abstractNumId w:val="28"/>
  </w:num>
  <w:num w:numId="42">
    <w:abstractNumId w:val="28"/>
  </w:num>
  <w:num w:numId="43">
    <w:abstractNumId w:val="28"/>
  </w:num>
  <w:num w:numId="44">
    <w:abstractNumId w:val="28"/>
  </w:num>
  <w:num w:numId="45">
    <w:abstractNumId w:val="28"/>
  </w:num>
  <w:num w:numId="46">
    <w:abstractNumId w:val="28"/>
  </w:num>
  <w:num w:numId="47">
    <w:abstractNumId w:val="28"/>
  </w:num>
  <w:num w:numId="48">
    <w:abstractNumId w:val="28"/>
  </w:num>
  <w:num w:numId="49">
    <w:abstractNumId w:val="28"/>
  </w:num>
  <w:num w:numId="50">
    <w:abstractNumId w:val="13"/>
  </w:num>
  <w:num w:numId="51">
    <w:abstractNumId w:val="13"/>
  </w:num>
  <w:num w:numId="52">
    <w:abstractNumId w:val="13"/>
  </w:num>
  <w:num w:numId="53">
    <w:abstractNumId w:val="13"/>
  </w:num>
  <w:num w:numId="54">
    <w:abstractNumId w:val="13"/>
  </w:num>
  <w:num w:numId="55">
    <w:abstractNumId w:val="28"/>
  </w:num>
  <w:num w:numId="56">
    <w:abstractNumId w:val="28"/>
  </w:num>
  <w:num w:numId="57">
    <w:abstractNumId w:val="13"/>
  </w:num>
  <w:num w:numId="58">
    <w:abstractNumId w:val="13"/>
  </w:num>
  <w:num w:numId="59">
    <w:abstractNumId w:val="6"/>
  </w:num>
  <w:num w:numId="60">
    <w:abstractNumId w:val="25"/>
  </w:num>
  <w:num w:numId="61">
    <w:abstractNumId w:val="17"/>
  </w:num>
  <w:num w:numId="62">
    <w:abstractNumId w:val="13"/>
  </w:num>
  <w:num w:numId="63">
    <w:abstractNumId w:val="13"/>
  </w:num>
  <w:num w:numId="64">
    <w:abstractNumId w:val="13"/>
  </w:num>
  <w:num w:numId="65">
    <w:abstractNumId w:val="13"/>
  </w:num>
  <w:num w:numId="66">
    <w:abstractNumId w:val="13"/>
  </w:num>
  <w:num w:numId="67">
    <w:abstractNumId w:val="28"/>
  </w:num>
  <w:num w:numId="68">
    <w:abstractNumId w:val="27"/>
  </w:num>
  <w:num w:numId="69">
    <w:abstractNumId w:val="9"/>
  </w:num>
  <w:num w:numId="70">
    <w:abstractNumId w:val="13"/>
  </w:num>
  <w:num w:numId="71">
    <w:abstractNumId w:val="4"/>
  </w:num>
  <w:num w:numId="72">
    <w:abstractNumId w:val="11"/>
  </w:num>
  <w:num w:numId="73">
    <w:abstractNumId w:val="3"/>
  </w:num>
  <w:num w:numId="74">
    <w:abstractNumId w:val="13"/>
  </w:num>
  <w:num w:numId="75">
    <w:abstractNumId w:val="18"/>
  </w:num>
  <w:num w:numId="76">
    <w:abstractNumId w:val="2"/>
  </w:num>
  <w:num w:numId="77">
    <w:abstractNumId w:val="23"/>
  </w:num>
  <w:num w:numId="78">
    <w:abstractNumId w:val="22"/>
  </w:num>
  <w:num w:numId="79">
    <w:abstractNumId w:val="13"/>
  </w:num>
  <w:num w:numId="80">
    <w:abstractNumId w:val="1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revisionView w:markup="0"/>
  <w:defaultTabStop w:val="720"/>
  <w:hyphenationZone w:val="425"/>
  <w:characterSpacingControl w:val="doNotCompress"/>
  <w:hdrShapeDefaults>
    <o:shapedefaults v:ext="edit" spidmax="1126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908DC90D-C434-4A69-BF4F-7B3BA6B5C3E1"/>
    <w:docVar w:name="LW_COVERPAGE_TYPE" w:val="1"/>
    <w:docVar w:name="LW_CROSSREFERENCE" w:val="&lt;UNUSED&gt;"/>
    <w:docVar w:name="LW_DocType" w:val="NORMAL"/>
    <w:docVar w:name="LW_EMISSION" w:val="2.12.2020"/>
    <w:docVar w:name="LW_EMISSION_ISODATE" w:val="2020-12-02"/>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71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43?\u1072?\u1088?\u1072?\u1085?\u1090?\u1080?\u1088?\u1072?\u1085?\u1077? \u1085?\u1072? \u1089?\u1087?\u1088?\u1072?\u1074?\u1077?\u1076?\u1083?\u1080?\u1074?\u1086?\u1089?\u1090? \u1074? \u1045?\u1057? \u8212? \u1077?\u1074?\u1088?\u1086?\u1087?\u1077?\u1081?\u1089?\u1082?\u1072? \u1089?\u1090?\u1088?\u1072?\u1090?\u1077?\u1075?\u1080?\u1103? \u1079?\u1072? \u1089?\u1098?\u1076?\u1077?\u1073?\u1085?\u1086? \u1086?\u1073?\u1091?\u1095?\u1077?\u1085?\u1080?\u1077? \u1079?\u1072? \u1087?\u1077?\u1088?\u1080?\u1086?\u1076?\u1072? 2021\u8212?2024 \u1075?."/>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 w:name="Stamp" w:val="\\dossiers.dgt.cec.eu.int\dossiers\JUST\JUST-2020-05374\JUST-2020-05374-00-00-EN-EDT-00.202010131249210753073.DOCX"/>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Text1"/>
    <w:link w:val="Heading1Char"/>
    <w:uiPriority w:val="90"/>
    <w:qFormat/>
    <w:pPr>
      <w:keepNext/>
      <w:tabs>
        <w:tab w:val="num" w:pos="482"/>
      </w:tabs>
      <w:spacing w:before="240" w:after="240" w:line="240" w:lineRule="auto"/>
      <w:ind w:left="482" w:hanging="482"/>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uiPriority w:val="90"/>
    <w:qFormat/>
    <w:pPr>
      <w:keepNext/>
      <w:tabs>
        <w:tab w:val="num" w:pos="1077"/>
      </w:tabs>
      <w:spacing w:after="240" w:line="240" w:lineRule="auto"/>
      <w:ind w:left="1077" w:hanging="601"/>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uiPriority w:val="90"/>
    <w:qFormat/>
    <w:pPr>
      <w:keepNext/>
      <w:tabs>
        <w:tab w:val="num" w:pos="1922"/>
      </w:tabs>
      <w:spacing w:after="240" w:line="240" w:lineRule="auto"/>
      <w:ind w:left="1922" w:hanging="839"/>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uiPriority w:val="90"/>
    <w:qFormat/>
    <w:pPr>
      <w:keepNext/>
      <w:tabs>
        <w:tab w:val="num" w:pos="2880"/>
      </w:tabs>
      <w:spacing w:after="240" w:line="240" w:lineRule="auto"/>
      <w:ind w:left="2880" w:hanging="958"/>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semiHidden/>
    <w:pPr>
      <w:keepNext/>
      <w:tabs>
        <w:tab w:val="num" w:pos="2880"/>
      </w:tabs>
      <w:spacing w:after="240" w:line="240" w:lineRule="auto"/>
      <w:ind w:left="3838" w:hanging="958"/>
      <w:jc w:val="both"/>
      <w:outlineLvl w:val="4"/>
    </w:pPr>
    <w:rPr>
      <w:rFonts w:ascii="Times New Roman" w:eastAsia="Times New Roman" w:hAnsi="Times New Roman" w:cs="Times New Roman"/>
      <w:sz w:val="24"/>
      <w:szCs w:val="20"/>
      <w:lang w:eastAsia="fr-BE"/>
    </w:rPr>
  </w:style>
  <w:style w:type="paragraph" w:styleId="Heading6">
    <w:name w:val="heading 6"/>
    <w:basedOn w:val="Normal"/>
    <w:next w:val="Normal"/>
    <w:link w:val="Heading6Char"/>
    <w:semiHidden/>
    <w:pPr>
      <w:keepNext/>
      <w:tabs>
        <w:tab w:val="num" w:pos="2880"/>
      </w:tabs>
      <w:spacing w:after="240" w:line="240" w:lineRule="auto"/>
      <w:ind w:left="3838" w:hanging="958"/>
      <w:jc w:val="both"/>
      <w:outlineLvl w:val="5"/>
    </w:pPr>
    <w:rPr>
      <w:rFonts w:ascii="Times New Roman" w:eastAsia="Times New Roman" w:hAnsi="Times New Roman" w:cs="Times New Roman"/>
      <w:sz w:val="24"/>
      <w:szCs w:val="20"/>
      <w:lang w:eastAsia="fr-BE"/>
    </w:rPr>
  </w:style>
  <w:style w:type="paragraph" w:styleId="Heading7">
    <w:name w:val="heading 7"/>
    <w:basedOn w:val="Normal"/>
    <w:next w:val="Normal"/>
    <w:link w:val="Heading7Char"/>
    <w:semiHidden/>
    <w:pPr>
      <w:keepNext/>
      <w:tabs>
        <w:tab w:val="num" w:pos="2880"/>
      </w:tabs>
      <w:spacing w:after="240" w:line="240" w:lineRule="auto"/>
      <w:ind w:left="3838" w:hanging="958"/>
      <w:jc w:val="both"/>
      <w:outlineLvl w:val="6"/>
    </w:pPr>
    <w:rPr>
      <w:rFonts w:ascii="Times New Roman" w:eastAsia="Times New Roman" w:hAnsi="Times New Roman" w:cs="Times New Roman"/>
      <w:sz w:val="24"/>
      <w:szCs w:val="20"/>
      <w:lang w:eastAsia="fr-BE"/>
    </w:rPr>
  </w:style>
  <w:style w:type="paragraph" w:styleId="Heading8">
    <w:name w:val="heading 8"/>
    <w:basedOn w:val="Normal"/>
    <w:next w:val="Normal"/>
    <w:link w:val="Heading8Char"/>
    <w:semiHidden/>
    <w:pPr>
      <w:keepNext/>
      <w:tabs>
        <w:tab w:val="num" w:pos="2880"/>
      </w:tabs>
      <w:spacing w:after="240" w:line="240" w:lineRule="auto"/>
      <w:ind w:left="3838" w:hanging="958"/>
      <w:jc w:val="both"/>
      <w:outlineLvl w:val="7"/>
    </w:pPr>
    <w:rPr>
      <w:rFonts w:ascii="Times New Roman" w:eastAsia="Times New Roman" w:hAnsi="Times New Roman" w:cs="Times New Roman"/>
      <w:sz w:val="24"/>
      <w:szCs w:val="20"/>
      <w:lang w:eastAsia="fr-BE"/>
    </w:rPr>
  </w:style>
  <w:style w:type="paragraph" w:styleId="Heading9">
    <w:name w:val="heading 9"/>
    <w:basedOn w:val="Normal"/>
    <w:next w:val="Normal"/>
    <w:link w:val="Heading9Char"/>
    <w:semiHidden/>
    <w:pPr>
      <w:keepNext/>
      <w:tabs>
        <w:tab w:val="num" w:pos="2880"/>
      </w:tabs>
      <w:spacing w:after="240" w:line="240" w:lineRule="auto"/>
      <w:ind w:left="3838" w:hanging="958"/>
      <w:jc w:val="both"/>
      <w:outlineLvl w:val="8"/>
    </w:pPr>
    <w:rPr>
      <w:rFonts w:ascii="Times New Roman" w:eastAsia="Times New Roman" w:hAnsi="Times New Roman" w:cs="Times New Roman"/>
      <w:sz w:val="24"/>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bg-BG" w:eastAsia="fr-BE"/>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bg-BG" w:eastAsia="fr-BE"/>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bg-BG" w:eastAsia="fr-BE"/>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bg-BG" w:eastAsia="fr-BE"/>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bg-BG" w:eastAsia="fr-BE"/>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bg-BG" w:eastAsia="fr-BE"/>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bg-BG" w:eastAsia="fr-BE"/>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bg-BG" w:eastAsia="fr-BE"/>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bg-B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BodyPlaceholderText">
    <w:name w:val="BodyPlaceholderText"/>
    <w:basedOn w:val="PlaceholderText"/>
    <w:uiPriority w:val="1"/>
    <w:semiHidden/>
    <w:rPr>
      <w:color w:val="3366CC"/>
    </w:rPr>
  </w:style>
  <w:style w:type="paragraph" w:customStyle="1" w:styleId="ListBullet2Level4">
    <w:name w:val="List Bullet 2 (Level 4)"/>
    <w:basedOn w:val="Normal"/>
    <w:semiHidden/>
    <w:unhideWhenUsed/>
    <w:pPr>
      <w:numPr>
        <w:ilvl w:val="3"/>
        <w:numId w:val="2"/>
      </w:numPr>
      <w:spacing w:after="240" w:line="240" w:lineRule="auto"/>
      <w:jc w:val="both"/>
    </w:pPr>
    <w:rPr>
      <w:rFonts w:ascii="Times New Roman" w:eastAsia="Times New Roman" w:hAnsi="Times New Roman" w:cs="Times New Roman"/>
      <w:sz w:val="24"/>
      <w:szCs w:val="20"/>
      <w:lang w:eastAsia="fr-BE"/>
    </w:rPr>
  </w:style>
  <w:style w:type="paragraph" w:customStyle="1" w:styleId="ListBullet2Level3">
    <w:name w:val="List Bullet 2 (Level 3)"/>
    <w:basedOn w:val="Normal"/>
    <w:semiHidden/>
    <w:unhideWhenUsed/>
    <w:pPr>
      <w:numPr>
        <w:ilvl w:val="2"/>
        <w:numId w:val="2"/>
      </w:numPr>
      <w:spacing w:after="240" w:line="240" w:lineRule="auto"/>
      <w:jc w:val="both"/>
    </w:pPr>
    <w:rPr>
      <w:rFonts w:ascii="Times New Roman" w:eastAsia="Times New Roman" w:hAnsi="Times New Roman" w:cs="Times New Roman"/>
      <w:sz w:val="24"/>
      <w:szCs w:val="20"/>
      <w:lang w:eastAsia="fr-BE"/>
    </w:rPr>
  </w:style>
  <w:style w:type="paragraph" w:customStyle="1" w:styleId="ListBullet2Level2">
    <w:name w:val="List Bullet 2 (Level 2)"/>
    <w:basedOn w:val="Normal"/>
    <w:pPr>
      <w:numPr>
        <w:ilvl w:val="1"/>
        <w:numId w:val="2"/>
      </w:numPr>
      <w:spacing w:after="240" w:line="240" w:lineRule="auto"/>
      <w:jc w:val="both"/>
    </w:pPr>
    <w:rPr>
      <w:rFonts w:ascii="Times New Roman" w:eastAsia="Times New Roman" w:hAnsi="Times New Roman" w:cs="Times New Roman"/>
      <w:sz w:val="24"/>
      <w:szCs w:val="20"/>
      <w:lang w:eastAsia="fr-BE"/>
    </w:rPr>
  </w:style>
  <w:style w:type="paragraph" w:styleId="ListBullet2">
    <w:name w:val="List Bullet 2"/>
    <w:basedOn w:val="Normal"/>
    <w:pPr>
      <w:numPr>
        <w:numId w:val="2"/>
      </w:numPr>
      <w:spacing w:after="240" w:line="240" w:lineRule="auto"/>
      <w:jc w:val="both"/>
    </w:pPr>
    <w:rPr>
      <w:rFonts w:ascii="Times New Roman" w:eastAsia="Times New Roman" w:hAnsi="Times New Roman" w:cs="Times New Roman"/>
      <w:sz w:val="24"/>
      <w:szCs w:val="20"/>
      <w:lang w:eastAsia="fr-BE"/>
    </w:rPr>
  </w:style>
  <w:style w:type="paragraph" w:customStyle="1" w:styleId="NumPar2">
    <w:name w:val="NumPar 2"/>
    <w:basedOn w:val="Heading2"/>
    <w:uiPriority w:val="90"/>
    <w:qFormat/>
    <w:pPr>
      <w:keepNext w:val="0"/>
      <w:outlineLvl w:val="9"/>
    </w:pPr>
    <w:rPr>
      <w:b w:val="0"/>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fr-BE"/>
    </w:rPr>
  </w:style>
  <w:style w:type="character" w:styleId="PlaceholderText">
    <w:name w:val="Placeholder Text"/>
    <w:basedOn w:val="DefaultParagraphFont"/>
    <w:uiPriority w:val="99"/>
    <w:semiHidden/>
    <w:rPr>
      <w:color w:val="808080"/>
    </w:rPr>
  </w:style>
  <w:style w:type="paragraph" w:customStyle="1" w:styleId="AnnexTitle">
    <w:name w:val="AnnexTitle"/>
    <w:basedOn w:val="Normal"/>
    <w:next w:val="Normal"/>
    <w:uiPriority w:val="90"/>
    <w:qFormat/>
    <w:pPr>
      <w:pageBreakBefore/>
      <w:numPr>
        <w:numId w:val="3"/>
      </w:numPr>
      <w:spacing w:after="480" w:line="240" w:lineRule="auto"/>
      <w:jc w:val="both"/>
      <w:outlineLvl w:val="0"/>
    </w:pPr>
    <w:rPr>
      <w:rFonts w:ascii="Times New Roman" w:eastAsia="Times New Roman" w:hAnsi="Times New Roman" w:cs="Times New Roman"/>
      <w:b/>
      <w:sz w:val="32"/>
      <w:szCs w:val="20"/>
      <w:lang w:eastAsia="fr-BE"/>
    </w:rPr>
  </w:style>
  <w:style w:type="paragraph" w:styleId="ListParagraph">
    <w:name w:val="List Paragraph"/>
    <w:basedOn w:val="Normal"/>
    <w:uiPriority w:val="34"/>
    <w:qFormat/>
    <w:pPr>
      <w:ind w:left="720"/>
      <w:contextualSpacing/>
    </w:p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Bullet0">
    <w:name w:val="Bullet 0"/>
    <w:basedOn w:val="Normal"/>
    <w:pPr>
      <w:numPr>
        <w:numId w:val="4"/>
      </w:numPr>
      <w:spacing w:before="120" w:after="120" w:line="240" w:lineRule="auto"/>
      <w:jc w:val="both"/>
    </w:pPr>
    <w:rPr>
      <w:rFonts w:ascii="Times New Roman" w:hAnsi="Times New Roman" w:cs="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cs="Times New Roman"/>
      <w:sz w:val="24"/>
    </w:rPr>
  </w:style>
  <w:style w:type="paragraph" w:customStyle="1" w:styleId="Statut">
    <w:name w:val="Statut"/>
    <w:basedOn w:val="Normal"/>
    <w:next w:val="Typedudocument"/>
    <w:pPr>
      <w:spacing w:before="360" w:after="0" w:line="240" w:lineRule="auto"/>
      <w:jc w:val="center"/>
    </w:pPr>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character" w:styleId="Hyperlink">
    <w:name w:val="Hyperlink"/>
    <w:basedOn w:val="DefaultParagraphFont"/>
    <w:uiPriority w:val="99"/>
    <w:unhideWhenUsed/>
    <w:rPr>
      <w:color w:val="0563C1" w:themeColor="hyperlink"/>
      <w:u w:val="single"/>
    </w:rPr>
  </w:style>
  <w:style w:type="paragraph" w:styleId="ListBullet">
    <w:name w:val="List Bullet"/>
    <w:basedOn w:val="Normal"/>
    <w:uiPriority w:val="99"/>
    <w:semiHidden/>
    <w:unhideWhenUsed/>
    <w:pPr>
      <w:numPr>
        <w:numId w:val="5"/>
      </w:numPr>
      <w:contextualSpacing/>
    </w:p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lang w:val="bg-BG"/>
    </w:rPr>
  </w:style>
  <w:style w:type="paragraph" w:styleId="ListBullet5">
    <w:name w:val="List Bullet 5"/>
    <w:basedOn w:val="Normal"/>
    <w:autoRedefine/>
    <w:pPr>
      <w:numPr>
        <w:numId w:val="6"/>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aliases w:val="Footnote Reference Superscript,BVI fnr, BVI fnr,Footnote symbol"/>
    <w:basedOn w:val="DefaultParagraphFont"/>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LegalNumPar">
    <w:name w:val="LegalNumPar"/>
    <w:basedOn w:val="Normal"/>
    <w:pPr>
      <w:numPr>
        <w:numId w:val="11"/>
      </w:numPr>
      <w:spacing w:line="360" w:lineRule="auto"/>
    </w:pPr>
    <w:rPr>
      <w:sz w:val="24"/>
    </w:rPr>
  </w:style>
  <w:style w:type="paragraph" w:customStyle="1" w:styleId="LegalNumPar2">
    <w:name w:val="LegalNumPar2"/>
    <w:basedOn w:val="Normal"/>
    <w:pPr>
      <w:numPr>
        <w:ilvl w:val="1"/>
        <w:numId w:val="11"/>
      </w:numPr>
      <w:spacing w:line="360" w:lineRule="auto"/>
    </w:pPr>
    <w:rPr>
      <w:sz w:val="24"/>
    </w:rPr>
  </w:style>
  <w:style w:type="paragraph" w:customStyle="1" w:styleId="LegalNumPar3">
    <w:name w:val="LegalNumPar3"/>
    <w:basedOn w:val="Normal"/>
    <w:pPr>
      <w:numPr>
        <w:ilvl w:val="2"/>
        <w:numId w:val="11"/>
      </w:numPr>
      <w:spacing w:line="360" w:lineRule="auto"/>
    </w:pPr>
    <w:rPr>
      <w:sz w:val="24"/>
    </w:rPr>
  </w:style>
  <w:style w:type="paragraph" w:customStyle="1" w:styleId="ZFlag">
    <w:name w:val="Z_Flag"/>
    <w:basedOn w:val="Normal"/>
    <w:next w:val="Normal"/>
    <w:uiPriority w:val="99"/>
    <w:semiHidden/>
    <w:pPr>
      <w:widowControl w:val="0"/>
      <w:spacing w:after="0" w:line="240" w:lineRule="auto"/>
      <w:ind w:right="85"/>
      <w:jc w:val="both"/>
    </w:pPr>
    <w:rPr>
      <w:rFonts w:ascii="Times New Roman" w:eastAsia="Times New Roman" w:hAnsi="Times New Roman" w:cs="Times New Roman"/>
      <w:sz w:val="24"/>
      <w:szCs w:val="20"/>
    </w:rPr>
  </w:style>
  <w:style w:type="paragraph" w:customStyle="1" w:styleId="ZCom">
    <w:name w:val="Z_Com"/>
    <w:basedOn w:val="Normal"/>
    <w:next w:val="Normal"/>
    <w:uiPriority w:val="99"/>
    <w:semiHidden/>
    <w:pPr>
      <w:widowControl w:val="0"/>
      <w:spacing w:before="90" w:after="0" w:line="240" w:lineRule="auto"/>
      <w:ind w:right="85"/>
      <w:jc w:val="both"/>
    </w:pPr>
    <w:rPr>
      <w:rFonts w:ascii="Times New Roman" w:eastAsia="Times New Roman" w:hAnsi="Times New Roman" w:cs="Times New Roman"/>
      <w:sz w:val="24"/>
      <w:szCs w:val="20"/>
    </w:rPr>
  </w:style>
  <w:style w:type="paragraph" w:customStyle="1" w:styleId="ZDGName">
    <w:name w:val="Z_DGName"/>
    <w:basedOn w:val="Normal"/>
    <w:uiPriority w:val="99"/>
    <w:semiHidden/>
    <w:pPr>
      <w:widowControl w:val="0"/>
      <w:spacing w:after="0" w:line="240" w:lineRule="auto"/>
      <w:ind w:right="85"/>
    </w:pPr>
    <w:rPr>
      <w:rFonts w:ascii="Times New Roman" w:eastAsia="Times New Roman" w:hAnsi="Times New Roman" w:cs="Times New Roman"/>
      <w:sz w:val="16"/>
      <w:szCs w:val="20"/>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rPr>
    <w:tblPr>
      <w:tblCellMar>
        <w:left w:w="0" w:type="dxa"/>
        <w:bottom w:w="340" w:type="dxa"/>
        <w:right w:w="0" w:type="dxa"/>
      </w:tblCellMar>
    </w:tblPr>
  </w:style>
  <w:style w:type="paragraph" w:customStyle="1" w:styleId="Opening">
    <w:name w:val="Opening"/>
    <w:basedOn w:val="Normal"/>
    <w:pPr>
      <w:spacing w:before="480" w:after="720" w:line="240" w:lineRule="auto"/>
    </w:pPr>
    <w:rPr>
      <w:rFonts w:ascii="Times New Roman" w:eastAsia="Times New Roman" w:hAnsi="Times New Roman" w:cs="Times New Roman"/>
      <w:sz w:val="24"/>
      <w:szCs w:val="20"/>
    </w:rPr>
  </w:style>
  <w:style w:type="paragraph" w:styleId="Date">
    <w:name w:val="Date"/>
    <w:basedOn w:val="Normal"/>
    <w:next w:val="References"/>
    <w:link w:val="DateChar"/>
    <w:pPr>
      <w:spacing w:after="0" w:line="240" w:lineRule="auto"/>
      <w:ind w:left="5102"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pPr>
      <w:spacing w:after="240" w:line="240" w:lineRule="auto"/>
      <w:ind w:left="5102" w:right="-567"/>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Revision">
    <w:name w:val="Revision"/>
    <w:hidden/>
    <w:uiPriority w:val="99"/>
    <w:semiHidden/>
    <w:pPr>
      <w:spacing w:after="0" w:line="240" w:lineRule="auto"/>
    </w:p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talic">
    <w:name w:val="italic"/>
    <w:basedOn w:val="DefaultParagraphFont"/>
  </w:style>
  <w:style w:type="paragraph" w:customStyle="1" w:styleId="no-doc-c">
    <w:name w:val="no-doc-c"/>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runcate">
    <w:name w:val="truncate"/>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Dash4Level4">
    <w:name w:val="List Dash 4 (Level 4)"/>
    <w:basedOn w:val="Normal"/>
    <w:semiHidden/>
    <w:unhideWhenUsed/>
    <w:pPr>
      <w:numPr>
        <w:ilvl w:val="3"/>
        <w:numId w:val="71"/>
      </w:numPr>
      <w:spacing w:after="240" w:line="240" w:lineRule="auto"/>
      <w:jc w:val="both"/>
    </w:pPr>
    <w:rPr>
      <w:rFonts w:ascii="Times New Roman" w:eastAsia="Times New Roman" w:hAnsi="Times New Roman" w:cs="Times New Roman"/>
      <w:sz w:val="24"/>
      <w:szCs w:val="20"/>
      <w:lang w:eastAsia="fr-BE"/>
    </w:rPr>
  </w:style>
  <w:style w:type="paragraph" w:customStyle="1" w:styleId="ListDash4Level3">
    <w:name w:val="List Dash 4 (Level 3)"/>
    <w:basedOn w:val="Normal"/>
    <w:semiHidden/>
    <w:unhideWhenUsed/>
    <w:pPr>
      <w:numPr>
        <w:ilvl w:val="2"/>
        <w:numId w:val="71"/>
      </w:numPr>
      <w:spacing w:after="240" w:line="240" w:lineRule="auto"/>
      <w:jc w:val="both"/>
    </w:pPr>
    <w:rPr>
      <w:rFonts w:ascii="Times New Roman" w:eastAsia="Times New Roman" w:hAnsi="Times New Roman" w:cs="Times New Roman"/>
      <w:sz w:val="24"/>
      <w:szCs w:val="20"/>
      <w:lang w:eastAsia="fr-BE"/>
    </w:rPr>
  </w:style>
  <w:style w:type="paragraph" w:customStyle="1" w:styleId="ListDash4Level2">
    <w:name w:val="List Dash 4 (Level 2)"/>
    <w:basedOn w:val="Normal"/>
    <w:pPr>
      <w:numPr>
        <w:ilvl w:val="1"/>
        <w:numId w:val="71"/>
      </w:numPr>
      <w:spacing w:after="240" w:line="240" w:lineRule="auto"/>
      <w:jc w:val="both"/>
    </w:pPr>
    <w:rPr>
      <w:rFonts w:ascii="Times New Roman" w:eastAsia="Times New Roman" w:hAnsi="Times New Roman" w:cs="Times New Roman"/>
      <w:sz w:val="24"/>
      <w:szCs w:val="20"/>
      <w:lang w:eastAsia="fr-BE"/>
    </w:rPr>
  </w:style>
  <w:style w:type="paragraph" w:customStyle="1" w:styleId="ListDash4">
    <w:name w:val="List Dash 4"/>
    <w:basedOn w:val="Normal"/>
    <w:pPr>
      <w:numPr>
        <w:numId w:val="71"/>
      </w:numPr>
      <w:spacing w:after="240" w:line="240" w:lineRule="auto"/>
      <w:jc w:val="both"/>
    </w:pPr>
    <w:rPr>
      <w:rFonts w:ascii="Times New Roman" w:eastAsia="Times New Roman" w:hAnsi="Times New Roman" w:cs="Times New Roman"/>
      <w:sz w:val="24"/>
      <w:szCs w:val="20"/>
      <w:lang w:eastAsia="fr-BE"/>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ereasonstickers">
    <w:name w:val="statereasonstickers"/>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Bullet 2" w:uiPriority="0"/>
    <w:lsdException w:name="List Bullet 5"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Text1"/>
    <w:link w:val="Heading1Char"/>
    <w:uiPriority w:val="90"/>
    <w:qFormat/>
    <w:pPr>
      <w:keepNext/>
      <w:tabs>
        <w:tab w:val="num" w:pos="482"/>
      </w:tabs>
      <w:spacing w:before="240" w:after="240" w:line="240" w:lineRule="auto"/>
      <w:ind w:left="482" w:hanging="482"/>
      <w:jc w:val="both"/>
      <w:outlineLvl w:val="0"/>
    </w:pPr>
    <w:rPr>
      <w:rFonts w:ascii="Times New Roman" w:eastAsia="Times New Roman" w:hAnsi="Times New Roman" w:cs="Times New Roman"/>
      <w:b/>
      <w:smallCaps/>
      <w:sz w:val="24"/>
      <w:szCs w:val="20"/>
      <w:lang w:eastAsia="fr-BE"/>
    </w:rPr>
  </w:style>
  <w:style w:type="paragraph" w:styleId="Heading2">
    <w:name w:val="heading 2"/>
    <w:basedOn w:val="Normal"/>
    <w:next w:val="Normal"/>
    <w:link w:val="Heading2Char"/>
    <w:uiPriority w:val="90"/>
    <w:qFormat/>
    <w:pPr>
      <w:keepNext/>
      <w:tabs>
        <w:tab w:val="num" w:pos="1077"/>
      </w:tabs>
      <w:spacing w:after="240" w:line="240" w:lineRule="auto"/>
      <w:ind w:left="1077" w:hanging="601"/>
      <w:jc w:val="both"/>
      <w:outlineLvl w:val="1"/>
    </w:pPr>
    <w:rPr>
      <w:rFonts w:ascii="Times New Roman" w:eastAsia="Times New Roman" w:hAnsi="Times New Roman" w:cs="Times New Roman"/>
      <w:b/>
      <w:sz w:val="24"/>
      <w:szCs w:val="20"/>
      <w:lang w:eastAsia="fr-BE"/>
    </w:rPr>
  </w:style>
  <w:style w:type="paragraph" w:styleId="Heading3">
    <w:name w:val="heading 3"/>
    <w:basedOn w:val="Normal"/>
    <w:next w:val="Normal"/>
    <w:link w:val="Heading3Char"/>
    <w:uiPriority w:val="90"/>
    <w:qFormat/>
    <w:pPr>
      <w:keepNext/>
      <w:tabs>
        <w:tab w:val="num" w:pos="1922"/>
      </w:tabs>
      <w:spacing w:after="240" w:line="240" w:lineRule="auto"/>
      <w:ind w:left="1922" w:hanging="839"/>
      <w:jc w:val="both"/>
      <w:outlineLvl w:val="2"/>
    </w:pPr>
    <w:rPr>
      <w:rFonts w:ascii="Times New Roman" w:eastAsia="Times New Roman" w:hAnsi="Times New Roman" w:cs="Times New Roman"/>
      <w:i/>
      <w:sz w:val="24"/>
      <w:szCs w:val="20"/>
      <w:lang w:eastAsia="fr-BE"/>
    </w:rPr>
  </w:style>
  <w:style w:type="paragraph" w:styleId="Heading4">
    <w:name w:val="heading 4"/>
    <w:basedOn w:val="Normal"/>
    <w:next w:val="Normal"/>
    <w:link w:val="Heading4Char"/>
    <w:uiPriority w:val="90"/>
    <w:qFormat/>
    <w:pPr>
      <w:keepNext/>
      <w:tabs>
        <w:tab w:val="num" w:pos="2880"/>
      </w:tabs>
      <w:spacing w:after="240" w:line="240" w:lineRule="auto"/>
      <w:ind w:left="2880" w:hanging="958"/>
      <w:jc w:val="both"/>
      <w:outlineLvl w:val="3"/>
    </w:pPr>
    <w:rPr>
      <w:rFonts w:ascii="Times New Roman" w:eastAsia="Times New Roman" w:hAnsi="Times New Roman" w:cs="Times New Roman"/>
      <w:sz w:val="24"/>
      <w:szCs w:val="20"/>
      <w:lang w:eastAsia="fr-BE"/>
    </w:rPr>
  </w:style>
  <w:style w:type="paragraph" w:styleId="Heading5">
    <w:name w:val="heading 5"/>
    <w:basedOn w:val="Normal"/>
    <w:next w:val="Normal"/>
    <w:link w:val="Heading5Char"/>
    <w:semiHidden/>
    <w:pPr>
      <w:keepNext/>
      <w:tabs>
        <w:tab w:val="num" w:pos="2880"/>
      </w:tabs>
      <w:spacing w:after="240" w:line="240" w:lineRule="auto"/>
      <w:ind w:left="3838" w:hanging="958"/>
      <w:jc w:val="both"/>
      <w:outlineLvl w:val="4"/>
    </w:pPr>
    <w:rPr>
      <w:rFonts w:ascii="Times New Roman" w:eastAsia="Times New Roman" w:hAnsi="Times New Roman" w:cs="Times New Roman"/>
      <w:sz w:val="24"/>
      <w:szCs w:val="20"/>
      <w:lang w:eastAsia="fr-BE"/>
    </w:rPr>
  </w:style>
  <w:style w:type="paragraph" w:styleId="Heading6">
    <w:name w:val="heading 6"/>
    <w:basedOn w:val="Normal"/>
    <w:next w:val="Normal"/>
    <w:link w:val="Heading6Char"/>
    <w:semiHidden/>
    <w:pPr>
      <w:keepNext/>
      <w:tabs>
        <w:tab w:val="num" w:pos="2880"/>
      </w:tabs>
      <w:spacing w:after="240" w:line="240" w:lineRule="auto"/>
      <w:ind w:left="3838" w:hanging="958"/>
      <w:jc w:val="both"/>
      <w:outlineLvl w:val="5"/>
    </w:pPr>
    <w:rPr>
      <w:rFonts w:ascii="Times New Roman" w:eastAsia="Times New Roman" w:hAnsi="Times New Roman" w:cs="Times New Roman"/>
      <w:sz w:val="24"/>
      <w:szCs w:val="20"/>
      <w:lang w:eastAsia="fr-BE"/>
    </w:rPr>
  </w:style>
  <w:style w:type="paragraph" w:styleId="Heading7">
    <w:name w:val="heading 7"/>
    <w:basedOn w:val="Normal"/>
    <w:next w:val="Normal"/>
    <w:link w:val="Heading7Char"/>
    <w:semiHidden/>
    <w:pPr>
      <w:keepNext/>
      <w:tabs>
        <w:tab w:val="num" w:pos="2880"/>
      </w:tabs>
      <w:spacing w:after="240" w:line="240" w:lineRule="auto"/>
      <w:ind w:left="3838" w:hanging="958"/>
      <w:jc w:val="both"/>
      <w:outlineLvl w:val="6"/>
    </w:pPr>
    <w:rPr>
      <w:rFonts w:ascii="Times New Roman" w:eastAsia="Times New Roman" w:hAnsi="Times New Roman" w:cs="Times New Roman"/>
      <w:sz w:val="24"/>
      <w:szCs w:val="20"/>
      <w:lang w:eastAsia="fr-BE"/>
    </w:rPr>
  </w:style>
  <w:style w:type="paragraph" w:styleId="Heading8">
    <w:name w:val="heading 8"/>
    <w:basedOn w:val="Normal"/>
    <w:next w:val="Normal"/>
    <w:link w:val="Heading8Char"/>
    <w:semiHidden/>
    <w:pPr>
      <w:keepNext/>
      <w:tabs>
        <w:tab w:val="num" w:pos="2880"/>
      </w:tabs>
      <w:spacing w:after="240" w:line="240" w:lineRule="auto"/>
      <w:ind w:left="3838" w:hanging="958"/>
      <w:jc w:val="both"/>
      <w:outlineLvl w:val="7"/>
    </w:pPr>
    <w:rPr>
      <w:rFonts w:ascii="Times New Roman" w:eastAsia="Times New Roman" w:hAnsi="Times New Roman" w:cs="Times New Roman"/>
      <w:sz w:val="24"/>
      <w:szCs w:val="20"/>
      <w:lang w:eastAsia="fr-BE"/>
    </w:rPr>
  </w:style>
  <w:style w:type="paragraph" w:styleId="Heading9">
    <w:name w:val="heading 9"/>
    <w:basedOn w:val="Normal"/>
    <w:next w:val="Normal"/>
    <w:link w:val="Heading9Char"/>
    <w:semiHidden/>
    <w:pPr>
      <w:keepNext/>
      <w:tabs>
        <w:tab w:val="num" w:pos="2880"/>
      </w:tabs>
      <w:spacing w:after="240" w:line="240" w:lineRule="auto"/>
      <w:ind w:left="3838" w:hanging="958"/>
      <w:jc w:val="both"/>
      <w:outlineLvl w:val="8"/>
    </w:pPr>
    <w:rPr>
      <w:rFonts w:ascii="Times New Roman" w:eastAsia="Times New Roman" w:hAnsi="Times New Roman" w:cs="Times New Roman"/>
      <w:sz w:val="24"/>
      <w:szCs w:val="20"/>
      <w:lang w:eastAsia="fr-B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0"/>
      <w:lang w:val="bg-BG" w:eastAsia="fr-BE"/>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4"/>
      <w:szCs w:val="20"/>
      <w:lang w:val="bg-BG" w:eastAsia="fr-BE"/>
    </w:rPr>
  </w:style>
  <w:style w:type="character" w:customStyle="1" w:styleId="Heading3Char">
    <w:name w:val="Heading 3 Char"/>
    <w:basedOn w:val="DefaultParagraphFont"/>
    <w:link w:val="Heading3"/>
    <w:uiPriority w:val="90"/>
    <w:rPr>
      <w:rFonts w:ascii="Times New Roman" w:eastAsia="Times New Roman" w:hAnsi="Times New Roman" w:cs="Times New Roman"/>
      <w:i/>
      <w:sz w:val="24"/>
      <w:szCs w:val="20"/>
      <w:lang w:val="bg-BG" w:eastAsia="fr-BE"/>
    </w:rPr>
  </w:style>
  <w:style w:type="character" w:customStyle="1" w:styleId="Heading4Char">
    <w:name w:val="Heading 4 Char"/>
    <w:basedOn w:val="DefaultParagraphFont"/>
    <w:link w:val="Heading4"/>
    <w:uiPriority w:val="90"/>
    <w:rPr>
      <w:rFonts w:ascii="Times New Roman" w:eastAsia="Times New Roman" w:hAnsi="Times New Roman" w:cs="Times New Roman"/>
      <w:sz w:val="24"/>
      <w:szCs w:val="20"/>
      <w:lang w:val="bg-BG" w:eastAsia="fr-BE"/>
    </w:rPr>
  </w:style>
  <w:style w:type="character" w:customStyle="1" w:styleId="Heading5Char">
    <w:name w:val="Heading 5 Char"/>
    <w:basedOn w:val="DefaultParagraphFont"/>
    <w:link w:val="Heading5"/>
    <w:semiHidden/>
    <w:rPr>
      <w:rFonts w:ascii="Times New Roman" w:eastAsia="Times New Roman" w:hAnsi="Times New Roman" w:cs="Times New Roman"/>
      <w:sz w:val="24"/>
      <w:szCs w:val="20"/>
      <w:lang w:val="bg-BG" w:eastAsia="fr-BE"/>
    </w:rPr>
  </w:style>
  <w:style w:type="character" w:customStyle="1" w:styleId="Heading6Char">
    <w:name w:val="Heading 6 Char"/>
    <w:basedOn w:val="DefaultParagraphFont"/>
    <w:link w:val="Heading6"/>
    <w:semiHidden/>
    <w:rPr>
      <w:rFonts w:ascii="Times New Roman" w:eastAsia="Times New Roman" w:hAnsi="Times New Roman" w:cs="Times New Roman"/>
      <w:sz w:val="24"/>
      <w:szCs w:val="20"/>
      <w:lang w:val="bg-BG" w:eastAsia="fr-BE"/>
    </w:rPr>
  </w:style>
  <w:style w:type="character" w:customStyle="1" w:styleId="Heading7Char">
    <w:name w:val="Heading 7 Char"/>
    <w:basedOn w:val="DefaultParagraphFont"/>
    <w:link w:val="Heading7"/>
    <w:semiHidden/>
    <w:rPr>
      <w:rFonts w:ascii="Times New Roman" w:eastAsia="Times New Roman" w:hAnsi="Times New Roman" w:cs="Times New Roman"/>
      <w:sz w:val="24"/>
      <w:szCs w:val="20"/>
      <w:lang w:val="bg-BG" w:eastAsia="fr-BE"/>
    </w:rPr>
  </w:style>
  <w:style w:type="character" w:customStyle="1" w:styleId="Heading8Char">
    <w:name w:val="Heading 8 Char"/>
    <w:basedOn w:val="DefaultParagraphFont"/>
    <w:link w:val="Heading8"/>
    <w:semiHidden/>
    <w:rPr>
      <w:rFonts w:ascii="Times New Roman" w:eastAsia="Times New Roman" w:hAnsi="Times New Roman" w:cs="Times New Roman"/>
      <w:sz w:val="24"/>
      <w:szCs w:val="20"/>
      <w:lang w:val="bg-BG" w:eastAsia="fr-BE"/>
    </w:rPr>
  </w:style>
  <w:style w:type="character" w:customStyle="1" w:styleId="Heading9Char">
    <w:name w:val="Heading 9 Char"/>
    <w:basedOn w:val="DefaultParagraphFont"/>
    <w:link w:val="Heading9"/>
    <w:semiHidden/>
    <w:rPr>
      <w:rFonts w:ascii="Times New Roman" w:eastAsia="Times New Roman" w:hAnsi="Times New Roman" w:cs="Times New Roman"/>
      <w:sz w:val="24"/>
      <w:szCs w:val="20"/>
      <w:lang w:val="bg-B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BodyPlaceholderText">
    <w:name w:val="BodyPlaceholderText"/>
    <w:basedOn w:val="PlaceholderText"/>
    <w:uiPriority w:val="1"/>
    <w:semiHidden/>
    <w:rPr>
      <w:color w:val="3366CC"/>
    </w:rPr>
  </w:style>
  <w:style w:type="paragraph" w:customStyle="1" w:styleId="ListBullet2Level4">
    <w:name w:val="List Bullet 2 (Level 4)"/>
    <w:basedOn w:val="Normal"/>
    <w:semiHidden/>
    <w:unhideWhenUsed/>
    <w:pPr>
      <w:numPr>
        <w:ilvl w:val="3"/>
        <w:numId w:val="2"/>
      </w:numPr>
      <w:spacing w:after="240" w:line="240" w:lineRule="auto"/>
      <w:jc w:val="both"/>
    </w:pPr>
    <w:rPr>
      <w:rFonts w:ascii="Times New Roman" w:eastAsia="Times New Roman" w:hAnsi="Times New Roman" w:cs="Times New Roman"/>
      <w:sz w:val="24"/>
      <w:szCs w:val="20"/>
      <w:lang w:eastAsia="fr-BE"/>
    </w:rPr>
  </w:style>
  <w:style w:type="paragraph" w:customStyle="1" w:styleId="ListBullet2Level3">
    <w:name w:val="List Bullet 2 (Level 3)"/>
    <w:basedOn w:val="Normal"/>
    <w:semiHidden/>
    <w:unhideWhenUsed/>
    <w:pPr>
      <w:numPr>
        <w:ilvl w:val="2"/>
        <w:numId w:val="2"/>
      </w:numPr>
      <w:spacing w:after="240" w:line="240" w:lineRule="auto"/>
      <w:jc w:val="both"/>
    </w:pPr>
    <w:rPr>
      <w:rFonts w:ascii="Times New Roman" w:eastAsia="Times New Roman" w:hAnsi="Times New Roman" w:cs="Times New Roman"/>
      <w:sz w:val="24"/>
      <w:szCs w:val="20"/>
      <w:lang w:eastAsia="fr-BE"/>
    </w:rPr>
  </w:style>
  <w:style w:type="paragraph" w:customStyle="1" w:styleId="ListBullet2Level2">
    <w:name w:val="List Bullet 2 (Level 2)"/>
    <w:basedOn w:val="Normal"/>
    <w:pPr>
      <w:numPr>
        <w:ilvl w:val="1"/>
        <w:numId w:val="2"/>
      </w:numPr>
      <w:spacing w:after="240" w:line="240" w:lineRule="auto"/>
      <w:jc w:val="both"/>
    </w:pPr>
    <w:rPr>
      <w:rFonts w:ascii="Times New Roman" w:eastAsia="Times New Roman" w:hAnsi="Times New Roman" w:cs="Times New Roman"/>
      <w:sz w:val="24"/>
      <w:szCs w:val="20"/>
      <w:lang w:eastAsia="fr-BE"/>
    </w:rPr>
  </w:style>
  <w:style w:type="paragraph" w:styleId="ListBullet2">
    <w:name w:val="List Bullet 2"/>
    <w:basedOn w:val="Normal"/>
    <w:pPr>
      <w:numPr>
        <w:numId w:val="2"/>
      </w:numPr>
      <w:spacing w:after="240" w:line="240" w:lineRule="auto"/>
      <w:jc w:val="both"/>
    </w:pPr>
    <w:rPr>
      <w:rFonts w:ascii="Times New Roman" w:eastAsia="Times New Roman" w:hAnsi="Times New Roman" w:cs="Times New Roman"/>
      <w:sz w:val="24"/>
      <w:szCs w:val="20"/>
      <w:lang w:eastAsia="fr-BE"/>
    </w:rPr>
  </w:style>
  <w:style w:type="paragraph" w:customStyle="1" w:styleId="NumPar2">
    <w:name w:val="NumPar 2"/>
    <w:basedOn w:val="Heading2"/>
    <w:uiPriority w:val="90"/>
    <w:qFormat/>
    <w:pPr>
      <w:keepNext w:val="0"/>
      <w:outlineLvl w:val="9"/>
    </w:pPr>
    <w:rPr>
      <w:b w:val="0"/>
    </w:rPr>
  </w:style>
  <w:style w:type="paragraph" w:customStyle="1" w:styleId="Text1">
    <w:name w:val="Text 1"/>
    <w:basedOn w:val="Normal"/>
    <w:uiPriority w:val="90"/>
    <w:qFormat/>
    <w:pPr>
      <w:spacing w:after="240" w:line="240" w:lineRule="auto"/>
      <w:ind w:left="482"/>
      <w:jc w:val="both"/>
    </w:pPr>
    <w:rPr>
      <w:rFonts w:ascii="Times New Roman" w:eastAsia="Times New Roman" w:hAnsi="Times New Roman" w:cs="Times New Roman"/>
      <w:sz w:val="24"/>
      <w:szCs w:val="20"/>
      <w:lang w:eastAsia="fr-BE"/>
    </w:rPr>
  </w:style>
  <w:style w:type="character" w:styleId="PlaceholderText">
    <w:name w:val="Placeholder Text"/>
    <w:basedOn w:val="DefaultParagraphFont"/>
    <w:uiPriority w:val="99"/>
    <w:semiHidden/>
    <w:rPr>
      <w:color w:val="808080"/>
    </w:rPr>
  </w:style>
  <w:style w:type="paragraph" w:customStyle="1" w:styleId="AnnexTitle">
    <w:name w:val="AnnexTitle"/>
    <w:basedOn w:val="Normal"/>
    <w:next w:val="Normal"/>
    <w:uiPriority w:val="90"/>
    <w:qFormat/>
    <w:pPr>
      <w:pageBreakBefore/>
      <w:numPr>
        <w:numId w:val="3"/>
      </w:numPr>
      <w:spacing w:after="480" w:line="240" w:lineRule="auto"/>
      <w:jc w:val="both"/>
      <w:outlineLvl w:val="0"/>
    </w:pPr>
    <w:rPr>
      <w:rFonts w:ascii="Times New Roman" w:eastAsia="Times New Roman" w:hAnsi="Times New Roman" w:cs="Times New Roman"/>
      <w:b/>
      <w:sz w:val="32"/>
      <w:szCs w:val="20"/>
      <w:lang w:eastAsia="fr-BE"/>
    </w:rPr>
  </w:style>
  <w:style w:type="paragraph" w:styleId="ListParagraph">
    <w:name w:val="List Paragraph"/>
    <w:basedOn w:val="Normal"/>
    <w:uiPriority w:val="34"/>
    <w:qFormat/>
    <w:pPr>
      <w:ind w:left="720"/>
      <w:contextualSpacing/>
    </w:pPr>
  </w:style>
  <w:style w:type="paragraph" w:customStyle="1" w:styleId="Exposdesmotifstitre">
    <w:name w:val="Exposé des motifs titre"/>
    <w:basedOn w:val="Normal"/>
    <w:next w:val="Normal"/>
    <w:pPr>
      <w:spacing w:before="120" w:after="120" w:line="240" w:lineRule="auto"/>
      <w:jc w:val="center"/>
    </w:pPr>
    <w:rPr>
      <w:rFonts w:ascii="Times New Roman" w:hAnsi="Times New Roman" w:cs="Times New Roman"/>
      <w:b/>
      <w:sz w:val="24"/>
      <w:u w:val="single"/>
    </w:rPr>
  </w:style>
  <w:style w:type="paragraph" w:customStyle="1" w:styleId="Bullet0">
    <w:name w:val="Bullet 0"/>
    <w:basedOn w:val="Normal"/>
    <w:pPr>
      <w:numPr>
        <w:numId w:val="4"/>
      </w:numPr>
      <w:spacing w:before="120" w:after="120" w:line="240" w:lineRule="auto"/>
      <w:jc w:val="both"/>
    </w:pPr>
    <w:rPr>
      <w:rFonts w:ascii="Times New Roman" w:hAnsi="Times New Roman" w:cs="Times New Roman"/>
      <w:sz w:val="24"/>
    </w:rPr>
  </w:style>
  <w:style w:type="paragraph" w:customStyle="1" w:styleId="Rfrenceinterinstitutionnelle">
    <w:name w:val="Référence interinstitutionnelle"/>
    <w:basedOn w:val="Normal"/>
    <w:next w:val="Statut"/>
    <w:pPr>
      <w:spacing w:after="0" w:line="240" w:lineRule="auto"/>
      <w:ind w:left="5103"/>
    </w:pPr>
    <w:rPr>
      <w:rFonts w:ascii="Times New Roman" w:hAnsi="Times New Roman" w:cs="Times New Roman"/>
      <w:sz w:val="24"/>
    </w:rPr>
  </w:style>
  <w:style w:type="paragraph" w:customStyle="1" w:styleId="Statut">
    <w:name w:val="Statut"/>
    <w:basedOn w:val="Normal"/>
    <w:next w:val="Typedudocument"/>
    <w:pPr>
      <w:spacing w:before="360" w:after="0" w:line="240" w:lineRule="auto"/>
      <w:jc w:val="center"/>
    </w:pPr>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character" w:styleId="Hyperlink">
    <w:name w:val="Hyperlink"/>
    <w:basedOn w:val="DefaultParagraphFont"/>
    <w:uiPriority w:val="99"/>
    <w:unhideWhenUsed/>
    <w:rPr>
      <w:color w:val="0563C1" w:themeColor="hyperlink"/>
      <w:u w:val="single"/>
    </w:rPr>
  </w:style>
  <w:style w:type="paragraph" w:styleId="ListBullet">
    <w:name w:val="List Bullet"/>
    <w:basedOn w:val="Normal"/>
    <w:uiPriority w:val="99"/>
    <w:semiHidden/>
    <w:unhideWhenUsed/>
    <w:pPr>
      <w:numPr>
        <w:numId w:val="5"/>
      </w:numPr>
      <w:contextualSpacing/>
    </w:p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lang w:val="bg-BG"/>
    </w:rPr>
  </w:style>
  <w:style w:type="paragraph" w:styleId="ListBullet5">
    <w:name w:val="List Bullet 5"/>
    <w:basedOn w:val="Normal"/>
    <w:autoRedefine/>
    <w:pPr>
      <w:numPr>
        <w:numId w:val="6"/>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aliases w:val="Footnote Reference Superscript,BVI fnr, BVI fnr,Footnote symbol"/>
    <w:basedOn w:val="DefaultParagraphFont"/>
    <w:unhideWhenUsed/>
    <w:rPr>
      <w:vertAlign w:val="superscript"/>
    </w:rPr>
  </w:style>
  <w:style w:type="character" w:styleId="FollowedHyperlink">
    <w:name w:val="FollowedHyperlink"/>
    <w:basedOn w:val="DefaultParagraphFont"/>
    <w:uiPriority w:val="99"/>
    <w:semiHidden/>
    <w:unhideWhenUsed/>
    <w:rPr>
      <w:color w:val="954F72" w:themeColor="followed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LegalNumPar">
    <w:name w:val="LegalNumPar"/>
    <w:basedOn w:val="Normal"/>
    <w:pPr>
      <w:numPr>
        <w:numId w:val="11"/>
      </w:numPr>
      <w:spacing w:line="360" w:lineRule="auto"/>
    </w:pPr>
    <w:rPr>
      <w:sz w:val="24"/>
    </w:rPr>
  </w:style>
  <w:style w:type="paragraph" w:customStyle="1" w:styleId="LegalNumPar2">
    <w:name w:val="LegalNumPar2"/>
    <w:basedOn w:val="Normal"/>
    <w:pPr>
      <w:numPr>
        <w:ilvl w:val="1"/>
        <w:numId w:val="11"/>
      </w:numPr>
      <w:spacing w:line="360" w:lineRule="auto"/>
    </w:pPr>
    <w:rPr>
      <w:sz w:val="24"/>
    </w:rPr>
  </w:style>
  <w:style w:type="paragraph" w:customStyle="1" w:styleId="LegalNumPar3">
    <w:name w:val="LegalNumPar3"/>
    <w:basedOn w:val="Normal"/>
    <w:pPr>
      <w:numPr>
        <w:ilvl w:val="2"/>
        <w:numId w:val="11"/>
      </w:numPr>
      <w:spacing w:line="360" w:lineRule="auto"/>
    </w:pPr>
    <w:rPr>
      <w:sz w:val="24"/>
    </w:rPr>
  </w:style>
  <w:style w:type="paragraph" w:customStyle="1" w:styleId="ZFlag">
    <w:name w:val="Z_Flag"/>
    <w:basedOn w:val="Normal"/>
    <w:next w:val="Normal"/>
    <w:uiPriority w:val="99"/>
    <w:semiHidden/>
    <w:pPr>
      <w:widowControl w:val="0"/>
      <w:spacing w:after="0" w:line="240" w:lineRule="auto"/>
      <w:ind w:right="85"/>
      <w:jc w:val="both"/>
    </w:pPr>
    <w:rPr>
      <w:rFonts w:ascii="Times New Roman" w:eastAsia="Times New Roman" w:hAnsi="Times New Roman" w:cs="Times New Roman"/>
      <w:sz w:val="24"/>
      <w:szCs w:val="20"/>
    </w:rPr>
  </w:style>
  <w:style w:type="paragraph" w:customStyle="1" w:styleId="ZCom">
    <w:name w:val="Z_Com"/>
    <w:basedOn w:val="Normal"/>
    <w:next w:val="Normal"/>
    <w:uiPriority w:val="99"/>
    <w:semiHidden/>
    <w:pPr>
      <w:widowControl w:val="0"/>
      <w:spacing w:before="90" w:after="0" w:line="240" w:lineRule="auto"/>
      <w:ind w:right="85"/>
      <w:jc w:val="both"/>
    </w:pPr>
    <w:rPr>
      <w:rFonts w:ascii="Times New Roman" w:eastAsia="Times New Roman" w:hAnsi="Times New Roman" w:cs="Times New Roman"/>
      <w:sz w:val="24"/>
      <w:szCs w:val="20"/>
    </w:rPr>
  </w:style>
  <w:style w:type="paragraph" w:customStyle="1" w:styleId="ZDGName">
    <w:name w:val="Z_DGName"/>
    <w:basedOn w:val="Normal"/>
    <w:uiPriority w:val="99"/>
    <w:semiHidden/>
    <w:pPr>
      <w:widowControl w:val="0"/>
      <w:spacing w:after="0" w:line="240" w:lineRule="auto"/>
      <w:ind w:right="85"/>
    </w:pPr>
    <w:rPr>
      <w:rFonts w:ascii="Times New Roman" w:eastAsia="Times New Roman" w:hAnsi="Times New Roman" w:cs="Times New Roman"/>
      <w:sz w:val="16"/>
      <w:szCs w:val="20"/>
    </w:rPr>
  </w:style>
  <w:style w:type="table" w:customStyle="1" w:styleId="TableLetterhead">
    <w:name w:val="Table Letterhead"/>
    <w:basedOn w:val="TableNormal"/>
    <w:uiPriority w:val="99"/>
    <w:pPr>
      <w:spacing w:after="0" w:line="240" w:lineRule="auto"/>
    </w:pPr>
    <w:rPr>
      <w:rFonts w:ascii="Times New Roman" w:eastAsia="Times New Roman" w:hAnsi="Times New Roman" w:cs="Times New Roman"/>
      <w:sz w:val="24"/>
      <w:szCs w:val="20"/>
    </w:rPr>
    <w:tblPr>
      <w:tblCellMar>
        <w:left w:w="0" w:type="dxa"/>
        <w:bottom w:w="340" w:type="dxa"/>
        <w:right w:w="0" w:type="dxa"/>
      </w:tblCellMar>
    </w:tblPr>
  </w:style>
  <w:style w:type="paragraph" w:customStyle="1" w:styleId="Opening">
    <w:name w:val="Opening"/>
    <w:basedOn w:val="Normal"/>
    <w:pPr>
      <w:spacing w:before="480" w:after="720" w:line="240" w:lineRule="auto"/>
    </w:pPr>
    <w:rPr>
      <w:rFonts w:ascii="Times New Roman" w:eastAsia="Times New Roman" w:hAnsi="Times New Roman" w:cs="Times New Roman"/>
      <w:sz w:val="24"/>
      <w:szCs w:val="20"/>
    </w:rPr>
  </w:style>
  <w:style w:type="paragraph" w:styleId="Date">
    <w:name w:val="Date"/>
    <w:basedOn w:val="Normal"/>
    <w:next w:val="References"/>
    <w:link w:val="DateChar"/>
    <w:pPr>
      <w:spacing w:after="0" w:line="240" w:lineRule="auto"/>
      <w:ind w:left="5102" w:right="-567"/>
    </w:pPr>
    <w:rPr>
      <w:rFonts w:ascii="Times New Roman" w:eastAsia="Times New Roman" w:hAnsi="Times New Roman" w:cs="Times New Roman"/>
      <w:sz w:val="24"/>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pPr>
      <w:spacing w:after="240" w:line="240" w:lineRule="auto"/>
      <w:ind w:left="5102" w:right="-567"/>
      <w:contextualSpacing/>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Revision">
    <w:name w:val="Revision"/>
    <w:hidden/>
    <w:uiPriority w:val="99"/>
    <w:semiHidden/>
    <w:pPr>
      <w:spacing w:after="0" w:line="240" w:lineRule="auto"/>
    </w:pPr>
  </w:style>
  <w:style w:type="paragraph" w:customStyle="1" w:styleId="doc-ti">
    <w:name w:val="doc-ti"/>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italic">
    <w:name w:val="italic"/>
    <w:basedOn w:val="DefaultParagraphFont"/>
  </w:style>
  <w:style w:type="paragraph" w:customStyle="1" w:styleId="no-doc-c">
    <w:name w:val="no-doc-c"/>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customStyle="1" w:styleId="truncate">
    <w:name w:val="truncate"/>
    <w:basedOn w:val="DefaultParagraphFont"/>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Dash4Level4">
    <w:name w:val="List Dash 4 (Level 4)"/>
    <w:basedOn w:val="Normal"/>
    <w:semiHidden/>
    <w:unhideWhenUsed/>
    <w:pPr>
      <w:numPr>
        <w:ilvl w:val="3"/>
        <w:numId w:val="71"/>
      </w:numPr>
      <w:spacing w:after="240" w:line="240" w:lineRule="auto"/>
      <w:jc w:val="both"/>
    </w:pPr>
    <w:rPr>
      <w:rFonts w:ascii="Times New Roman" w:eastAsia="Times New Roman" w:hAnsi="Times New Roman" w:cs="Times New Roman"/>
      <w:sz w:val="24"/>
      <w:szCs w:val="20"/>
      <w:lang w:eastAsia="fr-BE"/>
    </w:rPr>
  </w:style>
  <w:style w:type="paragraph" w:customStyle="1" w:styleId="ListDash4Level3">
    <w:name w:val="List Dash 4 (Level 3)"/>
    <w:basedOn w:val="Normal"/>
    <w:semiHidden/>
    <w:unhideWhenUsed/>
    <w:pPr>
      <w:numPr>
        <w:ilvl w:val="2"/>
        <w:numId w:val="71"/>
      </w:numPr>
      <w:spacing w:after="240" w:line="240" w:lineRule="auto"/>
      <w:jc w:val="both"/>
    </w:pPr>
    <w:rPr>
      <w:rFonts w:ascii="Times New Roman" w:eastAsia="Times New Roman" w:hAnsi="Times New Roman" w:cs="Times New Roman"/>
      <w:sz w:val="24"/>
      <w:szCs w:val="20"/>
      <w:lang w:eastAsia="fr-BE"/>
    </w:rPr>
  </w:style>
  <w:style w:type="paragraph" w:customStyle="1" w:styleId="ListDash4Level2">
    <w:name w:val="List Dash 4 (Level 2)"/>
    <w:basedOn w:val="Normal"/>
    <w:pPr>
      <w:numPr>
        <w:ilvl w:val="1"/>
        <w:numId w:val="71"/>
      </w:numPr>
      <w:spacing w:after="240" w:line="240" w:lineRule="auto"/>
      <w:jc w:val="both"/>
    </w:pPr>
    <w:rPr>
      <w:rFonts w:ascii="Times New Roman" w:eastAsia="Times New Roman" w:hAnsi="Times New Roman" w:cs="Times New Roman"/>
      <w:sz w:val="24"/>
      <w:szCs w:val="20"/>
      <w:lang w:eastAsia="fr-BE"/>
    </w:rPr>
  </w:style>
  <w:style w:type="paragraph" w:customStyle="1" w:styleId="ListDash4">
    <w:name w:val="List Dash 4"/>
    <w:basedOn w:val="Normal"/>
    <w:pPr>
      <w:numPr>
        <w:numId w:val="71"/>
      </w:numPr>
      <w:spacing w:after="240" w:line="240" w:lineRule="auto"/>
      <w:jc w:val="both"/>
    </w:pPr>
    <w:rPr>
      <w:rFonts w:ascii="Times New Roman" w:eastAsia="Times New Roman" w:hAnsi="Times New Roman" w:cs="Times New Roman"/>
      <w:sz w:val="24"/>
      <w:szCs w:val="20"/>
      <w:lang w:eastAsia="fr-BE"/>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tereasonstickers">
    <w:name w:val="statereasonstickers"/>
    <w:basedOn w:val="DefaultParagraphFont"/>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0231">
      <w:bodyDiv w:val="1"/>
      <w:marLeft w:val="0"/>
      <w:marRight w:val="0"/>
      <w:marTop w:val="0"/>
      <w:marBottom w:val="0"/>
      <w:divBdr>
        <w:top w:val="none" w:sz="0" w:space="0" w:color="auto"/>
        <w:left w:val="none" w:sz="0" w:space="0" w:color="auto"/>
        <w:bottom w:val="none" w:sz="0" w:space="0" w:color="auto"/>
        <w:right w:val="none" w:sz="0" w:space="0" w:color="auto"/>
      </w:divBdr>
    </w:div>
    <w:div w:id="177159799">
      <w:bodyDiv w:val="1"/>
      <w:marLeft w:val="0"/>
      <w:marRight w:val="0"/>
      <w:marTop w:val="0"/>
      <w:marBottom w:val="0"/>
      <w:divBdr>
        <w:top w:val="none" w:sz="0" w:space="0" w:color="auto"/>
        <w:left w:val="none" w:sz="0" w:space="0" w:color="auto"/>
        <w:bottom w:val="none" w:sz="0" w:space="0" w:color="auto"/>
        <w:right w:val="none" w:sz="0" w:space="0" w:color="auto"/>
      </w:divBdr>
      <w:divsChild>
        <w:div w:id="1407847101">
          <w:marLeft w:val="0"/>
          <w:marRight w:val="0"/>
          <w:marTop w:val="0"/>
          <w:marBottom w:val="0"/>
          <w:divBdr>
            <w:top w:val="none" w:sz="0" w:space="0" w:color="auto"/>
            <w:left w:val="none" w:sz="0" w:space="0" w:color="auto"/>
            <w:bottom w:val="none" w:sz="0" w:space="0" w:color="auto"/>
            <w:right w:val="none" w:sz="0" w:space="0" w:color="auto"/>
          </w:divBdr>
          <w:divsChild>
            <w:div w:id="10846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487371">
      <w:bodyDiv w:val="1"/>
      <w:marLeft w:val="0"/>
      <w:marRight w:val="0"/>
      <w:marTop w:val="0"/>
      <w:marBottom w:val="0"/>
      <w:divBdr>
        <w:top w:val="none" w:sz="0" w:space="0" w:color="auto"/>
        <w:left w:val="none" w:sz="0" w:space="0" w:color="auto"/>
        <w:bottom w:val="none" w:sz="0" w:space="0" w:color="auto"/>
        <w:right w:val="none" w:sz="0" w:space="0" w:color="auto"/>
      </w:divBdr>
    </w:div>
    <w:div w:id="471092967">
      <w:bodyDiv w:val="1"/>
      <w:marLeft w:val="0"/>
      <w:marRight w:val="0"/>
      <w:marTop w:val="0"/>
      <w:marBottom w:val="0"/>
      <w:divBdr>
        <w:top w:val="none" w:sz="0" w:space="0" w:color="auto"/>
        <w:left w:val="none" w:sz="0" w:space="0" w:color="auto"/>
        <w:bottom w:val="none" w:sz="0" w:space="0" w:color="auto"/>
        <w:right w:val="none" w:sz="0" w:space="0" w:color="auto"/>
      </w:divBdr>
    </w:div>
    <w:div w:id="493572709">
      <w:bodyDiv w:val="1"/>
      <w:marLeft w:val="0"/>
      <w:marRight w:val="0"/>
      <w:marTop w:val="0"/>
      <w:marBottom w:val="0"/>
      <w:divBdr>
        <w:top w:val="none" w:sz="0" w:space="0" w:color="auto"/>
        <w:left w:val="none" w:sz="0" w:space="0" w:color="auto"/>
        <w:bottom w:val="none" w:sz="0" w:space="0" w:color="auto"/>
        <w:right w:val="none" w:sz="0" w:space="0" w:color="auto"/>
      </w:divBdr>
    </w:div>
    <w:div w:id="526067255">
      <w:bodyDiv w:val="1"/>
      <w:marLeft w:val="0"/>
      <w:marRight w:val="0"/>
      <w:marTop w:val="0"/>
      <w:marBottom w:val="0"/>
      <w:divBdr>
        <w:top w:val="none" w:sz="0" w:space="0" w:color="auto"/>
        <w:left w:val="none" w:sz="0" w:space="0" w:color="auto"/>
        <w:bottom w:val="none" w:sz="0" w:space="0" w:color="auto"/>
        <w:right w:val="none" w:sz="0" w:space="0" w:color="auto"/>
      </w:divBdr>
    </w:div>
    <w:div w:id="576785031">
      <w:bodyDiv w:val="1"/>
      <w:marLeft w:val="0"/>
      <w:marRight w:val="0"/>
      <w:marTop w:val="0"/>
      <w:marBottom w:val="0"/>
      <w:divBdr>
        <w:top w:val="none" w:sz="0" w:space="0" w:color="auto"/>
        <w:left w:val="none" w:sz="0" w:space="0" w:color="auto"/>
        <w:bottom w:val="none" w:sz="0" w:space="0" w:color="auto"/>
        <w:right w:val="none" w:sz="0" w:space="0" w:color="auto"/>
      </w:divBdr>
    </w:div>
    <w:div w:id="867983844">
      <w:bodyDiv w:val="1"/>
      <w:marLeft w:val="0"/>
      <w:marRight w:val="0"/>
      <w:marTop w:val="0"/>
      <w:marBottom w:val="0"/>
      <w:divBdr>
        <w:top w:val="none" w:sz="0" w:space="0" w:color="auto"/>
        <w:left w:val="none" w:sz="0" w:space="0" w:color="auto"/>
        <w:bottom w:val="none" w:sz="0" w:space="0" w:color="auto"/>
        <w:right w:val="none" w:sz="0" w:space="0" w:color="auto"/>
      </w:divBdr>
    </w:div>
    <w:div w:id="1110130275">
      <w:bodyDiv w:val="1"/>
      <w:marLeft w:val="0"/>
      <w:marRight w:val="0"/>
      <w:marTop w:val="0"/>
      <w:marBottom w:val="0"/>
      <w:divBdr>
        <w:top w:val="none" w:sz="0" w:space="0" w:color="auto"/>
        <w:left w:val="none" w:sz="0" w:space="0" w:color="auto"/>
        <w:bottom w:val="none" w:sz="0" w:space="0" w:color="auto"/>
        <w:right w:val="none" w:sz="0" w:space="0" w:color="auto"/>
      </w:divBdr>
      <w:divsChild>
        <w:div w:id="1139229689">
          <w:marLeft w:val="0"/>
          <w:marRight w:val="0"/>
          <w:marTop w:val="0"/>
          <w:marBottom w:val="0"/>
          <w:divBdr>
            <w:top w:val="none" w:sz="0" w:space="0" w:color="auto"/>
            <w:left w:val="none" w:sz="0" w:space="0" w:color="auto"/>
            <w:bottom w:val="none" w:sz="0" w:space="0" w:color="auto"/>
            <w:right w:val="none" w:sz="0" w:space="0" w:color="auto"/>
          </w:divBdr>
          <w:divsChild>
            <w:div w:id="16409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99312">
      <w:bodyDiv w:val="1"/>
      <w:marLeft w:val="0"/>
      <w:marRight w:val="0"/>
      <w:marTop w:val="0"/>
      <w:marBottom w:val="0"/>
      <w:divBdr>
        <w:top w:val="none" w:sz="0" w:space="0" w:color="auto"/>
        <w:left w:val="none" w:sz="0" w:space="0" w:color="auto"/>
        <w:bottom w:val="none" w:sz="0" w:space="0" w:color="auto"/>
        <w:right w:val="none" w:sz="0" w:space="0" w:color="auto"/>
      </w:divBdr>
    </w:div>
    <w:div w:id="1170439970">
      <w:bodyDiv w:val="1"/>
      <w:marLeft w:val="0"/>
      <w:marRight w:val="0"/>
      <w:marTop w:val="0"/>
      <w:marBottom w:val="0"/>
      <w:divBdr>
        <w:top w:val="none" w:sz="0" w:space="0" w:color="auto"/>
        <w:left w:val="none" w:sz="0" w:space="0" w:color="auto"/>
        <w:bottom w:val="none" w:sz="0" w:space="0" w:color="auto"/>
        <w:right w:val="none" w:sz="0" w:space="0" w:color="auto"/>
      </w:divBdr>
      <w:divsChild>
        <w:div w:id="2109084305">
          <w:marLeft w:val="0"/>
          <w:marRight w:val="0"/>
          <w:marTop w:val="0"/>
          <w:marBottom w:val="0"/>
          <w:divBdr>
            <w:top w:val="none" w:sz="0" w:space="0" w:color="auto"/>
            <w:left w:val="none" w:sz="0" w:space="0" w:color="auto"/>
            <w:bottom w:val="none" w:sz="0" w:space="0" w:color="auto"/>
            <w:right w:val="none" w:sz="0" w:space="0" w:color="auto"/>
          </w:divBdr>
          <w:divsChild>
            <w:div w:id="62904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8180">
      <w:bodyDiv w:val="1"/>
      <w:marLeft w:val="0"/>
      <w:marRight w:val="0"/>
      <w:marTop w:val="0"/>
      <w:marBottom w:val="0"/>
      <w:divBdr>
        <w:top w:val="none" w:sz="0" w:space="0" w:color="auto"/>
        <w:left w:val="none" w:sz="0" w:space="0" w:color="auto"/>
        <w:bottom w:val="none" w:sz="0" w:space="0" w:color="auto"/>
        <w:right w:val="none" w:sz="0" w:space="0" w:color="auto"/>
      </w:divBdr>
    </w:div>
    <w:div w:id="1224439531">
      <w:bodyDiv w:val="1"/>
      <w:marLeft w:val="0"/>
      <w:marRight w:val="0"/>
      <w:marTop w:val="0"/>
      <w:marBottom w:val="0"/>
      <w:divBdr>
        <w:top w:val="none" w:sz="0" w:space="0" w:color="auto"/>
        <w:left w:val="none" w:sz="0" w:space="0" w:color="auto"/>
        <w:bottom w:val="none" w:sz="0" w:space="0" w:color="auto"/>
        <w:right w:val="none" w:sz="0" w:space="0" w:color="auto"/>
      </w:divBdr>
      <w:divsChild>
        <w:div w:id="1046635662">
          <w:marLeft w:val="0"/>
          <w:marRight w:val="0"/>
          <w:marTop w:val="0"/>
          <w:marBottom w:val="0"/>
          <w:divBdr>
            <w:top w:val="none" w:sz="0" w:space="0" w:color="auto"/>
            <w:left w:val="none" w:sz="0" w:space="0" w:color="auto"/>
            <w:bottom w:val="none" w:sz="0" w:space="0" w:color="auto"/>
            <w:right w:val="none" w:sz="0" w:space="0" w:color="auto"/>
          </w:divBdr>
          <w:divsChild>
            <w:div w:id="154286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31511">
      <w:bodyDiv w:val="1"/>
      <w:marLeft w:val="0"/>
      <w:marRight w:val="0"/>
      <w:marTop w:val="0"/>
      <w:marBottom w:val="0"/>
      <w:divBdr>
        <w:top w:val="none" w:sz="0" w:space="0" w:color="auto"/>
        <w:left w:val="none" w:sz="0" w:space="0" w:color="auto"/>
        <w:bottom w:val="none" w:sz="0" w:space="0" w:color="auto"/>
        <w:right w:val="none" w:sz="0" w:space="0" w:color="auto"/>
      </w:divBdr>
      <w:divsChild>
        <w:div w:id="437799263">
          <w:marLeft w:val="0"/>
          <w:marRight w:val="0"/>
          <w:marTop w:val="0"/>
          <w:marBottom w:val="0"/>
          <w:divBdr>
            <w:top w:val="none" w:sz="0" w:space="0" w:color="auto"/>
            <w:left w:val="none" w:sz="0" w:space="0" w:color="auto"/>
            <w:bottom w:val="none" w:sz="0" w:space="0" w:color="auto"/>
            <w:right w:val="none" w:sz="0" w:space="0" w:color="auto"/>
          </w:divBdr>
          <w:divsChild>
            <w:div w:id="4900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7465">
      <w:bodyDiv w:val="1"/>
      <w:marLeft w:val="0"/>
      <w:marRight w:val="0"/>
      <w:marTop w:val="0"/>
      <w:marBottom w:val="0"/>
      <w:divBdr>
        <w:top w:val="none" w:sz="0" w:space="0" w:color="auto"/>
        <w:left w:val="none" w:sz="0" w:space="0" w:color="auto"/>
        <w:bottom w:val="none" w:sz="0" w:space="0" w:color="auto"/>
        <w:right w:val="none" w:sz="0" w:space="0" w:color="auto"/>
      </w:divBdr>
    </w:div>
    <w:div w:id="1415319869">
      <w:bodyDiv w:val="1"/>
      <w:marLeft w:val="0"/>
      <w:marRight w:val="0"/>
      <w:marTop w:val="0"/>
      <w:marBottom w:val="0"/>
      <w:divBdr>
        <w:top w:val="none" w:sz="0" w:space="0" w:color="auto"/>
        <w:left w:val="none" w:sz="0" w:space="0" w:color="auto"/>
        <w:bottom w:val="none" w:sz="0" w:space="0" w:color="auto"/>
        <w:right w:val="none" w:sz="0" w:space="0" w:color="auto"/>
      </w:divBdr>
    </w:div>
    <w:div w:id="1419935629">
      <w:bodyDiv w:val="1"/>
      <w:marLeft w:val="0"/>
      <w:marRight w:val="0"/>
      <w:marTop w:val="0"/>
      <w:marBottom w:val="0"/>
      <w:divBdr>
        <w:top w:val="none" w:sz="0" w:space="0" w:color="auto"/>
        <w:left w:val="none" w:sz="0" w:space="0" w:color="auto"/>
        <w:bottom w:val="none" w:sz="0" w:space="0" w:color="auto"/>
        <w:right w:val="none" w:sz="0" w:space="0" w:color="auto"/>
      </w:divBdr>
    </w:div>
    <w:div w:id="1491604473">
      <w:bodyDiv w:val="1"/>
      <w:marLeft w:val="0"/>
      <w:marRight w:val="0"/>
      <w:marTop w:val="0"/>
      <w:marBottom w:val="0"/>
      <w:divBdr>
        <w:top w:val="none" w:sz="0" w:space="0" w:color="auto"/>
        <w:left w:val="none" w:sz="0" w:space="0" w:color="auto"/>
        <w:bottom w:val="none" w:sz="0" w:space="0" w:color="auto"/>
        <w:right w:val="none" w:sz="0" w:space="0" w:color="auto"/>
      </w:divBdr>
    </w:div>
    <w:div w:id="1633830939">
      <w:bodyDiv w:val="1"/>
      <w:marLeft w:val="0"/>
      <w:marRight w:val="0"/>
      <w:marTop w:val="0"/>
      <w:marBottom w:val="0"/>
      <w:divBdr>
        <w:top w:val="none" w:sz="0" w:space="0" w:color="auto"/>
        <w:left w:val="none" w:sz="0" w:space="0" w:color="auto"/>
        <w:bottom w:val="none" w:sz="0" w:space="0" w:color="auto"/>
        <w:right w:val="none" w:sz="0" w:space="0" w:color="auto"/>
      </w:divBdr>
    </w:div>
    <w:div w:id="1688017824">
      <w:bodyDiv w:val="1"/>
      <w:marLeft w:val="0"/>
      <w:marRight w:val="0"/>
      <w:marTop w:val="0"/>
      <w:marBottom w:val="0"/>
      <w:divBdr>
        <w:top w:val="none" w:sz="0" w:space="0" w:color="auto"/>
        <w:left w:val="none" w:sz="0" w:space="0" w:color="auto"/>
        <w:bottom w:val="none" w:sz="0" w:space="0" w:color="auto"/>
        <w:right w:val="none" w:sz="0" w:space="0" w:color="auto"/>
      </w:divBdr>
      <w:divsChild>
        <w:div w:id="2028602548">
          <w:marLeft w:val="0"/>
          <w:marRight w:val="0"/>
          <w:marTop w:val="0"/>
          <w:marBottom w:val="0"/>
          <w:divBdr>
            <w:top w:val="none" w:sz="0" w:space="0" w:color="auto"/>
            <w:left w:val="none" w:sz="0" w:space="0" w:color="auto"/>
            <w:bottom w:val="none" w:sz="0" w:space="0" w:color="auto"/>
            <w:right w:val="none" w:sz="0" w:space="0" w:color="auto"/>
          </w:divBdr>
          <w:divsChild>
            <w:div w:id="1433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05436">
      <w:bodyDiv w:val="1"/>
      <w:marLeft w:val="0"/>
      <w:marRight w:val="0"/>
      <w:marTop w:val="0"/>
      <w:marBottom w:val="0"/>
      <w:divBdr>
        <w:top w:val="none" w:sz="0" w:space="0" w:color="auto"/>
        <w:left w:val="none" w:sz="0" w:space="0" w:color="auto"/>
        <w:bottom w:val="none" w:sz="0" w:space="0" w:color="auto"/>
        <w:right w:val="none" w:sz="0" w:space="0" w:color="auto"/>
      </w:divBdr>
    </w:div>
    <w:div w:id="1986933591">
      <w:bodyDiv w:val="1"/>
      <w:marLeft w:val="0"/>
      <w:marRight w:val="0"/>
      <w:marTop w:val="0"/>
      <w:marBottom w:val="0"/>
      <w:divBdr>
        <w:top w:val="none" w:sz="0" w:space="0" w:color="auto"/>
        <w:left w:val="none" w:sz="0" w:space="0" w:color="auto"/>
        <w:bottom w:val="none" w:sz="0" w:space="0" w:color="auto"/>
        <w:right w:val="none" w:sz="0" w:space="0" w:color="auto"/>
      </w:divBdr>
      <w:divsChild>
        <w:div w:id="444274819">
          <w:marLeft w:val="0"/>
          <w:marRight w:val="0"/>
          <w:marTop w:val="0"/>
          <w:marBottom w:val="0"/>
          <w:divBdr>
            <w:top w:val="none" w:sz="0" w:space="0" w:color="auto"/>
            <w:left w:val="none" w:sz="0" w:space="0" w:color="auto"/>
            <w:bottom w:val="none" w:sz="0" w:space="0" w:color="auto"/>
            <w:right w:val="none" w:sz="0" w:space="0" w:color="auto"/>
          </w:divBdr>
          <w:divsChild>
            <w:div w:id="213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40178">
      <w:bodyDiv w:val="1"/>
      <w:marLeft w:val="0"/>
      <w:marRight w:val="0"/>
      <w:marTop w:val="0"/>
      <w:marBottom w:val="0"/>
      <w:divBdr>
        <w:top w:val="none" w:sz="0" w:space="0" w:color="auto"/>
        <w:left w:val="none" w:sz="0" w:space="0" w:color="auto"/>
        <w:bottom w:val="none" w:sz="0" w:space="0" w:color="auto"/>
        <w:right w:val="none" w:sz="0" w:space="0" w:color="auto"/>
      </w:divBdr>
    </w:div>
    <w:div w:id="204774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justice.europa.eu/content_european_training_platform-37158-en.do" TargetMode="External"/><Relationship Id="rId3" Type="http://schemas.openxmlformats.org/officeDocument/2006/relationships/hyperlink" Target="https://www.cepol.europa.eu/media/news/cepol-issues-fast-track-needs-analysis-impact-covid-19-law-enforcement-training" TargetMode="External"/><Relationship Id="rId7" Type="http://schemas.openxmlformats.org/officeDocument/2006/relationships/hyperlink" Target="http://www.ejtn.eu/Methodologies--Resources/Training-Methods" TargetMode="External"/><Relationship Id="rId12" Type="http://schemas.openxmlformats.org/officeDocument/2006/relationships/hyperlink" Target="https://ec.europa.eu/environment/legal/law/training_package.htm" TargetMode="External"/><Relationship Id="rId2" Type="http://schemas.openxmlformats.org/officeDocument/2006/relationships/hyperlink" Target="http://www.icj.org/wp-content/uploads/2016/03/Universal-Womens-accesss-to-justice-Publications-Practitioners-Guide-Series-2016-ENG.pdf" TargetMode="External"/><Relationship Id="rId1" Type="http://schemas.openxmlformats.org/officeDocument/2006/relationships/hyperlink" Target="https://ec.europa.eu/info/consultations/training-justice-professionals-eu-law-evaluation_bg" TargetMode="External"/><Relationship Id="rId6" Type="http://schemas.openxmlformats.org/officeDocument/2006/relationships/hyperlink" Target="https://e-justice.europa.eu/fileDownload.do?id=9f252d82-8ef4-4f6e-b562-372f9fa50096" TargetMode="External"/><Relationship Id="rId11" Type="http://schemas.openxmlformats.org/officeDocument/2006/relationships/hyperlink" Target="http://www.ejtn.eu/PageFiles/16144/2019-056-RoL%20Manual-170x240-WEB_FINAL.pdf" TargetMode="External"/><Relationship Id="rId5" Type="http://schemas.openxmlformats.org/officeDocument/2006/relationships/hyperlink" Target="https://bit.ly/2UDmqtX" TargetMode="External"/><Relationship Id="rId10" Type="http://schemas.openxmlformats.org/officeDocument/2006/relationships/hyperlink" Target="http://www.ejtn.eu/PageFiles/16144/2019-056-Training%20guide-v5_FINAL.pdf" TargetMode="External"/><Relationship Id="rId4" Type="http://schemas.openxmlformats.org/officeDocument/2006/relationships/hyperlink" Target="https://ec.europa.eu/info/law/cross-border-cases/training-legal-practitioners-and-training-practices_bg" TargetMode="External"/><Relationship Id="rId9" Type="http://schemas.openxmlformats.org/officeDocument/2006/relationships/hyperlink" Target="http://www.ejtn.eu/PageFiles/15756/Judicial%20Training%20Principles_B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ACB51-8A4B-4DB1-83CC-7823EC199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8</Pages>
  <Words>5406</Words>
  <Characters>32653</Characters>
  <Application>Microsoft Office Word</Application>
  <DocSecurity>0</DocSecurity>
  <Lines>627</Lines>
  <Paragraphs>232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30</cp:revision>
  <dcterms:created xsi:type="dcterms:W3CDTF">2020-11-04T15:15:00Z</dcterms:created>
  <dcterms:modified xsi:type="dcterms:W3CDTF">2020-12-02T07:26:00Z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Level of sensitivity">
    <vt:lpwstr>Standard treatment</vt:lpwstr>
  </property>
  <property fmtid="{D5CDD505-2E9C-101B-9397-08002B2CF9AE}" pid="4" name="Last edited using">
    <vt:lpwstr>LW 7.0, Build 20190717</vt:lpwstr>
  </property>
  <property fmtid="{D5CDD505-2E9C-101B-9397-08002B2CF9AE}" pid="5" name="Part">
    <vt:lpwstr>1</vt:lpwstr>
  </property>
  <property fmtid="{D5CDD505-2E9C-101B-9397-08002B2CF9AE}" pid="6" name="Total parts">
    <vt:lpwstr>1</vt:lpwstr>
  </property>
  <property fmtid="{D5CDD505-2E9C-101B-9397-08002B2CF9AE}" pid="7" name="CPTemplateID">
    <vt:lpwstr>CP-014</vt:lpwstr>
  </property>
</Properties>
</file>