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9B139DF4-A25A-49D3-AAFB-25A3187E8F0A" style="width:450pt;height:454.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 xml:space="preserve">ПРИЛОЖЕНИЕ </w:t>
      </w:r>
    </w:p>
    <w:p>
      <w:pPr>
        <w:jc w:val="center"/>
        <w:rPr>
          <w:b/>
          <w:noProof/>
        </w:rPr>
      </w:pPr>
      <w:r>
        <w:rPr>
          <w:b/>
          <w:noProof/>
        </w:rPr>
        <w:t>Таблица на съответствието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>
        <w:trPr>
          <w:tblHeader/>
        </w:trPr>
        <w:tc>
          <w:tcPr>
            <w:tcW w:w="464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Решение № 1082/2013/ЕС</w:t>
            </w:r>
          </w:p>
        </w:tc>
        <w:tc>
          <w:tcPr>
            <w:tcW w:w="46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Предложение за регламент</w:t>
            </w:r>
          </w:p>
        </w:tc>
      </w:tr>
      <w:tr>
        <w:tc>
          <w:tcPr>
            <w:tcW w:w="4644" w:type="dxa"/>
            <w:tcBorders>
              <w:top w:val="single" w:sz="18" w:space="0" w:color="auto"/>
              <w:righ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ГЛАВА I — ОБЩИ РАЗПОРЕДБИ</w:t>
            </w:r>
          </w:p>
        </w:tc>
        <w:tc>
          <w:tcPr>
            <w:tcW w:w="4645" w:type="dxa"/>
            <w:tcBorders>
              <w:top w:val="single" w:sz="18" w:space="0" w:color="auto"/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ГЛАВА I — ОБЩИ РАЗПОРЕДБИ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Член 1 — Предмет </w:t>
            </w: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Член 1 — Предмет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Член 2 — Обхват</w:t>
            </w: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Член 2 — Обхват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Член 3 — Определения </w:t>
            </w: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Член 3 — Определения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Член 17</w:t>
            </w: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Член 4 — Комитет за здравна сигурност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ГЛАВА II — ПЛАНИРАНЕ</w:t>
            </w: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ГЛАВА II — ПЛАНИРАНЕ НА РЕЖИМА НА ГОТОВНОСТ И РЕАКЦИЯ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Член 4 — Планиране на  режима на готовност и реакция </w:t>
            </w: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Член 5 — План на Съюза за готовност и реакция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Член 6 — Национални планове за готовност и реакция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Член 7 — Докладване относно планирането на режима на готовност и реакция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Член 8 — Одит на планирането на режима на готовност и реакция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Член 9 — Доклад на Комисията относно планирането на готовността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Член 10 — Координация на планирането на режима на готовност и реакция в рамките на КЗС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Член 11 — Обучение на здравния персонал и персонала в областта на опазването на общественото здраве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Член 5 — Съвместно възлагане на обществени поръчки за медицински мерки за противодействие</w:t>
            </w: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Член 12 — Съвместно възлагане на обществени поръчки за медицински мерки за противодействие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ГЛАВА III — ЕПИДЕМИОЛОГИЧЕН НАДЗОР И ИЗВЪНРЕДЕН МОНИТОРИНГ </w:t>
            </w: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ГЛАВА III — ЕПИДЕМИОЛОГИЧЕН НАДЗОР, РЕФЕРЕНТНИ ЛАБОРАТОРИИ НА ЕС И </w:t>
            </w:r>
            <w:r>
              <w:rPr>
                <w:i/>
                <w:iCs/>
                <w:noProof/>
              </w:rPr>
              <w:t>AD HOC</w:t>
            </w:r>
            <w:r>
              <w:rPr>
                <w:noProof/>
              </w:rPr>
              <w:t xml:space="preserve"> МОНИТОРИНГ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Член 6 — Епидемиологичен надзор </w:t>
            </w: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Член 13 — Епидемиологичен надзор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Член 14 — Платформа за надзор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Член 15 — Референтни лаборатории на ЕС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Член 16 — Мрежа за субстанциите от човешки произход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Член 7 — Извънреден мониторинг </w:t>
            </w: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Член 17 — </w:t>
            </w:r>
            <w:r>
              <w:rPr>
                <w:i/>
                <w:iCs/>
                <w:noProof/>
              </w:rPr>
              <w:t>Аd hoc</w:t>
            </w:r>
            <w:r>
              <w:rPr>
                <w:noProof/>
              </w:rPr>
              <w:t xml:space="preserve"> мониторинг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ГЛАВА IV — РАННО ПРЕДУПРЕЖДЕНИЕ И РЕАГИРАНЕ </w:t>
            </w: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ГЛАВА IV — РАННО ПРЕДУПРЕЖДЕНИЕ И РЕАГИРАНЕ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Член 8 — Създаване на система за ранно предупреждение и реагиране </w:t>
            </w: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Член 18 — Система за ранно предупреждение и реагиране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Член 9 — Изпращане на сигнали </w:t>
            </w: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Член 19 — Изпращане на сигнали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Член 10 — Оценка на риска по отношение на общественото здраве </w:t>
            </w: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Член 20 — Оценка на риска по отношение на общественото здраве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Член 11 — Координиране на реакцията </w:t>
            </w: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Член 21 — Координация на реакцията в рамките на КЗС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Член 22 — Препоръки относно общи временни мерки в областта на общественото здраве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ГЛАВА V — ИЗВЪНРЕДНИ СИТУАЦИИ </w:t>
            </w: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ГЛАВА V — ИЗВЪНРЕДНА СИТУАЦИЯ В ОБЛАСТТА НА ОБЩЕСТВЕНОТО ЗДРАВЕ НА РАВНИЩЕТО НА СЪЮЗА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Член 12 — Признаване на наличието на извънредни ситуации </w:t>
            </w: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Член 23 — Признаване на наличието на извънредни ситуации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Член 24 — Консултативен комитет по извънредните ситуации в областта на общественото здраве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Член 13 — Правни последици от признаването </w:t>
            </w: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Член 25 — Правни последици от признаването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Член 14 — Оттегляне на признаването </w:t>
            </w: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ГЛАВА VI — Процедурни разпоредби </w:t>
            </w: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ГЛАВА VI — Процедурни разпоредби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Член 26 — Защита на личните данни във връзка с функцията на СРПР за избирателно предаване на съобщения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Член 18 – Процедура на комитет </w:t>
            </w: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Член 27 – Процедура на комитет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Член 28 — Упражняване на делегирането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Член 29 — Оценки във връзка с настоящия регламент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Член 15 — Определяне на национални органи и представители </w:t>
            </w: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Член 16 — Защита на личните данни </w:t>
            </w: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Член 19 — Доклади във връзка с настоящото решение </w:t>
            </w: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ГЛАВА VII — ЗАКЛЮЧИТЕЛНИ РАЗПОРЕДБИ</w:t>
            </w: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ГЛАВА VII — ЗАКЛЮЧИТЕЛНИ РАЗПОРЕДБИ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Член 20 — Отмяна на Решение № 2119/98/ЕО</w:t>
            </w: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Член 30 — Отмяна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Член 21 — Влизане в сила</w:t>
            </w: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Член 31 — Влизане в сила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Член 22 — Адресати </w:t>
            </w: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</w:p>
        </w:tc>
      </w:tr>
    </w:tbl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D9E4A3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932FF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1D28D3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E3B4256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13C3D2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18F249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223004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C71C04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11"/>
  </w:num>
  <w:num w:numId="5">
    <w:abstractNumId w:val="13"/>
  </w:num>
  <w:num w:numId="6">
    <w:abstractNumId w:val="9"/>
  </w:num>
  <w:num w:numId="7">
    <w:abstractNumId w:val="19"/>
  </w:num>
  <w:num w:numId="8">
    <w:abstractNumId w:val="8"/>
  </w:num>
  <w:num w:numId="9">
    <w:abstractNumId w:val="14"/>
  </w:num>
  <w:num w:numId="10">
    <w:abstractNumId w:val="16"/>
  </w:num>
  <w:num w:numId="11">
    <w:abstractNumId w:val="17"/>
  </w:num>
  <w:num w:numId="12">
    <w:abstractNumId w:val="10"/>
  </w:num>
  <w:num w:numId="13">
    <w:abstractNumId w:val="15"/>
  </w:num>
  <w:num w:numId="14">
    <w:abstractNumId w:val="21"/>
  </w:num>
  <w:num w:numId="15">
    <w:abstractNumId w:val="18"/>
  </w:num>
  <w:num w:numId="16">
    <w:abstractNumId w:val="12"/>
  </w:num>
  <w:num w:numId="17">
    <w:abstractNumId w:val="20"/>
  </w:num>
  <w:num w:numId="18">
    <w:abstractNumId w:val="11"/>
  </w:num>
  <w:num w:numId="19">
    <w:abstractNumId w:val="13"/>
  </w:num>
  <w:num w:numId="20">
    <w:abstractNumId w:val="9"/>
  </w:num>
  <w:num w:numId="21">
    <w:abstractNumId w:val="19"/>
  </w:num>
  <w:num w:numId="22">
    <w:abstractNumId w:val="8"/>
  </w:num>
  <w:num w:numId="23">
    <w:abstractNumId w:val="14"/>
  </w:num>
  <w:num w:numId="24">
    <w:abstractNumId w:val="16"/>
  </w:num>
  <w:num w:numId="25">
    <w:abstractNumId w:val="17"/>
  </w:num>
  <w:num w:numId="26">
    <w:abstractNumId w:val="10"/>
  </w:num>
  <w:num w:numId="27">
    <w:abstractNumId w:val="15"/>
  </w:num>
  <w:num w:numId="28">
    <w:abstractNumId w:val="21"/>
  </w:num>
  <w:num w:numId="29">
    <w:abstractNumId w:val="7"/>
  </w:num>
  <w:num w:numId="30">
    <w:abstractNumId w:val="5"/>
  </w:num>
  <w:num w:numId="31">
    <w:abstractNumId w:val="4"/>
  </w:num>
  <w:num w:numId="32">
    <w:abstractNumId w:val="3"/>
  </w:num>
  <w:num w:numId="33">
    <w:abstractNumId w:val="6"/>
  </w:num>
  <w:num w:numId="34">
    <w:abstractNumId w:val="2"/>
  </w:num>
  <w:num w:numId="35">
    <w:abstractNumId w:val="1"/>
  </w:num>
  <w:num w:numId="36">
    <w:abstractNumId w:val="0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12-07 22:18:13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9B139DF4-A25A-49D3-AAFB-25A3187E8F0A"/>
    <w:docVar w:name="LW_COVERPAGE_TYPE" w:val="1"/>
    <w:docVar w:name="LW_CROSSREFERENCE" w:val="&lt;UNUSED&gt;"/>
    <w:docVar w:name="LW_DocType" w:val="ANNEX"/>
    <w:docVar w:name="LW_EMISSION" w:val="11.11.2020"/>
    <w:docVar w:name="LW_EMISSION_ISODATE" w:val="2020-11-11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89?\u1077?\u1088?\u1080?\u1086?\u1079?\u1085?\u1080?\u1090?\u1077? \u1090?\u1088?\u1072?\u1085?\u1089?\u1075?\u1088?\u1072?\u1085?\u1080?\u1095?\u1085?\u1080? \u1079?\u1072?\u1087?\u1083?\u1072?\u1093?\u1080? \u1079?\u1072? \u1079?\u1076?\u1088?\u1072?\u1074?\u1077?\u1090?\u1086? \u1080? \u1079?\u1072? \u1086?\u1090?\u1084?\u1103?\u1085?\u1072? \u1085?\u1072? \u1056?\u1077?\u1096?\u1077?\u1085?\u1080?\u1077? \u8470? 1082/2013/\u1045?\u1057?"/>
    <w:docVar w:name="LW_OBJETACTEPRINCIPAL.CP" w:val="\u1086?\u1090?\u1085?\u1086?\u1089?\u1085?\u1086? \u1089?\u1077?\u1088?\u1080?\u1086?\u1079?\u1085?\u1080?\u1090?\u1077? \u1090?\u1088?\u1072?\u1085?\u1089?\u1075?\u1088?\u1072?\u1085?\u1080?\u1095?\u1085?\u1080? \u1079?\u1072?\u1087?\u1083?\u1072?\u1093?\u1080? \u1079?\u1072? \u1079?\u1076?\u1088?\u1072?\u1074?\u1077?\u1090?\u1086? \u1080? \u1079?\u1072? \u1086?\u1090?\u1084?\u1103?\u1085?\u1072? \u1085?\u1072? \u1056?\u1077?\u1096?\u1077?\u1085?\u1080?\u1077? \u8470? 1082/2013/\u1045?\u1057?"/>
    <w:docVar w:name="LW_PART_NBR" w:val="1"/>
    <w:docVar w:name="LW_PART_NBR_TOTAL" w:val="1"/>
    <w:docVar w:name="LW_REF.INST.NEW" w:val="COM"/>
    <w:docVar w:name="LW_REF.INST.NEW_ADOPTED" w:val="final"/>
    <w:docVar w:name="LW_REF.INST.NEW_TEXT" w:val="(2020) 727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\u1045?\u1074?\u1088?\u1086?\u1087?\u1077?\u1081?\u1089?\u1082?\u1080? \u1079?\u1076?\u1088?\u1072?\u1074?\u1077?\u1085? \u1089?\u1098?\u1102?\u1079?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_x000b__x000b_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"/>
    <w:docVar w:name="LW_TYPEACTEPRINCIPAL.CP" w:val="\u1055?\u1088?\u1077?\u1076?\u1083?\u1086?\u1078?\u1077?\u1085?\u1080?\u1077? \u1079?\u1072?_x000b__x000b_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32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3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3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3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36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32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3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3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3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36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4</Pages>
  <Words>500</Words>
  <Characters>2762</Characters>
  <Application>Microsoft Office Word</Application>
  <DocSecurity>0</DocSecurity>
  <Lines>153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JAMRICHOVA Martina (SANTE)</dc:creator>
  <cp:keywords/>
  <dc:description/>
  <cp:lastModifiedBy>WES PDFC Administrator</cp:lastModifiedBy>
  <cp:revision>9</cp:revision>
  <dcterms:created xsi:type="dcterms:W3CDTF">2020-12-07T16:28:00Z</dcterms:created>
  <dcterms:modified xsi:type="dcterms:W3CDTF">2020-12-07T21:18:00Z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7.0.8.0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7.0, Build 20190717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