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F42DBE8D-7459-4625-80B2-0194307E747C" style="width:450.75pt;height:45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ANNEXE </w:t>
      </w:r>
    </w:p>
    <w:p>
      <w:pPr>
        <w:jc w:val="center"/>
        <w:rPr>
          <w:b/>
          <w:noProof/>
        </w:rPr>
      </w:pPr>
      <w:r>
        <w:rPr>
          <w:b/>
          <w:noProof/>
        </w:rPr>
        <w:t>Tableau de correspondance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>
        <w:trPr>
          <w:tblHeader/>
        </w:trPr>
        <w:tc>
          <w:tcPr>
            <w:tcW w:w="46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Décision nº 1082/2013/UE</w:t>
            </w:r>
          </w:p>
        </w:tc>
        <w:tc>
          <w:tcPr>
            <w:tcW w:w="4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Proposition de règlement</w:t>
            </w:r>
          </w:p>
        </w:tc>
      </w:tr>
      <w:tr>
        <w:tc>
          <w:tcPr>
            <w:tcW w:w="4644" w:type="dxa"/>
            <w:tcBorders>
              <w:top w:val="single" w:sz="18" w:space="0" w:color="auto"/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CHAPITRE I - DISPOSITIONS GÉNÉRALES</w:t>
            </w:r>
          </w:p>
        </w:tc>
        <w:tc>
          <w:tcPr>
            <w:tcW w:w="4645" w:type="dxa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CHAPITRE I - DISPOSITIONS GÉNÉRALES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 xml:space="preserve"> – Objet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 xml:space="preserve"> – Objet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 – Champ d’application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2 – Champ d’application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3 – Définitions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3 – Définitions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17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4 – Comité de sécurité sanitaire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CHAPITRE II – PLANIFICATION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CHAPITRE II – PLANIFICATION DE LA PRÉPARATION ET DE LA RÉACTION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4 – Planification de la préparation et de la réaction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5 – Plan de préparation et de réaction de l’Union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6 – Plans de préparation et de réaction nationaux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7 – Établissement de rapports concernant la planification de la préparation et de la réaction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8 – Réalisation d’audits concernant la planification de la préparation et de la réaction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9 – Rapport de la Commission sur la planification de la préparation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10 – Coordination de la planification de la préparation et de la réaction au sein du CSS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11 – Formation du personnel de santé et du personnel de santé publique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5 – Passation conjointe de marché relative à des contre-mesures médicales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12 – Passation conjointe de marché relative à des contre-mesures médicales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CHAPITRE III – SURVEILLANCE ÉPIDÉMIOLOGIQUE ET VEILLE AD HOC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CHAPITRE III – SURVEILLANCE ÉPIDÉMIOLOGIQUE, LABORATOIRES DE RÉFÉRENCE DE L’UNION EUROPÉENNE ET VEILLE AD HOC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6 – Surveillance épidémiologique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13 – Surveillance épidémiologique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14 – Plateforme de surveillance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15 – Laboratoires de référence de l’Union européenne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16 – Réseau pour les substances d’origine humaine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7 – Veille ad hoc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17 – Veille ad hoc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CHAPITRE IV – ALERTE PRÉCOCE ET RÉACTION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CHAPITRE IV – ALERTE PRÉCOCE ET RÉACTION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8 – Établissement d’un système d’alerte précoce et de réaction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18 – Système d’alerte précoce et de réaction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9 – Notification d’alertes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19 – Notification d’alertes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10 – Évaluation des risques pour la santé publique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20 – Évaluation des risques pour la santé publique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11 – Coordination de la réaction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21 – Coordination de la réaction au sein du CSS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22 – Recommandations concernant les mesures communes et temporaires de santé publique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CHAPITRE V – SITUATIONS D’URGENCE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CHAPITRE V – URGENCE DE SANTÉ PUBLIQUE AU NIVEAU DE L’UNION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12 – Reconnaissance de situations d’urgence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23 – Reconnaissance de situations d’urgence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24 – Comité consultatif pour les urgences de santé publique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13 – Effets juridiques de la reconnaissance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25 – Effets juridiques de la reconnaissance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14 – Fin de la reconnaissance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CHAPITRE VI – DISPOSITIONS PROCÉDURALES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CHAPITRE VI – DISPOSITIONS PROCÉDURALES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26 – Fonctionnalité de messagerie sélective du SAPR et protection des données à caractère personnel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18 – Comité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27 – Procédure de comité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28 – Exercice de la délégation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29 – Évaluations du présent règlement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15 – Désignation des autorités et représentants nationaux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16 – Protection des données à caractère personnel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19 – Rapports concernant la présente décision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CHAPITRE VII DISPOSITIONS FINALES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CHAPITRE VII DISPOSITIONS FINALES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20 – Abrogation de la décision nº 2119/98/CE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30 – Abrogation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 21 – Entrée en vigueur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31 – Entrée en vigueur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 22 – Destinataires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9E4A3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932FF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D28D3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3B4256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3C3D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8F249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23004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71C04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 w:numId="29">
    <w:abstractNumId w:val="7"/>
  </w:num>
  <w:num w:numId="30">
    <w:abstractNumId w:val="5"/>
  </w:num>
  <w:num w:numId="31">
    <w:abstractNumId w:val="4"/>
  </w:num>
  <w:num w:numId="32">
    <w:abstractNumId w:val="3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2-07 22:19:2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42DBE8D-7459-4625-80B2-0194307E747C"/>
    <w:docVar w:name="LW_COVERPAGE_TYPE" w:val="1"/>
    <w:docVar w:name="LW_CROSSREFERENCE" w:val="&lt;UNUSED&gt;"/>
    <w:docVar w:name="LW_DocType" w:val="ANNEX"/>
    <w:docVar w:name="LW_EMISSION" w:val="11.11.2020"/>
    <w:docVar w:name="LW_EMISSION_ISODATE" w:val="2020-11-11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concernant les menaces transfrontières graves pour la santé et abrogeant la décision n° 1082/2013/UE"/>
    <w:docVar w:name="LW_OBJETACTEPRINCIPAL.CP" w:val="concernant les menaces transfrontières graves pour la santé et abrogeant la décision n° 1082/2013/UE"/>
    <w:docVar w:name="LW_PART_NBR" w:val="1"/>
    <w:docVar w:name="LW_PART_NBR_TOTAL" w:val="1"/>
    <w:docVar w:name="LW_REF.INST.NEW" w:val="COM"/>
    <w:docVar w:name="LW_REF.INST.NEW_ADOPTED" w:val="final"/>
    <w:docVar w:name="LW_REF.INST.NEW_TEXT" w:val="(2020) 72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Union européenne de la santé"/>
    <w:docVar w:name="LW_TYPE.DOC" w:val="ANNEXE"/>
    <w:docVar w:name="LW_TYPE.DOC.CP" w:val="ANNEXE"/>
    <w:docVar w:name="LW_TYPEACTEPRINCIPAL" w:val="Proposition du_x000b__x000b_RÈGLEMENT DU PARLEMENT EUROPÉEN ET DU CONSEIL"/>
    <w:docVar w:name="LW_TYPEACTEPRINCIPAL.CP" w:val="Proposition du_x000b__x000b_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508</Words>
  <Characters>3059</Characters>
  <Application>Microsoft Office Word</Application>
  <DocSecurity>0</DocSecurity>
  <Lines>152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JAMRICHOVA Martina (SANTE)</dc:creator>
  <cp:keywords/>
  <dc:description/>
  <cp:lastModifiedBy>WES PDFC Administrator</cp:lastModifiedBy>
  <cp:revision>9</cp:revision>
  <dcterms:created xsi:type="dcterms:W3CDTF">2020-12-07T17:50:00Z</dcterms:created>
  <dcterms:modified xsi:type="dcterms:W3CDTF">2020-12-07T21:19:00Z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