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89AC036-B087-4E93-BA8C-B6A888D46F21" style="width:450.45pt;height:425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i/>
          <w:noProof/>
        </w:rPr>
      </w:pPr>
      <w:bookmarkStart w:id="0" w:name="_GoBack"/>
      <w:bookmarkEnd w:id="0"/>
      <w:r>
        <w:rPr>
          <w:noProof/>
        </w:rPr>
        <w:lastRenderedPageBreak/>
        <w:t>СПИСЪК НА СЕРТИФИКАТИТЕ ПО ЧЛЕН 1</w:t>
      </w:r>
    </w:p>
    <w:p>
      <w:pPr>
        <w:spacing w:before="0" w:after="0"/>
        <w:jc w:val="left"/>
        <w:rPr>
          <w:noProof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4891"/>
        <w:gridCol w:w="834"/>
        <w:gridCol w:w="834"/>
        <w:gridCol w:w="834"/>
        <w:gridCol w:w="834"/>
        <w:gridCol w:w="834"/>
      </w:tblGrid>
      <w:tr>
        <w:tc>
          <w:tcPr>
            <w:tcW w:w="0" w:type="auto"/>
            <w:shd w:val="clear" w:color="auto" w:fill="FFFFFF"/>
            <w:hideMark/>
          </w:tcPr>
          <w:p>
            <w:pPr>
              <w:pStyle w:val="NumPar1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>
            <w:pPr>
              <w:pStyle w:val="NumPar1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Регламент (ЕС) № 748/2012 на Комисията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, приложение І, част 21, раздел А, подчаст Б (Типови сертификати и ограничени типови сертификати)</w:t>
            </w:r>
          </w:p>
        </w:tc>
      </w:tr>
      <w:tr>
        <w:trPr>
          <w:gridAfter w:val="5"/>
        </w:trPr>
        <w:tc>
          <w:tcPr>
            <w:tcW w:w="0" w:type="auto"/>
            <w:gridSpan w:val="2"/>
            <w:shd w:val="clear" w:color="auto" w:fill="FFFFFF"/>
            <w:hideMark/>
          </w:tcPr>
          <w:p>
            <w:pPr>
              <w:pStyle w:val="NumPar1"/>
              <w:rPr>
                <w:noProof/>
              </w:rPr>
            </w:pPr>
            <w:r>
              <w:rPr>
                <w:noProof/>
              </w:rPr>
              <w:t>Регламент (ЕС) № 748/2012, приложение І, част 21, раздел А, подчаст Г (Промени в типови сертификати и ограничени типови сертификати)</w:t>
            </w:r>
          </w:p>
        </w:tc>
      </w:tr>
      <w:tr>
        <w:trPr>
          <w:gridAfter w:val="4"/>
        </w:trPr>
        <w:tc>
          <w:tcPr>
            <w:tcW w:w="0" w:type="auto"/>
            <w:gridSpan w:val="3"/>
            <w:shd w:val="clear" w:color="auto" w:fill="FFFFFF"/>
            <w:hideMark/>
          </w:tcPr>
          <w:p>
            <w:pPr>
              <w:pStyle w:val="NumPar1"/>
              <w:rPr>
                <w:noProof/>
              </w:rPr>
            </w:pPr>
            <w:r>
              <w:rPr>
                <w:noProof/>
              </w:rPr>
              <w:t>Регламент (ЕС) № 748/2012, приложение І, част 21, раздел А, подчаст Д (Допълнителни типови сертификати)</w:t>
            </w:r>
          </w:p>
        </w:tc>
      </w:tr>
      <w:tr>
        <w:trPr>
          <w:gridAfter w:val="3"/>
        </w:trPr>
        <w:tc>
          <w:tcPr>
            <w:tcW w:w="0" w:type="auto"/>
            <w:gridSpan w:val="4"/>
            <w:shd w:val="clear" w:color="auto" w:fill="FFFFFF"/>
            <w:hideMark/>
          </w:tcPr>
          <w:p>
            <w:pPr>
              <w:pStyle w:val="NumPar1"/>
              <w:rPr>
                <w:noProof/>
              </w:rPr>
            </w:pPr>
            <w:r>
              <w:rPr>
                <w:noProof/>
              </w:rPr>
              <w:t>Регламент (ЕС) № 748/2012, приложение І, част 21, раздел А, подчаст М (Ремонти)</w:t>
            </w:r>
          </w:p>
        </w:tc>
      </w:tr>
      <w:tr>
        <w:trPr>
          <w:gridAfter w:val="2"/>
        </w:trPr>
        <w:tc>
          <w:tcPr>
            <w:tcW w:w="0" w:type="auto"/>
            <w:gridSpan w:val="5"/>
            <w:shd w:val="clear" w:color="auto" w:fill="FFFFFF"/>
            <w:hideMark/>
          </w:tcPr>
          <w:p>
            <w:pPr>
              <w:pStyle w:val="NumPar1"/>
              <w:rPr>
                <w:noProof/>
              </w:rPr>
            </w:pPr>
            <w:r>
              <w:rPr>
                <w:noProof/>
              </w:rPr>
              <w:t>Регламент (ЕС) № 748/2012, приложение І, част 21, раздел А, подчаст О (Разрешения според европейските технически стандарти)</w:t>
            </w:r>
          </w:p>
        </w:tc>
      </w:tr>
      <w:tr>
        <w:trPr>
          <w:gridAfter w:val="1"/>
        </w:trPr>
        <w:tc>
          <w:tcPr>
            <w:tcW w:w="0" w:type="auto"/>
            <w:gridSpan w:val="6"/>
            <w:shd w:val="clear" w:color="auto" w:fill="FFFFFF"/>
            <w:hideMark/>
          </w:tcPr>
          <w:p>
            <w:pPr>
              <w:pStyle w:val="NumPar1"/>
              <w:rPr>
                <w:noProof/>
              </w:rPr>
            </w:pPr>
            <w:r>
              <w:rPr>
                <w:noProof/>
              </w:rPr>
              <w:t>Регламент (ЕС) № 748/2012, приложение І, част 21, раздел А, подчаст Й (Одобрение за проектантски организации)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00"/>
          <w:sz w:val="19"/>
          <w:szCs w:val="19"/>
          <w:shd w:val="clear" w:color="auto" w:fill="FFFFFF"/>
        </w:rPr>
      </w:pPr>
      <w:r>
        <w:rPr>
          <w:rStyle w:val="FootnoteReference"/>
        </w:rPr>
        <w:footnoteRef/>
      </w:r>
      <w:r>
        <w:tab/>
        <w:t>Регламент (ЕС) № 748/2012 на Комисията от 3 август 2012 г.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продукти, части и оборудване, както и за сертифициране на проектантски и производствени организации (</w:t>
      </w:r>
      <w:hyperlink r:id="rId1" w:history="1">
        <w:r>
          <w:rPr>
            <w:color w:val="000000"/>
          </w:rPr>
          <w:t>ОВ L 224, 21.8.2012 г., стр. 1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AE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7E0C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0CA1A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5844A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EA5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8E66B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2FC1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01AD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11:29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89AC036-B087-4E93-BA8C-B6A888D46F21"/>
    <w:docVar w:name="LW_COVERPAGE_TYPE" w:val="1"/>
    <w:docVar w:name="LW_CROSSREFERENCE" w:val="&lt;UNUSED&gt;"/>
    <w:docVar w:name="LW_DocType" w:val="ANNEX"/>
    <w:docVar w:name="LW_EMISSION" w:val="10.12.2020"/>
    <w:docVar w:name="LW_EMISSION_ISODATE" w:val="2020-12-10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6?\u1087?\u1088?\u1077?\u1076?\u1077?\u1083?\u1077?\u1085?\u1080? \u1072?\u1089?\u1087?\u1077?\u1082?\u1090?\u1080? \u1085?\u1072? \u1073?\u1077?\u1079?\u1086?\u1087?\u1072?\u1089?\u1085?\u1086?\u1089?\u1090?\u1090?\u1072? \u1085?\u1072? \u1074?\u1098?\u1079?\u1076?\u1091?\u1093?\u1086?\u1087?\u1083?\u1072?\u1074?\u1072?\u1085?\u1077?\u1090?\u1086? \u1074?\u1098?\u1074? \u1074?\u1088?\u1098?\u1079?\u1082?\u1072? \u1089? \u1080?\u1079?\u1090?\u1080?\u1095?\u1072?\u1085?\u1077?\u1090?\u1086? \u1085?\u1072? \u1087?\u1088?\u1077?\u1093?\u1086?\u1076?\u1085?\u1080?\u1103? \u1087?\u1077?\u1088?\u1080?\u1086?\u1076?, \u1087?\u1088?\u1077?\u1076?\u1074?\u1080?\u1076?\u1077?\u1085? \u1074? \u1057?\u1087?\u1086?\u1088?\u1072?\u1079?\u1091?\u1084?\u1077?\u1085?\u1080?\u1077?\u1090?\u1086? \u1079?\u1072? \u1086?\u1090?\u1090?\u1077?\u1075?\u1083?\u1103?\u1085?\u1077? \u1085?\u1072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_x000d__x000d__x000d__x000b_"/>
    <w:docVar w:name="LW_OBJETACTEPRINCIPAL.CP" w:val="\u1086?\u1090?\u1085?\u1086?\u1089?\u1085?\u1086? \u1086?\u1087?\u1088?\u1077?\u1076?\u1077?\u1083?\u1077?\u1085?\u1080? \u1072?\u1089?\u1087?\u1077?\u1082?\u1090?\u1080? \u1085?\u1072? \u1073?\u1077?\u1079?\u1086?\u1087?\u1072?\u1089?\u1085?\u1086?\u1089?\u1090?\u1090?\u1072? \u1085?\u1072? \u1074?\u1098?\u1079?\u1076?\u1091?\u1093?\u1086?\u1087?\u1083?\u1072?\u1074?\u1072?\u1085?\u1077?\u1090?\u1086? \u1074?\u1098?\u1074? \u1074?\u1088?\u1098?\u1079?\u1082?\u1072? \u1089? \u1080?\u1079?\u1090?\u1080?\u1095?\u1072?\u1085?\u1077?\u1090?\u1086? \u1085?\u1072? \u1087?\u1088?\u1077?\u1093?\u1086?\u1076?\u1085?\u1080?\u1103? \u1087?\u1077?\u1088?\u1080?\u1086?\u1076?, \u1087?\u1088?\u1077?\u1076?\u1074?\u1080?\u1076?\u1077?\u1085? \u1074? \u1057?\u1087?\u1086?\u1088?\u1072?\u1079?\u1091?\u1084?\u1077?\u1085?\u1080?\u1077?\u1090?\u1086? \u1079?\u1072? \u1086?\u1090?\u1090?\u1077?\u1075?\u1083?\u1103?\u1085?\u1077? \u1085?\u1072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82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\u1040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\u1040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BG/AUTO/?uri=OJ:L:2012:224:T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113</Words>
  <Characters>621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RILLAERTS Rudi (DIGIT-EXT)</dc:creator>
  <cp:keywords/>
  <dc:description/>
  <cp:lastModifiedBy>WES PDFC Administrator</cp:lastModifiedBy>
  <cp:revision>11</cp:revision>
  <dcterms:created xsi:type="dcterms:W3CDTF">2020-12-14T07:45:00Z</dcterms:created>
  <dcterms:modified xsi:type="dcterms:W3CDTF">2020-12-14T10:29:00Z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