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CDDB08E-52BD-4E58-949B-9B4A604CA521"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tabs>
          <w:tab w:val="num" w:pos="850"/>
        </w:tabs>
        <w:rPr>
          <w:noProof/>
        </w:rPr>
      </w:pPr>
      <w:r>
        <w:rPr>
          <w:noProof/>
        </w:rPr>
        <w:t>In Annex I to Decision 2008/971/EC, the table is amended as follows:</w:t>
      </w:r>
    </w:p>
    <w:p>
      <w:pPr>
        <w:pStyle w:val="Point0"/>
        <w:rPr>
          <w:noProof/>
        </w:rPr>
      </w:pPr>
      <w:r>
        <w:rPr>
          <w:noProof/>
        </w:rPr>
        <w:t>(1)</w:t>
      </w:r>
      <w:r>
        <w:rPr>
          <w:noProof/>
        </w:rPr>
        <w:tab/>
        <w:t>the following entry is inserted between the entry ‘CH’ and the entry ‘NO’:</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5245"/>
        <w:gridCol w:w="277"/>
      </w:tblGrid>
      <w:tr>
        <w:tc>
          <w:tcPr>
            <w:tcW w:w="2268" w:type="dxa"/>
            <w:shd w:val="clear" w:color="auto" w:fill="auto"/>
          </w:tcPr>
          <w:p>
            <w:pPr>
              <w:spacing w:before="40" w:after="40"/>
              <w:rPr>
                <w:rFonts w:eastAsia="Calibri"/>
                <w:noProof/>
              </w:rPr>
            </w:pPr>
            <w:r>
              <w:rPr>
                <w:rFonts w:eastAsia="Calibri"/>
                <w:noProof/>
              </w:rPr>
              <w:t>‘GB</w:t>
            </w:r>
            <w:r>
              <w:rPr>
                <w:noProof/>
              </w:rPr>
              <w:t>**</w:t>
            </w:r>
          </w:p>
        </w:tc>
        <w:tc>
          <w:tcPr>
            <w:tcW w:w="5245" w:type="dxa"/>
            <w:shd w:val="clear" w:color="auto" w:fill="auto"/>
          </w:tcPr>
          <w:p>
            <w:pPr>
              <w:rPr>
                <w:noProof/>
              </w:rPr>
            </w:pPr>
            <w:r>
              <w:rPr>
                <w:noProof/>
              </w:rPr>
              <w:t>Department for Environment, Food and Rural Affairs (DEFFRA)</w:t>
            </w:r>
          </w:p>
          <w:p>
            <w:pPr>
              <w:rPr>
                <w:noProof/>
              </w:rPr>
            </w:pPr>
            <w:r>
              <w:rPr>
                <w:noProof/>
              </w:rPr>
              <w:t>Varieties and Seeds Policy</w:t>
            </w:r>
          </w:p>
          <w:p>
            <w:pPr>
              <w:rPr>
                <w:noProof/>
              </w:rPr>
            </w:pPr>
            <w:r>
              <w:rPr>
                <w:noProof/>
              </w:rPr>
              <w:t>Eastbrook, Shaftesbury Road</w:t>
            </w:r>
          </w:p>
          <w:p>
            <w:pPr>
              <w:rPr>
                <w:noProof/>
              </w:rPr>
            </w:pPr>
            <w:r>
              <w:rPr>
                <w:noProof/>
              </w:rPr>
              <w:t xml:space="preserve">Cambridge CB2 8DR </w:t>
            </w:r>
          </w:p>
        </w:tc>
        <w:tc>
          <w:tcPr>
            <w:tcW w:w="277" w:type="dxa"/>
          </w:tcPr>
          <w:p>
            <w:pPr>
              <w:spacing w:before="40" w:after="40"/>
              <w:rPr>
                <w:rFonts w:eastAsia="Calibri"/>
                <w:noProof/>
                <w:lang w:val="el-GR"/>
              </w:rPr>
            </w:pPr>
          </w:p>
        </w:tc>
      </w:tr>
    </w:tbl>
    <w:p>
      <w:pPr>
        <w:tabs>
          <w:tab w:val="num" w:pos="850"/>
        </w:tabs>
        <w:rPr>
          <w:noProof/>
        </w:rPr>
      </w:pPr>
      <w:r>
        <w:rPr>
          <w:noProof/>
        </w:rPr>
        <w:t>___________________________</w:t>
      </w:r>
    </w:p>
    <w:p>
      <w:pPr>
        <w:ind w:left="720"/>
        <w:rPr>
          <w:noProof/>
          <w:lang w:val="en-IE"/>
        </w:rPr>
      </w:pPr>
      <w:r>
        <w:rPr>
          <w:noProof/>
          <w:sz w:val="20"/>
          <w:szCs w:val="20"/>
        </w:rPr>
        <w:t xml:space="preserve">(**) </w:t>
      </w:r>
      <w:r>
        <w:rPr>
          <w:i/>
          <w:iCs/>
          <w:noProof/>
          <w:sz w:val="20"/>
          <w:szCs w:val="20"/>
          <w:lang w:val="en-IE"/>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for the purposes of this Annex, references to the United Kingdom do not include Northern Ireland</w:t>
      </w:r>
      <w:r>
        <w:rPr>
          <w:noProof/>
        </w:rPr>
        <w:t>’;</w:t>
      </w:r>
    </w:p>
    <w:p>
      <w:pPr>
        <w:pStyle w:val="Point0"/>
        <w:rPr>
          <w:noProof/>
        </w:rPr>
      </w:pPr>
      <w:r>
        <w:rPr>
          <w:noProof/>
        </w:rPr>
        <w:t>(2)</w:t>
      </w:r>
      <w:r>
        <w:rPr>
          <w:noProof/>
        </w:rPr>
        <w:tab/>
        <w:t>the footnote (*) is replaced by the following:</w:t>
      </w:r>
    </w:p>
    <w:p>
      <w:pPr>
        <w:rPr>
          <w:noProof/>
        </w:rPr>
      </w:pPr>
      <w:r>
        <w:rPr>
          <w:noProof/>
        </w:rPr>
        <w:t>‘(*) CA – Canada, CH – Switzerland, GB— United Kingdom, NO – Norway, RS – Serbia, TR – Turkey, US – United States.’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385FF4"/>
    <w:lvl w:ilvl="0">
      <w:start w:val="1"/>
      <w:numFmt w:val="decimal"/>
      <w:lvlText w:val="%1."/>
      <w:lvlJc w:val="left"/>
      <w:pPr>
        <w:tabs>
          <w:tab w:val="num" w:pos="1800"/>
        </w:tabs>
        <w:ind w:left="1800" w:hanging="360"/>
      </w:pPr>
    </w:lvl>
  </w:abstractNum>
  <w:abstractNum w:abstractNumId="1">
    <w:nsid w:val="FFFFFF7D"/>
    <w:multiLevelType w:val="singleLevel"/>
    <w:tmpl w:val="7E0640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7053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05894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28800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0CD8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C564A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9F2E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79C2272"/>
    <w:lvl w:ilvl="0">
      <w:start w:val="1"/>
      <w:numFmt w:val="decimal"/>
      <w:pStyle w:val="ListNumber"/>
      <w:lvlText w:val="%1."/>
      <w:lvlJc w:val="left"/>
      <w:pPr>
        <w:tabs>
          <w:tab w:val="num" w:pos="360"/>
        </w:tabs>
        <w:ind w:left="360" w:hanging="360"/>
      </w:pPr>
    </w:lvl>
  </w:abstractNum>
  <w:abstractNum w:abstractNumId="9">
    <w:nsid w:val="FFFFFF89"/>
    <w:multiLevelType w:val="singleLevel"/>
    <w:tmpl w:val="70E6BA5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14"/>
  </w:num>
  <w:num w:numId="3">
    <w:abstractNumId w:val="22"/>
  </w:num>
  <w:num w:numId="4">
    <w:abstractNumId w:val="13"/>
  </w:num>
  <w:num w:numId="5">
    <w:abstractNumId w:val="15"/>
  </w:num>
  <w:num w:numId="6">
    <w:abstractNumId w:val="11"/>
  </w:num>
  <w:num w:numId="7">
    <w:abstractNumId w:val="21"/>
  </w:num>
  <w:num w:numId="8">
    <w:abstractNumId w:val="10"/>
  </w:num>
  <w:num w:numId="9">
    <w:abstractNumId w:val="16"/>
  </w:num>
  <w:num w:numId="10">
    <w:abstractNumId w:val="18"/>
  </w:num>
  <w:num w:numId="11">
    <w:abstractNumId w:val="19"/>
  </w:num>
  <w:num w:numId="12">
    <w:abstractNumId w:val="12"/>
  </w:num>
  <w:num w:numId="13">
    <w:abstractNumId w:val="17"/>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14"/>
  </w:num>
  <w:num w:numId="27">
    <w:abstractNumId w:val="22"/>
  </w:num>
  <w:num w:numId="28">
    <w:abstractNumId w:val="13"/>
  </w:num>
  <w:num w:numId="29">
    <w:abstractNumId w:val="15"/>
  </w:num>
  <w:num w:numId="30">
    <w:abstractNumId w:val="11"/>
  </w:num>
  <w:num w:numId="31">
    <w:abstractNumId w:val="21"/>
  </w:num>
  <w:num w:numId="32">
    <w:abstractNumId w:val="10"/>
  </w:num>
  <w:num w:numId="33">
    <w:abstractNumId w:val="16"/>
  </w:num>
  <w:num w:numId="34">
    <w:abstractNumId w:val="18"/>
  </w:num>
  <w:num w:numId="35">
    <w:abstractNumId w:val="19"/>
  </w:num>
  <w:num w:numId="36">
    <w:abstractNumId w:val="12"/>
  </w:num>
  <w:num w:numId="37">
    <w:abstractNumId w:val="1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22 10:56: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1"/>
    <w:docVar w:name="LW_ANNEX_UNIQUE" w:val="1"/>
    <w:docVar w:name="LW_CORRIGENDUM" w:val="&lt;UNUSED&gt;"/>
    <w:docVar w:name="LW_COVERPAGE_EXISTS" w:val="True"/>
    <w:docVar w:name="LW_COVERPAGE_GUID" w:val="1CDDB08E-52BD-4E58-949B-9B4A604CA521"/>
    <w:docVar w:name="LW_COVERPAGE_TYPE" w:val="1"/>
    <w:docVar w:name="LW_CROSSREFERENCE" w:val="&lt;UNUSED&gt;"/>
    <w:docVar w:name="LW_DocType" w:val="ANNEX"/>
    <w:docVar w:name="LW_EMISSION" w:val="23.12.2020"/>
    <w:docVar w:name="LW_EMISSION_ISODATE" w:val="2020-12-2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Council Decision 2008/971/EC as regards the equivalence of forest reproductive material produced in the United Kingdom to such material produced in the Union"/>
    <w:docVar w:name="LW_OBJETACTEPRINCIPAL.CP" w:val="amending Council Decision 2008/971/EC as regards the equivalence of forest reproductive material produced in the United Kingdom to such material produced in the Union"/>
    <w:docVar w:name="LW_PART_NBR" w:val="1"/>
    <w:docVar w:name="LW_PART_NBR_TOTAL" w:val="1"/>
    <w:docVar w:name="LW_REF.INST.NEW" w:val="COM"/>
    <w:docVar w:name="LW_REF.INST.NEW_ADOPTED" w:val="final"/>
    <w:docVar w:name="LW_REF.INST.NEW_TEXT" w:val="(2020) 8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DECISION OF THE EUROPEAN PARLIAMENT AND OF THE COUNCIL"/>
    <w:docVar w:name="LW_TYPEACTEPRINCIPAL.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139</Words>
  <Characters>758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SZOEKE-DENES Melinda (SANTE)</dc:creator>
  <cp:keywords/>
  <dc:description/>
  <cp:lastModifiedBy>WES PDFC Administrator</cp:lastModifiedBy>
  <cp:revision>9</cp:revision>
  <dcterms:created xsi:type="dcterms:W3CDTF">2020-12-08T17:36:00Z</dcterms:created>
  <dcterms:modified xsi:type="dcterms:W3CDTF">2020-12-22T09:56:00Z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