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37825F7-35EF-4736-98A1-94A29E4A28D8" style="width:450.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I</w:t>
      </w:r>
    </w:p>
    <w:p>
      <w:pPr>
        <w:jc w:val="center"/>
        <w:rPr>
          <w:b/>
          <w:noProof/>
        </w:rPr>
      </w:pPr>
    </w:p>
    <w:p>
      <w:pPr>
        <w:jc w:val="center"/>
        <w:rPr>
          <w:b/>
          <w:noProof/>
        </w:rPr>
      </w:pPr>
      <w:r>
        <w:rPr>
          <w:b/>
          <w:noProof/>
        </w:rPr>
        <w:t>Съвет на министрите</w:t>
      </w:r>
    </w:p>
    <w:p>
      <w:pPr>
        <w:pStyle w:val="Heading1"/>
        <w:numPr>
          <w:ilvl w:val="0"/>
          <w:numId w:val="9"/>
        </w:numPr>
        <w:ind w:left="0" w:firstLine="0"/>
        <w:rPr>
          <w:caps/>
          <w:smallCaps w:val="0"/>
          <w:noProof/>
        </w:rPr>
      </w:pPr>
      <w:r>
        <w:rPr>
          <w:caps/>
          <w:smallCaps w:val="0"/>
          <w:noProof/>
        </w:rPr>
        <w:t>Решение 2020/.../MC-EnC относно прилагането на Регламент (ЕС) 2019/2146 на Комисията от 26 ноември 2019 г. за изменение на Регламент (ЕО) № 1099/2008 на Европейския парламент и на Съвета относно статистиката за енергийния сектор, що се отнася до актуализирането на годишните, месечните и краткосрочните месечни статистически данни за енергийния сектор</w:t>
      </w:r>
    </w:p>
    <w:p>
      <w:pPr>
        <w:pStyle w:val="Text1"/>
        <w:ind w:left="0"/>
        <w:rPr>
          <w:b/>
          <w:noProof/>
        </w:rPr>
      </w:pPr>
      <w:r>
        <w:rPr>
          <w:noProof/>
        </w:rPr>
        <w:t xml:space="preserve">Позицията, която трябва да се заеме от името на Европейския съюз, е в полза на одобрение на проекта за решение в съответствие с Решение на Комисията от 26 ноември 2020 г. (C(2020) 8439 final) за изготвяне на предложение на Комисията до Съвета на министрите на Енергийната общност за решение на Съвета на министрите от Енергийната общност относно прилагането на Регламент (ЕС) 2019/2146 на Комисията от 26 ноември 2019 г. за изменение на Регламент (ЕО) № 1099/2008 на Европейския парламент и на Съвета относно статистиката за енергийния сектор, що се отнася до актуализирането на годишните, месечните и краткосрочните месечни статистически данни за енергийния сектор. </w:t>
      </w:r>
      <w:r>
        <w:rPr>
          <w:b/>
          <w:noProof/>
        </w:rPr>
        <w:t xml:space="preserve"> </w:t>
      </w:r>
      <w:r>
        <w:rPr>
          <w:noProof/>
        </w:rPr>
        <w:t xml:space="preserve"> </w:t>
      </w:r>
    </w:p>
    <w:p>
      <w:pPr>
        <w:pStyle w:val="Heading1"/>
        <w:numPr>
          <w:ilvl w:val="0"/>
          <w:numId w:val="9"/>
        </w:numPr>
        <w:ind w:left="0" w:firstLine="0"/>
        <w:rPr>
          <w:caps/>
          <w:smallCaps w:val="0"/>
          <w:noProof/>
        </w:rPr>
      </w:pPr>
      <w:r>
        <w:rPr>
          <w:caps/>
          <w:smallCaps w:val="0"/>
          <w:noProof/>
        </w:rPr>
        <w:t>Решение 2020/.../MC-EnC относно прилагането на Регламент за изпълнение (ЕС) 2019/803 на Комисията от 17 май 2019 г. относно техническите изисквания към съдържанието на докладите за качеството на европейските статистически данни за цените на природния газ и електроенергията съгласно Регламент (ЕС) 2016/1952 на Европейския парламент и на Съвета</w:t>
      </w:r>
    </w:p>
    <w:p>
      <w:pPr>
        <w:pStyle w:val="Text1"/>
        <w:ind w:left="0"/>
        <w:rPr>
          <w:b/>
          <w:noProof/>
        </w:rPr>
      </w:pPr>
      <w:r>
        <w:rPr>
          <w:noProof/>
        </w:rPr>
        <w:t xml:space="preserve">Позицията, която трябва да се заеме от името на Европейския съюз, е в полза на одобрение на проекта за решение в съответствие с Решение на Комисията от 26 ноември 2020 г. (C(2020) 8439 final) за изготвяне на предложение на Комисията до Съвета на министрите на Енергийната общност за решение на Съвета на министрите от Енергийната общност относно прилагането на Регламент за изпълнение (ЕС) 2019/803 на Комисията от 17 май 2019 г. относно техническите изисквания към съдържанието на докладите за качеството на европейските статистически данни за цените на природния газ и електроенергията съгласно Регламент (ЕС) 2016/1952 на Европейския парламент и на Съвета. </w:t>
      </w:r>
    </w:p>
    <w:p>
      <w:pPr>
        <w:pStyle w:val="Heading1"/>
        <w:numPr>
          <w:ilvl w:val="0"/>
          <w:numId w:val="9"/>
        </w:numPr>
        <w:ind w:left="0" w:firstLine="0"/>
        <w:rPr>
          <w:caps/>
          <w:smallCaps w:val="0"/>
          <w:noProof/>
        </w:rPr>
      </w:pPr>
      <w:r>
        <w:rPr>
          <w:caps/>
          <w:smallCaps w:val="0"/>
          <w:noProof/>
        </w:rPr>
        <w:t>Решение 2020/.../MC-EnC относно съставянето на списък с проекти от интерес за Енергийната общност</w:t>
      </w:r>
    </w:p>
    <w:p>
      <w:pPr>
        <w:pStyle w:val="Text1"/>
        <w:ind w:left="0"/>
        <w:rPr>
          <w:noProof/>
        </w:rPr>
      </w:pPr>
      <w:r>
        <w:rPr>
          <w:noProof/>
        </w:rPr>
        <w:t xml:space="preserve">Позицията, която трябва да се заеме от името на Европейския съюз, е в полза на одобрение на проекта за решение, както е посочено в допълнението към настоящото приложение. </w:t>
      </w:r>
    </w:p>
    <w:p>
      <w:pPr>
        <w:pStyle w:val="Text1"/>
        <w:ind w:left="0"/>
        <w:rPr>
          <w:noProof/>
        </w:rPr>
      </w:pPr>
    </w:p>
    <w:p>
      <w:pPr>
        <w:pStyle w:val="Heading1"/>
        <w:numPr>
          <w:ilvl w:val="0"/>
          <w:numId w:val="9"/>
        </w:numPr>
        <w:ind w:left="0" w:firstLine="0"/>
        <w:rPr>
          <w:noProof/>
        </w:rPr>
      </w:pPr>
      <w:r>
        <w:rPr>
          <w:noProof/>
        </w:rPr>
        <w:t xml:space="preserve">РЕШЕНИЯ ПО ЧЛЕН 91, ПАРАГРАФ 1 ОТ ДСЕО ЗА УСТАНОВЯВАНЕ НА НАРУШЕНИЕ НА ДОГОВОРА ЗА СЪЗДАВАНЕ НА ЕНЕРГИЙНА ОБЩНОСТ ПО СЛЕДНИТЕ ДЕЛА: </w:t>
      </w:r>
    </w:p>
    <w:p>
      <w:pPr>
        <w:rPr>
          <w:noProof/>
        </w:rPr>
      </w:pPr>
      <w:r>
        <w:rPr>
          <w:noProof/>
        </w:rPr>
        <w:t xml:space="preserve">Позицията, която трябва да се заеме от името на Европейския съюз, е в полза на одобрение на проекта за решение по член 91, параграф 1 от ДСЕО за установяване на нарушение по: </w:t>
      </w:r>
    </w:p>
    <w:p>
      <w:pPr>
        <w:pStyle w:val="Point0"/>
        <w:rPr>
          <w:noProof/>
        </w:rPr>
      </w:pPr>
      <w:r>
        <w:rPr>
          <w:noProof/>
        </w:rPr>
        <w:t>а)</w:t>
      </w:r>
      <w:r>
        <w:rPr>
          <w:noProof/>
        </w:rPr>
        <w:tab/>
        <w:t xml:space="preserve">Дело ECS-13/17 (Сърбия), при условие че Консултативният комитет на Енергийната общност представи становище в подкрепа на констатациите на Секретариата на Енергийната общност преди заседанието на Съвета на министрите и че в точка 71 от мотивираното искане се премахне obiter dictum.  </w:t>
      </w:r>
    </w:p>
    <w:p>
      <w:pPr>
        <w:pStyle w:val="Point0"/>
        <w:rPr>
          <w:noProof/>
        </w:rPr>
      </w:pPr>
      <w:r>
        <w:rPr>
          <w:noProof/>
        </w:rPr>
        <w:t>б)</w:t>
      </w:r>
      <w:r>
        <w:rPr>
          <w:noProof/>
        </w:rPr>
        <w:tab/>
        <w:t>Дело ECS-10/18 (Босна и Херцеговина), след като Консултативният комитет на Енергийната общност, след изслушването на 9 декември 2020 г., представи становище в подкрепа на констатациите на Секретариата на Енергийната общност и в зависимост от новото развитие по делото.</w:t>
      </w:r>
    </w:p>
    <w:p>
      <w:pPr>
        <w:pStyle w:val="Heading1"/>
        <w:numPr>
          <w:ilvl w:val="0"/>
          <w:numId w:val="9"/>
        </w:numPr>
        <w:ind w:left="0" w:firstLine="0"/>
        <w:rPr>
          <w:noProof/>
        </w:rPr>
      </w:pPr>
      <w:r>
        <w:rPr>
          <w:noProof/>
        </w:rPr>
        <w:t>РЕШЕНИЯ ПО ЧЛЕН 92, ПАРАГРАФ 1 ОТ ДСЕО ЗА ПРИЕМАНЕ НА МЕРКИ В ОТГОВОР НА ТЕЖКИ И СИСТЕМНИ НАРУШЕНИЯ НА ДОГОВОРА ЗА СЪЗДАВАНЕ НА ЕНЕРГИЙНА ОБЩНОСТ ОТ СТРАНА НА БОСНА И ХЕРЦЕГОВИНА ПО ДЕЛА ECS-8/11S, ECS-2/13S И ECS-6/16S, ОТ СТРАНА НА УКРАЙНА ПО ДЕЛО ECS-1/18S И ОТ СТРАНА НА СЪРБИЯ ПО ДЕЛО ECS-10/17S.</w:t>
      </w:r>
    </w:p>
    <w:p>
      <w:pPr>
        <w:pStyle w:val="Text1"/>
        <w:ind w:left="0"/>
        <w:rPr>
          <w:noProof/>
        </w:rPr>
      </w:pPr>
      <w:r>
        <w:rPr>
          <w:noProof/>
        </w:rPr>
        <w:t xml:space="preserve">Позицията, която трябва да се заеме от името на Европейския съюз, е в полза на одобрение на проектите за решения по член 92, параграф 1 от ДСЕО по отношение на Босна и Херцеговина по дела ECS-2/13S и ECS-6/16S. Що се отнася до дело ECS-8/11S по отношение на Босна и Херцеговина, позицията, която трябва да се заеме от името на Европейския съюз в Съвета на министрите, е в полза на одобрение на проекта за решение, с изключение на мерките по член 3, параграф 1 от Решение 2016/16/MC-EnC, чието удължаване не следва да бъде одобрено. </w:t>
      </w:r>
    </w:p>
    <w:p>
      <w:pPr>
        <w:pStyle w:val="Text1"/>
        <w:ind w:left="0"/>
        <w:rPr>
          <w:noProof/>
        </w:rPr>
      </w:pPr>
      <w:r>
        <w:rPr>
          <w:noProof/>
        </w:rPr>
        <w:t xml:space="preserve">Позицията, която трябва да се заеме от името на Европейския съюз в Съвета на министрите по отношение на Украйна по дело ECS-1/18S, следва да бъде одобрение на решението на Съвета на министрите, с което се установява наличието на сериозно и продължително нарушение, при условие че крайният срок за докладване пред Съвета на министрите от Украйна и за отстраняване на нарушението от страна на Украйна се определи като датата на заседанието на Съвета на министрите през 2021 г. </w:t>
      </w:r>
    </w:p>
    <w:p>
      <w:pPr>
        <w:pStyle w:val="Text1"/>
        <w:ind w:left="0"/>
        <w:rPr>
          <w:noProof/>
        </w:rPr>
      </w:pPr>
      <w:r>
        <w:rPr>
          <w:noProof/>
        </w:rPr>
        <w:t xml:space="preserve">Позицията, която трябва да се заеме от името на Европейския съюз в Съвета на министрите, е в полза на одобрение на решението за установяване на наличието на сериозно и продължително нарушение на член 92, параграф 1 от ДСЕО от страна на Сърбия по дело ECS-10/17S. </w:t>
      </w:r>
    </w:p>
    <w:p>
      <w:pPr>
        <w:pStyle w:val="Heading1"/>
        <w:numPr>
          <w:ilvl w:val="0"/>
          <w:numId w:val="9"/>
        </w:numPr>
        <w:ind w:left="0" w:firstLine="0"/>
        <w:rPr>
          <w:caps/>
          <w:smallCaps w:val="0"/>
          <w:noProof/>
        </w:rPr>
      </w:pPr>
      <w:r>
        <w:rPr>
          <w:caps/>
          <w:smallCaps w:val="0"/>
          <w:noProof/>
        </w:rPr>
        <w:t>Назначаване на членовете на Консултативния комитет в съответствие с член 32, параграф 3 от правилника съгласно Процедурен акт № 2008/01/MC-EnC относно Процедурния правилник за уреждане на спорове, изменен с Процедурен акт 2015/04/MC-EnC</w:t>
      </w:r>
    </w:p>
    <w:p>
      <w:pPr>
        <w:pStyle w:val="Text1"/>
        <w:ind w:left="0"/>
        <w:rPr>
          <w:noProof/>
        </w:rPr>
      </w:pPr>
      <w:r>
        <w:rPr>
          <w:noProof/>
        </w:rPr>
        <w:t>Позицията, която трябва да се заеме от името на Европейския съюз, е в полза на подкрепа на предложените назначения.</w:t>
      </w:r>
    </w:p>
    <w:p>
      <w:pPr>
        <w:spacing w:before="0" w:after="200" w:line="276" w:lineRule="auto"/>
        <w:jc w:val="center"/>
        <w:rPr>
          <w:b/>
          <w:i/>
          <w:noProof/>
          <w:u w:val="single"/>
        </w:rPr>
      </w:pPr>
      <w:r>
        <w:rPr>
          <w:noProof/>
        </w:rPr>
        <w:br w:type="page"/>
      </w:r>
      <w:r>
        <w:rPr>
          <w:b/>
          <w:i/>
          <w:noProof/>
          <w:u w:val="single"/>
        </w:rPr>
        <w:t>ДОБАВКА КЪМ ПРИЛОЖЕНИЕ І</w:t>
      </w:r>
    </w:p>
    <w:p>
      <w:pPr>
        <w:pStyle w:val="ManualHeading1"/>
        <w:rPr>
          <w:noProof/>
          <w:sz w:val="28"/>
          <w:szCs w:val="28"/>
        </w:rPr>
      </w:pPr>
      <w:r>
        <w:rPr>
          <w:noProof/>
          <w:sz w:val="28"/>
          <w:szCs w:val="28"/>
        </w:rPr>
        <w:t>Решение 2020/.../MC-EnC за изготвяне на списък с проекти от интерес за Енергийната общност („списък на Енергийната общност“)</w:t>
      </w:r>
    </w:p>
    <w:p>
      <w:pPr>
        <w:autoSpaceDE w:val="0"/>
        <w:autoSpaceDN w:val="0"/>
        <w:adjustRightInd w:val="0"/>
        <w:rPr>
          <w:noProof/>
          <w:szCs w:val="24"/>
        </w:rPr>
      </w:pPr>
    </w:p>
    <w:p>
      <w:pPr>
        <w:autoSpaceDE w:val="0"/>
        <w:autoSpaceDN w:val="0"/>
        <w:adjustRightInd w:val="0"/>
        <w:rPr>
          <w:noProof/>
          <w:szCs w:val="24"/>
        </w:rPr>
      </w:pPr>
    </w:p>
    <w:p>
      <w:pPr>
        <w:widowControl w:val="0"/>
        <w:spacing w:before="100" w:beforeAutospacing="1" w:after="100" w:afterAutospacing="1"/>
        <w:contextualSpacing/>
        <w:rPr>
          <w:rFonts w:eastAsia="Calibri"/>
          <w:noProof/>
          <w:szCs w:val="24"/>
        </w:rPr>
      </w:pPr>
      <w:r>
        <w:rPr>
          <w:noProof/>
        </w:rPr>
        <w:t>СЪВЕТЪТ НА МИНИСТРИТЕ НА ЕНЕРГИЙНАТА ОБЩНОСТ,</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като взе предвид Договора за създаване на Енергийна общност (наричан по-нататък „Договорът“) и по-специално членове 2, 26, 27 и 82 от него,</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като взе предвид решението на Съвета на министрите на Енергийната общност D/2015/09/MC-EnC относно прилагането на Регламент (ЕС) № 347/2013 на Европейския парламент и на Съвета относно указания за трансевропейската енергийна инфраструктура, и по-специално член 3, параграф 4 от посочения регламент, възприет в рамките на Енергийната общност,</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като взе предвид предложението от Секретариата на Енергийната общност,</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като има предвид, че:</w:t>
      </w:r>
    </w:p>
    <w:p>
      <w:pPr>
        <w:widowControl w:val="0"/>
        <w:tabs>
          <w:tab w:val="num" w:pos="850"/>
        </w:tabs>
        <w:spacing w:before="100" w:beforeAutospacing="1" w:after="100" w:afterAutospacing="1"/>
        <w:ind w:left="850" w:hanging="850"/>
        <w:contextualSpacing/>
        <w:rPr>
          <w:rFonts w:eastAsia="Calibri"/>
          <w:noProof/>
          <w:szCs w:val="24"/>
          <w:lang w:eastAsia="en-GB"/>
        </w:rPr>
      </w:pPr>
    </w:p>
    <w:p>
      <w:pPr>
        <w:widowControl w:val="0"/>
        <w:spacing w:before="100" w:beforeAutospacing="1" w:after="100" w:afterAutospacing="1"/>
        <w:ind w:left="567" w:hanging="567"/>
        <w:contextualSpacing/>
        <w:rPr>
          <w:rFonts w:eastAsia="Calibri"/>
          <w:noProof/>
          <w:szCs w:val="24"/>
        </w:rPr>
      </w:pPr>
      <w:r>
        <w:rPr>
          <w:noProof/>
        </w:rPr>
        <w:t>(1)</w:t>
      </w:r>
      <w:r>
        <w:rPr>
          <w:noProof/>
        </w:rPr>
        <w:tab/>
        <w:t>Съветът на министрите на Енергийната общност прие на 16 октомври 2015 г. Решение</w:t>
      </w:r>
      <w:r>
        <w:rPr>
          <w:rStyle w:val="FootnoteReference"/>
          <w:rFonts w:eastAsia="Calibri"/>
          <w:noProof/>
          <w:szCs w:val="24"/>
        </w:rPr>
        <w:footnoteReference w:id="1"/>
      </w:r>
      <w:r>
        <w:rPr>
          <w:noProof/>
        </w:rPr>
        <w:t xml:space="preserve"> относно прилагането на Регламент (ЕС) № 347/2013 на Европейския парламент и на Съвета относно указания за трансевропейската енергийна инфраструктура.</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(2)</w:t>
      </w:r>
      <w:r>
        <w:rPr>
          <w:noProof/>
        </w:rPr>
        <w:tab/>
        <w:t xml:space="preserve">По силата на член 82 от Договора мерки се предлагат от някоя от страните или от Секретариата. </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(3)</w:t>
      </w:r>
      <w:r>
        <w:rPr>
          <w:noProof/>
        </w:rPr>
        <w:tab/>
        <w:t>Проектите, предложени за включване в списъка с проекти от интерес за Енергийната общност (ПИЕО), бяха оценени от групите и отговарят на критериите, определени в регламента.</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(4)</w:t>
      </w:r>
      <w:r>
        <w:rPr>
          <w:noProof/>
        </w:rPr>
        <w:tab/>
        <w:t>Проектът на предварителен списък на ПИЕО беше одобрен от групите на срещи на техническо равнище. След положителното становище на Регулаторния съвет на Енергийната общност относно последователното прилагане на критериите за оценка и на анализа на разходите и ползите, предложеният списък беше обсъден и одобрен на 56-ото заседание на Постоянната група на високо равнище (ПГВР) на Енергийната общност на 16 юли 2020 г. и това решение беше финализирано и одобрено от ПГВР, която в случая действа като орган за вземане на решения.</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(5)</w:t>
      </w:r>
      <w:r>
        <w:rPr>
          <w:noProof/>
        </w:rPr>
        <w:tab/>
        <w:t>По отношение на проектите, предложени за включване в списъка на Енергийната общност, бяха проведени консултации с организации, представляващи съответните заинтересовани страни, включително производители, оператори на разпределителни системи, доставчици, потребителски организации и организации за защита на околната среда.</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(6)</w:t>
      </w:r>
      <w:r>
        <w:rPr>
          <w:noProof/>
        </w:rPr>
        <w:tab/>
        <w:t>Включването на списъка с ПИЕО не засяга резултатите от съответната оценка за въздействие на околната среда и процедурата за издаване на разрешително. Съгласно член 5, параграф 8 от приетия регламент, проект, който не съответства на нормативната уредба на Енергийната общност, може да отпадне от списъка на тази общност. Изпълнението на ПИЕО, включително тяхното съответствие с нормативната уредба на Енергийната общност, следва да се наблюдава в съответствие с член 5 от регламента.</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(7)</w:t>
      </w:r>
      <w:r>
        <w:rPr>
          <w:noProof/>
        </w:rPr>
        <w:tab/>
        <w:t>Съгласно член 3, параграф 4, втора алинея от приетия регламент, списъкът на Енергийната общност се изготвя на всеки две години с решение съгласно дял III от Договора.</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 xml:space="preserve">ПРИЕ НАСТОЯЩОТО РЕШЕНИЕ: </w:t>
      </w:r>
    </w:p>
    <w:p>
      <w:pPr>
        <w:widowControl w:val="0"/>
        <w:spacing w:before="100" w:beforeAutospacing="1" w:after="100" w:afterAutospacing="1"/>
        <w:contextualSpacing/>
        <w:jc w:val="center"/>
        <w:rPr>
          <w:rFonts w:eastAsia="Calibri"/>
          <w:i/>
          <w:noProof/>
          <w:szCs w:val="24"/>
        </w:rPr>
      </w:pPr>
      <w:r>
        <w:rPr>
          <w:b/>
          <w:i/>
          <w:noProof/>
          <w:szCs w:val="24"/>
        </w:rPr>
        <w:t>Член 1</w:t>
      </w:r>
    </w:p>
    <w:p>
      <w:pPr>
        <w:widowControl w:val="0"/>
        <w:spacing w:before="100" w:beforeAutospacing="1" w:after="100" w:afterAutospacing="1"/>
        <w:contextualSpacing/>
        <w:rPr>
          <w:rFonts w:eastAsia="Calibri"/>
          <w:noProof/>
          <w:szCs w:val="24"/>
        </w:rPr>
      </w:pPr>
      <w:r>
        <w:rPr>
          <w:noProof/>
        </w:rPr>
        <w:t xml:space="preserve"> </w:t>
      </w:r>
      <w:r>
        <w:rPr>
          <w:noProof/>
        </w:rPr>
        <w:br/>
        <w:t>Приема се списъкът с ПИЕО, както е изложен в приложението към настоящото решение.</w:t>
      </w:r>
    </w:p>
    <w:p>
      <w:pPr>
        <w:widowControl w:val="0"/>
        <w:spacing w:before="100" w:beforeAutospacing="1" w:after="100" w:afterAutospacing="1"/>
        <w:contextualSpacing/>
        <w:jc w:val="center"/>
        <w:rPr>
          <w:rFonts w:eastAsia="Calibri"/>
          <w:b/>
          <w:i/>
          <w:noProof/>
          <w:szCs w:val="24"/>
        </w:rPr>
      </w:pPr>
    </w:p>
    <w:p>
      <w:pPr>
        <w:widowControl w:val="0"/>
        <w:spacing w:before="100" w:beforeAutospacing="1" w:after="100" w:afterAutospacing="1"/>
        <w:contextualSpacing/>
        <w:jc w:val="center"/>
        <w:rPr>
          <w:rFonts w:eastAsia="Calibri"/>
          <w:b/>
          <w:noProof/>
          <w:szCs w:val="24"/>
        </w:rPr>
      </w:pPr>
      <w:r>
        <w:rPr>
          <w:b/>
          <w:i/>
          <w:noProof/>
          <w:szCs w:val="24"/>
        </w:rPr>
        <w:t>Член 2</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Настоящото решение влиза в сила в деня на приемането му.</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Адресати на настоящото решение са договарящите страни на Енергийната общност.</w:t>
      </w: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r>
        <w:rPr>
          <w:noProof/>
        </w:rPr>
        <w:t>Съставено в Тиват на … 2020 година.</w:t>
      </w: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r>
        <w:rPr>
          <w:noProof/>
        </w:rPr>
        <w:t>За председателя</w:t>
      </w:r>
    </w:p>
    <w:p>
      <w:pPr>
        <w:autoSpaceDE w:val="0"/>
        <w:autoSpaceDN w:val="0"/>
        <w:adjustRightInd w:val="0"/>
        <w:rPr>
          <w:noProof/>
          <w:szCs w:val="24"/>
        </w:rPr>
      </w:pPr>
    </w:p>
    <w:p>
      <w:pPr>
        <w:rPr>
          <w:noProof/>
          <w:szCs w:val="24"/>
        </w:rPr>
      </w:pPr>
    </w:p>
    <w:p>
      <w:pPr>
        <w:rPr>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left"/>
        <w:rPr>
          <w:rFonts w:eastAsia="Calibri"/>
          <w:b/>
          <w:noProof/>
          <w:szCs w:val="24"/>
          <w:u w:val="single"/>
        </w:rPr>
      </w:pPr>
      <w:r>
        <w:rPr>
          <w:b/>
          <w:noProof/>
          <w:szCs w:val="24"/>
          <w:u w:val="single"/>
        </w:rPr>
        <w:t>Обяснителен меморандум</w:t>
      </w:r>
    </w:p>
    <w:p>
      <w:pPr>
        <w:spacing w:before="100" w:beforeAutospacing="1" w:after="100" w:afterAutospacing="1" w:line="276" w:lineRule="auto"/>
        <w:contextualSpacing/>
        <w:jc w:val="center"/>
        <w:rPr>
          <w:rFonts w:eastAsia="Calibri"/>
          <w:b/>
          <w:noProof/>
          <w:szCs w:val="24"/>
          <w:u w:val="single"/>
        </w:rPr>
      </w:pPr>
    </w:p>
    <w:p>
      <w:pPr>
        <w:spacing w:before="100" w:beforeAutospacing="1" w:after="100" w:afterAutospacing="1" w:line="276" w:lineRule="auto"/>
        <w:contextualSpacing/>
        <w:jc w:val="center"/>
        <w:rPr>
          <w:rFonts w:eastAsia="Calibri"/>
          <w:b/>
          <w:noProof/>
          <w:szCs w:val="24"/>
          <w:u w:val="single"/>
        </w:rPr>
      </w:pPr>
    </w:p>
    <w:p>
      <w:pPr>
        <w:spacing w:before="100" w:beforeAutospacing="1" w:after="100" w:afterAutospacing="1" w:line="276" w:lineRule="auto"/>
        <w:contextualSpacing/>
        <w:rPr>
          <w:rFonts w:eastAsia="Calibri"/>
          <w:b/>
          <w:noProof/>
          <w:szCs w:val="24"/>
        </w:rPr>
      </w:pPr>
      <w:r>
        <w:rPr>
          <w:b/>
          <w:noProof/>
          <w:szCs w:val="24"/>
        </w:rPr>
        <w:t>1. Увод</w:t>
      </w:r>
    </w:p>
    <w:p>
      <w:pPr>
        <w:spacing w:before="100" w:beforeAutospacing="1" w:after="100" w:afterAutospacing="1" w:line="276" w:lineRule="auto"/>
        <w:contextualSpacing/>
        <w:rPr>
          <w:rFonts w:eastAsia="Calibri"/>
          <w:noProof/>
          <w:szCs w:val="24"/>
        </w:rPr>
      </w:pPr>
    </w:p>
    <w:p>
      <w:pPr>
        <w:rPr>
          <w:rFonts w:eastAsia="Calibri"/>
          <w:bCs/>
          <w:noProof/>
          <w:szCs w:val="24"/>
        </w:rPr>
      </w:pPr>
      <w:r>
        <w:rPr>
          <w:noProof/>
        </w:rPr>
        <w:t>Съветът на министрите на Енергийната общност прие на 16 октомври 2015 г. Решение относно прилагането на Регламент (ЕС) № 347/2013 на Европейския парламент и на Съвета относно указания за трансевропейската енергийна инфраструктура</w:t>
      </w:r>
      <w:r>
        <w:rPr>
          <w:rStyle w:val="FootnoteReference"/>
          <w:rFonts w:eastAsia="Calibri"/>
          <w:noProof/>
          <w:szCs w:val="24"/>
        </w:rPr>
        <w:footnoteReference w:id="2"/>
      </w:r>
      <w:r>
        <w:rPr>
          <w:noProof/>
        </w:rPr>
        <w:t>. Целта на тази мярка беше да се създаде правна рамка за подреждане по важност на ключовите енергийни инфраструктурни проекти между договарящите страни и между договарящите страни и държави — членки на ЕС.</w:t>
      </w:r>
    </w:p>
    <w:p>
      <w:pPr>
        <w:rPr>
          <w:rFonts w:eastAsia="Calibri"/>
          <w:bCs/>
          <w:noProof/>
          <w:szCs w:val="24"/>
        </w:rPr>
      </w:pPr>
    </w:p>
    <w:p>
      <w:pPr>
        <w:rPr>
          <w:rFonts w:eastAsia="Calibri"/>
          <w:bCs/>
          <w:noProof/>
          <w:szCs w:val="24"/>
        </w:rPr>
      </w:pPr>
      <w:r>
        <w:rPr>
          <w:noProof/>
        </w:rPr>
        <w:t>Регламент (ЕС) № 347/2013, приет в рамките на Енергийната общност, установява всеобхватна рамка за рационализиране на процедурите по издаване на разрешения, регулиране и разпределяне на разходите в договарящите се страни. Съгласно него също така се изисква, при спазването на няколко критерия, с решение на Съвета на министрите да се състави съгласно дял III от ДСЕО списък с приоритетни инфраструктурни проекти, наречен „Проекти от интерес за Енергийната общност (ПИЕО)“. Крайният срок за транспониране на основните разпоредби на регламента и крайният срок за изготвяне на първия списък с ПИЕО беше 31 декември 2016 г. Списъкът се актуализира на всеки две години.</w:t>
      </w:r>
    </w:p>
    <w:p>
      <w:pPr>
        <w:rPr>
          <w:rFonts w:eastAsia="Calibri"/>
          <w:bCs/>
          <w:noProof/>
          <w:color w:val="FF0000"/>
          <w:szCs w:val="24"/>
        </w:rPr>
      </w:pPr>
      <w:r>
        <w:rPr>
          <w:noProof/>
        </w:rPr>
        <w:t>В съответствие с разпоредбите на Регламент (ЕС) № 347/2013, възприет в Енергийната общност, бяха създадени две работни групи, за да се изготви списък с ПИЕО. Проектите, представени от организаторите на проекти, бяха обсъдени в рамките на обществена консултация, организирана от Секретариата на Енергийната общност на 30 март 2020 г. През 2020 г. проектите бяха оценени по отношение на допустимостта им за получаване на статут на ПИЕО. Беше извършен анализ на разходите и ползите на всеки проект, завършил с класирането на проектите според конкретни резултати в зависимост от степента на изпълнение на критериите. В края на процеса, при единодушие, беше представен проект на предварителен списък с ПИЕО на органа за вземане на решения — Постоянната група на високо равнище (ПГВР) на Енергийната общност, който беше одобрен на 16 юли 2020 г. След положителното становище на Регулаторния съвет на Енергийната общност, получено на 28 юли 2020 г., окончателният списък с ПИЕО следва да бъде одобрен от Съвета на министрите на 17 декември 2020 г.</w:t>
      </w:r>
    </w:p>
    <w:p>
      <w:pPr>
        <w:rPr>
          <w:rFonts w:eastAsia="Calibri"/>
          <w:bCs/>
          <w:noProof/>
          <w:szCs w:val="24"/>
        </w:rPr>
      </w:pPr>
      <w:r>
        <w:rPr>
          <w:noProof/>
        </w:rPr>
        <w:t xml:space="preserve">Приложението със съответния списък с проекти ще бъде изготвено след приключването на процеса на вземане на решение съгласно описаното по-горе. </w:t>
      </w:r>
    </w:p>
    <w:p>
      <w:pPr>
        <w:rPr>
          <w:rFonts w:eastAsia="Calibri"/>
          <w:bCs/>
          <w:noProof/>
          <w:szCs w:val="24"/>
        </w:rPr>
      </w:pPr>
    </w:p>
    <w:p>
      <w:pPr>
        <w:rPr>
          <w:rFonts w:eastAsia="Calibri"/>
          <w:b/>
          <w:noProof/>
          <w:szCs w:val="24"/>
        </w:rPr>
      </w:pPr>
      <w:r>
        <w:rPr>
          <w:b/>
          <w:noProof/>
          <w:szCs w:val="24"/>
        </w:rPr>
        <w:t>2. Правно основание за предложението</w:t>
      </w:r>
    </w:p>
    <w:p>
      <w:pPr>
        <w:rPr>
          <w:rFonts w:eastAsia="Calibri"/>
          <w:bCs/>
          <w:noProof/>
          <w:szCs w:val="24"/>
        </w:rPr>
      </w:pPr>
      <w:r>
        <w:rPr>
          <w:noProof/>
        </w:rPr>
        <w:t xml:space="preserve">Съгласно член 82 от ДСЕО Съветът на министрите предприема мерки съгласно дял III по предложение на някоя от страните или на Секретариата. </w:t>
      </w:r>
    </w:p>
    <w:p>
      <w:pPr>
        <w:rPr>
          <w:rFonts w:eastAsia="Calibri"/>
          <w:bCs/>
          <w:noProof/>
          <w:szCs w:val="24"/>
        </w:rPr>
      </w:pPr>
      <w:r>
        <w:rPr>
          <w:noProof/>
        </w:rPr>
        <w:t xml:space="preserve">Съгласно член 7, параграф 5, буква а) от решението Съветът на министрите съставя списъка с проекти от интерес за Енергийната общност чрез решение съгласно дял III от Договора. </w:t>
      </w:r>
    </w:p>
    <w:p>
      <w:pPr>
        <w:rPr>
          <w:rFonts w:eastAsia="Calibri"/>
          <w:bCs/>
          <w:noProof/>
          <w:szCs w:val="24"/>
        </w:rPr>
      </w:pPr>
      <w:r>
        <w:rPr>
          <w:noProof/>
        </w:rPr>
        <w:t>Секретариатът представя предложения списък с ПИЕО в приложението по инициатива на групата за електроенергетика, съответно групата за природен газ и нефт, и със съгласието на службите на Европейската комисия. Ако и доколкото Секретариатът бива уведомен за всякакви опасения относно съответствието на проект от интерес за Енергийната общност с правото на тази общност, той може да предложи на Съвета на министрите да премахне проекта от списъка в съответствие с член 5, параграф 8 от Регламент (ЕС) № 347/2013 на Европейския парламент и на Съвета относно указания за трансевропейската енергийна инфраструктура, включен в законодателството на Енергийната общност.</w:t>
      </w:r>
    </w:p>
    <w:p>
      <w:pPr>
        <w:rPr>
          <w:rFonts w:eastAsia="Calibri"/>
          <w:bCs/>
          <w:noProof/>
          <w:szCs w:val="24"/>
        </w:rPr>
      </w:pPr>
    </w:p>
    <w:p>
      <w:pPr>
        <w:pStyle w:val="Annex"/>
        <w:spacing w:line="240" w:lineRule="auto"/>
        <w:jc w:val="left"/>
        <w:rPr>
          <w:noProof/>
        </w:rPr>
      </w:pPr>
      <w:r>
        <w:rPr>
          <w:noProof/>
        </w:rPr>
        <w:t>ПРИЛОЖЕНИЕ</w:t>
      </w:r>
    </w:p>
    <w:p>
      <w:pPr>
        <w:rPr>
          <w:b/>
          <w:noProof/>
          <w:szCs w:val="24"/>
          <w:u w:val="single"/>
        </w:rPr>
      </w:pPr>
      <w:r>
        <w:rPr>
          <w:b/>
          <w:noProof/>
          <w:szCs w:val="24"/>
          <w:u w:val="single"/>
        </w:rPr>
        <w:t>Списък с ПИЕО в електроенергетиката</w:t>
      </w:r>
    </w:p>
    <w:p>
      <w:pPr>
        <w:rPr>
          <w:b/>
          <w:noProof/>
          <w:szCs w:val="24"/>
          <w:u w:val="single"/>
        </w:rPr>
      </w:pPr>
    </w:p>
    <w:p>
      <w:pPr>
        <w:ind w:firstLine="720"/>
        <w:rPr>
          <w:noProof/>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7340"/>
      </w:tblGrid>
      <w:tr>
        <w:trPr>
          <w:trHeight w:val="324"/>
        </w:trPr>
        <w:tc>
          <w:tcPr>
            <w:tcW w:w="1720" w:type="dxa"/>
            <w:shd w:val="clear" w:color="auto" w:fill="auto"/>
            <w:noWrap/>
            <w:hideMark/>
          </w:tcPr>
          <w:p>
            <w:pPr>
              <w:jc w:val="center"/>
              <w:rPr>
                <w:rFonts w:eastAsia="Times New Roman"/>
                <w:bCs/>
                <w:noProof/>
                <w:color w:val="333333"/>
                <w:szCs w:val="24"/>
              </w:rPr>
            </w:pPr>
            <w:r>
              <w:rPr>
                <w:noProof/>
              </w:rPr>
              <w:t>EL_01</w:t>
            </w:r>
          </w:p>
        </w:tc>
        <w:tc>
          <w:tcPr>
            <w:tcW w:w="7340" w:type="dxa"/>
            <w:shd w:val="clear" w:color="auto" w:fill="auto"/>
            <w:hideMark/>
          </w:tcPr>
          <w:p>
            <w:pPr>
              <w:rPr>
                <w:rFonts w:eastAsia="Times New Roman"/>
                <w:bCs/>
                <w:noProof/>
                <w:color w:val="333333"/>
                <w:szCs w:val="24"/>
              </w:rPr>
            </w:pPr>
            <w:r>
              <w:rPr>
                <w:noProof/>
              </w:rPr>
              <w:t>Трансбалкански коридор</w:t>
            </w:r>
          </w:p>
        </w:tc>
      </w:tr>
      <w:tr>
        <w:trPr>
          <w:trHeight w:val="636"/>
        </w:trPr>
        <w:tc>
          <w:tcPr>
            <w:tcW w:w="1720" w:type="dxa"/>
            <w:shd w:val="clear" w:color="auto" w:fill="auto"/>
            <w:noWrap/>
            <w:vAlign w:val="center"/>
            <w:hideMark/>
          </w:tcPr>
          <w:p>
            <w:pPr>
              <w:jc w:val="center"/>
              <w:rPr>
                <w:rFonts w:eastAsia="Times New Roman"/>
                <w:noProof/>
                <w:color w:val="333333"/>
                <w:szCs w:val="24"/>
              </w:rPr>
            </w:pPr>
            <w:r>
              <w:rPr>
                <w:noProof/>
              </w:rPr>
              <w:t>a</w:t>
            </w:r>
          </w:p>
        </w:tc>
        <w:tc>
          <w:tcPr>
            <w:tcW w:w="7340" w:type="dxa"/>
            <w:shd w:val="clear" w:color="auto" w:fill="auto"/>
            <w:vAlign w:val="center"/>
            <w:hideMark/>
          </w:tcPr>
          <w:p>
            <w:pPr>
              <w:rPr>
                <w:rFonts w:eastAsia="Times New Roman"/>
                <w:noProof/>
                <w:color w:val="333333"/>
                <w:szCs w:val="24"/>
              </w:rPr>
            </w:pPr>
            <w:r>
              <w:rPr>
                <w:noProof/>
              </w:rPr>
              <w:t xml:space="preserve">Нов въздушен електропровод 400 kV SS Kragujevac 2 (RS) — SS Kraljevo 3 (RS), с модернизация на високоволтовата част в SS Kraljevo 3 (RS) до напрежение 400 kV </w:t>
            </w:r>
          </w:p>
        </w:tc>
      </w:tr>
      <w:tr>
        <w:trPr>
          <w:trHeight w:val="636"/>
        </w:trPr>
        <w:tc>
          <w:tcPr>
            <w:tcW w:w="1720" w:type="dxa"/>
            <w:shd w:val="clear" w:color="auto" w:fill="auto"/>
            <w:noWrap/>
            <w:vAlign w:val="center"/>
            <w:hideMark/>
          </w:tcPr>
          <w:p>
            <w:pPr>
              <w:jc w:val="center"/>
              <w:rPr>
                <w:rFonts w:eastAsia="Times New Roman"/>
                <w:noProof/>
                <w:color w:val="333333"/>
                <w:szCs w:val="24"/>
              </w:rPr>
            </w:pPr>
            <w:r>
              <w:rPr>
                <w:noProof/>
              </w:rPr>
              <w:t>б</w:t>
            </w:r>
          </w:p>
        </w:tc>
        <w:tc>
          <w:tcPr>
            <w:tcW w:w="7340" w:type="dxa"/>
            <w:shd w:val="clear" w:color="auto" w:fill="auto"/>
            <w:vAlign w:val="center"/>
            <w:hideMark/>
          </w:tcPr>
          <w:p>
            <w:pPr>
              <w:rPr>
                <w:rFonts w:eastAsia="Times New Roman"/>
                <w:noProof/>
                <w:color w:val="333333"/>
                <w:szCs w:val="24"/>
              </w:rPr>
            </w:pPr>
            <w:r>
              <w:rPr>
                <w:noProof/>
              </w:rPr>
              <w:t xml:space="preserve">Нов двоен въздушен електропровод 400 kV SS Obrenovac (RS) — SS Bajina Basta (RS) с модернизация на SS Bajina Basta (RS) до напрежение 400 kV </w:t>
            </w:r>
          </w:p>
        </w:tc>
      </w:tr>
      <w:tr>
        <w:trPr>
          <w:trHeight w:val="636"/>
        </w:trPr>
        <w:tc>
          <w:tcPr>
            <w:tcW w:w="1720" w:type="dxa"/>
            <w:shd w:val="clear" w:color="auto" w:fill="auto"/>
            <w:noWrap/>
            <w:vAlign w:val="center"/>
            <w:hideMark/>
          </w:tcPr>
          <w:p>
            <w:pPr>
              <w:jc w:val="center"/>
              <w:rPr>
                <w:rFonts w:eastAsia="Times New Roman"/>
                <w:noProof/>
                <w:color w:val="333333"/>
                <w:szCs w:val="24"/>
              </w:rPr>
            </w:pPr>
            <w:r>
              <w:rPr>
                <w:noProof/>
              </w:rPr>
              <w:t>в</w:t>
            </w:r>
          </w:p>
        </w:tc>
        <w:tc>
          <w:tcPr>
            <w:tcW w:w="7340" w:type="dxa"/>
            <w:shd w:val="clear" w:color="auto" w:fill="auto"/>
            <w:vAlign w:val="center"/>
            <w:hideMark/>
          </w:tcPr>
          <w:p>
            <w:pPr>
              <w:rPr>
                <w:rFonts w:eastAsia="Times New Roman"/>
                <w:noProof/>
                <w:color w:val="333333"/>
                <w:szCs w:val="24"/>
              </w:rPr>
            </w:pPr>
            <w:r>
              <w:rPr>
                <w:noProof/>
              </w:rPr>
              <w:t xml:space="preserve">Нов електропровод 400 kV за свързване между SS Bajina Basta (RS) — Visegrad (BA) — Pljevlja (ME) </w:t>
            </w:r>
          </w:p>
        </w:tc>
      </w:tr>
    </w:tbl>
    <w:p>
      <w:pPr>
        <w:ind w:firstLine="720"/>
        <w:rPr>
          <w:noProof/>
          <w:szCs w:val="24"/>
        </w:rPr>
      </w:pPr>
    </w:p>
    <w:p>
      <w:pPr>
        <w:rPr>
          <w:b/>
          <w:bCs/>
          <w:noProof/>
          <w:szCs w:val="24"/>
          <w:u w:val="single"/>
        </w:rPr>
      </w:pPr>
      <w:r>
        <w:rPr>
          <w:b/>
          <w:bCs/>
          <w:noProof/>
          <w:szCs w:val="24"/>
          <w:u w:val="single"/>
        </w:rPr>
        <w:t>Списък на ПИЕО в газовия сектор</w:t>
      </w:r>
    </w:p>
    <w:p>
      <w:pPr>
        <w:rPr>
          <w:b/>
          <w:bCs/>
          <w:noProof/>
          <w:szCs w:val="24"/>
          <w:u w:val="single"/>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5"/>
        <w:gridCol w:w="4354"/>
        <w:gridCol w:w="3583"/>
      </w:tblGrid>
      <w:tr>
        <w:trPr>
          <w:trHeight w:val="636"/>
        </w:trPr>
        <w:tc>
          <w:tcPr>
            <w:tcW w:w="1835" w:type="dxa"/>
            <w:shd w:val="clear" w:color="auto" w:fill="auto"/>
            <w:noWrap/>
            <w:vAlign w:val="center"/>
          </w:tcPr>
          <w:p>
            <w:pPr>
              <w:jc w:val="center"/>
              <w:rPr>
                <w:rFonts w:eastAsia="Times New Roman"/>
                <w:noProof/>
                <w:color w:val="333333"/>
                <w:szCs w:val="24"/>
                <w:lang w:eastAsia="de-AT"/>
              </w:rPr>
            </w:pPr>
          </w:p>
        </w:tc>
        <w:tc>
          <w:tcPr>
            <w:tcW w:w="4354" w:type="dxa"/>
            <w:shd w:val="clear" w:color="auto" w:fill="auto"/>
            <w:vAlign w:val="center"/>
          </w:tcPr>
          <w:p>
            <w:pPr>
              <w:rPr>
                <w:rFonts w:eastAsia="Times New Roman"/>
                <w:noProof/>
                <w:color w:val="333333"/>
                <w:szCs w:val="24"/>
              </w:rPr>
            </w:pPr>
            <w:r>
              <w:rPr>
                <w:noProof/>
                <w:color w:val="333333"/>
                <w:szCs w:val="24"/>
              </w:rPr>
              <w:t>Наименование на проекта</w:t>
            </w:r>
          </w:p>
        </w:tc>
        <w:tc>
          <w:tcPr>
            <w:tcW w:w="3583" w:type="dxa"/>
          </w:tcPr>
          <w:p>
            <w:pPr>
              <w:rPr>
                <w:rFonts w:eastAsia="Times New Roman"/>
                <w:noProof/>
                <w:color w:val="333333"/>
                <w:szCs w:val="24"/>
              </w:rPr>
            </w:pPr>
            <w:r>
              <w:rPr>
                <w:noProof/>
                <w:color w:val="333333"/>
                <w:szCs w:val="24"/>
              </w:rPr>
              <w:t>Група</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Gas_13</w:t>
            </w:r>
          </w:p>
        </w:tc>
        <w:tc>
          <w:tcPr>
            <w:tcW w:w="4354" w:type="dxa"/>
            <w:shd w:val="clear" w:color="auto" w:fill="auto"/>
            <w:vAlign w:val="center"/>
          </w:tcPr>
          <w:p>
            <w:pPr>
              <w:rPr>
                <w:rFonts w:eastAsia="Times New Roman"/>
                <w:noProof/>
                <w:color w:val="333333"/>
                <w:szCs w:val="24"/>
              </w:rPr>
            </w:pPr>
            <w:r>
              <w:rPr>
                <w:noProof/>
                <w:color w:val="000000"/>
                <w:szCs w:val="24"/>
              </w:rPr>
              <w:t>Газопровод Албания — Косово</w:t>
            </w:r>
            <w:r>
              <w:rPr>
                <w:rStyle w:val="FootnoteReference"/>
                <w:rFonts w:eastAsia="DejaVu Sans"/>
                <w:noProof/>
                <w:color w:val="000000"/>
                <w:kern w:val="24"/>
                <w:szCs w:val="24"/>
                <w:lang w:eastAsia="en-GB"/>
              </w:rPr>
              <w:footnoteReference w:customMarkFollows="1" w:id="3"/>
              <w:sym w:font="Symbol" w:char="F02A"/>
            </w:r>
            <w:r>
              <w:rPr>
                <w:noProof/>
                <w:color w:val="000000"/>
                <w:szCs w:val="24"/>
              </w:rPr>
              <w:t xml:space="preserve"> (ALKOGAP)</w:t>
            </w:r>
          </w:p>
        </w:tc>
        <w:tc>
          <w:tcPr>
            <w:tcW w:w="3583" w:type="dxa"/>
            <w:vAlign w:val="center"/>
          </w:tcPr>
          <w:p>
            <w:pPr>
              <w:rPr>
                <w:rFonts w:eastAsia="Times New Roman"/>
                <w:noProof/>
                <w:color w:val="333333"/>
                <w:szCs w:val="24"/>
              </w:rPr>
            </w:pPr>
            <w:r>
              <w:rPr>
                <w:noProof/>
                <w:color w:val="000000"/>
                <w:szCs w:val="24"/>
              </w:rPr>
              <w:t xml:space="preserve">Предоставяне на група проекти, конкурентни на проекта на Косово </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Gas_26</w:t>
            </w:r>
          </w:p>
        </w:tc>
        <w:tc>
          <w:tcPr>
            <w:tcW w:w="4354" w:type="dxa"/>
            <w:shd w:val="clear" w:color="auto" w:fill="auto"/>
            <w:vAlign w:val="center"/>
          </w:tcPr>
          <w:p>
            <w:pPr>
              <w:rPr>
                <w:rFonts w:eastAsia="Times New Roman"/>
                <w:noProof/>
                <w:color w:val="333333"/>
                <w:szCs w:val="24"/>
              </w:rPr>
            </w:pPr>
            <w:r>
              <w:rPr>
                <w:noProof/>
                <w:color w:val="000000"/>
                <w:szCs w:val="24"/>
              </w:rPr>
              <w:t xml:space="preserve">Междусистемна връзка Северна Македония — Косово </w:t>
            </w:r>
          </w:p>
        </w:tc>
        <w:tc>
          <w:tcPr>
            <w:tcW w:w="3583" w:type="dxa"/>
            <w:vAlign w:val="center"/>
          </w:tcPr>
          <w:p>
            <w:pPr>
              <w:rPr>
                <w:rFonts w:eastAsia="Times New Roman"/>
                <w:noProof/>
                <w:color w:val="333333"/>
                <w:szCs w:val="24"/>
              </w:rPr>
            </w:pPr>
            <w:r>
              <w:rPr>
                <w:noProof/>
                <w:color w:val="000000"/>
                <w:szCs w:val="24"/>
              </w:rPr>
              <w:t xml:space="preserve">Предоставяне на група проекти, конкурентни на проекта на Косово </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Gas_11</w:t>
            </w:r>
          </w:p>
        </w:tc>
        <w:tc>
          <w:tcPr>
            <w:tcW w:w="4354" w:type="dxa"/>
            <w:shd w:val="clear" w:color="auto" w:fill="auto"/>
            <w:vAlign w:val="center"/>
          </w:tcPr>
          <w:p>
            <w:pPr>
              <w:rPr>
                <w:rFonts w:eastAsia="Times New Roman"/>
                <w:noProof/>
                <w:color w:val="333333"/>
                <w:szCs w:val="24"/>
              </w:rPr>
            </w:pPr>
            <w:r>
              <w:rPr>
                <w:noProof/>
                <w:color w:val="000000"/>
                <w:szCs w:val="24"/>
              </w:rPr>
              <w:t xml:space="preserve">Междусистемна връзка Сърбия — Северна Македония </w:t>
            </w:r>
          </w:p>
        </w:tc>
        <w:tc>
          <w:tcPr>
            <w:tcW w:w="3583" w:type="dxa"/>
            <w:vAlign w:val="center"/>
          </w:tcPr>
          <w:p>
            <w:pPr>
              <w:rPr>
                <w:rFonts w:eastAsia="Times New Roman"/>
                <w:noProof/>
                <w:color w:val="333333"/>
                <w:szCs w:val="24"/>
              </w:rPr>
            </w:pPr>
            <w:r>
              <w:rPr>
                <w:noProof/>
                <w:color w:val="000000"/>
                <w:szCs w:val="24"/>
              </w:rPr>
              <w:t>Предоставяне на група проекти, конкурентни на проекта на Северна Македония</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Gas_09</w:t>
            </w:r>
          </w:p>
        </w:tc>
        <w:tc>
          <w:tcPr>
            <w:tcW w:w="4354" w:type="dxa"/>
            <w:shd w:val="clear" w:color="auto" w:fill="auto"/>
            <w:vAlign w:val="center"/>
          </w:tcPr>
          <w:p>
            <w:pPr>
              <w:rPr>
                <w:rFonts w:eastAsia="Times New Roman"/>
                <w:noProof/>
                <w:color w:val="333333"/>
                <w:szCs w:val="24"/>
              </w:rPr>
            </w:pPr>
            <w:r>
              <w:rPr>
                <w:noProof/>
                <w:color w:val="000000"/>
                <w:szCs w:val="24"/>
              </w:rPr>
              <w:t>Междусистемна връзка България — Сърбия (PCI) като конкурентен проект с разширяване на Турски поток (TurkStream) в Сърбия (проект Gastrans)</w:t>
            </w:r>
          </w:p>
        </w:tc>
        <w:tc>
          <w:tcPr>
            <w:tcW w:w="3583" w:type="dxa"/>
            <w:vAlign w:val="center"/>
          </w:tcPr>
          <w:p>
            <w:pPr>
              <w:rPr>
                <w:rFonts w:eastAsia="Times New Roman"/>
                <w:noProof/>
                <w:color w:val="333333"/>
                <w:szCs w:val="24"/>
              </w:rPr>
            </w:pPr>
            <w:r>
              <w:rPr>
                <w:noProof/>
                <w:color w:val="000000"/>
                <w:szCs w:val="24"/>
              </w:rPr>
              <w:t>няма данни</w:t>
            </w:r>
          </w:p>
        </w:tc>
      </w:tr>
    </w:tbl>
    <w:p>
      <w:pPr>
        <w:rPr>
          <w:b/>
          <w:bCs/>
          <w:noProof/>
          <w:szCs w:val="24"/>
          <w:u w:val="single"/>
        </w:rPr>
      </w:pPr>
    </w:p>
    <w:p>
      <w:pPr>
        <w:rPr>
          <w:b/>
          <w:bCs/>
          <w:noProof/>
          <w:szCs w:val="24"/>
          <w:u w:val="single"/>
        </w:rPr>
      </w:pPr>
      <w:r>
        <w:rPr>
          <w:b/>
          <w:bCs/>
          <w:noProof/>
          <w:szCs w:val="24"/>
          <w:u w:val="single"/>
        </w:rPr>
        <w:t>Списък на ПИЕО в нефтения сектор</w:t>
      </w:r>
    </w:p>
    <w:p>
      <w:pPr>
        <w:rPr>
          <w:b/>
          <w:bCs/>
          <w:noProof/>
          <w:szCs w:val="24"/>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7242"/>
      </w:tblGrid>
      <w:tr>
        <w:trPr>
          <w:trHeight w:val="636"/>
        </w:trPr>
        <w:tc>
          <w:tcPr>
            <w:tcW w:w="1843" w:type="dxa"/>
            <w:shd w:val="clear" w:color="auto" w:fill="auto"/>
            <w:noWrap/>
            <w:vAlign w:val="center"/>
          </w:tcPr>
          <w:p>
            <w:pPr>
              <w:jc w:val="center"/>
              <w:rPr>
                <w:rFonts w:eastAsia="Times New Roman"/>
                <w:noProof/>
                <w:color w:val="333333"/>
                <w:szCs w:val="24"/>
              </w:rPr>
            </w:pPr>
            <w:r>
              <w:rPr>
                <w:noProof/>
                <w:color w:val="333333"/>
                <w:szCs w:val="24"/>
              </w:rPr>
              <w:t>Oil_01</w:t>
            </w:r>
            <w:r>
              <w:rPr>
                <w:noProof/>
              </w:rPr>
              <w:tab/>
            </w:r>
          </w:p>
        </w:tc>
        <w:tc>
          <w:tcPr>
            <w:tcW w:w="7242" w:type="dxa"/>
            <w:shd w:val="clear" w:color="auto" w:fill="auto"/>
            <w:vAlign w:val="center"/>
          </w:tcPr>
          <w:p>
            <w:pPr>
              <w:ind w:left="65"/>
              <w:rPr>
                <w:rFonts w:eastAsia="Times New Roman"/>
                <w:noProof/>
                <w:color w:val="333333"/>
                <w:szCs w:val="24"/>
              </w:rPr>
            </w:pPr>
            <w:r>
              <w:rPr>
                <w:noProof/>
                <w:color w:val="333333"/>
                <w:szCs w:val="24"/>
              </w:rPr>
              <w:t>Нефтопровод Украйна — Полша (Brody — Adamowo)</w:t>
            </w:r>
          </w:p>
        </w:tc>
      </w:tr>
    </w:tbl>
    <w:p>
      <w:pPr>
        <w:jc w:val="left"/>
        <w:rPr>
          <w:b/>
          <w:i/>
          <w:noProof/>
          <w:szCs w:val="24"/>
          <w:u w:val="single"/>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ПРИЛОЖЕНИЕ II</w:t>
      </w:r>
    </w:p>
    <w:p>
      <w:pPr>
        <w:rPr>
          <w:noProof/>
        </w:rPr>
      </w:pPr>
    </w:p>
    <w:p>
      <w:pPr>
        <w:jc w:val="center"/>
        <w:rPr>
          <w:b/>
          <w:noProof/>
          <w:szCs w:val="24"/>
        </w:rPr>
      </w:pPr>
      <w:r>
        <w:rPr>
          <w:b/>
          <w:noProof/>
          <w:szCs w:val="24"/>
        </w:rPr>
        <w:t>ПГВР</w:t>
      </w:r>
    </w:p>
    <w:p>
      <w:pPr>
        <w:pStyle w:val="ManualHeading1"/>
        <w:jc w:val="center"/>
        <w:rPr>
          <w:noProof/>
          <w:szCs w:val="24"/>
        </w:rPr>
      </w:pPr>
      <w:r>
        <w:rPr>
          <w:noProof/>
        </w:rPr>
        <w:t>Процедурен акт 2020/…/PHLG-EnC за изменение на Процедурен акт № 01/2011 PHLG –EnC на Постоянната група на високо равнище на Енергийната общност за определяне на правилата, уреждащи арбитражната процедура по въпроси, свързани с персонала, съгласно член 14 от Правилника за персонала</w:t>
      </w:r>
    </w:p>
    <w:p>
      <w:pPr>
        <w:autoSpaceDE w:val="0"/>
        <w:autoSpaceDN w:val="0"/>
        <w:adjustRightInd w:val="0"/>
        <w:spacing w:before="100" w:beforeAutospacing="1" w:after="100" w:afterAutospacing="1"/>
        <w:rPr>
          <w:b/>
          <w:noProof/>
          <w:sz w:val="23"/>
          <w:szCs w:val="23"/>
        </w:rPr>
      </w:pPr>
      <w:r>
        <w:rPr>
          <w:noProof/>
        </w:rPr>
        <w:t>Позицията, която трябва да се заеме от името на Европейския съюз, е в полза на одобрение на проекта на процедурен акт в съответствие с Решение на Комисията от 26 ноември 2020 г. (C(2020) 8437 final) за изготвяне на предложение на Комисията до Постоянната група на високо равнище на Енергийната общност за изменение на Процедурен акт № 01/2011 PHLG-EnC на Постоянната група на високо равнище на Енергийната общност от 23 март 2011 г. за определяне на правилата, уреждащи арбитражната процедура по въпроси, свързани с персонала, съгласно член 14 от Правилника за персонала на Енергийната общност.</w:t>
      </w:r>
      <w:r>
        <w:rPr>
          <w:b/>
          <w:i/>
          <w:noProof/>
          <w:sz w:val="23"/>
          <w:szCs w:val="23"/>
        </w:rPr>
        <w:t xml:space="preserve"> </w:t>
      </w:r>
    </w:p>
    <w:p>
      <w:pPr>
        <w:autoSpaceDE w:val="0"/>
        <w:autoSpaceDN w:val="0"/>
        <w:adjustRightInd w:val="0"/>
        <w:spacing w:before="100" w:beforeAutospacing="1" w:after="100" w:afterAutospacing="1"/>
        <w:rPr>
          <w:noProof/>
          <w:szCs w:val="24"/>
        </w:rPr>
      </w:pPr>
      <w:r>
        <w:rPr>
          <w:noProof/>
        </w:rPr>
        <w:t>Незначителни промени в проекта на процедурен акт могат да бъдат договорени с оглед на коментарите на договарящите се страни от Енергийната общност или от Секретариата на Енергийната общност преди или по време на заседанието на ПГВР.</w:t>
      </w:r>
      <w:r>
        <w:rPr>
          <w:b/>
          <w:noProof/>
          <w:sz w:val="23"/>
          <w:szCs w:val="23"/>
        </w:rPr>
        <w:t xml:space="preserve"> </w:t>
      </w:r>
    </w:p>
    <w:p>
      <w:pPr>
        <w:rPr>
          <w:noProof/>
          <w:szCs w:val="24"/>
        </w:rPr>
      </w:pPr>
      <w:r>
        <w:rPr>
          <w:noProof/>
        </w:rPr>
        <w:t xml:space="preserve">В този контекст Съветът потвърждава, при условие че бъде прието от Постоянната група на високо равнище, предложеното изменение на Процедурен акт № 01/2011 PHLG-EnC от ПГВР относно назначаването на г-н Manuel Kellerbauer за постоянен член на Арбитражния комитет, представляващ Европейската комисия, и на г-н Lars Albath за постоянен заместник-член на Арбитражния комитет, представляващ Европейската комисия.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BMHL F+ Adv T T 2cba 4af 3. B">
    <w:altName w:val="Adv TT 2cba 4af 3 B"/>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lang w:val="ru-RU"/>
        </w:rPr>
      </w:pPr>
      <w:r>
        <w:rPr>
          <w:rStyle w:val="FootnoteReference"/>
        </w:rPr>
        <w:footnoteRef/>
      </w:r>
      <w:r>
        <w:rPr>
          <w:lang w:val="ru-RU"/>
        </w:rPr>
        <w:tab/>
        <w:t xml:space="preserve">Решение </w:t>
      </w:r>
      <w:r>
        <w:t>D</w:t>
      </w:r>
      <w:r>
        <w:rPr>
          <w:lang w:val="ru-RU"/>
        </w:rPr>
        <w:t>/2015/09/</w:t>
      </w:r>
      <w:r>
        <w:t>MC</w:t>
      </w:r>
      <w:r>
        <w:rPr>
          <w:lang w:val="ru-RU"/>
        </w:rPr>
        <w:t>-</w:t>
      </w:r>
      <w:r>
        <w:t>EnC</w:t>
      </w:r>
    </w:p>
  </w:footnote>
  <w:footnote w:id="2">
    <w:p>
      <w:pPr>
        <w:pStyle w:val="FootnoteText"/>
        <w:rPr>
          <w:rFonts w:ascii="Arial" w:hAnsi="Arial" w:cs="Arial"/>
          <w:sz w:val="18"/>
          <w:szCs w:val="18"/>
          <w:lang w:val="ru-RU"/>
        </w:rPr>
      </w:pPr>
      <w:r>
        <w:rPr>
          <w:rStyle w:val="FootnoteReference"/>
        </w:rPr>
        <w:footnoteRef/>
      </w:r>
      <w:r>
        <w:rPr>
          <w:lang w:val="ru-RU"/>
        </w:rPr>
        <w:tab/>
      </w:r>
      <w:r>
        <w:t>D</w:t>
      </w:r>
      <w:r>
        <w:rPr>
          <w:lang w:val="ru-RU"/>
        </w:rPr>
        <w:t>/2015/09/</w:t>
      </w:r>
      <w:r>
        <w:t>MC</w:t>
      </w:r>
      <w:r>
        <w:rPr>
          <w:lang w:val="ru-RU"/>
        </w:rPr>
        <w:t>-</w:t>
      </w:r>
      <w:r>
        <w:t>EnC</w:t>
      </w:r>
    </w:p>
  </w:footnote>
  <w:footnote w:id="3">
    <w:p>
      <w:pPr>
        <w:pStyle w:val="FootnoteText"/>
        <w:numPr>
          <w:ilvl w:val="0"/>
          <w:numId w:val="10"/>
        </w:numPr>
        <w:rPr>
          <w:lang w:val="ru-RU"/>
        </w:rPr>
      </w:pPr>
      <w:r>
        <w:rPr>
          <w:lang w:val="ru-RU"/>
        </w:rPr>
        <w:t>Това название не засяга позициите по отношение на статута и е съобразено с Резолюция</w:t>
      </w:r>
      <w:r>
        <w:t> </w:t>
      </w:r>
      <w:r>
        <w:rPr>
          <w:lang w:val="ru-RU"/>
        </w:rPr>
        <w:t>1244(1999) на Съвета за сигурност на ООН и становището на Международния съд относно обявяването на независимост от страна на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E25E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0E40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F295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69F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FC2F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1035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0E25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A38FB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5D15C1"/>
    <w:multiLevelType w:val="hybridMultilevel"/>
    <w:tmpl w:val="0D54B9C6"/>
    <w:lvl w:ilvl="0" w:tplc="FC2EF6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13"/>
  </w:num>
  <w:num w:numId="13">
    <w:abstractNumId w:val="21"/>
  </w:num>
  <w:num w:numId="14">
    <w:abstractNumId w:val="12"/>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6:13:49"/>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737825F7-35EF-4736-98A1-94A29E4A28D8"/>
    <w:docVar w:name="LW_COVERPAGE_TYPE" w:val="1"/>
    <w:docVar w:name="LW_CROSSREFERENCE" w:val="&lt;UNUSED&gt;"/>
    <w:docVar w:name="LW_DocType" w:val="ANNEX"/>
    <w:docVar w:name="LW_EMISSION" w:val="26.11.2020"/>
    <w:docVar w:name="LW_EMISSION_ISODATE" w:val="2020-11-2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85?\u1072? \u1084?\u1080?\u1085?\u1080?\u1089?\u1090?\u1088?\u1080?\u1090?\u1077? \u1085?\u1072? \u1045?\u1085?\u1077?\u1088?\u1075?\u1080?\u1081?\u1085?\u1072?\u1090?\u1072? \u1086?\u1073?\u1097?\u1085?\u1086?\u1089?\u1090? \u1080? \u1074? \u1055?\u1086?\u1089?\u1090?\u1086?\u1103?\u1085?\u1085?\u1072?\u1090?\u1072? \u1075?\u1088?\u1091?\u1087?\u1072? \u1085?\u1072? \u1074?\u1080?\u1089?\u1086?\u1082?\u1086? \u1088?\u1072?\u1074?\u1085?\u1080?\u1097?\u1077? \u1085?\u1072? \u1045?\u1085?\u1077?\u1088?\u1075?\u1080?\u1081?\u1085?\u1072?\u1090?\u1072? \u1086?\u1073?\u1097?\u1085?\u1086?\u1089?\u1090? (\u1058?\u1080?\u1074?\u1072?\u1090?, \u1063?\u1077?\u1088?\u1085?\u1072? \u1075?\u1086?\u1088?\u1072?, 16 \u1080? 17 \u1076?\u1077?\u1082?\u1077?\u1084?\u1074?\u1088?\u1080? 2020 \u1075?\u1086?\u1076?\u1080?\u1085?\u1072?)_x000d_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85?\u1072? \u1084?\u1080?\u1085?\u1080?\u1089?\u1090?\u1088?\u1080?\u1090?\u1077? \u1085?\u1072? \u1045?\u1085?\u1077?\u1088?\u1075?\u1080?\u1081?\u1085?\u1072?\u1090?\u1072? \u1086?\u1073?\u1097?\u1085?\u1086?\u1089?\u1090? \u1080? \u1074? \u1055?\u1086?\u1089?\u1090?\u1086?\u1103?\u1085?\u1085?\u1072?\u1090?\u1072? \u1075?\u1088?\u1091?\u1087?\u1072? \u1085?\u1072? \u1074?\u1080?\u1089?\u1086?\u1082?\u1086? \u1088?\u1072?\u1074?\u1085?\u1080?\u1097?\u1077? \u1085?\u1072? \u1045?\u1085?\u1077?\u1088?\u1075?\u1080?\u1081?\u1085?\u1072?\u1090?\u1072? \u1086?\u1073?\u1097?\u1085?\u1086?\u1089?\u1090? (\u1058?\u1080?\u1074?\u1072?\u1090?, \u1063?\u1077?\u1088?\u1085?\u1072? \u1075?\u1086?\u1088?\u1072?, 16 \u1080? 17 \u1076?\u1077?\u1082?\u1077?\u1084?\u1074?\u1088?\u1080? 2020 \u1075?\u1086?\u1076?\u1080?\u1085?\u1072?)_x000d__x000d__x000b_"/>
    <w:docVar w:name="LW_PART_NBR" w:val="&lt;UNUSED&gt;"/>
    <w:docVar w:name="LW_PART_NBR_TOTAL" w:val="&lt;UNUSED&gt;"/>
    <w:docVar w:name="LW_REF.INST.NEW" w:val="COM"/>
    <w:docVar w:name="LW_REF.INST.NEW_ADOPTED" w:val="final"/>
    <w:docVar w:name="LW_REF.INST.NEW_TEXT" w:val="(2020)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pPr>
      <w:spacing w:line="360" w:lineRule="auto"/>
      <w:jc w:val="right"/>
    </w:pPr>
    <w:rPr>
      <w:rFonts w:eastAsia="Times New Roman"/>
      <w:b/>
      <w:szCs w:val="24"/>
      <w:u w:val="singl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OBMHL F+ Adv T T 2cba 4af 3. B" w:eastAsiaTheme="minorEastAsia" w:hAnsi="OBMHL F+ Adv T T 2cba 4af 3. B" w:cs="OBMHL F+ Adv T T 2cba 4af 3. B"/>
      <w:color w:val="000000"/>
      <w:sz w:val="24"/>
      <w:szCs w:val="24"/>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pPr>
      <w:spacing w:line="360" w:lineRule="auto"/>
      <w:jc w:val="right"/>
    </w:pPr>
    <w:rPr>
      <w:rFonts w:eastAsia="Times New Roman"/>
      <w:b/>
      <w:szCs w:val="24"/>
      <w:u w:val="singl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OBMHL F+ Adv T T 2cba 4af 3. B" w:eastAsiaTheme="minorEastAsia" w:hAnsi="OBMHL F+ Adv T T 2cba 4af 3. B" w:cs="OBMHL F+ Adv T T 2cba 4af 3. B"/>
      <w:color w:val="000000"/>
      <w:sz w:val="24"/>
      <w:szCs w:val="24"/>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68BFBD-D959-4231-A1A2-A963E4A0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2166</Words>
  <Characters>12155</Characters>
  <Application>Microsoft Office Word</Application>
  <DocSecurity>0</DocSecurity>
  <Lines>311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NACHTERGAEL Laurence (ENER)</dc:creator>
  <cp:keywords/>
  <dc:description/>
  <cp:lastModifiedBy>WES PDFC Administrator</cp:lastModifiedBy>
  <cp:revision>9</cp:revision>
  <dcterms:created xsi:type="dcterms:W3CDTF">2020-12-04T10:50:00Z</dcterms:created>
  <dcterms:modified xsi:type="dcterms:W3CDTF">2020-12-04T15:13:00Z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