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285C55-9964-43EE-9960-E3E71BB7F119" style="width:450.35pt;height:379pt">
            <v:imagedata r:id="rId9" o:title=""/>
          </v:shape>
        </w:pict>
      </w:r>
    </w:p>
    <w:p>
      <w:pPr>
        <w:tabs>
          <w:tab w:val="left" w:pos="5005"/>
        </w:tabs>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Theme="majorEastAsia"/>
          <w:bCs/>
          <w:noProof/>
          <w:szCs w:val="26"/>
        </w:rPr>
      </w:pPr>
      <w:r>
        <w:rPr>
          <w:noProof/>
        </w:rPr>
        <w:t xml:space="preserve">Настоящото предложение се отнася до решението за установяване на позицията, която трябва да се заеме от името на Съюза в Съвета на министрите на Енергийната общност и в Постоянната група на високо равнище („ПГВР“) на Енергийната общност във връзка с редица актове с правно действие за ЕС по смисъла на член 218, параграф 9 от ДФЕС, които тези два органа възнамеряват да приемат на 16 и 17 декември 2020 г. Освен това то включва и точки от дневния ред на Съвета на министрите, които не попадат в обхвата на член 218, параграф 9 от ДФЕС, но някои от тях изискват политическо одобрение от Съвета (това одобрение ще бъде поискано отделно).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Договор за създаване на Енергийна общност</w:t>
      </w:r>
    </w:p>
    <w:p>
      <w:pPr>
        <w:rPr>
          <w:rFonts w:eastAsia="Arial Unicode MS"/>
          <w:noProof/>
        </w:rPr>
      </w:pPr>
      <w:r>
        <w:rPr>
          <w:noProof/>
        </w:rPr>
        <w:t>Договорът за създаване на Енергийна общност („ДСЕО“) има за цел да създаде стабилна регулаторна и пазарна рамка и единно регулаторно пространство за търговия на мрежова енергия чрез прилагане в страните, които не са държави — членки на ЕС, на частите от достиженията на правото на ЕС в областта на енергетиката, по които има споразумение. Споразумението влезе в сила на 1 юли 2006 г. Европейският съюз е страна по ДСЕО</w:t>
      </w:r>
      <w:r>
        <w:rPr>
          <w:rStyle w:val="FootnoteReference"/>
          <w:rFonts w:eastAsia="Arial Unicode MS"/>
          <w:noProof/>
        </w:rPr>
        <w:footnoteReference w:id="1"/>
      </w:r>
      <w:r>
        <w:rPr>
          <w:noProof/>
        </w:rPr>
        <w:t>. В ДСЕО страните по ДСЕО, които не са държави — членки на ЕС, са означени като „договарящите страни“.</w:t>
      </w:r>
    </w:p>
    <w:p>
      <w:pPr>
        <w:pStyle w:val="ManualHeading2"/>
        <w:rPr>
          <w:noProof/>
        </w:rPr>
      </w:pPr>
      <w:r>
        <w:rPr>
          <w:noProof/>
        </w:rPr>
        <w:t>2.2.</w:t>
      </w:r>
      <w:r>
        <w:rPr>
          <w:noProof/>
        </w:rPr>
        <w:tab/>
        <w:t>Съвет на министрите и ПГВР на Енергийната общност</w:t>
      </w:r>
    </w:p>
    <w:p>
      <w:pPr>
        <w:rPr>
          <w:rFonts w:eastAsia="Arial Unicode MS"/>
          <w:noProof/>
        </w:rPr>
      </w:pPr>
      <w:r>
        <w:rPr>
          <w:noProof/>
        </w:rPr>
        <w:t>Съветът на министрите осигурява постигане на целите, определени в ДСЕО. Той предоставя общите политически насоки, предприема мерки и приема процедурни актове. Всяка страна има един глас, като Съветът на министрите действа по различни правила за гласуване в зависимост от темата. ЕС е една от деветте страни и има един глас, също в зависимост от обсъжданата тема.</w:t>
      </w:r>
    </w:p>
    <w:p>
      <w:pPr>
        <w:rPr>
          <w:rFonts w:eastAsia="Arial Unicode MS"/>
          <w:noProof/>
        </w:rPr>
      </w:pPr>
      <w:r>
        <w:rPr>
          <w:noProof/>
        </w:rPr>
        <w:t xml:space="preserve">Гласуване с единодушие се прилага по отношение на предвидените актове, изброени по-долу в раздел 2.3, точки 2.3.1 и 2.3.2 (член 100 от ДСЕО) и точка 2.3.5 (член 92, параграф 1 от ДСЕО). </w:t>
      </w:r>
    </w:p>
    <w:p>
      <w:pPr>
        <w:rPr>
          <w:rFonts w:eastAsia="Arial Unicode MS"/>
          <w:noProof/>
        </w:rPr>
      </w:pPr>
      <w:r>
        <w:rPr>
          <w:noProof/>
        </w:rPr>
        <w:t>Две трети мнозинство се прилага по отношение на предвидените актове, изброени по-долу в раздел 2.3, точка 2.3.3 и в раздел 2.4, точка 4 (член 82 от ДСЕО, член 83 от ДСЕО).</w:t>
      </w:r>
    </w:p>
    <w:p>
      <w:pPr>
        <w:rPr>
          <w:rFonts w:eastAsia="Arial Unicode MS"/>
          <w:noProof/>
        </w:rPr>
      </w:pPr>
      <w:r>
        <w:rPr>
          <w:noProof/>
        </w:rPr>
        <w:t xml:space="preserve">По отношение на предвидените актове, изброени по-долу в раздел 2.3, точка 2.3.4 (член 91, параграф 1, буква а) от ДСЕО), се прилага гласуване с обикновено мнозинство.  </w:t>
      </w:r>
    </w:p>
    <w:p>
      <w:pPr>
        <w:rPr>
          <w:rFonts w:eastAsia="Arial Unicode MS"/>
          <w:noProof/>
        </w:rPr>
      </w:pPr>
      <w:r>
        <w:rPr>
          <w:noProof/>
        </w:rPr>
        <w:t>По отношение на предвидения акт, посочен по-долу в раздел 2.3, точка 2.3.6, Съветът на министрите назначава с консенсус членовете на Консултативния комитет.</w:t>
      </w:r>
    </w:p>
    <w:p>
      <w:pPr>
        <w:rPr>
          <w:rFonts w:eastAsia="Arial Unicode MS"/>
          <w:noProof/>
        </w:rPr>
      </w:pPr>
      <w:r>
        <w:rPr>
          <w:noProof/>
        </w:rPr>
        <w:t xml:space="preserve">По отношение на предвидения акт, посочен по-долу в раздел 2.4, точки 1, 2 и 3, Съветът на министрите приема решението с консенсус. </w:t>
      </w:r>
    </w:p>
    <w:p>
      <w:pPr>
        <w:rPr>
          <w:rFonts w:eastAsia="Arial Unicode MS"/>
          <w:noProof/>
        </w:rPr>
      </w:pPr>
      <w:r>
        <w:rPr>
          <w:noProof/>
        </w:rPr>
        <w:t xml:space="preserve">ПГВР е важен спомагателен орган към Съвета на министрите. Тя може, наред с други задачи, да предприема мерки, в случай че е упълномощена за това от Съвета на министрите. ЕС е представен в ПГВР и има един глас. </w:t>
      </w:r>
    </w:p>
    <w:p>
      <w:pPr>
        <w:rPr>
          <w:rFonts w:eastAsia="Arial Unicode MS"/>
          <w:noProof/>
        </w:rPr>
      </w:pPr>
      <w:r>
        <w:rPr>
          <w:noProof/>
        </w:rPr>
        <w:lastRenderedPageBreak/>
        <w:t xml:space="preserve">В член 47 от ДСЕО се предвижда: „Съветът на министрите осигурява постигане на целите, отразени в настоящия договор. Той: [...] б) предприема мерки [...]“. </w:t>
      </w:r>
    </w:p>
    <w:p>
      <w:pPr>
        <w:rPr>
          <w:rFonts w:eastAsia="Arial Unicode MS"/>
          <w:noProof/>
        </w:rPr>
      </w:pPr>
      <w:r>
        <w:rPr>
          <w:noProof/>
        </w:rPr>
        <w:t>Що се отнася до предвидения акт, посочен по-долу в раздел 2.3, точка 7, Постоянната група на високо равнище гласува с мнозинство от две трети от подадените гласове.</w:t>
      </w:r>
    </w:p>
    <w:p>
      <w:pPr>
        <w:rPr>
          <w:rFonts w:eastAsia="Arial Unicode MS"/>
          <w:noProof/>
        </w:rPr>
      </w:pPr>
    </w:p>
    <w:p>
      <w:pPr>
        <w:pStyle w:val="ManualHeading2"/>
        <w:rPr>
          <w:noProof/>
        </w:rPr>
      </w:pPr>
      <w:r>
        <w:rPr>
          <w:noProof/>
        </w:rPr>
        <w:t>2.3</w:t>
      </w:r>
      <w:r>
        <w:rPr>
          <w:noProof/>
        </w:rPr>
        <w:tab/>
        <w:t>Предвидени актове на Съвета на министрите и ПГВР</w:t>
      </w:r>
    </w:p>
    <w:p>
      <w:pPr>
        <w:rPr>
          <w:rFonts w:eastAsia="Arial Unicode MS"/>
          <w:noProof/>
        </w:rPr>
      </w:pPr>
      <w:r>
        <w:rPr>
          <w:noProof/>
        </w:rPr>
        <w:t xml:space="preserve">На 17 декември 2020 г. Съветът на министрите, а на 16 декември 2020 г. ПГВР ще приемат редица актове. </w:t>
      </w:r>
    </w:p>
    <w:p>
      <w:pPr>
        <w:rPr>
          <w:rFonts w:eastAsia="Arial Unicode MS"/>
          <w:noProof/>
        </w:rPr>
      </w:pPr>
      <w:r>
        <w:rPr>
          <w:noProof/>
        </w:rPr>
        <w:t xml:space="preserve">Настоящото предложение за решение съгласно член 218, параграф 9 от ДФЕС се отнася до позицията, която трябва да се заеме от името на Съюза по отношение на следните предвидени актове на </w:t>
      </w:r>
      <w:r>
        <w:rPr>
          <w:b/>
          <w:noProof/>
        </w:rPr>
        <w:t>Съвета на министрите</w:t>
      </w:r>
      <w:r>
        <w:rPr>
          <w:noProof/>
        </w:rPr>
        <w:t xml:space="preserve">: </w:t>
      </w:r>
    </w:p>
    <w:p>
      <w:pPr>
        <w:pStyle w:val="Point0"/>
        <w:ind w:firstLine="0"/>
        <w:rPr>
          <w:noProof/>
        </w:rPr>
      </w:pPr>
    </w:p>
    <w:p>
      <w:pPr>
        <w:pStyle w:val="Point0"/>
        <w:rPr>
          <w:noProof/>
        </w:rPr>
      </w:pPr>
      <w:r>
        <w:rPr>
          <w:noProof/>
        </w:rPr>
        <w:t xml:space="preserve">2.3.1. Решение 2020/.../MC-EnC относно прилагането на Регламент (ЕС) 2019/2146 на Комисията от 26 ноември 2019 г. за изменение на Регламент (ЕО) № 1099/2008 на Европейския парламент и на Съвета относно статистиката за енергийния сектор, що се отнася до актуализирането на годишните, месечните и краткосрочните месечни статистически данни за енергийния сектор </w:t>
      </w:r>
    </w:p>
    <w:p>
      <w:pPr>
        <w:pStyle w:val="Point0"/>
        <w:rPr>
          <w:noProof/>
        </w:rPr>
      </w:pPr>
      <w:r>
        <w:rPr>
          <w:noProof/>
        </w:rPr>
        <w:t xml:space="preserve">2.3.2. Решение 2020/.../MC-EnC относно прилагането на Регламент за изпълнение (ЕС) 2019/803 на Комисията от 17 май 2019 г. относно техническите изисквания към съдържанието на докладите за качеството на европейските статистически данни за цените на природния газ и електроенергията съгласно Регламент (ЕС) 2016/1952 на Европейския парламент и на Съвета </w:t>
      </w:r>
    </w:p>
    <w:p>
      <w:pPr>
        <w:pStyle w:val="Point0"/>
        <w:rPr>
          <w:noProof/>
        </w:rPr>
      </w:pPr>
      <w:r>
        <w:rPr>
          <w:noProof/>
        </w:rPr>
        <w:t>2.3.3. Решение 2020/.../MC-EnC относно съставянето на списък с проекти от интерес за Енергийната общност</w:t>
      </w:r>
    </w:p>
    <w:p>
      <w:pPr>
        <w:pStyle w:val="Point0"/>
        <w:rPr>
          <w:noProof/>
        </w:rPr>
      </w:pPr>
      <w:r>
        <w:rPr>
          <w:noProof/>
        </w:rPr>
        <w:t>2.3.4. Решения по член 91, параграф 1 от ДСЕО за установяване на нарушение на ДСЕО в следните случаи:</w:t>
      </w:r>
    </w:p>
    <w:p>
      <w:pPr>
        <w:pStyle w:val="Point2"/>
        <w:rPr>
          <w:noProof/>
        </w:rPr>
      </w:pPr>
      <w:r>
        <w:rPr>
          <w:noProof/>
        </w:rPr>
        <w:t>а)</w:t>
      </w:r>
      <w:r>
        <w:rPr>
          <w:noProof/>
        </w:rPr>
        <w:tab/>
        <w:t>Решение 2020/…/MС-EnC за неизпълнение от Сърбия на Договора за създаване на Енергийна общност по дело ECS-13/17;</w:t>
      </w:r>
    </w:p>
    <w:p>
      <w:pPr>
        <w:pStyle w:val="Point0"/>
        <w:ind w:left="1984" w:hanging="544"/>
        <w:rPr>
          <w:noProof/>
        </w:rPr>
      </w:pPr>
      <w:r>
        <w:rPr>
          <w:noProof/>
        </w:rPr>
        <w:t>б)</w:t>
      </w:r>
      <w:r>
        <w:rPr>
          <w:noProof/>
        </w:rPr>
        <w:tab/>
        <w:t>Решение 2020/.../MC-EnC за неизпълнение от Босна и Херцеговина на Договора за създаване на Енергийна общност по дело ECS-10/18.</w:t>
      </w:r>
    </w:p>
    <w:p>
      <w:pPr>
        <w:pStyle w:val="Point0"/>
        <w:rPr>
          <w:noProof/>
        </w:rPr>
      </w:pPr>
      <w:r>
        <w:rPr>
          <w:noProof/>
        </w:rPr>
        <w:t>2.3.5. Решения по член 92, параграф 1 от ДСЕО:</w:t>
      </w:r>
    </w:p>
    <w:p>
      <w:pPr>
        <w:pStyle w:val="Point2"/>
        <w:rPr>
          <w:noProof/>
        </w:rPr>
      </w:pPr>
      <w:r>
        <w:rPr>
          <w:noProof/>
        </w:rPr>
        <w:t>а)</w:t>
      </w:r>
      <w:r>
        <w:rPr>
          <w:noProof/>
        </w:rPr>
        <w:tab/>
        <w:t>Решение 2020/.../MC-EnC относно приемането на мерки в отговор на сериозни и продължителни нарушения от страна на Босна и Херцеговина съгласно член 92, параграф 1 от Договора за създаване на Енергийна общност по дела ECS-8/11S, ECS-2/13S и ECS-6/16S;</w:t>
      </w:r>
    </w:p>
    <w:p>
      <w:pPr>
        <w:pStyle w:val="Point2"/>
        <w:rPr>
          <w:noProof/>
        </w:rPr>
      </w:pPr>
      <w:r>
        <w:rPr>
          <w:noProof/>
        </w:rPr>
        <w:t>б)</w:t>
      </w:r>
      <w:r>
        <w:rPr>
          <w:noProof/>
        </w:rPr>
        <w:tab/>
        <w:t>Решение 2020/.../MC-EnC за установяване на сериозно и продължително нарушение от страна на Украйна съгласно член 92, параграф 1 от Договора по дело ECS-1/18S;</w:t>
      </w:r>
    </w:p>
    <w:p>
      <w:pPr>
        <w:pStyle w:val="Point2"/>
        <w:rPr>
          <w:noProof/>
        </w:rPr>
      </w:pPr>
      <w:r>
        <w:rPr>
          <w:noProof/>
        </w:rPr>
        <w:t xml:space="preserve">в) </w:t>
      </w:r>
      <w:r>
        <w:rPr>
          <w:noProof/>
        </w:rPr>
        <w:tab/>
        <w:t>Решение 2020/.../MC-EnC за установяване на сериозно и продължително нарушение от страна на Сърбия съгласно член 92, параграф 1 от Договора по дело ECS-10/17S.</w:t>
      </w:r>
    </w:p>
    <w:p>
      <w:pPr>
        <w:pStyle w:val="Point0"/>
        <w:rPr>
          <w:rFonts w:eastAsia="Arial Unicode MS"/>
          <w:noProof/>
        </w:rPr>
      </w:pPr>
      <w:r>
        <w:rPr>
          <w:noProof/>
        </w:rPr>
        <w:lastRenderedPageBreak/>
        <w:t>2.3.6. Назначаване на членовете на Консултативния комитет в съответствие с член 32, параграф 3 от Процедурен акт № 2008/01/MC-EnC относно Процедурния правилник за уреждане на спорове, изменен с Процедурен акт 2015/04/MC-EnC.</w:t>
      </w:r>
    </w:p>
    <w:p>
      <w:pPr>
        <w:pStyle w:val="Point0"/>
        <w:ind w:firstLine="0"/>
        <w:rPr>
          <w:noProof/>
        </w:rPr>
      </w:pPr>
    </w:p>
    <w:p>
      <w:pPr>
        <w:rPr>
          <w:rFonts w:eastAsia="Arial Unicode MS"/>
          <w:noProof/>
        </w:rPr>
      </w:pPr>
      <w:r>
        <w:rPr>
          <w:noProof/>
        </w:rPr>
        <w:t xml:space="preserve">Настоящото предложение за решение съгласно член 218, параграф 9 от ДФЕС се отнася до позицията, която трябва да се заеме от името на Съюза по отношение на следните предвидени актове на </w:t>
      </w:r>
      <w:r>
        <w:rPr>
          <w:b/>
          <w:noProof/>
        </w:rPr>
        <w:t>ПГВР</w:t>
      </w:r>
      <w:r>
        <w:rPr>
          <w:noProof/>
        </w:rPr>
        <w:t>:</w:t>
      </w:r>
    </w:p>
    <w:p>
      <w:pPr>
        <w:autoSpaceDE w:val="0"/>
        <w:autoSpaceDN w:val="0"/>
        <w:adjustRightInd w:val="0"/>
        <w:spacing w:before="100" w:beforeAutospacing="1" w:after="100" w:afterAutospacing="1"/>
        <w:rPr>
          <w:noProof/>
          <w:szCs w:val="24"/>
        </w:rPr>
      </w:pPr>
      <w:r>
        <w:rPr>
          <w:noProof/>
        </w:rPr>
        <w:t>2.3.7. Процедурен акт за изменение на Процедурен акт № 01/2011 PHLG-EnC на Постоянната група на високо равнище на Енергийната общност от 23 март 2011 г. за определяне на правилата, уреждащи арбитражната процедура по въпроси, свързани с персонала, съгласно член 14 от Правилника за персонала на Енергийната общност.</w:t>
      </w:r>
    </w:p>
    <w:p>
      <w:pPr>
        <w:rPr>
          <w:rFonts w:eastAsia="Arial Unicode MS"/>
          <w:noProof/>
        </w:rPr>
      </w:pPr>
      <w:r>
        <w:rPr>
          <w:noProof/>
        </w:rPr>
        <w:t>Целта на предвидените актове на Съвета на министрите и на ПГВР (по-нататък наричани общо „предвидените актове“) е да се улесни постигането на целите на ДСЕО и функционирането на Секретариата на Енергийната общност във Виена, който, наред с другото, предоставя административна подкрепа на Съвета на министрите.</w:t>
      </w:r>
    </w:p>
    <w:p>
      <w:pPr>
        <w:rPr>
          <w:rFonts w:eastAsia="Arial Unicode MS"/>
          <w:noProof/>
        </w:rPr>
      </w:pPr>
    </w:p>
    <w:p>
      <w:pPr>
        <w:pStyle w:val="ManualHeading2"/>
        <w:rPr>
          <w:noProof/>
        </w:rPr>
      </w:pPr>
      <w:r>
        <w:rPr>
          <w:noProof/>
        </w:rPr>
        <w:t>2.4.</w:t>
      </w:r>
      <w:r>
        <w:rPr>
          <w:noProof/>
        </w:rPr>
        <w:tab/>
        <w:t>Други въпроси в дневния ред</w:t>
      </w:r>
    </w:p>
    <w:p>
      <w:pPr>
        <w:rPr>
          <w:noProof/>
        </w:rPr>
      </w:pPr>
      <w:r>
        <w:rPr>
          <w:noProof/>
        </w:rPr>
        <w:t xml:space="preserve">За изчерпателност следва да се отбележи, че в допълнение на предвидените актове ще има и някои други въпроси в дневния ред на заседанията на Съвета на министрите и на ПГВР. Във връзка с тези въпроси Комисията възнамерява да изложи следните позиции от името на Съюза: </w:t>
      </w:r>
    </w:p>
    <w:p>
      <w:pPr>
        <w:pStyle w:val="Text1"/>
        <w:ind w:left="0"/>
        <w:rPr>
          <w:noProof/>
        </w:rPr>
      </w:pPr>
    </w:p>
    <w:p>
      <w:pPr>
        <w:pStyle w:val="ManualNumPar1"/>
        <w:rPr>
          <w:noProof/>
        </w:rPr>
      </w:pPr>
      <w:r>
        <w:rPr>
          <w:noProof/>
        </w:rPr>
        <w:t>1.</w:t>
      </w:r>
      <w:r>
        <w:rPr>
          <w:noProof/>
        </w:rPr>
        <w:tab/>
        <w:t xml:space="preserve">Общи политически насоки от 2020 г. относно целите за 2030 г. и неутралността по отношение на климата за Енергийната общност и нейните договарящи страни </w:t>
      </w:r>
    </w:p>
    <w:p>
      <w:pPr>
        <w:pStyle w:val="Text1"/>
        <w:rPr>
          <w:noProof/>
        </w:rPr>
      </w:pPr>
      <w:r>
        <w:rPr>
          <w:noProof/>
        </w:rPr>
        <w:t xml:space="preserve">Сред основните цели на ДСЕО са създаването на интегриран и устойчив общоевропейски енергиен пазар, основан на стабилна регулаторна и пазарна рамка, която привлича инвестиции, необходими за икономическото развитие и социалната стабилност, подобряване на състоянието на околната среда, както и насърчаване на използването на енергия от възобновяеми източници. Тъй като енергийният сектор е един от основните източници на емисии на парникови газове и като се има предвид тясната обвързаност между енергийната политика и климата, важно е да се укрепи рамката на политиката относно енергийната ефективност, енергията от възобновяеми източници и емисиите на парникови газове в Енергийната общност. </w:t>
      </w:r>
    </w:p>
    <w:p>
      <w:pPr>
        <w:pStyle w:val="Text1"/>
        <w:rPr>
          <w:noProof/>
        </w:rPr>
      </w:pPr>
      <w:r>
        <w:rPr>
          <w:noProof/>
        </w:rPr>
        <w:t xml:space="preserve">Съветът на министрите на Енергийната общност прие Препоръка 2016/02/MC-EnC за подготовка за изпълнение на Регламент (ЕС) № 525/2013 относно механизъм за мониторинг и докладване на емисиите на парникови газове и Препоръка 2018/01/MC-EnC относно подготовката за изготвяне на интегрирани национални планове за енергетиката и климата от договарящите страни на Енергийната общност.  </w:t>
      </w:r>
    </w:p>
    <w:p>
      <w:pPr>
        <w:ind w:left="855"/>
        <w:rPr>
          <w:noProof/>
        </w:rPr>
      </w:pPr>
      <w:r>
        <w:rPr>
          <w:noProof/>
        </w:rPr>
        <w:t xml:space="preserve">Директивата за енергията от възобновяеми източници от 2009 г. и Директивата относно енергийната ефективност от 2012 г. бяха приети и станаха част от </w:t>
      </w:r>
      <w:r>
        <w:rPr>
          <w:noProof/>
        </w:rPr>
        <w:lastRenderedPageBreak/>
        <w:t>правния ред на Енергийната общност чрез решения на Съвета на министрите, като включват цел за 2020 г. за Енергийната общност като цяло по отношение на енергийната ефективност (изразена като първично енергопотребление и крайно потребление на енергия) и специфични цели за 2020 г. за всяка договаряща страна по отношение на енергията от възобновяеми източници.</w:t>
      </w:r>
    </w:p>
    <w:p>
      <w:pPr>
        <w:autoSpaceDE w:val="0"/>
        <w:autoSpaceDN w:val="0"/>
        <w:adjustRightInd w:val="0"/>
        <w:ind w:left="855"/>
        <w:rPr>
          <w:noProof/>
          <w:szCs w:val="24"/>
        </w:rPr>
      </w:pPr>
      <w:r>
        <w:rPr>
          <w:noProof/>
        </w:rPr>
        <w:t xml:space="preserve">През ноември 2018 г. Съветът на министрите прие Общи политически насоки относно целите за 2030 г. за договарящите страни на Енергийната общност. Насоките представляваха политическия консенсус относно определянето на три отделни цели до 2030 г. в областта на климата и енергетиката: цел за енергийна ефективност, цел за дела на възобновяемите енергийни източници и цел за намаляване на емисиите на парникови газове. Тези цели следва да са в съответствие с целите на ЕС за периода до 2030 г., да отразяват равностойната амбиция на договарящите страни и да са съобразени със социално-икономическите различия, технологичното развитие и Парижкото споразумение относно изменението на климата. </w:t>
      </w:r>
    </w:p>
    <w:p>
      <w:pPr>
        <w:autoSpaceDE w:val="0"/>
        <w:autoSpaceDN w:val="0"/>
        <w:adjustRightInd w:val="0"/>
        <w:ind w:left="855"/>
        <w:rPr>
          <w:noProof/>
          <w:szCs w:val="24"/>
        </w:rPr>
      </w:pPr>
      <w:r>
        <w:rPr>
          <w:noProof/>
        </w:rPr>
        <w:t>Политическите споразумения, сключени от Съвета на Европейския съюз и Европейския парламент през 2018 г. и началото на 2019 г., дадоха възможност за влизане в сила от юни 2019 г. на всички правила, въведени от пакета „Чиста енергия за всички европейци“. Трите цели в областта на енергетиката и климата до 2030 г. за намаляване най-малко с 40 % на емисиите на парникови газове в сравнение с 1990 г., цел за енергийна ефективност от най-малко 32,5 % и цел за енергия от възобновяеми източници от най-малко 32 % са изцяло заложени в законодателството на ЕС, но преразглеждането във възходяща посока на тези цели ще бъде предложено през 2021 г. след предложението на Комисията от 17 септември 2020 г. за намаляване на емисиите на парникови газове в ЕС най-малко с 55 % до 2030 г. в сравнение с нивата от 1990 г.</w:t>
      </w:r>
    </w:p>
    <w:p>
      <w:pPr>
        <w:pStyle w:val="Text1"/>
        <w:rPr>
          <w:noProof/>
        </w:rPr>
      </w:pPr>
      <w:r>
        <w:rPr>
          <w:noProof/>
        </w:rPr>
        <w:t xml:space="preserve">След приемането на Препоръка 2018/01/MC-EnC и с оглед на задълженията на договарящите страни в процеса на присъединяване към ЕС и техните ангажименти в рамките на Рамковата конвенция на ООН по изменение на климата (РКООНИК) и Парижкото споразумение, заедно със съответните им национално определени приноси (НОП), на 17 декември 2020 г. Съветът на министрите на Енергийната общност ще продължи обсъжданията си относно енергийната ефективност, възобновяемите енергийни източници и целите за намаляване на емисиите на парникови газове за 2030 г., които са също толкова амбициозни в сравнение с целите за 2030 г. в Европейския съюз, и са в съответствие с по-голямата амбиция на ЕС, заложена в изменение на предложения Европейски законодателен акт за климата, за да се включи целта за намаляване на емисиите до 2030 г. най-малко с 55 % като стъпка към целта за неутралност по отношение на климата до 2050 г. </w:t>
      </w:r>
    </w:p>
    <w:p>
      <w:pPr>
        <w:pStyle w:val="Text1"/>
        <w:rPr>
          <w:noProof/>
        </w:rPr>
      </w:pPr>
      <w:r>
        <w:rPr>
          <w:noProof/>
        </w:rPr>
        <w:t>Проектът на общите политически насоки от 2020 г. относно целите за 2030 г. и неутралността по отношение на климата</w:t>
      </w:r>
      <w:r>
        <w:rPr>
          <w:b/>
          <w:noProof/>
        </w:rPr>
        <w:t xml:space="preserve"> </w:t>
      </w:r>
      <w:r>
        <w:rPr>
          <w:noProof/>
        </w:rPr>
        <w:t xml:space="preserve"> за Енергийната общност и нейните договарящи страни ще представлява политическият консенсус, постигнат в Съвета на министрите, и ще предложи политически насоки за тяхното определяне. </w:t>
      </w:r>
    </w:p>
    <w:p>
      <w:pPr>
        <w:pStyle w:val="Text1"/>
        <w:rPr>
          <w:noProof/>
        </w:rPr>
      </w:pPr>
      <w:r>
        <w:rPr>
          <w:noProof/>
        </w:rPr>
        <w:t>От името на Европейския съюз Комисията възнамерява да подкрепи приемането на проекта за общи политически насоки от 2020 г.</w:t>
      </w:r>
      <w:r>
        <w:rPr>
          <w:b/>
          <w:noProof/>
        </w:rPr>
        <w:t xml:space="preserve"> </w:t>
      </w:r>
      <w:r>
        <w:rPr>
          <w:noProof/>
        </w:rPr>
        <w:t xml:space="preserve">Незначителни промени в проекта за общи политически насоки от 2020 г. могат да бъдат одобрени от Комисията, с оглед на коментарите на договарящите страни на </w:t>
      </w:r>
      <w:r>
        <w:rPr>
          <w:noProof/>
        </w:rPr>
        <w:lastRenderedPageBreak/>
        <w:t>Енергийната общност преди или по време на заседанието на Съвета на министрите, без да е необходимо допълнително решение на Съвета.</w:t>
      </w:r>
    </w:p>
    <w:p>
      <w:pPr>
        <w:pStyle w:val="Text1"/>
        <w:rPr>
          <w:noProof/>
        </w:rPr>
      </w:pPr>
    </w:p>
    <w:p>
      <w:pPr>
        <w:pStyle w:val="ManualNumPar1"/>
        <w:rPr>
          <w:noProof/>
        </w:rPr>
      </w:pPr>
      <w:r>
        <w:rPr>
          <w:noProof/>
        </w:rPr>
        <w:t>2.</w:t>
      </w:r>
      <w:r>
        <w:rPr>
          <w:noProof/>
        </w:rPr>
        <w:tab/>
        <w:t>Годишен доклад за дейността на Енергийната общност за периода 2019—2020 г.</w:t>
      </w:r>
    </w:p>
    <w:p>
      <w:pPr>
        <w:ind w:left="851"/>
        <w:rPr>
          <w:b/>
          <w:noProof/>
        </w:rPr>
      </w:pPr>
      <w:r>
        <w:rPr>
          <w:noProof/>
        </w:rPr>
        <w:t>От името на Европейския съюз Комисията възнамерява да подкрепи приемането на годишния доклад за 2019—2020 г</w:t>
      </w:r>
      <w:r>
        <w:rPr>
          <w:b/>
          <w:noProof/>
        </w:rPr>
        <w:t>.</w:t>
      </w:r>
    </w:p>
    <w:p>
      <w:pPr>
        <w:ind w:left="851"/>
        <w:rPr>
          <w:b/>
          <w:noProof/>
        </w:rPr>
      </w:pPr>
    </w:p>
    <w:p>
      <w:pPr>
        <w:pStyle w:val="ManualNumPar1"/>
        <w:rPr>
          <w:noProof/>
        </w:rPr>
      </w:pPr>
      <w:r>
        <w:rPr>
          <w:noProof/>
        </w:rPr>
        <w:t xml:space="preserve">3. </w:t>
      </w:r>
      <w:r>
        <w:rPr>
          <w:noProof/>
        </w:rPr>
        <w:tab/>
        <w:t xml:space="preserve">Освобождаване на директора от финансова отговорност за 2019 г. въз основа на одитния доклад за годината, приключила на 31 декември 2019 г., декларация за достоверност на одиторите и доклад на Бюджетния комитет </w:t>
      </w:r>
    </w:p>
    <w:p>
      <w:pPr>
        <w:pStyle w:val="ManualNumPar1"/>
        <w:ind w:firstLine="0"/>
        <w:rPr>
          <w:noProof/>
        </w:rPr>
      </w:pPr>
      <w:r>
        <w:rPr>
          <w:noProof/>
        </w:rPr>
        <w:t>От името на Европейския съюз Комисията възнамерява да подкрепи приемането на Решение 2020/1/MC-EnC относно освобождаването от отговорност във връзка с изпълнението на бюджета на директора на Секретариата на Енергийната общност за 2019 г.</w:t>
      </w:r>
    </w:p>
    <w:p>
      <w:pPr>
        <w:pStyle w:val="Text1"/>
        <w:rPr>
          <w:noProof/>
        </w:rPr>
      </w:pPr>
    </w:p>
    <w:p>
      <w:pPr>
        <w:pStyle w:val="ManualNumPar1"/>
        <w:rPr>
          <w:noProof/>
        </w:rPr>
      </w:pPr>
      <w:r>
        <w:rPr>
          <w:noProof/>
        </w:rPr>
        <w:t xml:space="preserve">4. </w:t>
      </w:r>
      <w:r>
        <w:rPr>
          <w:noProof/>
        </w:rPr>
        <w:tab/>
        <w:t xml:space="preserve">Препоръка 2020/1/MC-EnC относно проекти от взаимен интерес между договарящите страни и държавите — членки на Европейския съюз </w:t>
      </w:r>
    </w:p>
    <w:p>
      <w:pPr>
        <w:pStyle w:val="Text1"/>
        <w:tabs>
          <w:tab w:val="left" w:pos="709"/>
        </w:tabs>
        <w:ind w:left="709"/>
        <w:rPr>
          <w:noProof/>
        </w:rPr>
      </w:pPr>
      <w:r>
        <w:rPr>
          <w:noProof/>
        </w:rPr>
        <w:tab/>
        <w:t>На 16 октомври 2015 г. Съветът на министрите на Енергийната общност прие Решение относно прилагането на Регламент (ЕС) № 347/2013 на Европейския парламент и на Съвета относно указания за трансевропейската енергийна инфраструктура</w:t>
      </w:r>
      <w:r>
        <w:rPr>
          <w:rStyle w:val="FootnoteReference"/>
          <w:noProof/>
        </w:rPr>
        <w:footnoteReference w:id="2"/>
      </w:r>
      <w:r>
        <w:rPr>
          <w:noProof/>
        </w:rPr>
        <w:t>. Целта на тази мярка беше да се създаде правна рамка за подреждане по важност на ключовите енергийни инфраструктурни проекти между договарящите страни и между договарящите страни и държавите — членки на ЕС.</w:t>
      </w:r>
    </w:p>
    <w:p>
      <w:pPr>
        <w:pStyle w:val="Text1"/>
        <w:tabs>
          <w:tab w:val="left" w:pos="709"/>
        </w:tabs>
        <w:ind w:left="709"/>
        <w:rPr>
          <w:noProof/>
        </w:rPr>
      </w:pPr>
      <w:r>
        <w:rPr>
          <w:noProof/>
        </w:rPr>
        <w:tab/>
        <w:t xml:space="preserve">Регламент (ЕС) № 347/2013, приет в рамките на Енергийната общност, установява всеобхватна рамка за рационализиране на процедурите по издаване на разрешения, регулиране и разпределяне на разходите в договарящите страни. Съгласно него се изисква също така, при спазване на няколко критерия, с решение на Съвета на министрите да се състави съгласно дял III от Договора за създаване на Енергийна общност списък с приоритетни инфраструктурни проекти, наречен „Проекти от интерес за Енергийната общност (ПИЕО)“. Освен това с регламента се предоставя възможност за прилагане на неговите разпоредби по отношение на проекти от взаимен интерес (ПВИ), т.е. проекти, които са признати от две съседни държави (договаряща страна, от една страна, и държава членка, от друга страна) като важни, но които нямат правен статут на ПИЕО. Крайният срок за транспониране на основните разпоредби на регламента и срокът за изготвяне на списъка с проекти от интерес за Енергийната общност беше 31 декември 2016 г. </w:t>
      </w:r>
    </w:p>
    <w:p>
      <w:pPr>
        <w:pStyle w:val="Text1"/>
        <w:tabs>
          <w:tab w:val="left" w:pos="0"/>
          <w:tab w:val="left" w:pos="709"/>
        </w:tabs>
        <w:ind w:left="709"/>
        <w:rPr>
          <w:noProof/>
        </w:rPr>
      </w:pPr>
      <w:r>
        <w:rPr>
          <w:noProof/>
        </w:rPr>
        <w:tab/>
        <w:t xml:space="preserve">В съответствие с разпоредбите на Регламент (ЕС) № 347/2013, приет в Енергийната общност, бяха създадени две работни групи, които да подготвят списъка с ПИЕО и съответно списъка с ПВИ. Проектите, представени от организаторите на проекти, бяха обсъдени в рамките на обществена консултация, стартирана от Секретариата на Енергийната общност на 30 март </w:t>
      </w:r>
      <w:r>
        <w:rPr>
          <w:noProof/>
        </w:rPr>
        <w:lastRenderedPageBreak/>
        <w:t xml:space="preserve">2020 г. През 2020 г. проектите бяха оценени по отношение на тяхната допустимост за статут на ПИЕО и ПВИ. </w:t>
      </w:r>
    </w:p>
    <w:p>
      <w:pPr>
        <w:pStyle w:val="Text1"/>
        <w:tabs>
          <w:tab w:val="left" w:pos="0"/>
          <w:tab w:val="left" w:pos="709"/>
        </w:tabs>
        <w:ind w:left="709"/>
        <w:rPr>
          <w:noProof/>
        </w:rPr>
      </w:pPr>
      <w:r>
        <w:rPr>
          <w:noProof/>
        </w:rPr>
        <w:t xml:space="preserve">Беше направен анализ на разходите и ползите за всеки проект, завършил с класирането на проектите по конкретни резултати според степента на изпълнение на критериите. В края на процеса, въз основа на консенсус, на Постоянната група на високо равнище (ПГВР) беше предложен проект на предварителен списък с ПВИ, който беше одобрен на 16 юли 2020 г. След положителното становище от Регулаторния съвет на Енергийната общност, получено на 28 юли 2020 г., окончателният списък с ПВИ трябва да бъде одобрен от Съвета на министрите на 17 декември 2020 г. </w:t>
      </w:r>
    </w:p>
    <w:p>
      <w:pPr>
        <w:pStyle w:val="Text1"/>
        <w:tabs>
          <w:tab w:val="left" w:pos="0"/>
          <w:tab w:val="left" w:pos="709"/>
        </w:tabs>
        <w:ind w:left="709"/>
        <w:rPr>
          <w:strike/>
          <w:noProof/>
        </w:rPr>
      </w:pPr>
      <w:r>
        <w:rPr>
          <w:noProof/>
        </w:rPr>
        <w:t xml:space="preserve">Списъкът с ПВИ е валиден за срок от две години от датата на приемането му и е ограничен до рамката на Регламент (ЕС) № 347/2013. Всяко бъдещо актуализиране на този списък в рамките на Енергийната общност следва надлежно да отразява развитието на равнище ЕС и на равнище Енергийна общност, по-специално по отношение на целите за 2030 г. и намаляването на емисиите на парникови газове, както и бъдещото преразглеждане на Регламент (ЕС) № 347/2013. </w:t>
      </w:r>
      <w:r>
        <w:rPr>
          <w:strike/>
          <w:noProof/>
        </w:rPr>
        <w:t xml:space="preserve"> </w:t>
      </w:r>
    </w:p>
    <w:p>
      <w:pPr>
        <w:pStyle w:val="Text1"/>
        <w:tabs>
          <w:tab w:val="left" w:pos="0"/>
          <w:tab w:val="left" w:pos="709"/>
        </w:tabs>
        <w:ind w:left="709"/>
        <w:rPr>
          <w:noProof/>
        </w:rPr>
      </w:pPr>
      <w:r>
        <w:rPr>
          <w:noProof/>
        </w:rPr>
        <w:t xml:space="preserve">Позицията, която трябва да се заеме от името на Съюза в Съвета на министрите, следва да бъде одобрението на проекта за препоръка. </w:t>
      </w:r>
    </w:p>
    <w:p>
      <w:pPr>
        <w:pStyle w:val="Text1"/>
        <w:ind w:left="0"/>
        <w:rPr>
          <w:noProof/>
        </w:rPr>
      </w:pPr>
      <w:r>
        <w:rPr>
          <w:noProof/>
        </w:rPr>
        <w:t>При необходимост Комисията ще потърси одобрението на Съвета.</w:t>
      </w:r>
    </w:p>
    <w:p>
      <w:pPr>
        <w:pStyle w:val="ManualHeading1"/>
        <w:rPr>
          <w:noProof/>
        </w:rPr>
      </w:pPr>
      <w:r>
        <w:rPr>
          <w:noProof/>
        </w:rPr>
        <w:t>3.</w:t>
      </w:r>
      <w:r>
        <w:rPr>
          <w:noProof/>
        </w:rPr>
        <w:tab/>
        <w:t>Позиция, която трябва да се заеме от името на Съюза</w:t>
      </w:r>
    </w:p>
    <w:p>
      <w:pPr>
        <w:pStyle w:val="ManualHeading2"/>
        <w:rPr>
          <w:noProof/>
        </w:rPr>
      </w:pPr>
      <w:r>
        <w:rPr>
          <w:noProof/>
        </w:rPr>
        <w:t>3.1.</w:t>
      </w:r>
      <w:r>
        <w:rPr>
          <w:noProof/>
        </w:rPr>
        <w:tab/>
        <w:t>Предвидени актове на Съвета на министрите</w:t>
      </w:r>
    </w:p>
    <w:p>
      <w:pPr>
        <w:pStyle w:val="ManualHeading3"/>
        <w:rPr>
          <w:noProof/>
        </w:rPr>
      </w:pPr>
    </w:p>
    <w:p>
      <w:pPr>
        <w:pStyle w:val="ManualHeading3"/>
        <w:rPr>
          <w:noProof/>
        </w:rPr>
      </w:pPr>
      <w:r>
        <w:rPr>
          <w:noProof/>
        </w:rPr>
        <w:t>3.1.1.</w:t>
      </w:r>
      <w:r>
        <w:rPr>
          <w:noProof/>
        </w:rPr>
        <w:tab/>
        <w:t>Решение 2020/.../MC-EnC относно прилагането на Регламент (ЕС) 2019/2146 на Комисията от 26 ноември 2019 г. за изменение на Регламент (ЕО) № 1099/2008 на Европейския парламент и на Съвета относно статистиката за енергийния сектор, що се отнася до актуализирането на годишните, месечните и краткосрочните месечни статистически данни за енергийния сектор</w:t>
      </w:r>
    </w:p>
    <w:p>
      <w:pPr>
        <w:pStyle w:val="Point0"/>
        <w:ind w:firstLine="0"/>
        <w:rPr>
          <w:noProof/>
        </w:rPr>
      </w:pPr>
      <w:r>
        <w:rPr>
          <w:noProof/>
        </w:rPr>
        <w:t>Комисията установи няколко аспекта на статистическите данни за енергийния сектор, събрани съгласно Регламент (ЕО) № 1099/2008, които трябваше да бъдат актуализирани и впоследствие изменени с Регламент (ЕС) 2019/2146. Тези промени се отнасят по-специално до по-голямата разбивка на статистическите данни за крайното потребление на енергия в промишлеността, концептуалните корекции за определенията за търговия с природен газ, за да се подобри съгласуваността, някои отчетни елементи да станат задължителни и да се подобри навременността на месечното събиране на данни за въглищата и електроенергията. За целите на адекватното събиране на статистически данни в договарящите страни от Енергийната общност е целесъобразно Регламент (ЕС) 2019/2146 да бъде транспониран в достиженията на правото на Енергийната общност.</w:t>
      </w:r>
    </w:p>
    <w:p>
      <w:pPr>
        <w:pStyle w:val="Text1"/>
        <w:rPr>
          <w:noProof/>
        </w:rPr>
      </w:pPr>
      <w:r>
        <w:rPr>
          <w:noProof/>
        </w:rPr>
        <w:t>От името на Европейския съюз Комисията възнамерява да подкрепи приемането на решението.</w:t>
      </w:r>
    </w:p>
    <w:p>
      <w:pPr>
        <w:pStyle w:val="Point0"/>
        <w:ind w:firstLine="0"/>
        <w:rPr>
          <w:noProof/>
        </w:rPr>
      </w:pPr>
    </w:p>
    <w:p>
      <w:pPr>
        <w:pStyle w:val="ManualHeading3"/>
        <w:rPr>
          <w:noProof/>
        </w:rPr>
      </w:pPr>
      <w:r>
        <w:rPr>
          <w:noProof/>
        </w:rPr>
        <w:lastRenderedPageBreak/>
        <w:t>3.1.2.</w:t>
      </w:r>
      <w:r>
        <w:rPr>
          <w:noProof/>
        </w:rPr>
        <w:tab/>
        <w:t xml:space="preserve">Решение 2020/.../MC-EnC относно прилагането на Регламент за изпълнение (ЕС) 2019/803 на Комисията от 17 май 2019 г. относно техническите изисквания към съдържанието на докладите за качеството на европейските статистически данни за цените на природния газ и електроенергията съгласно Регламент (ЕС) 2016/1952 на Европейския парламент и на Съвета </w:t>
      </w:r>
    </w:p>
    <w:p>
      <w:pPr>
        <w:pStyle w:val="Text1"/>
        <w:rPr>
          <w:noProof/>
        </w:rPr>
      </w:pPr>
      <w:r>
        <w:rPr>
          <w:noProof/>
        </w:rPr>
        <w:t>С Регламент (ЕС) 2016/1952 е установена рамката за изготвяне на съпоставими европейски статистически данни за цените на природния газ и електроенергията. Съгласно този регламент на всеки 3 години държавите членки трябва да предоставят на Комисията (Евростат) стандартни доклади за качеството на данните. Тези доклади следва да включват информация относно обхвата и събирането на данните, критериите за изчисление, използваните методика и източници на данни, както и всички промени в тях. За целите на правилното събиране на статистически данни в договарящите страни на Енергийната общност е целесъобразно Регламент (ЕС) 2016/1952 да бъде транспониран в достиженията на правото на Енергийната общност.</w:t>
      </w:r>
    </w:p>
    <w:p>
      <w:pPr>
        <w:pStyle w:val="Text1"/>
        <w:rPr>
          <w:noProof/>
        </w:rPr>
      </w:pPr>
      <w:r>
        <w:rPr>
          <w:noProof/>
        </w:rPr>
        <w:t>От името на Европейския съюз Комисията възнамерява да подкрепи приемането на решението.</w:t>
      </w:r>
    </w:p>
    <w:p>
      <w:pPr>
        <w:pStyle w:val="Text1"/>
        <w:rPr>
          <w:noProof/>
        </w:rPr>
      </w:pPr>
    </w:p>
    <w:p>
      <w:pPr>
        <w:pStyle w:val="Text1"/>
        <w:ind w:left="720" w:hanging="720"/>
        <w:rPr>
          <w:i/>
          <w:noProof/>
        </w:rPr>
      </w:pPr>
      <w:r>
        <w:rPr>
          <w:i/>
          <w:noProof/>
        </w:rPr>
        <w:t>3.1.3.</w:t>
      </w:r>
      <w:r>
        <w:rPr>
          <w:noProof/>
        </w:rPr>
        <w:t xml:space="preserve"> </w:t>
      </w:r>
      <w:r>
        <w:rPr>
          <w:i/>
          <w:noProof/>
        </w:rPr>
        <w:t>Решение 2020/.../MC-EnC относно съставянето на списък с проекти от интерес за Енергийната общност</w:t>
      </w:r>
    </w:p>
    <w:p>
      <w:pPr>
        <w:pStyle w:val="Text1"/>
        <w:tabs>
          <w:tab w:val="left" w:pos="709"/>
        </w:tabs>
        <w:ind w:left="709"/>
        <w:rPr>
          <w:noProof/>
        </w:rPr>
      </w:pPr>
      <w:r>
        <w:rPr>
          <w:i/>
          <w:noProof/>
        </w:rPr>
        <w:tab/>
      </w:r>
      <w:r>
        <w:rPr>
          <w:noProof/>
        </w:rPr>
        <w:t>На 16 октомври 2015 г. Съветът на министрите на Енергийната общност прие Решение относно прилагането на Регламент (ЕС) № 347/2013 на Европейския парламент и на Съвета относно указания за трансевропейската енергийна инфраструктура</w:t>
      </w:r>
      <w:r>
        <w:rPr>
          <w:rStyle w:val="FootnoteReference"/>
          <w:noProof/>
        </w:rPr>
        <w:footnoteReference w:id="3"/>
      </w:r>
      <w:r>
        <w:rPr>
          <w:noProof/>
        </w:rPr>
        <w:t>. Целта на тази мярка беше да се създаде правна рамка за подреждане по важност на ключовите енергийни инфраструктурни проекти между договарящите страни и между договарящите страни и държавите — членки на ЕС.</w:t>
      </w:r>
    </w:p>
    <w:p>
      <w:pPr>
        <w:pStyle w:val="Text1"/>
        <w:tabs>
          <w:tab w:val="left" w:pos="709"/>
        </w:tabs>
        <w:ind w:left="709"/>
        <w:rPr>
          <w:noProof/>
        </w:rPr>
      </w:pPr>
      <w:r>
        <w:rPr>
          <w:noProof/>
        </w:rPr>
        <w:tab/>
        <w:t>Регламент (ЕС) № 347/2013, приет в рамките на Енергийната общност, установява всеобхватна рамка за рационализиране на процедурите по издаване на разрешения, регулиране и разпределяне на разходите в договарящите страни. Съгласно него се изисква също така, при спазване на няколко критерия, с решение на Съвета на министрите да се състави съгласно дял III от Договора за създаване на Енергийна общност списък с приоритетни инфраструктурни проекти, наречен „Проекти от интерес за Енергийната общност (ПИЕО)“. Крайният срок за транспониране на основните разпоредби на регламента и крайният срок за изготвяне на първия списък с ПИЕО беше 31 декември 2016 г. Списъкът се актуализира на всеки две години.</w:t>
      </w:r>
    </w:p>
    <w:p>
      <w:pPr>
        <w:pStyle w:val="Text1"/>
        <w:tabs>
          <w:tab w:val="left" w:pos="0"/>
          <w:tab w:val="left" w:pos="709"/>
        </w:tabs>
        <w:ind w:left="709"/>
        <w:rPr>
          <w:noProof/>
        </w:rPr>
      </w:pPr>
      <w:r>
        <w:rPr>
          <w:noProof/>
        </w:rPr>
        <w:tab/>
        <w:t xml:space="preserve">В съответствие с разпоредбите на Регламент (ЕС) № 347/2013, възприет в Енергийната общност, бяха създадени две работни групи, за да се изготви списък с ПИЕО. Проектите, представени от организаторите на проекти, бяха предмет на обществена консултация, стартирана от Секретариата на Енергийната общност на 30 март 2020 г. През 2020 г. проектите бяха оценени по отношение на допустимостта им за получаване на статут на ПИЕО. Беше извършен анализ на разходите и ползите на всеки проект, завършил с класирането на проектите според конкретни резултати в зависимост от степента </w:t>
      </w:r>
      <w:r>
        <w:rPr>
          <w:noProof/>
        </w:rPr>
        <w:lastRenderedPageBreak/>
        <w:t xml:space="preserve">на изпълнение на критериите. В края на процеса, въз основа на консенсус, на Постоянната група на високо равнище беше предложен проект на предварителен списък с ПИЕО, който беше одобрен на 16 юли 2020 г. След положителното становище на Регулаторния съвет на Енергийната общност от 28 юли 2020 г. окончателният списък с ПИЕО трябва да бъде одобрен от Съвета на министрите на 17 декември 2020 г. </w:t>
      </w:r>
    </w:p>
    <w:p>
      <w:pPr>
        <w:pStyle w:val="Text1"/>
        <w:tabs>
          <w:tab w:val="left" w:pos="0"/>
          <w:tab w:val="left" w:pos="709"/>
        </w:tabs>
        <w:ind w:left="709"/>
        <w:rPr>
          <w:strike/>
          <w:noProof/>
        </w:rPr>
      </w:pPr>
      <w:r>
        <w:rPr>
          <w:noProof/>
        </w:rPr>
        <w:t xml:space="preserve">Списъкът с ПИЕО е валиден за срок от две години от датата на приемането му и е ограничен до рамката на Регламент (ЕС) № 347/2013. Всяко бъдещо актуализиране на този списък в рамките на Енергийната общност следва надлежно да отразява развитието на равнище ЕС и на равнище Енергийна общност, по-специално по отношение на целите за 2030 г. и намаляването на емисиите на парникови газове, както и бъдещото преразглеждане на Регламент (ЕС) № 347/2013. </w:t>
      </w:r>
      <w:r>
        <w:rPr>
          <w:strike/>
          <w:noProof/>
        </w:rPr>
        <w:t xml:space="preserve"> </w:t>
      </w:r>
    </w:p>
    <w:p>
      <w:pPr>
        <w:pStyle w:val="Text1"/>
        <w:tabs>
          <w:tab w:val="left" w:pos="0"/>
          <w:tab w:val="left" w:pos="709"/>
        </w:tabs>
        <w:ind w:left="709"/>
        <w:rPr>
          <w:noProof/>
        </w:rPr>
      </w:pPr>
      <w:r>
        <w:rPr>
          <w:noProof/>
        </w:rPr>
        <w:tab/>
        <w:t xml:space="preserve">Позицията, която трябва да се заеме от името на Съюза в Съвета на министрите, следва да бъде в подкрепа на приемането на решението. </w:t>
      </w:r>
    </w:p>
    <w:p>
      <w:pPr>
        <w:pStyle w:val="Text1"/>
        <w:ind w:left="720" w:hanging="720"/>
        <w:rPr>
          <w:noProof/>
        </w:rPr>
      </w:pPr>
    </w:p>
    <w:p>
      <w:pPr>
        <w:pStyle w:val="ManualHeading3"/>
        <w:rPr>
          <w:noProof/>
        </w:rPr>
      </w:pPr>
      <w:r>
        <w:rPr>
          <w:noProof/>
        </w:rPr>
        <w:t>3.1.4</w:t>
      </w:r>
      <w:r>
        <w:rPr>
          <w:i w:val="0"/>
          <w:noProof/>
        </w:rPr>
        <w:t xml:space="preserve">. </w:t>
      </w:r>
      <w:r>
        <w:rPr>
          <w:i w:val="0"/>
          <w:noProof/>
        </w:rPr>
        <w:tab/>
      </w:r>
      <w:r>
        <w:rPr>
          <w:noProof/>
        </w:rPr>
        <w:t xml:space="preserve"> Решения по член 91, параграф 1 от ДСЕО за установяване на нарушение на ДСЕО в следните случаи:</w:t>
      </w:r>
    </w:p>
    <w:p>
      <w:pPr>
        <w:pStyle w:val="Text1"/>
        <w:ind w:left="851"/>
        <w:rPr>
          <w:noProof/>
        </w:rPr>
      </w:pPr>
      <w:r>
        <w:rPr>
          <w:noProof/>
        </w:rPr>
        <w:t>Процедурата за уреждане на спор е определена в дял ІІІ, глава 1 и дял ІV, глава 1 от Процедурния правилник за уреждане на спорове съгласно Договора</w:t>
      </w:r>
      <w:r>
        <w:rPr>
          <w:rStyle w:val="FootnoteReference"/>
          <w:noProof/>
        </w:rPr>
        <w:footnoteReference w:id="4"/>
      </w:r>
      <w:r>
        <w:rPr>
          <w:noProof/>
        </w:rPr>
        <w:t>.</w:t>
      </w:r>
    </w:p>
    <w:p>
      <w:pPr>
        <w:pStyle w:val="Point0"/>
        <w:rPr>
          <w:noProof/>
        </w:rPr>
      </w:pPr>
      <w:r>
        <w:rPr>
          <w:noProof/>
        </w:rPr>
        <w:t>а)</w:t>
      </w:r>
      <w:r>
        <w:rPr>
          <w:noProof/>
        </w:rPr>
        <w:tab/>
        <w:t>Решение 2020/…/Mc-EnC за неизпълнение от Сърбия на Договора за създаване на Енергийна общност по дело ECS-13/17</w:t>
      </w:r>
    </w:p>
    <w:p>
      <w:pPr>
        <w:pStyle w:val="Text1"/>
        <w:rPr>
          <w:noProof/>
        </w:rPr>
      </w:pPr>
      <w:r>
        <w:rPr>
          <w:noProof/>
        </w:rPr>
        <w:t>Съгласно постановеното от Съда на Европейския съюз достъпът на трети страни до преносните системи представлява „една от съществените мерки“</w:t>
      </w:r>
      <w:r>
        <w:rPr>
          <w:rStyle w:val="FootnoteReference"/>
          <w:noProof/>
        </w:rPr>
        <w:footnoteReference w:id="5"/>
      </w:r>
      <w:r>
        <w:rPr>
          <w:noProof/>
        </w:rPr>
        <w:t xml:space="preserve">, които договарящите страни трябва да прилагат, за да изпълнят задълженията си по ДСЕО. Съгласно член 32, параграф 1 от Директивата за природния газ договарящите страни осигуряват прилагането на система за достъп на трети страни до преносната система за природен газ за всички потребители на системата, като този достъп се извършва обективно и без дискриминация въз основа на публикуваните тарифи. Член 16, параграфи 1 и 2 от Регламента за природния газ налагат на операторите на преносни системи задължението да предоставят на участниците на пазара максималния капацитет във всички важни точки, като се отчита целостта на системата и ефикасната експлоатация на мрежата, и да прилагат и публикуват недискриминационни и прозрачни механизми за разпределение на капацитет. Съгласно член 18, параграф 3 от Регламента за природния газ във връзка с точка 3.2(1), буква а) от приложение I към него, важните точки включват всички входни и изходни точки към и от преносната мрежа за природен газ, експлоатирана от оператора на преносната система. Задълженията, свързани с достъпа на трети страни до системата за пренос на природен газ, произтичащи от достиженията на правото на </w:t>
      </w:r>
      <w:r>
        <w:rPr>
          <w:noProof/>
        </w:rPr>
        <w:lastRenderedPageBreak/>
        <w:t>Енергийната общност, бяха транспонирани в сръбското национално право със Закона за енергетиката и трябва да бъдат изпълнени от операторите на преносни системи в съответствие с правилника.</w:t>
      </w:r>
    </w:p>
    <w:p>
      <w:pPr>
        <w:pStyle w:val="Text1"/>
        <w:rPr>
          <w:noProof/>
        </w:rPr>
      </w:pPr>
      <w:r>
        <w:rPr>
          <w:noProof/>
        </w:rPr>
        <w:t>Секретариатът на Енергийната общност счита, че Srbijagas, т.е. дружеството, което понастоящем действа като оператор на преносните системи за природен газ в Република Сърбия и отговаря за всички входни и изходни точки към/от газопреносната система на Сърбия, не е изпълнило тези задължения, като продължава едностранно да изключва капацитетите за трансграничен пренос на природен газ при входната точка Хоргош от откритите процедури за разпределяне на капацитет и по този начин не осигурява достъп на трети страни до съответната входна точка. Освен това той поставя под въпрос, с оглед на неизпълнението от страна на сръбските органи, които са компетентни да наложат съответните задължения, способността им да изпълнят тази функция.</w:t>
      </w:r>
    </w:p>
    <w:p>
      <w:pPr>
        <w:pStyle w:val="Text1"/>
        <w:rPr>
          <w:noProof/>
        </w:rPr>
      </w:pPr>
      <w:r>
        <w:rPr>
          <w:noProof/>
        </w:rPr>
        <w:t>Секретариатът на Енергийната общност предварително установи, че поради необоснованото изключване от страна на Srbijagas на входната точка Хоргош от неограничен и недискриминационен достъп на трети страни и от открити процедури за разпределяне на капацитет, Република Сърбия е в нарушение на член 32 от Директива 2009/73/ЕО и член 16 от Регламент (ЕО) 715/2009 и следователно не изпълнява задълженията си по членове 6, 10 и 11 от Договора за създаване на Енергийна общност. Поради това Секретариатът на Енергийната общност отправи мотивирано искане до Съвета на министрите.</w:t>
      </w:r>
    </w:p>
    <w:p>
      <w:pPr>
        <w:pStyle w:val="Text1"/>
        <w:rPr>
          <w:noProof/>
        </w:rPr>
      </w:pPr>
      <w:r>
        <w:rPr>
          <w:noProof/>
        </w:rPr>
        <w:t xml:space="preserve">С оглед на фактите и доводите, изложени в мотивираното искане, позицията, която трябва да се заеме от името на Съюза в Съвета на министрите, следва да бъде за одобрение на решението, с което се установява наличието на нарушение по дело ECS-13/17, при условие че Консултативният комитет на Енергийната общност своевременно представи становище в подкрепа на констатациите на Секретариата на Енергийната общност, т.е. преди заседанието на Съвета на министрите. </w:t>
      </w:r>
    </w:p>
    <w:p>
      <w:pPr>
        <w:pStyle w:val="Text1"/>
        <w:rPr>
          <w:noProof/>
        </w:rPr>
      </w:pPr>
      <w:r>
        <w:rPr>
          <w:noProof/>
        </w:rPr>
        <w:t xml:space="preserve">Това одобрение обаче следва да бъде направено, при условие че обосновката в мотивираното искане бъде изменена чрез премахване на obiter dictum в точка 71 от него, която се отнася до възможна злоупотреба с господстващо положение. Този obiter dictum не е от значение за установяването на наличието на нарушение в разглеждания случай и носи риск да се създаде правна несигурност. </w:t>
      </w:r>
    </w:p>
    <w:p>
      <w:pPr>
        <w:pStyle w:val="Point0"/>
        <w:rPr>
          <w:noProof/>
        </w:rPr>
      </w:pPr>
      <w:r>
        <w:rPr>
          <w:noProof/>
        </w:rPr>
        <w:t xml:space="preserve">б) </w:t>
      </w:r>
      <w:r>
        <w:rPr>
          <w:noProof/>
        </w:rPr>
        <w:tab/>
        <w:t>Решение 2020/.../Mc-EnC за неизпълнение от Босна и Херцеговина на ДСЕО по дело ECS-10/18</w:t>
      </w:r>
    </w:p>
    <w:p>
      <w:pPr>
        <w:pStyle w:val="Point0"/>
        <w:rPr>
          <w:noProof/>
        </w:rPr>
      </w:pPr>
      <w:r>
        <w:rPr>
          <w:noProof/>
        </w:rPr>
        <w:tab/>
        <w:t>Член 18, параграф 1, буква в) от Договора за създаване на Енергийна общност съдържа забрана за държавна помощ, която съгласно член 19 от Договора се прилага и за публични предприятия и предприятия, на които са предоставени специални или изключителни права. В тези разпоредби, както и в член 6 от Договора, се съдържа изискване за договарящите страни да въведат съответна забрана за държавна помощ в своите национални правни системи и да осигурят нейното прилагане.</w:t>
      </w:r>
    </w:p>
    <w:p>
      <w:pPr>
        <w:pStyle w:val="Point0"/>
        <w:ind w:firstLine="0"/>
        <w:rPr>
          <w:noProof/>
        </w:rPr>
      </w:pPr>
      <w:r>
        <w:rPr>
          <w:noProof/>
        </w:rPr>
        <w:t>Секретариатът на Енергийната общност установи предварително, че Съветът за държавна помощ на Босна и Херцеговина неправилно е решил, че гаранция, издадена от Федерация Босна и Херцеговина в полза на Китайската експортно-</w:t>
      </w:r>
      <w:r>
        <w:rPr>
          <w:noProof/>
        </w:rPr>
        <w:lastRenderedPageBreak/>
        <w:t xml:space="preserve">импортна банка за обезпечаване на заем от дружеството за комунални услуги Elektroprivreda Bosne i Hercegovine за проекта Tuzla 7, не представлява държавна помощ по смисъла на член 18, параграф 1, буква в) от Договора за създаване на Енергийна общност. Секретариатът оцени решението на Съвета за държавна помощ по отношение на съответствието му с определението за държавна помощ съгласно член 107, параграф 1 от ДФЕС, обхващащо следните елементи: 1) на дадено предприятие е предоставено предимство, 2) от държавата чрез държавни ресурси, 3) което поставя в по-благоприятно положение определени предприятия или определени енергийни ресурси, 4) е в състояние да наруши конкуренцията и 5) може да засегне търговията с енергия от мрежата между договарящите страни. Секретариатът стигна до предварителното заключение, че решението на Съвета за държавна помощ не съответства на определението за държавна помощ и публичната гаранция представлява държавна помощ. Тъй като Съветът за държавна помощ е държавен орган, отговорност за неговите действия носи Босна и Херцеговина, която по този начин не изпълнява задълженията си по член 18 от Договора за създаване на Енергийна общност. Секретариатът на Енергийната общност отправи до Съвета на министрите мотивирано искане за обявяване на неизпълнение от страна на Босна и Херцеговина на задълженията ѝ по член 18 от Договора за създаване на Енергийна общност. </w:t>
      </w:r>
    </w:p>
    <w:p>
      <w:pPr>
        <w:pStyle w:val="Text1"/>
        <w:rPr>
          <w:noProof/>
        </w:rPr>
      </w:pPr>
      <w:r>
        <w:rPr>
          <w:noProof/>
        </w:rPr>
        <w:t xml:space="preserve">С оглед на фактите и доводите, изложени в мотивираното искане, позицията, която трябва да се заеме от името на Съюза в Съвета на министрите, следва да бъде за одобрение на решението, с което се установява наличието на нарушение по дело ECS-10/18, след като Консултативният комитет на Енергийната общност, след изслушването на 9 декември 2020 г., представи становище в подкрепа на констатациите на Секретариата на Енергийната общност и в зависимост от новото развитие по делото. </w:t>
      </w:r>
    </w:p>
    <w:p>
      <w:pPr>
        <w:pStyle w:val="Text1"/>
        <w:ind w:left="720" w:hanging="720"/>
        <w:rPr>
          <w:noProof/>
        </w:rPr>
      </w:pPr>
    </w:p>
    <w:p>
      <w:pPr>
        <w:pStyle w:val="ManualHeading3"/>
        <w:ind w:left="0" w:firstLine="0"/>
        <w:rPr>
          <w:noProof/>
        </w:rPr>
      </w:pPr>
      <w:r>
        <w:rPr>
          <w:noProof/>
        </w:rPr>
        <w:t>3.1.5.</w:t>
      </w:r>
      <w:r>
        <w:rPr>
          <w:noProof/>
        </w:rPr>
        <w:tab/>
        <w:t>Решения по член 92, параграф 1 от ДСЕО:</w:t>
      </w:r>
    </w:p>
    <w:p>
      <w:pPr>
        <w:pStyle w:val="Point1"/>
        <w:ind w:left="851" w:hanging="851"/>
        <w:rPr>
          <w:noProof/>
        </w:rPr>
      </w:pPr>
      <w:r>
        <w:rPr>
          <w:noProof/>
        </w:rPr>
        <w:t>а)</w:t>
      </w:r>
      <w:r>
        <w:rPr>
          <w:noProof/>
        </w:rPr>
        <w:tab/>
        <w:t xml:space="preserve">Решение за приемане на мерки в отговор на сериозни и продължителни нарушения от страна на Босна и Херцеговина съгласно член 92, параграф 1 от ДСЕО по дела ECS-8/11S, ECS-2/13S и ECS-6/16S </w:t>
      </w:r>
    </w:p>
    <w:p>
      <w:pPr>
        <w:pStyle w:val="Point2"/>
        <w:ind w:left="1418"/>
        <w:rPr>
          <w:noProof/>
        </w:rPr>
      </w:pPr>
      <w:r>
        <w:rPr>
          <w:noProof/>
        </w:rPr>
        <w:t>i)</w:t>
      </w:r>
      <w:r>
        <w:rPr>
          <w:noProof/>
        </w:rPr>
        <w:tab/>
        <w:t>Налагане на мерки по отношение на Босна и Херцеговина съгласно член 92, параграф 1 от ДСЕО по дело ECS-8/11S</w:t>
      </w:r>
    </w:p>
    <w:p>
      <w:pPr>
        <w:pStyle w:val="Text1"/>
        <w:ind w:left="851"/>
        <w:rPr>
          <w:noProof/>
        </w:rPr>
      </w:pPr>
      <w:r>
        <w:rPr>
          <w:noProof/>
        </w:rPr>
        <w:t xml:space="preserve">На 16 октомври 2015 г. Съветът на министрите прие Решение 2015/10/MC-EnC, с което обяви, че Босна и Херцеговина не е изпълнила решения 2013/04/MC-EnC и 2014/04/MC-EnC на Съвета на министрите по дело ECS-8/11, свързани с неспазването от страна на Босна и Херцеговина на втория енергиен пакет (газ), и по този начин да отстрани сериозните и продължителни нарушения, установени в тези решения. Неспазването на задълженията съвпадаше с липсата на регулаторен орган с правомощия на държавно равнище, на регулаторен орган, компетентен в областта на природния газ във Федерация Босна и Херцеговина, липсата на подходящо правно, функционално и счетоводно разделяне на двете образувания, липсата на правилно определени и публикувани мрежови тарифи, настояванията, свързани с освобождаванията за нова инфраструктура, липсата на отваряне на пазара и нетранспонирането на разпоредбите на тогавашния Регламент (ЕО) № 1775/2005 за природния газ и </w:t>
      </w:r>
      <w:r>
        <w:rPr>
          <w:noProof/>
        </w:rPr>
        <w:lastRenderedPageBreak/>
        <w:t>Директива 2004/67/ЕО относно сигурността на доставките. Съветът на министрите прие следните мерки съгласно член 92 от ДСЕО:</w:t>
      </w:r>
    </w:p>
    <w:p>
      <w:pPr>
        <w:pStyle w:val="Bullet1"/>
        <w:numPr>
          <w:ilvl w:val="0"/>
          <w:numId w:val="10"/>
        </w:numPr>
        <w:rPr>
          <w:noProof/>
        </w:rPr>
      </w:pPr>
      <w:r>
        <w:rPr>
          <w:noProof/>
        </w:rPr>
        <w:t>Беше суспендирано правото на Босна и Херцеговина да участва в гласуването на мерките и процедурните актове, приети съгласно глава VI от дял V (свързани с бюджета) от Договора, и от Секретариата на Енергийната общност беше поискано да суспендира прилагането на своите правила за възстановяване на разходи по отношение на представителите на Босна и Херцеговина за всички заседания, организирани от Енергийната общност.</w:t>
      </w:r>
    </w:p>
    <w:p>
      <w:pPr>
        <w:pStyle w:val="Text2"/>
        <w:rPr>
          <w:noProof/>
        </w:rPr>
      </w:pPr>
      <w:r>
        <w:rPr>
          <w:noProof/>
        </w:rPr>
        <w:t xml:space="preserve">Действието на мерките по член 92 беше ограничено до една година и суспендирано между октомври 2016 г. и 31 март 2017 г., за да се даде възможност на Босна и Херцеговина да изпълни „Споразумението за отстраняване на сериозно и продължително нарушение съгласно Договора за създаване на Енергийна общност в газовия сектор“, подписано в предверието на Съвета на министрите на 14 октомври 2016 г. </w:t>
      </w:r>
    </w:p>
    <w:p>
      <w:pPr>
        <w:pStyle w:val="Text2"/>
        <w:rPr>
          <w:noProof/>
        </w:rPr>
      </w:pPr>
      <w:r>
        <w:rPr>
          <w:noProof/>
        </w:rPr>
        <w:t xml:space="preserve">Тъй като Босна и Херцеговина не предприе никакви мерки за отстраняване на нарушението, мерките, приети съгласно Решение 2015/10/MC-EnC, влязоха в сила отново на 1 април 2017 г. На 29 ноември 2018 г. Съветът на министрите прие Решение 2018/17/MC-EnC за удължаване с една година на срока на действие на мерките, наложени на Босна и Херцеговина до момента. В допълнение той суспендира правото на Босна и Херцеговина да участва в гласуването на мерките, приети съгласно дял II от Договора относно приемането на нови достижения на правото на ЕС в газовия сектор от всички институции на Енергийната общност. Освен това той суспендира правото на Босна и Херцеговина да участва в гласуването на мерките по член 92 от Договора (санкциониране на нарушения на Договора). </w:t>
      </w:r>
    </w:p>
    <w:p>
      <w:pPr>
        <w:pStyle w:val="Text1"/>
        <w:ind w:left="1417"/>
        <w:rPr>
          <w:noProof/>
        </w:rPr>
      </w:pPr>
      <w:r>
        <w:rPr>
          <w:noProof/>
        </w:rPr>
        <w:t xml:space="preserve">Тъй като Босна и Херцеговина не предприе никакви мерки за отстраняване на нарушението, установено в Решение 2018/17/MC-EnC, Секретариатът на Енергийната общност отправи на 8 октомври 2019 г. мотивирано искане до Съвета на министрите съгласно член 92 от Договора за допълнително удължаване на срока на санкциите. Това искане не беше прието от Съвета на министрите от 2019 г. поради липса на единодушие и в резултат на това срокът на действие на мерките не беше удължен. През 2019 г. позицията на Съюза, приета от Съвета на министрите, беше да подкрепи искането на Секретариата на Енергийната общност за удължаване на срока. </w:t>
      </w:r>
    </w:p>
    <w:p>
      <w:pPr>
        <w:pStyle w:val="Text1"/>
        <w:ind w:left="851"/>
        <w:rPr>
          <w:noProof/>
        </w:rPr>
      </w:pPr>
      <w:r>
        <w:rPr>
          <w:noProof/>
        </w:rPr>
        <w:t>В ново мотивирано искане до Съвета на министрите от 22 септември 2020 г. Секретариатът на Енергийната общност поиска отново да бъде потвърдено наличието на сериозно и продължително нарушение на задълженията по Договора от страна на Босна и Херцеговина при липсата на доказателства за усилия за тяхното коригиране. Във връзка с мерките Секретариатът предлага:</w:t>
      </w:r>
    </w:p>
    <w:p>
      <w:pPr>
        <w:pStyle w:val="Bullet1"/>
        <w:rPr>
          <w:noProof/>
        </w:rPr>
      </w:pPr>
      <w:r>
        <w:rPr>
          <w:noProof/>
        </w:rPr>
        <w:t xml:space="preserve">да се удължи срокът на мерките, предприети преди това съгласно Решение 2015/10/EnC и Решение 2016/16/MC-EnC (суспендиране на правото на глас по бюджетни въпроси и суспендиране на прилагането на правилата за възстановяване на разходи) с две години, считано от датата на приемане на решението; </w:t>
      </w:r>
    </w:p>
    <w:p>
      <w:pPr>
        <w:pStyle w:val="Bullet1"/>
        <w:rPr>
          <w:noProof/>
        </w:rPr>
      </w:pPr>
      <w:r>
        <w:rPr>
          <w:noProof/>
        </w:rPr>
        <w:lastRenderedPageBreak/>
        <w:t>да се добави мярка, състояща се в суспендиране на правото на Босна и Херцеговина да участва в гласуването на решения по член 91 от Договора до заседанието на Съвета на министрите през 2022 г.;</w:t>
      </w:r>
    </w:p>
    <w:p>
      <w:pPr>
        <w:pStyle w:val="Bullet1"/>
        <w:rPr>
          <w:noProof/>
        </w:rPr>
      </w:pPr>
      <w:r>
        <w:rPr>
          <w:noProof/>
        </w:rPr>
        <w:t>да се удължи прилагането на мярката, състояща се в суспендиране на правото на Босна и Херцеговина да участва в гласуването на решения по член 92 от ДСЕО до заседанието на Съвета на министрите през 2022 г.</w:t>
      </w:r>
    </w:p>
    <w:p>
      <w:pPr>
        <w:pStyle w:val="Text1"/>
        <w:rPr>
          <w:noProof/>
        </w:rPr>
      </w:pPr>
      <w:r>
        <w:rPr>
          <w:noProof/>
        </w:rPr>
        <w:t xml:space="preserve">Като се имат предвид продължителността и сериозността на установените нарушения, предложените мерки са подходящи и пропорционални, тъй като се основават на член 92, параграф 1 от ДСЕО. Поради това позицията, която трябва да се заеме от името на Съюза в Съвета на министрите, следва да бъде одобрението на проекта за решение, с изключение на мерките по член 3, параграф 1 от Решение 2016/16/MC-EnC, чието удължаване не следва да бъде одобрено. </w:t>
      </w:r>
    </w:p>
    <w:p>
      <w:pPr>
        <w:pStyle w:val="Point2"/>
        <w:ind w:left="1418"/>
        <w:rPr>
          <w:noProof/>
        </w:rPr>
      </w:pPr>
      <w:r>
        <w:rPr>
          <w:noProof/>
        </w:rPr>
        <w:t>ii)</w:t>
      </w:r>
      <w:r>
        <w:rPr>
          <w:noProof/>
        </w:rPr>
        <w:tab/>
        <w:t>Налагане на мерки на Босна и Херцеговина съгласно член 92, параграф 1 от ДСЕО по дело ECS-2/13S</w:t>
      </w:r>
    </w:p>
    <w:p>
      <w:pPr>
        <w:pStyle w:val="Text1"/>
        <w:rPr>
          <w:noProof/>
        </w:rPr>
      </w:pPr>
      <w:r>
        <w:rPr>
          <w:noProof/>
        </w:rPr>
        <w:t>На 14 октомври 2016 г. Съветът на министрите прие Решение 2016/03/MC-EnC по дело ECS-02/13 за установяване на нарушение на законодателството на Енергийната общност от страна на Босна и Херцеговина, която не е гарантирала, че на цялата ѝ територия не се използват тежки течни горива, ако съдържанието на сяра в тях надвишава 1,00 тегл. %, както и че не е гарантирала, че на цялата ѝ територия не се използват газьоли, ако съдържанието на сяра в тях надвишава 0,1 тегл. %. По този начин Босна и Херцеговина не е спазила член 3, параграф 1 и член 4, параграф 1 от Директива 1999/32/EО във връзка с член 16 от Договора.</w:t>
      </w:r>
    </w:p>
    <w:p>
      <w:pPr>
        <w:pStyle w:val="Text1"/>
        <w:rPr>
          <w:noProof/>
        </w:rPr>
      </w:pPr>
      <w:r>
        <w:rPr>
          <w:noProof/>
        </w:rPr>
        <w:t xml:space="preserve">Тъй като Босна и Херцеговина не предприе никакви мерки за отстраняване на нарушението, установено в Решение 2016/03/MC-EnC, на 12 септември 2018 г. Секретариатът на Енергийната общност отправи мотивирано искане до Съвета на министрите за образуване на дело ECS-2/13S съгласно член 92 от Договора. Със своето Решение 2018/13/MC-EnC от 29 ноември 2018 г. Съветът на министрите установи сериозно и продължително нарушение на законодателството на Енергийната общност по смисъла на член 92, параграф 1 от Договора от страна на Босна и Херцеговина, която не е отстранила нарушенията, посочени в решението на Съвета на министрите от 2016 г. Той обаче отложи приемането на мерки по член 92 от Договора за 2019 г. Поради липса на напредък Секретариатът на Енергийната общност отправи мотивирано искане до Съвета на министрите от 2019 г. с искане за налагане на мерки съгласно член 92 от Договора. Съветът на министрите обаче не прие решение поради липса на единодушие и не бяха наложени мерки. През 2019 г. Европейският съюз подкрепи налагането на такива мерки. </w:t>
      </w:r>
    </w:p>
    <w:p>
      <w:pPr>
        <w:pStyle w:val="Text1"/>
        <w:rPr>
          <w:noProof/>
        </w:rPr>
      </w:pPr>
      <w:r>
        <w:rPr>
          <w:noProof/>
        </w:rPr>
        <w:t>Към днешна дата Босна и Херцеговина поддържа необходимостта от общо и безусловно освобождаване от разпоредбите на Директива 1999/32/ЕО. Въпреки че през юли 2020 г. тя обяви създаването на специална работна група за качеството на течните петролни горива, Секретариатът на Енергийната общност не счита това за достатъчна стъпка за отстраняване на съществуващото нарушение на правната уредба. На тази основа на 22 септември 2020 г. Секретариатът на Енергийната общност отправи мотивирано искане до Съвета на министрите със заявяване:</w:t>
      </w:r>
    </w:p>
    <w:p>
      <w:pPr>
        <w:pStyle w:val="Bullet1"/>
        <w:rPr>
          <w:noProof/>
        </w:rPr>
      </w:pPr>
      <w:r>
        <w:rPr>
          <w:noProof/>
        </w:rPr>
        <w:lastRenderedPageBreak/>
        <w:t xml:space="preserve">за потвърждение, че продължава да съществува сериозно и продължително нарушение на Договора съгласно член 92, параграф 1 от ДСЕО; </w:t>
      </w:r>
    </w:p>
    <w:p>
      <w:pPr>
        <w:pStyle w:val="Bullet1"/>
        <w:rPr>
          <w:noProof/>
        </w:rPr>
      </w:pPr>
      <w:r>
        <w:rPr>
          <w:noProof/>
        </w:rPr>
        <w:t>да бъдат наложени мерки съгласно член 92 от ДСЕО, по-специално за суспендиране на правото на Босна и Херцеговина да участва в гласуването на решения по член 91 и 92 от ДСЕО до заседанието на Съвета на министрите през 2022 г.</w:t>
      </w:r>
    </w:p>
    <w:p>
      <w:pPr>
        <w:pStyle w:val="Text1"/>
        <w:rPr>
          <w:noProof/>
        </w:rPr>
      </w:pPr>
      <w:r>
        <w:rPr>
          <w:noProof/>
        </w:rPr>
        <w:t xml:space="preserve">Като се имат предвид продължителността и сериозността на установените нарушения, предложените мерки са подходящи и пропорционални. Поради това позицията, която трябва да се заеме от името на Съюза в Съвета на министрите, следва да бъде одобрението на проекта за решение. </w:t>
      </w:r>
    </w:p>
    <w:p>
      <w:pPr>
        <w:pStyle w:val="Point2"/>
        <w:ind w:left="1418"/>
        <w:rPr>
          <w:noProof/>
        </w:rPr>
      </w:pPr>
      <w:r>
        <w:rPr>
          <w:noProof/>
        </w:rPr>
        <w:t>iii)</w:t>
      </w:r>
      <w:r>
        <w:rPr>
          <w:noProof/>
        </w:rPr>
        <w:tab/>
        <w:t>Налагане на мерки по отношение на Босна и Херцеговина съгласно член 92, параграф 1 от ДСЕО по дело ECS-6/16S</w:t>
      </w:r>
    </w:p>
    <w:p>
      <w:pPr>
        <w:pStyle w:val="Text1"/>
        <w:rPr>
          <w:noProof/>
        </w:rPr>
      </w:pPr>
      <w:r>
        <w:rPr>
          <w:noProof/>
        </w:rPr>
        <w:t>На 14 октомври 2016 г. Съветът на министрите прие Решение 2016/07/MC-EnC по дело ECS-06/16 за установяване на нарушение на законодателството на Енергийната общност от страна на Босна и Херцеговина, която не е приела и приложила законовите, подзаконовите и административните разпоредби, необходими, за да спази изискванията на третия енергиен пакет в газовия и електроенергийния сектор</w:t>
      </w:r>
      <w:r>
        <w:rPr>
          <w:rStyle w:val="FootnoteReference"/>
          <w:noProof/>
        </w:rPr>
        <w:footnoteReference w:id="6"/>
      </w:r>
      <w:r>
        <w:rPr>
          <w:noProof/>
        </w:rPr>
        <w:t xml:space="preserve"> до 1 януари 2015 г., съгласно член 3, параграф 1 от Решение 2011/02/MC-EnC на Съвета на министрите, и която не е уведомила незабавно Секретариата на Енергийната общност за тези мерки. По този начин тя не е спазила членове 6 и 89 от Договора, както и член 3, параграф 1 и 2 от Решение 2011/02/MC-EnC на Съвета на министрите.</w:t>
      </w:r>
    </w:p>
    <w:p>
      <w:pPr>
        <w:pStyle w:val="Text1"/>
        <w:rPr>
          <w:noProof/>
        </w:rPr>
      </w:pPr>
      <w:r>
        <w:rPr>
          <w:noProof/>
        </w:rPr>
        <w:t xml:space="preserve">Тъй като Босна и Херцеговина не предприе никакви мерки за отстраняване на нарушението, установено в Решение 2016/07/MC-EnC, на 12 септември 2018 г. Секретариатът на Енергийната общност отправи мотивирано искане до Съвета на министрите за образуване на дело ECS-6/16S съгласно член 92 от Договора. Със своето Решение 2018/16/MC-EnC от 29 ноември 2018 г. Съветът на министрите установи сериозно и продължително нарушение на законодателството на Енергийната общност от страна на Босна и Херцеговина, тъй като страната не е изпълнила Решение 2016/07/MC-EnC на Съвета на министрите и по този начин не е отстранила нарушенията, посочени в това решение. Той обаче отложи приемането на мерки по член 92 от Договора за 2019 г. </w:t>
      </w:r>
    </w:p>
    <w:p>
      <w:pPr>
        <w:pStyle w:val="Text1"/>
        <w:rPr>
          <w:noProof/>
        </w:rPr>
      </w:pPr>
      <w:r>
        <w:rPr>
          <w:noProof/>
        </w:rPr>
        <w:t xml:space="preserve">Тъй като Босна и Херцеговина не предприе никакви мерки за отстраняване на нарушението, посочено в Решение 2018/16/MC-EnC, и положението по отношение на спазването от страна на Босна и Херцеговина на упоменатите по-горе задължения е продължило да бъде в нарушение на достиженията на правото на Енергийната общност, на 8 октомври 2019 г. Секретариатът на Енергийната общност отправи до Съвета на министрите искане за постановяване на мерки съгласно член 92 от Договора. Съветът на министрите обаче не прие решение в това отношение поради липсата на единодушие. Европейският съюз подкрепи в своята позиция приемането на мерките, предложени от Секретариата на Енергийната общност през 2019 г. На 22 септември 2020 г. Секретариатът отправи до Съвета на министрите ново </w:t>
      </w:r>
      <w:r>
        <w:rPr>
          <w:noProof/>
        </w:rPr>
        <w:lastRenderedPageBreak/>
        <w:t>мотивирано искане, основано на продължаващото неспазване от страна на Босна и Херцеговина на третия енергиен пакет както в газовия, така и в електроенергийния сектор. В него се изисква:</w:t>
      </w:r>
    </w:p>
    <w:p>
      <w:pPr>
        <w:pStyle w:val="Bullet1"/>
        <w:rPr>
          <w:noProof/>
        </w:rPr>
      </w:pPr>
      <w:r>
        <w:rPr>
          <w:noProof/>
        </w:rPr>
        <w:t xml:space="preserve">за потвърждение, че продължава да съществува сериозно и продължително нарушение на Договора съгласно член 92, параграф 1 от ДСЕО; </w:t>
      </w:r>
    </w:p>
    <w:p>
      <w:pPr>
        <w:pStyle w:val="Bullet1"/>
        <w:rPr>
          <w:noProof/>
        </w:rPr>
      </w:pPr>
      <w:r>
        <w:rPr>
          <w:noProof/>
        </w:rPr>
        <w:t>да бъдат наложени мерки съгласно член 92 от Договора, по-специално за суспендиране на правото на Босна и Херцеговина да участва в гласуването на решения по силата на членове 91 и 92 от ДСЕО до заседанието на Съвета на министрите през 2022 г.</w:t>
      </w:r>
    </w:p>
    <w:p>
      <w:pPr>
        <w:pStyle w:val="Text1"/>
        <w:rPr>
          <w:noProof/>
        </w:rPr>
      </w:pPr>
      <w:r>
        <w:rPr>
          <w:noProof/>
        </w:rPr>
        <w:t xml:space="preserve">Като се имат предвид продължителността и сериозността на установените нарушения, предложените мерки са подходящи и пропорционални. Поради това позицията, която трябва да се заеме от името на Съюза в Съвета на министрите, следва да бъде одобрението на проекта за решение. </w:t>
      </w:r>
    </w:p>
    <w:p>
      <w:pPr>
        <w:pStyle w:val="Point0"/>
        <w:rPr>
          <w:noProof/>
        </w:rPr>
      </w:pPr>
    </w:p>
    <w:p>
      <w:pPr>
        <w:pStyle w:val="Point0"/>
        <w:rPr>
          <w:noProof/>
        </w:rPr>
      </w:pPr>
      <w:r>
        <w:rPr>
          <w:noProof/>
        </w:rPr>
        <w:t>б)</w:t>
      </w:r>
      <w:r>
        <w:rPr>
          <w:noProof/>
        </w:rPr>
        <w:tab/>
        <w:t>Решение 2020/.../MC-EnC за установяване на сериозно и продължително нарушение от страна на Украйна съгласно член 92, параграф 1 от ДСЕО по дело ECS-1/18S</w:t>
      </w:r>
    </w:p>
    <w:p>
      <w:pPr>
        <w:pStyle w:val="Point0"/>
        <w:ind w:firstLine="0"/>
        <w:rPr>
          <w:noProof/>
        </w:rPr>
      </w:pPr>
      <w:r>
        <w:rPr>
          <w:noProof/>
        </w:rPr>
        <w:t>Директива 2012/27/ЕС на Европейския парламент и на Съвета от 25 октомври 2012 г. относно енергийната ефективност беше включена в достиженията на правото на Енергийната общност с Решение 2015/08/MC-EnC на Съвета на министрите на Енергийната общност от 16 октомври 2015 г.</w:t>
      </w:r>
    </w:p>
    <w:p>
      <w:pPr>
        <w:pStyle w:val="Point0"/>
        <w:ind w:firstLine="0"/>
        <w:rPr>
          <w:noProof/>
        </w:rPr>
      </w:pPr>
      <w:r>
        <w:rPr>
          <w:noProof/>
        </w:rPr>
        <w:t xml:space="preserve">В член 1 от Решение 2015/08/MC-EnC се изисква договарящите страни да транспонират Директива 2012/27/EС в националната правна рамка и да я прилагат, считано от 15 октомври 2017 г. В член 1 от Решение 2015/08/MC-EnC на Съвета на министрите се изисква също така от договарящите страни да предоставят на Секретариата на Енергийната общност текста на основните разпоредби на националното право, които те приемат в областта, уредена с Решение 2015/08/MC-EnC. С член 6 от Договора се налага на страните общото задължение да предприемат всички необходими мерки, общи или специални, за да осигурят изпълнението на задълженията, произтичащи от Договора. В член 89 от Договора се изисква от страните да изпълняват решенията, отнасящи се до тях, в националната си правна система в рамките на срока, определен в решението. </w:t>
      </w:r>
    </w:p>
    <w:p>
      <w:pPr>
        <w:pStyle w:val="Point0"/>
        <w:ind w:firstLine="0"/>
        <w:rPr>
          <w:noProof/>
        </w:rPr>
      </w:pPr>
      <w:r>
        <w:rPr>
          <w:noProof/>
        </w:rPr>
        <w:t xml:space="preserve">С Решение 2018/06/MC-EnC на Съвета на министрите от 29 ноември 2018 г. беше установено нарушение на Договора за създаване на Енергийна общност от страна на Украйна, която не е приела законовите, подзаконовите и административните разпоредби, необходими, за да спази разпоредбите на Директива 2012/27/ЕС относно енергийната ефективност до 15 октомври 2017 г. По този начин Украйна не е спазила членове 6 и 89 от Договора за създаване на Енергийна общност, както и член 1 от Решение 2015/08/MC-EnC на Съвета на министрите. С решението на Съвета на министрите Украйна беше приканена да коригира това нарушение до 1 юли 2019 г. и да докладва редовно на Секретариата и на Постоянната група на високо равнище. Секретариатът на Енергийната общност установи, че към днешна дата Украйна не е предприела необходимите мерки, за да изпълни задълженията си по Директива 2012/27/ЕС, установени в Решение 2018/06/MC-EnC на Съвета на министрите. Поради това </w:t>
      </w:r>
      <w:r>
        <w:rPr>
          <w:noProof/>
        </w:rPr>
        <w:lastRenderedPageBreak/>
        <w:t>той отправи искане до Съвета на министрите за решение за установяване на наличието на сериозно и продължително нарушение на ДСЕО от страна на Украйна по смисъла на член 92, параграф 1 от Договора.</w:t>
      </w:r>
    </w:p>
    <w:p>
      <w:pPr>
        <w:pStyle w:val="Text1"/>
        <w:rPr>
          <w:noProof/>
        </w:rPr>
      </w:pPr>
      <w:r>
        <w:rPr>
          <w:noProof/>
        </w:rPr>
        <w:t xml:space="preserve">Позицията, която трябва да се заеме от името на Съюза в Съвета на министрите, следва да отчита вече постигнатия от Украйна напредък по този въпрос, както и планираната техническа помощ от ЕС за Украйна в областта на енергийната ефективност, която ще бъде предоставена от 1 декември 2020 г. за период от две години. Тази техническа помощ следва да даде възможност на Украйна ефективно да приведе националното си законодателство в съответствие с разпоредбите на Директива 2012/27/EС. Поради това крайният срок за докладване и за отстраняване на установените нарушения следва да изтече до датата на заседанието на Съвета на министрите през 2021 г. вместо до 1 юли 2021 г., както беше предложено от Секретариата на Енергийната общност. </w:t>
      </w:r>
    </w:p>
    <w:p>
      <w:pPr>
        <w:pStyle w:val="Text1"/>
        <w:rPr>
          <w:noProof/>
        </w:rPr>
      </w:pPr>
      <w:r>
        <w:rPr>
          <w:noProof/>
        </w:rPr>
        <w:t>Позицията, която трябва да се заеме от името на Съюза в Съвета на министрите, следва да бъде одобрение на решението на Съвета на министрите, с което се установява наличието на сериозно и продължително нарушение по дело ECS-1/18S, при условие че крайният срок за докладване на Съвета на министрите от Украйна и за отстраняване на нарушението от страна на Украйна се определя на датата на заседанието на Съвета на министрите през 2021 г.</w:t>
      </w:r>
    </w:p>
    <w:p>
      <w:pPr>
        <w:pStyle w:val="Point0"/>
        <w:ind w:firstLine="0"/>
        <w:rPr>
          <w:noProof/>
        </w:rPr>
      </w:pPr>
    </w:p>
    <w:p>
      <w:pPr>
        <w:pStyle w:val="Point0"/>
        <w:rPr>
          <w:noProof/>
        </w:rPr>
      </w:pPr>
      <w:r>
        <w:rPr>
          <w:noProof/>
        </w:rPr>
        <w:t xml:space="preserve">в) </w:t>
      </w:r>
      <w:r>
        <w:rPr>
          <w:noProof/>
        </w:rPr>
        <w:tab/>
        <w:t>Решение 2020/.../Mc-EnC за неизпълнение от Сърбия на ДСЕО по дело ECS-10/17S</w:t>
      </w:r>
    </w:p>
    <w:p>
      <w:pPr>
        <w:pStyle w:val="Text1"/>
        <w:rPr>
          <w:noProof/>
        </w:rPr>
      </w:pPr>
      <w:r>
        <w:rPr>
          <w:noProof/>
        </w:rPr>
        <w:t>Отделянето на операторите на преносни системи (ОПС) представлява една от основните концепции, залегнали в третия енергиен пакет. То изисква ефективното отделяне на дейностите по пренос на енергия от свързаните с производството и доставките интереси. В случай на сертифициране на оператор на преносна система, който се контролира от лице или лица от трета държава или трети държави, се прилага член 11 от Директивата за природния газ</w:t>
      </w:r>
      <w:r>
        <w:rPr>
          <w:rStyle w:val="FootnoteReference"/>
          <w:noProof/>
        </w:rPr>
        <w:footnoteReference w:id="7"/>
      </w:r>
      <w:r>
        <w:rPr>
          <w:noProof/>
        </w:rPr>
        <w:t>. В член 10 от Директивата за природния газ се предвижда, че преди дадено предприятие да бъде одобрено и определено за оператор на преносна система, то трябва да бъде сертифицирано. За да бъде сертифицирано, предприятието трябва да изпълни изискванията за отделяне съгласно третия енергиен пакет, т.е. член 9 от Директивата за природния газ.</w:t>
      </w:r>
    </w:p>
    <w:p>
      <w:pPr>
        <w:pStyle w:val="Text1"/>
        <w:rPr>
          <w:noProof/>
        </w:rPr>
      </w:pPr>
      <w:r>
        <w:rPr>
          <w:noProof/>
        </w:rPr>
        <w:t>Директивата за природния газ, както и Регламентът за природния газ</w:t>
      </w:r>
      <w:r>
        <w:rPr>
          <w:rStyle w:val="FootnoteReference"/>
          <w:noProof/>
        </w:rPr>
        <w:footnoteReference w:id="8"/>
      </w:r>
      <w:r>
        <w:rPr>
          <w:noProof/>
        </w:rPr>
        <w:t xml:space="preserve"> бяха включени в достиженията на правото на Енергийната общност с Решение 2011/02/MC-EnC на Съвета на министрите от 6 октомври 2011 г.</w:t>
      </w:r>
    </w:p>
    <w:p>
      <w:pPr>
        <w:pStyle w:val="Text1"/>
        <w:rPr>
          <w:noProof/>
        </w:rPr>
      </w:pPr>
      <w:r>
        <w:rPr>
          <w:noProof/>
        </w:rPr>
        <w:t xml:space="preserve">Секретариатът на Енергийната общност установи, че като е сертифицирала Yugorosgaz-Transport по модела ISO, Република Сърбия не е изпълнила задълженията си по член 10, член 14, параграф 2, букви а), б) и г), членове 11 и 15 от Директива 2009/73/ЕО, както и член 24 от Регламент (ЕО) 715/2009, както </w:t>
      </w:r>
      <w:r>
        <w:rPr>
          <w:noProof/>
        </w:rPr>
        <w:lastRenderedPageBreak/>
        <w:t>са включени в достиженията на правото на Енергийната общност. През 2019 г. Съветът на министрите обяви в своето Решение 2019/02/MC-EnC, че Република Сърбия не е изпълнила задълженията си, произтичащи от Директивата за природния газ и Регламента за природния газ. Секретариатът твърди, че до момента Република Сърбия не е приложила Решение 2019/02/MC-EnC и не е отстранила посоченото нарушение на достиженията на правото на Енергийната общност. Поради това Секретариатът на Енергийната общност отправи до Съвета на министрите искане за установяване на сериозно и продължително нарушение на задълженията по ДСЕО по смисъла на член 92, параграф 1 от него.</w:t>
      </w:r>
    </w:p>
    <w:p>
      <w:pPr>
        <w:pStyle w:val="Text1"/>
        <w:rPr>
          <w:noProof/>
        </w:rPr>
      </w:pPr>
      <w:r>
        <w:rPr>
          <w:noProof/>
        </w:rPr>
        <w:t>С оглед на фактите и доводите, изложени в искането на Секретариата на Енергийната общност, позицията, която трябва да се заеме от името на Съюза в Съвета на министрите, следва да бъде за одобрение на решението, с което се установява наличието на сериозно и продължително нарушение по дело ECS-10/17S.</w:t>
      </w:r>
    </w:p>
    <w:p>
      <w:pPr>
        <w:pStyle w:val="Text1"/>
        <w:rPr>
          <w:noProof/>
        </w:rPr>
      </w:pPr>
    </w:p>
    <w:p>
      <w:pPr>
        <w:pStyle w:val="ManualHeading3"/>
        <w:rPr>
          <w:noProof/>
        </w:rPr>
      </w:pPr>
      <w:r>
        <w:rPr>
          <w:noProof/>
        </w:rPr>
        <w:t>3.1.6.</w:t>
      </w:r>
      <w:r>
        <w:rPr>
          <w:i w:val="0"/>
          <w:noProof/>
        </w:rPr>
        <w:tab/>
      </w:r>
      <w:r>
        <w:rPr>
          <w:noProof/>
        </w:rPr>
        <w:t>Назначаване на членовете на Консултативния комитет в съответствие с член 32, параграф 3 от правилника съгласно Процедурен акт № 2008/01/MC-EnC относно Процедурния правилник за уреждане на спорове, изменен с Процедурен акт 2015/04/MC-EnC</w:t>
      </w:r>
    </w:p>
    <w:p>
      <w:pPr>
        <w:pStyle w:val="Text1"/>
        <w:rPr>
          <w:rFonts w:eastAsia="Calibri"/>
          <w:noProof/>
        </w:rPr>
      </w:pPr>
      <w:r>
        <w:rPr>
          <w:noProof/>
        </w:rPr>
        <w:t xml:space="preserve">С предложените назначения мандатите на настоящите членове и заместник-членове на Консултативния комитет ще бъдат удължени с допълнителен срок до 31 декември 2024 г. в съответствие с член 32, параграф 3 от Процедурен акт № 2008/01/MC-EnC относно Процедурния правилник за уреждане на спорове, изменен с Процедурен акт 2015/04/MC-EnC.  </w:t>
      </w:r>
    </w:p>
    <w:p>
      <w:pPr>
        <w:pStyle w:val="Text1"/>
        <w:rPr>
          <w:noProof/>
        </w:rPr>
      </w:pPr>
      <w:r>
        <w:rPr>
          <w:noProof/>
        </w:rPr>
        <w:t xml:space="preserve">От името на Европейския съюз Комисията възнамерява да подкрепи предложените назначения. </w:t>
      </w:r>
    </w:p>
    <w:p>
      <w:pPr>
        <w:pStyle w:val="Point1"/>
        <w:rPr>
          <w:noProof/>
        </w:rPr>
      </w:pPr>
      <w:r>
        <w:rPr>
          <w:noProof/>
        </w:rPr>
        <w:t xml:space="preserve"> </w:t>
      </w:r>
    </w:p>
    <w:p>
      <w:pPr>
        <w:pStyle w:val="ManualHeading2"/>
        <w:rPr>
          <w:noProof/>
        </w:rPr>
      </w:pPr>
      <w:r>
        <w:rPr>
          <w:noProof/>
        </w:rPr>
        <w:t>3.2.</w:t>
      </w:r>
      <w:r>
        <w:rPr>
          <w:noProof/>
        </w:rPr>
        <w:tab/>
        <w:t>Предвидени актове на ПГВР</w:t>
      </w:r>
    </w:p>
    <w:p>
      <w:pPr>
        <w:rPr>
          <w:noProof/>
        </w:rPr>
      </w:pPr>
      <w:r>
        <w:rPr>
          <w:noProof/>
        </w:rPr>
        <w:t xml:space="preserve">Посоченият по-горе въпрос (раздел 2.3) изисква решение на ПГВР, в което позицията на Европейския съюз ще се изразява от представителя на Европейската комисия. </w:t>
      </w:r>
    </w:p>
    <w:p>
      <w:pPr>
        <w:rPr>
          <w:b/>
          <w:noProof/>
        </w:rPr>
      </w:pPr>
      <w:r>
        <w:rPr>
          <w:noProof/>
        </w:rPr>
        <w:t>През 2011 г. ПГВР прие Процедурен акт № 01/2011 PHLG-EnC за определяне на правилата, уреждащи арбитражната процедура по въпроси, свързани с персонала, съгласно член 14 от Правилника за персонала на Енергийната общност. Опитът, натрупан при прилагането на този процедурен акт, показа, че настоящите процедурни правила трябва да бъдат подобрени, за да се гарантира принципът на справедлив съдебен процес и да се допринесе за създаването на продуктивна работна среда в рамките на Секретариата на Енергийната общност. В този контекст предложеното решение на ПГВР изменя правилата, уреждащи процедурата пред Арбитражния комитет, както</w:t>
      </w:r>
      <w:r>
        <w:rPr>
          <w:rFonts w:asciiTheme="majorHAnsi" w:hAnsiTheme="majorHAnsi"/>
          <w:noProof/>
        </w:rPr>
        <w:t xml:space="preserve"> </w:t>
      </w:r>
      <w:r>
        <w:rPr>
          <w:noProof/>
        </w:rPr>
        <w:t>е предвидено в Процедурен акт № 01/2011 PHLG-EnC. Основните елементи на предвидените изменения са:</w:t>
      </w:r>
    </w:p>
    <w:p>
      <w:pPr>
        <w:pStyle w:val="Briefingtitle1"/>
        <w:spacing w:before="0" w:after="0"/>
        <w:ind w:left="360"/>
        <w:jc w:val="both"/>
        <w:rPr>
          <w:rFonts w:ascii="Times New Roman" w:hAnsi="Times New Roman" w:cs="Times New Roman"/>
          <w:b w:val="0"/>
          <w:noProof/>
          <w:sz w:val="24"/>
        </w:rPr>
      </w:pPr>
      <w:r>
        <w:rPr>
          <w:rFonts w:ascii="Times New Roman" w:hAnsi="Times New Roman"/>
          <w:b w:val="0"/>
          <w:noProof/>
          <w:sz w:val="24"/>
        </w:rPr>
        <w:t xml:space="preserve"> </w:t>
      </w:r>
    </w:p>
    <w:p>
      <w:pPr>
        <w:pStyle w:val="Bullet0"/>
        <w:numPr>
          <w:ilvl w:val="0"/>
          <w:numId w:val="11"/>
        </w:numPr>
        <w:rPr>
          <w:b/>
          <w:noProof/>
        </w:rPr>
      </w:pPr>
      <w:r>
        <w:rPr>
          <w:noProof/>
        </w:rPr>
        <w:t xml:space="preserve">предоставяне на възможност на Комисията и на другите договарящи страни да назначат постоянни представители в Арбитражния комитет, които ще бъдат в готовност да отправят искания за арбитраж в кратък срок; </w:t>
      </w:r>
    </w:p>
    <w:p>
      <w:pPr>
        <w:pStyle w:val="Bullet0"/>
        <w:rPr>
          <w:b/>
          <w:noProof/>
          <w:u w:val="single"/>
        </w:rPr>
      </w:pPr>
      <w:r>
        <w:rPr>
          <w:noProof/>
        </w:rPr>
        <w:lastRenderedPageBreak/>
        <w:t xml:space="preserve">предоставяне на възможност на Арбитражния комитет да поеме функциите си, ако някои представители не са били назначени навреме; </w:t>
      </w:r>
    </w:p>
    <w:p>
      <w:pPr>
        <w:pStyle w:val="Bullet0"/>
        <w:rPr>
          <w:b/>
          <w:noProof/>
          <w:u w:val="single"/>
        </w:rPr>
      </w:pPr>
      <w:r>
        <w:rPr>
          <w:noProof/>
        </w:rPr>
        <w:t xml:space="preserve">оправомощаване на Арбитражния комитет да откаже да одобри споразумение, ако то води до финансови последици за бюджета на Енергийната общност, които са явно несъвместими с принципа на добро финансово управление; и </w:t>
      </w:r>
    </w:p>
    <w:p>
      <w:pPr>
        <w:pStyle w:val="Bullet0"/>
        <w:rPr>
          <w:b/>
          <w:noProof/>
        </w:rPr>
      </w:pPr>
      <w:r>
        <w:rPr>
          <w:noProof/>
        </w:rPr>
        <w:t>предоставяне на възможност на Арбитражния комитет да отправя препоръки до Секретариата на Енергийната общност и да информира Съвета на министрите за това, в случай че дадена арбитражна процедура покаже наличието на структурни недостатъци в Секретариата на Енергийната общност.</w:t>
      </w:r>
    </w:p>
    <w:p>
      <w:pPr>
        <w:rPr>
          <w:noProof/>
        </w:rPr>
      </w:pPr>
      <w:r>
        <w:rPr>
          <w:noProof/>
        </w:rPr>
        <w:t>От съображения за ефективност и при условие че бъде прието предложеното изменение на Процедурен акт № 01/2011 PHLG-EnC от ПГВР, Комисията назначи г-н Manuel Kellerbauer за постоянен член на Арбитражния комитет, представляващ Европейската комисия, и г-н Lars Albath за постоянен заместник-член на Арбитражния комитет, представляващ Европейската комисия. Тези две длъжностни лица на Комисията разполагат с необходимия експертен опит, за да изпълняват функциите си, а тяхната безпристрастност или независимост са извън всякакви обосновани съмнения. Те ще действат при пълна независимост и няма да се подчиняват на никакви указания в качеството си на членове на Арбитражния комитет.</w:t>
      </w:r>
    </w:p>
    <w:p>
      <w:pPr>
        <w:autoSpaceDE w:val="0"/>
        <w:autoSpaceDN w:val="0"/>
        <w:adjustRightInd w:val="0"/>
        <w:spacing w:before="100" w:beforeAutospacing="1" w:after="100" w:afterAutospacing="1"/>
        <w:rPr>
          <w:noProof/>
          <w:szCs w:val="24"/>
        </w:rPr>
      </w:pPr>
      <w:r>
        <w:rPr>
          <w:noProof/>
        </w:rPr>
        <w:t>На тази основа позицията, която трябва да се заеме от името на Европейския съюз в рамките на ПГВР, следва да бъде одобрение на проекта на процедурен акт на ПГВР за изменение на Процедурен акт № 01/2011 PHLG-EnC на Постоянната група на високо равнище на Енергийната общност от 23 март 2011 г. за определяне на правилата, уреждащи арбитражната процедура по въпроси, свързани с персонала, съгласно член 14 от Правилника за персонала на Енергийната общност. Незначителни промени в проекта на решение на ПГВР могат да бъдат договорени с оглед на коментарите на договарящите страни от Енергийната общност или на Секретариата на Енергийната общност преди или по време на заседанието на ПГВР.</w:t>
      </w:r>
    </w:p>
    <w:p>
      <w:pPr>
        <w:rPr>
          <w:noProof/>
        </w:rPr>
      </w:pPr>
      <w:r>
        <w:rPr>
          <w:noProof/>
        </w:rPr>
        <w:t xml:space="preserve">Съветът следва също така да потвърди, при условие че ПГВР приеме предложеното изменение на Процедурен акт № 01/2011 PHLG-EnC, назначаването от Европейската комисия на посочените две длъжностни лица на Комисията като постоянен член и постоянен заместник-член на Арбитражния комитет, представляващи Европейската комисия. </w:t>
      </w:r>
    </w:p>
    <w:p>
      <w:pPr>
        <w:rPr>
          <w:noProof/>
        </w:rPr>
      </w:pPr>
    </w:p>
    <w:p>
      <w:pPr>
        <w:pStyle w:val="ManualHeading1"/>
        <w:rPr>
          <w:noProof/>
        </w:rPr>
      </w:pPr>
      <w:r>
        <w:rPr>
          <w:noProof/>
        </w:rPr>
        <w:t>4.</w:t>
      </w:r>
      <w:r>
        <w:rPr>
          <w:noProof/>
        </w:rPr>
        <w:tab/>
        <w:t>Правно основание</w:t>
      </w:r>
    </w:p>
    <w:p>
      <w:pPr>
        <w:pStyle w:val="Text1"/>
        <w:rPr>
          <w:noProof/>
        </w:rPr>
      </w:pP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lastRenderedPageBreak/>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9"/>
      </w:r>
      <w:r>
        <w:rPr>
          <w:noProof/>
        </w:rPr>
        <w:t>.</w:t>
      </w:r>
    </w:p>
    <w:p>
      <w:pPr>
        <w:pStyle w:val="ManualHeading3"/>
        <w:rPr>
          <w:noProof/>
        </w:rPr>
      </w:pPr>
      <w:r>
        <w:rPr>
          <w:noProof/>
        </w:rPr>
        <w:t>4.1.2.</w:t>
      </w:r>
      <w:r>
        <w:rPr>
          <w:noProof/>
        </w:rPr>
        <w:tab/>
        <w:t>Приложение в настоящия случай</w:t>
      </w:r>
    </w:p>
    <w:p>
      <w:pPr>
        <w:rPr>
          <w:noProof/>
        </w:rPr>
      </w:pPr>
      <w:r>
        <w:rPr>
          <w:noProof/>
        </w:rPr>
        <w:t>Съветът на министрите и ПГВР са органи, създадени със споразумение, а именно по силата на Договора за създаване на Енергийна общност.</w:t>
      </w:r>
    </w:p>
    <w:p>
      <w:pPr>
        <w:rPr>
          <w:noProof/>
        </w:rPr>
      </w:pPr>
      <w:r>
        <w:rPr>
          <w:noProof/>
        </w:rPr>
        <w:t xml:space="preserve">Актовете, които Съветът на министрите и ПГВР са приканени да приемат, представляват актове с правно действие. Предвиденият акт ще бъде обвързващ съгласно международното право в съответствие с член 76 от ДСЕО, по силата на който решението е правно обвързващо спрямо субектите, към които е адресирано. </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настоящия случай</w:t>
      </w:r>
    </w:p>
    <w:p>
      <w:pPr>
        <w:rPr>
          <w:noProof/>
        </w:rPr>
      </w:pPr>
      <w:r>
        <w:rPr>
          <w:noProof/>
        </w:rPr>
        <w:t>Основната цел и съдържание на предвидения акт са свързани с енергетиката.</w:t>
      </w:r>
    </w:p>
    <w:p>
      <w:pPr>
        <w:rPr>
          <w:i/>
          <w:noProof/>
        </w:rPr>
      </w:pPr>
      <w:r>
        <w:rPr>
          <w:noProof/>
        </w:rPr>
        <w:t>Поради това материалноправното основание за предложеното решение е член 194 от ДФЕС.</w:t>
      </w:r>
    </w:p>
    <w:p>
      <w:pPr>
        <w:rPr>
          <w:noProof/>
        </w:rPr>
      </w:pP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194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Съвета на министрите на Енергийната общност и в Постоянната група на високо равнище на Енергийната общност (Тиват, Черна гора, 16 и 17 декември 2020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Договорът за създаване на Енергийна общност („Договорът“) беше сключен от Съюза с Решение 2006/500/ЕО на Съвета от 29 май 2006 г.</w:t>
      </w:r>
      <w:r>
        <w:rPr>
          <w:rStyle w:val="FootnoteReference"/>
          <w:noProof/>
        </w:rPr>
        <w:footnoteReference w:id="10"/>
      </w:r>
      <w:r>
        <w:rPr>
          <w:noProof/>
        </w:rPr>
        <w:t xml:space="preserve"> и влезе в сила на 1 юли 2006 г.</w:t>
      </w:r>
    </w:p>
    <w:p>
      <w:pPr>
        <w:pStyle w:val="ManualConsidrant"/>
        <w:rPr>
          <w:noProof/>
        </w:rPr>
      </w:pPr>
      <w:r>
        <w:rPr>
          <w:noProof/>
        </w:rPr>
        <w:t>(2)</w:t>
      </w:r>
      <w:r>
        <w:rPr>
          <w:noProof/>
        </w:rPr>
        <w:tab/>
        <w:t>Съгласно членове 47 и 76 от Договора Съветът на министрите може да приема мерки под формата на решение или препоръка.</w:t>
      </w:r>
    </w:p>
    <w:p>
      <w:pPr>
        <w:pStyle w:val="ManualConsidrant"/>
        <w:rPr>
          <w:noProof/>
        </w:rPr>
      </w:pPr>
      <w:r>
        <w:rPr>
          <w:noProof/>
        </w:rPr>
        <w:t>(3)</w:t>
      </w:r>
      <w:r>
        <w:rPr>
          <w:noProof/>
        </w:rPr>
        <w:tab/>
        <w:t>Съветът на министрите, по време на своето 18-о заседание на 17 декември 2020 г., следва да приеме редица актове, изброени в приложение 1 към настоящото решение.</w:t>
      </w:r>
    </w:p>
    <w:p>
      <w:pPr>
        <w:pStyle w:val="ManualConsidrant"/>
        <w:rPr>
          <w:noProof/>
        </w:rPr>
      </w:pPr>
      <w:r>
        <w:rPr>
          <w:noProof/>
        </w:rPr>
        <w:t>(4)</w:t>
      </w:r>
      <w:r>
        <w:rPr>
          <w:noProof/>
        </w:rPr>
        <w:tab/>
        <w:t>По време на своето 59-о заседание на 16 декември 2020 г. Постоянната група на високо равнище следва да приеме акта, посочен в приложение 2 към настоящото решение.</w:t>
      </w:r>
    </w:p>
    <w:p>
      <w:pPr>
        <w:pStyle w:val="ManualConsidrant"/>
        <w:rPr>
          <w:noProof/>
        </w:rPr>
      </w:pPr>
      <w:r>
        <w:rPr>
          <w:noProof/>
        </w:rPr>
        <w:t>(5)</w:t>
      </w:r>
      <w:r>
        <w:rPr>
          <w:noProof/>
        </w:rPr>
        <w:tab/>
        <w:t>Целесъобразно е да се установи позицията, която трябва да се заеме от името на Съюза в Съвета на министрите и в Постоянната група на високо равнище, тъй като предвидените актове ще имат правно действие за Съюза.</w:t>
      </w:r>
    </w:p>
    <w:p>
      <w:pPr>
        <w:pStyle w:val="ManualConsidrant"/>
        <w:rPr>
          <w:noProof/>
        </w:rPr>
      </w:pPr>
      <w:r>
        <w:rPr>
          <w:noProof/>
        </w:rPr>
        <w:t>(6)</w:t>
      </w:r>
      <w:r>
        <w:rPr>
          <w:noProof/>
        </w:rPr>
        <w:tab/>
        <w:t>Целта на предвидените актове е да се улесни постигането на целите на Договора и работата на Секретариата на Енергийната общност във Виена, който, наред с другото, предоставя административна помощ на Съвета на министрите.</w:t>
      </w:r>
    </w:p>
    <w:p>
      <w:pPr>
        <w:rPr>
          <w:noProof/>
          <w:highlight w:val="yellow"/>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18-ата сесия на Съвета на министрите, насрочена да се проведе в Тиват, Черна гора на 17 декември 2020 г., по въпросите, попадащи в обхвата на член 218, параграф 9 от ДФЕС, е определена в приложение 1 към настоящото решение.</w:t>
      </w:r>
    </w:p>
    <w:p>
      <w:pPr>
        <w:pStyle w:val="Titrearticle"/>
        <w:rPr>
          <w:noProof/>
        </w:rPr>
      </w:pPr>
      <w:r>
        <w:rPr>
          <w:noProof/>
        </w:rPr>
        <w:lastRenderedPageBreak/>
        <w:t>Член 2</w:t>
      </w:r>
    </w:p>
    <w:p>
      <w:pPr>
        <w:rPr>
          <w:noProof/>
        </w:rPr>
      </w:pPr>
      <w:r>
        <w:rPr>
          <w:noProof/>
        </w:rPr>
        <w:t>Позицията, която трябва да се заеме от името на Съюза на 59-ото заседание на Постоянната група на високо равнище, насрочено да се проведе в Тиват, Черна гора на 16 декември 2020 г., по въпросите, попадащи в обхвата на член 218, параграф 9 от ДФЕС, е определена в приложение 2 към настоящото решение.</w:t>
      </w:r>
    </w:p>
    <w:p>
      <w:pPr>
        <w:pStyle w:val="Titrearticle"/>
        <w:rPr>
          <w:noProof/>
        </w:rPr>
      </w:pPr>
      <w:r>
        <w:rPr>
          <w:noProof/>
        </w:rPr>
        <w:t>Член 3</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ОВ</w:t>
      </w:r>
      <w:r>
        <w:t> L </w:t>
      </w:r>
      <w:r>
        <w:rPr>
          <w:lang w:val="ru-RU"/>
        </w:rPr>
        <w:t>198, 20.7.2006</w:t>
      </w:r>
      <w:r>
        <w:t> </w:t>
      </w:r>
      <w:r>
        <w:rPr>
          <w:lang w:val="ru-RU"/>
        </w:rPr>
        <w:t>г., ст</w:t>
      </w:r>
      <w:r>
        <w:t>p</w:t>
      </w:r>
      <w:r>
        <w:rPr>
          <w:lang w:val="ru-RU"/>
        </w:rPr>
        <w:t>.</w:t>
      </w:r>
      <w:r>
        <w:t> </w:t>
      </w:r>
      <w:r>
        <w:rPr>
          <w:lang w:val="ru-RU"/>
        </w:rPr>
        <w:t>15.</w:t>
      </w:r>
    </w:p>
  </w:footnote>
  <w:footnote w:id="2">
    <w:p>
      <w:pPr>
        <w:pStyle w:val="FootnoteText"/>
        <w:rPr>
          <w:lang w:val="ru-RU"/>
        </w:rPr>
      </w:pPr>
      <w:r>
        <w:rPr>
          <w:rStyle w:val="FootnoteReference"/>
        </w:rPr>
        <w:footnoteRef/>
      </w:r>
      <w:r>
        <w:rPr>
          <w:lang w:val="ru-RU"/>
        </w:rPr>
        <w:tab/>
      </w:r>
      <w:r>
        <w:t>D</w:t>
      </w:r>
      <w:r>
        <w:rPr>
          <w:lang w:val="ru-RU"/>
        </w:rPr>
        <w:t>/2015/09/</w:t>
      </w:r>
      <w:r>
        <w:t>MC</w:t>
      </w:r>
      <w:r>
        <w:rPr>
          <w:lang w:val="ru-RU"/>
        </w:rPr>
        <w:t>-</w:t>
      </w:r>
      <w:r>
        <w:t>EnC</w:t>
      </w:r>
    </w:p>
  </w:footnote>
  <w:footnote w:id="3">
    <w:p>
      <w:pPr>
        <w:pStyle w:val="FootnoteText"/>
        <w:rPr>
          <w:lang w:val="ru-RU"/>
        </w:rPr>
      </w:pPr>
      <w:r>
        <w:rPr>
          <w:rStyle w:val="FootnoteReference"/>
        </w:rPr>
        <w:footnoteRef/>
      </w:r>
      <w:r>
        <w:rPr>
          <w:lang w:val="ru-RU"/>
        </w:rPr>
        <w:tab/>
      </w:r>
      <w:r>
        <w:t>D</w:t>
      </w:r>
      <w:r>
        <w:rPr>
          <w:lang w:val="ru-RU"/>
        </w:rPr>
        <w:t>/2015/09/</w:t>
      </w:r>
      <w:r>
        <w:t>MC</w:t>
      </w:r>
      <w:r>
        <w:rPr>
          <w:lang w:val="ru-RU"/>
        </w:rPr>
        <w:t>-</w:t>
      </w:r>
      <w:r>
        <w:t>EnC</w:t>
      </w:r>
    </w:p>
  </w:footnote>
  <w:footnote w:id="4">
    <w:p>
      <w:pPr>
        <w:pStyle w:val="FootnoteText"/>
        <w:rPr>
          <w:lang w:val="ru-RU"/>
        </w:rPr>
      </w:pPr>
      <w:r>
        <w:rPr>
          <w:rStyle w:val="FootnoteReference"/>
        </w:rPr>
        <w:footnoteRef/>
      </w:r>
      <w:r>
        <w:rPr>
          <w:lang w:val="ru-RU"/>
        </w:rPr>
        <w:tab/>
        <w:t>Процедурен акт</w:t>
      </w:r>
      <w:r>
        <w:t> </w:t>
      </w:r>
      <w:r>
        <w:rPr>
          <w:lang w:val="ru-RU"/>
        </w:rPr>
        <w:t>2008/01/</w:t>
      </w:r>
      <w:r>
        <w:t>MC</w:t>
      </w:r>
      <w:r>
        <w:rPr>
          <w:lang w:val="ru-RU"/>
        </w:rPr>
        <w:t>-</w:t>
      </w:r>
      <w:r>
        <w:t>EnC</w:t>
      </w:r>
      <w:r>
        <w:rPr>
          <w:lang w:val="ru-RU"/>
        </w:rPr>
        <w:t xml:space="preserve"> относно Процедурен правилник за уреждане на спорове съгласно Договора, изменен с Процедурен акт</w:t>
      </w:r>
      <w:r>
        <w:t> </w:t>
      </w:r>
      <w:r>
        <w:rPr>
          <w:lang w:val="ru-RU"/>
        </w:rPr>
        <w:t>2015/04/</w:t>
      </w:r>
      <w:r>
        <w:t>MC</w:t>
      </w:r>
      <w:r>
        <w:rPr>
          <w:lang w:val="ru-RU"/>
        </w:rPr>
        <w:t>-</w:t>
      </w:r>
      <w:r>
        <w:t>EnC</w:t>
      </w:r>
      <w:r>
        <w:rPr>
          <w:lang w:val="ru-RU"/>
        </w:rPr>
        <w:t xml:space="preserve"> от 16</w:t>
      </w:r>
      <w:r>
        <w:t> </w:t>
      </w:r>
      <w:r>
        <w:rPr>
          <w:lang w:val="ru-RU"/>
        </w:rPr>
        <w:t>октомври 2015</w:t>
      </w:r>
      <w:r>
        <w:t> </w:t>
      </w:r>
      <w:r>
        <w:rPr>
          <w:lang w:val="ru-RU"/>
        </w:rPr>
        <w:t>г. за изменение на Процедурен акт 2008/01/</w:t>
      </w:r>
      <w:r>
        <w:t>MC</w:t>
      </w:r>
      <w:r>
        <w:rPr>
          <w:lang w:val="ru-RU"/>
        </w:rPr>
        <w:t>-</w:t>
      </w:r>
      <w:r>
        <w:t>EnC</w:t>
      </w:r>
      <w:r>
        <w:rPr>
          <w:lang w:val="ru-RU"/>
        </w:rPr>
        <w:t xml:space="preserve"> от 27</w:t>
      </w:r>
      <w:r>
        <w:t> </w:t>
      </w:r>
      <w:r>
        <w:rPr>
          <w:lang w:val="ru-RU"/>
        </w:rPr>
        <w:t>юни 2008</w:t>
      </w:r>
      <w:r>
        <w:t> </w:t>
      </w:r>
      <w:r>
        <w:rPr>
          <w:lang w:val="ru-RU"/>
        </w:rPr>
        <w:t>г. относно Процедурен правилник за уреждане на спорове съгласно Договора.</w:t>
      </w:r>
    </w:p>
  </w:footnote>
  <w:footnote w:id="5">
    <w:p>
      <w:pPr>
        <w:pStyle w:val="FootnoteText"/>
        <w:rPr>
          <w:lang w:val="ru-RU"/>
        </w:rPr>
      </w:pPr>
      <w:r>
        <w:rPr>
          <w:rStyle w:val="FootnoteReference"/>
        </w:rPr>
        <w:footnoteRef/>
      </w:r>
      <w:r>
        <w:rPr>
          <w:lang w:val="ru-RU"/>
        </w:rPr>
        <w:tab/>
        <w:t>Решение на Съда на ЕС от 22</w:t>
      </w:r>
      <w:r>
        <w:t> </w:t>
      </w:r>
      <w:r>
        <w:rPr>
          <w:lang w:val="ru-RU"/>
        </w:rPr>
        <w:t>май 2008</w:t>
      </w:r>
      <w:r>
        <w:t> </w:t>
      </w:r>
      <w:r>
        <w:rPr>
          <w:lang w:val="ru-RU"/>
        </w:rPr>
        <w:t xml:space="preserve">г., </w:t>
      </w:r>
      <w:r>
        <w:t>citiworks</w:t>
      </w:r>
      <w:r>
        <w:rPr>
          <w:lang w:val="ru-RU"/>
        </w:rPr>
        <w:t xml:space="preserve"> </w:t>
      </w:r>
      <w:r>
        <w:t>AG</w:t>
      </w:r>
      <w:r>
        <w:rPr>
          <w:lang w:val="ru-RU"/>
        </w:rPr>
        <w:t xml:space="preserve">, </w:t>
      </w:r>
      <w:r>
        <w:t>C</w:t>
      </w:r>
      <w:r>
        <w:rPr>
          <w:lang w:val="ru-RU"/>
        </w:rPr>
        <w:t xml:space="preserve">-439/06, </w:t>
      </w:r>
      <w:r>
        <w:t>ECLI</w:t>
      </w:r>
      <w:r>
        <w:rPr>
          <w:lang w:val="ru-RU"/>
        </w:rPr>
        <w:t>:</w:t>
      </w:r>
      <w:r>
        <w:t>EU</w:t>
      </w:r>
      <w:r>
        <w:rPr>
          <w:lang w:val="ru-RU"/>
        </w:rPr>
        <w:t>:</w:t>
      </w:r>
      <w:r>
        <w:t>C</w:t>
      </w:r>
      <w:r>
        <w:rPr>
          <w:lang w:val="ru-RU"/>
        </w:rPr>
        <w:t>:2008:298, т.</w:t>
      </w:r>
      <w:r>
        <w:t> </w:t>
      </w:r>
      <w:r>
        <w:rPr>
          <w:lang w:val="ru-RU"/>
        </w:rPr>
        <w:t>44; решение на Съда на ЕС от 9</w:t>
      </w:r>
      <w:r>
        <w:t> </w:t>
      </w:r>
      <w:r>
        <w:rPr>
          <w:lang w:val="ru-RU"/>
        </w:rPr>
        <w:t>октомври 2008</w:t>
      </w:r>
      <w:r>
        <w:t> </w:t>
      </w:r>
      <w:r>
        <w:rPr>
          <w:lang w:val="ru-RU"/>
        </w:rPr>
        <w:t xml:space="preserve">г., </w:t>
      </w:r>
      <w:r>
        <w:t>Sabatauskas</w:t>
      </w:r>
      <w:r>
        <w:rPr>
          <w:lang w:val="ru-RU"/>
        </w:rPr>
        <w:t xml:space="preserve"> и други, </w:t>
      </w:r>
      <w:r>
        <w:t>C</w:t>
      </w:r>
      <w:r>
        <w:rPr>
          <w:lang w:val="ru-RU"/>
        </w:rPr>
        <w:t xml:space="preserve">-239/07, </w:t>
      </w:r>
      <w:r>
        <w:t>ECLI</w:t>
      </w:r>
      <w:r>
        <w:rPr>
          <w:lang w:val="ru-RU"/>
        </w:rPr>
        <w:t>:</w:t>
      </w:r>
      <w:r>
        <w:t>EU</w:t>
      </w:r>
      <w:r>
        <w:rPr>
          <w:lang w:val="ru-RU"/>
        </w:rPr>
        <w:t>:</w:t>
      </w:r>
      <w:r>
        <w:t>C</w:t>
      </w:r>
      <w:r>
        <w:rPr>
          <w:lang w:val="ru-RU"/>
        </w:rPr>
        <w:t>:2008:551, т.</w:t>
      </w:r>
      <w:r>
        <w:t> </w:t>
      </w:r>
      <w:r>
        <w:rPr>
          <w:lang w:val="ru-RU"/>
        </w:rPr>
        <w:t>33; решение на Съда на ЕС от 29</w:t>
      </w:r>
      <w:r>
        <w:t> </w:t>
      </w:r>
      <w:r>
        <w:rPr>
          <w:lang w:val="ru-RU"/>
        </w:rPr>
        <w:t>септември 2016</w:t>
      </w:r>
      <w:r>
        <w:t> </w:t>
      </w:r>
      <w:r>
        <w:rPr>
          <w:lang w:val="ru-RU"/>
        </w:rPr>
        <w:t xml:space="preserve">г., </w:t>
      </w:r>
      <w:r>
        <w:t>Essent</w:t>
      </w:r>
      <w:r>
        <w:rPr>
          <w:lang w:val="ru-RU"/>
        </w:rPr>
        <w:t xml:space="preserve"> </w:t>
      </w:r>
      <w:r>
        <w:t>Belgium</w:t>
      </w:r>
      <w:r>
        <w:rPr>
          <w:lang w:val="ru-RU"/>
        </w:rPr>
        <w:t xml:space="preserve"> </w:t>
      </w:r>
      <w:r>
        <w:t>NV</w:t>
      </w:r>
      <w:r>
        <w:rPr>
          <w:lang w:val="ru-RU"/>
        </w:rPr>
        <w:t xml:space="preserve">, </w:t>
      </w:r>
      <w:r>
        <w:t>C</w:t>
      </w:r>
      <w:r>
        <w:rPr>
          <w:lang w:val="ru-RU"/>
        </w:rPr>
        <w:t xml:space="preserve">-492/14, </w:t>
      </w:r>
      <w:r>
        <w:t>ECLI</w:t>
      </w:r>
      <w:r>
        <w:rPr>
          <w:lang w:val="ru-RU"/>
        </w:rPr>
        <w:t>:</w:t>
      </w:r>
      <w:r>
        <w:t>EU</w:t>
      </w:r>
      <w:r>
        <w:rPr>
          <w:lang w:val="ru-RU"/>
        </w:rPr>
        <w:t>:</w:t>
      </w:r>
      <w:r>
        <w:t>C</w:t>
      </w:r>
      <w:r>
        <w:rPr>
          <w:lang w:val="ru-RU"/>
        </w:rPr>
        <w:t>:2016:732, т.</w:t>
      </w:r>
      <w:r>
        <w:t> </w:t>
      </w:r>
      <w:r>
        <w:rPr>
          <w:lang w:val="ru-RU"/>
        </w:rPr>
        <w:t>76.</w:t>
      </w:r>
    </w:p>
  </w:footnote>
  <w:footnote w:id="6">
    <w:p>
      <w:pPr>
        <w:pStyle w:val="FootnoteText"/>
        <w:ind w:left="142" w:hanging="142"/>
        <w:rPr>
          <w:lang w:val="ru-RU"/>
        </w:rPr>
      </w:pPr>
      <w:r>
        <w:rPr>
          <w:rStyle w:val="FootnoteReference"/>
        </w:rPr>
        <w:footnoteRef/>
      </w:r>
      <w:r>
        <w:rPr>
          <w:lang w:val="ru-RU"/>
        </w:rPr>
        <w:tab/>
        <w:t>Директива</w:t>
      </w:r>
      <w:r>
        <w:t> </w:t>
      </w:r>
      <w:r>
        <w:rPr>
          <w:lang w:val="ru-RU"/>
        </w:rPr>
        <w:t>2009/72/ЕО, Директива</w:t>
      </w:r>
      <w:r>
        <w:t> </w:t>
      </w:r>
      <w:r>
        <w:rPr>
          <w:lang w:val="ru-RU"/>
        </w:rPr>
        <w:t>2009/73/ЕО, Регламент</w:t>
      </w:r>
      <w:r>
        <w:t> </w:t>
      </w:r>
      <w:r>
        <w:rPr>
          <w:lang w:val="ru-RU"/>
        </w:rPr>
        <w:t>(ЕО)</w:t>
      </w:r>
      <w:r>
        <w:t> </w:t>
      </w:r>
      <w:r>
        <w:rPr>
          <w:lang w:val="ru-RU"/>
        </w:rPr>
        <w:t>№</w:t>
      </w:r>
      <w:r>
        <w:t> </w:t>
      </w:r>
      <w:r>
        <w:rPr>
          <w:lang w:val="ru-RU"/>
        </w:rPr>
        <w:t>714/2009 и Регламент</w:t>
      </w:r>
      <w:r>
        <w:t> </w:t>
      </w:r>
      <w:r>
        <w:rPr>
          <w:lang w:val="ru-RU"/>
        </w:rPr>
        <w:t>(ЕО) №</w:t>
      </w:r>
      <w:r>
        <w:t> </w:t>
      </w:r>
      <w:r>
        <w:rPr>
          <w:lang w:val="ru-RU"/>
        </w:rPr>
        <w:t>715/2009.</w:t>
      </w:r>
    </w:p>
  </w:footnote>
  <w:footnote w:id="7">
    <w:p>
      <w:pPr>
        <w:pStyle w:val="FootnoteText"/>
        <w:rPr>
          <w:lang w:val="ru-RU"/>
        </w:rPr>
      </w:pPr>
      <w:r>
        <w:rPr>
          <w:rStyle w:val="FootnoteReference"/>
        </w:rPr>
        <w:footnoteRef/>
      </w:r>
      <w:r>
        <w:rPr>
          <w:lang w:val="ru-RU"/>
        </w:rPr>
        <w:tab/>
        <w:t>Директива</w:t>
      </w:r>
      <w:r>
        <w:t> </w:t>
      </w:r>
      <w:r>
        <w:rPr>
          <w:lang w:val="ru-RU"/>
        </w:rPr>
        <w:t>2009/73/ЕО на Европейския парламент и на Съвета от 13</w:t>
      </w:r>
      <w:r>
        <w:t> </w:t>
      </w:r>
      <w:r>
        <w:rPr>
          <w:lang w:val="ru-RU"/>
        </w:rPr>
        <w:t>юли 2009</w:t>
      </w:r>
      <w:r>
        <w:t> </w:t>
      </w:r>
      <w:r>
        <w:rPr>
          <w:lang w:val="ru-RU"/>
        </w:rPr>
        <w:t>г. относно общите правила за вътрешния пазар на природен газ и за отмяна на Директива</w:t>
      </w:r>
      <w:r>
        <w:t> </w:t>
      </w:r>
      <w:r>
        <w:rPr>
          <w:lang w:val="ru-RU"/>
        </w:rPr>
        <w:t>2003/55/ЕО.</w:t>
      </w:r>
    </w:p>
  </w:footnote>
  <w:footnote w:id="8">
    <w:p>
      <w:pPr>
        <w:pStyle w:val="FootnoteText"/>
        <w:rPr>
          <w:lang w:val="ru-RU"/>
        </w:rPr>
      </w:pPr>
      <w:r>
        <w:rPr>
          <w:rStyle w:val="FootnoteReference"/>
        </w:rPr>
        <w:footnoteRef/>
      </w:r>
      <w:r>
        <w:rPr>
          <w:lang w:val="ru-RU"/>
        </w:rPr>
        <w:tab/>
        <w:t>Регламент (ЕО) №</w:t>
      </w:r>
      <w:r>
        <w:t> </w:t>
      </w:r>
      <w:r>
        <w:rPr>
          <w:lang w:val="ru-RU"/>
        </w:rPr>
        <w:t>715/2009 на Европейския парламент и на Съвета от 13</w:t>
      </w:r>
      <w:r>
        <w:t> </w:t>
      </w:r>
      <w:r>
        <w:rPr>
          <w:lang w:val="ru-RU"/>
        </w:rPr>
        <w:t>юли 2009</w:t>
      </w:r>
      <w:r>
        <w:t> </w:t>
      </w:r>
      <w:r>
        <w:rPr>
          <w:lang w:val="ru-RU"/>
        </w:rPr>
        <w:t>г. относно условията за достъп до газопреносни мрежи за природен газ и за отмяна на Регламент</w:t>
      </w:r>
      <w:r>
        <w:t> </w:t>
      </w:r>
      <w:r>
        <w:rPr>
          <w:lang w:val="ru-RU"/>
        </w:rPr>
        <w:t>(ЕО)</w:t>
      </w:r>
      <w:r>
        <w:t> </w:t>
      </w:r>
      <w:r>
        <w:rPr>
          <w:lang w:val="ru-RU"/>
        </w:rPr>
        <w:t>№</w:t>
      </w:r>
      <w:r>
        <w:t> </w:t>
      </w:r>
      <w:r>
        <w:rPr>
          <w:lang w:val="ru-RU"/>
        </w:rPr>
        <w:t>1775/2005.</w:t>
      </w:r>
    </w:p>
  </w:footnote>
  <w:footnote w:id="9">
    <w:p>
      <w:pPr>
        <w:pStyle w:val="FootnoteText"/>
        <w:rPr>
          <w:lang w:val="ru-RU"/>
        </w:rPr>
      </w:pPr>
      <w:r>
        <w:rPr>
          <w:rStyle w:val="FootnoteReference"/>
        </w:rPr>
        <w:footnoteRef/>
      </w:r>
      <w:r>
        <w:rPr>
          <w:lang w:val="ru-RU"/>
        </w:rPr>
        <w:tab/>
        <w:t>Решение на Съда на Европейския съюз от 7</w:t>
      </w:r>
      <w:r>
        <w:t> </w:t>
      </w:r>
      <w:r>
        <w:rPr>
          <w:lang w:val="ru-RU"/>
        </w:rPr>
        <w:t>октомври 2014</w:t>
      </w:r>
      <w:r>
        <w:t> </w:t>
      </w:r>
      <w:r>
        <w:rPr>
          <w:lang w:val="ru-RU"/>
        </w:rPr>
        <w:t xml:space="preserve">г., Германия/Съвет, </w:t>
      </w:r>
      <w:r>
        <w:t>C</w:t>
      </w:r>
      <w:r>
        <w:rPr>
          <w:lang w:val="ru-RU"/>
        </w:rPr>
        <w:t xml:space="preserve">-399/12, </w:t>
      </w:r>
      <w:r>
        <w:t>ECLI</w:t>
      </w:r>
      <w:r>
        <w:rPr>
          <w:lang w:val="ru-RU"/>
        </w:rPr>
        <w:t>:</w:t>
      </w:r>
      <w:r>
        <w:t>EU</w:t>
      </w:r>
      <w:r>
        <w:rPr>
          <w:lang w:val="ru-RU"/>
        </w:rPr>
        <w:t>:</w:t>
      </w:r>
      <w:r>
        <w:t>C</w:t>
      </w:r>
      <w:r>
        <w:rPr>
          <w:lang w:val="ru-RU"/>
        </w:rPr>
        <w:t>:2014:2258, т.</w:t>
      </w:r>
      <w:r>
        <w:t> </w:t>
      </w:r>
      <w:r>
        <w:rPr>
          <w:lang w:val="ru-RU"/>
        </w:rPr>
        <w:t xml:space="preserve">61—64. </w:t>
      </w:r>
    </w:p>
  </w:footnote>
  <w:footnote w:id="10">
    <w:p>
      <w:pPr>
        <w:pStyle w:val="FootnoteText"/>
      </w:pPr>
      <w:r>
        <w:rPr>
          <w:rStyle w:val="FootnoteReference"/>
        </w:rPr>
        <w:footnoteRef/>
      </w:r>
      <w:r>
        <w:tab/>
        <w:t>ОВ L 198, 20.7.2006 г., стp.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2401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B09C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E83C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A21A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088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847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825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1BE58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6:13: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5285C55-9964-43EE-9960-E3E71BB7F119"/>
    <w:docVar w:name="LW_COVERPAGE_TYPE" w:val="1"/>
    <w:docVar w:name="LW_CROSSREFERENCE" w:val="&lt;UNUSED&gt;"/>
    <w:docVar w:name="LW_DocType" w:val="COM"/>
    <w:docVar w:name="LW_EMISSION" w:val="26.11.2020"/>
    <w:docVar w:name="LW_EMISSION_ISODATE" w:val="2020-11-26"/>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6"/>
    <w:docVar w:name="LW_REF.II.NEW.CP_YEAR" w:val="2020"/>
    <w:docVar w:name="LW_REF.INST.NEW" w:val="COM"/>
    <w:docVar w:name="LW_REF.INST.NEW_ADOPTED" w:val="final"/>
    <w:docVar w:name="LW_REF.INST.NEW_TEXT" w:val="(2020)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85?\u1072? \u1084?\u1080?\u1085?\u1080?\u1089?\u1090?\u1088?\u1080?\u1090?\u1077? \u1085?\u1072? \u1045?\u1085?\u1077?\u1088?\u1075?\u1080?\u1081?\u1085?\u1072?\u1090?\u1072? \u1086?\u1073?\u1097?\u1085?\u1086?\u1089?\u1090? \u1080? \u1074? \u1055?\u1086?\u1089?\u1090?\u1086?\u1103?\u1085?\u1085?\u1072?\u1090?\u1072? \u1075?\u1088?\u1091?\u1087?\u1072? \u1085?\u1072? \u1074?\u1080?\u1089?\u1086?\u1082?\u1086? \u1088?\u1072?\u1074?\u1085?\u1080?\u1097?\u1077? \u1085?\u1072? \u1045?\u1085?\u1077?\u1088?\u1075?\u1080?\u1081?\u1085?\u1072?\u1090?\u1072? \u1086?\u1073?\u1097?\u1085?\u1086?\u1089?\u1090? (\u1058?\u1080?\u1074?\u1072?\u1090?, \u1063?\u1077?\u1088?\u1085?\u1072? \u1075?\u1086?\u1088?\u1072?, 16 \u1080? 17 \u1076?\u1077?\u1082?\u1077?\u1084?\u1074?\u1088?\u1080? 2020 \u1075?\u1086?\u1076?\u1080?\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paragraph" w:customStyle="1" w:styleId="Briefingtitle1">
    <w:name w:val="Briefing title 1"/>
    <w:basedOn w:val="Normal"/>
    <w:next w:val="Normal"/>
    <w:pPr>
      <w:spacing w:before="360" w:after="360"/>
      <w:jc w:val="center"/>
    </w:pPr>
    <w:rPr>
      <w:rFonts w:ascii="Arial" w:eastAsia="Times New Roman" w:hAnsi="Arial" w:cs="Arial"/>
      <w:b/>
      <w:sz w:val="28"/>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Type">
    <w:name w:val="Type"/>
    <w:basedOn w:val="Statu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paragraph" w:customStyle="1" w:styleId="Briefingtitle1">
    <w:name w:val="Briefing title 1"/>
    <w:basedOn w:val="Normal"/>
    <w:next w:val="Normal"/>
    <w:pPr>
      <w:spacing w:before="360" w:after="360"/>
      <w:jc w:val="center"/>
    </w:pPr>
    <w:rPr>
      <w:rFonts w:ascii="Arial" w:eastAsia="Times New Roman" w:hAnsi="Arial" w:cs="Arial"/>
      <w:b/>
      <w:sz w:val="28"/>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Type">
    <w:name w:val="Type"/>
    <w:basedOn w:val="Statu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365E06-A862-45D6-B1D5-3919C476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21</Pages>
  <Words>8115</Words>
  <Characters>44960</Characters>
  <Application>Microsoft Office Word</Application>
  <DocSecurity>0</DocSecurity>
  <Lines>848</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2020-12-04T10:36:00Z</dcterms:created>
  <dcterms:modified xsi:type="dcterms:W3CDTF">2020-12-04T15:13:00Z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