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E52E37AE-5773-4617-867D-7664A681EC6E"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spacing w:before="360" w:after="0" w:line="360" w:lineRule="auto"/>
        <w:jc w:val="center"/>
        <w:rPr>
          <w:rFonts w:eastAsia="Calibri"/>
          <w:noProof/>
        </w:rPr>
      </w:pPr>
      <w:r>
        <w:rPr>
          <w:noProof/>
        </w:rPr>
        <w:t>ПРОЕКТ</w:t>
      </w:r>
    </w:p>
    <w:p>
      <w:pPr>
        <w:spacing w:before="360" w:after="0" w:line="360" w:lineRule="auto"/>
        <w:jc w:val="center"/>
        <w:rPr>
          <w:rFonts w:eastAsia="Calibri"/>
          <w:b/>
          <w:noProof/>
        </w:rPr>
      </w:pPr>
      <w:r>
        <w:rPr>
          <w:b/>
          <w:noProof/>
        </w:rPr>
        <w:t>РЕШЕНИЕ № /2020</w:t>
      </w:r>
      <w:r>
        <w:rPr>
          <w:noProof/>
        </w:rPr>
        <w:t xml:space="preserve"> </w:t>
      </w:r>
      <w:r>
        <w:rPr>
          <w:noProof/>
        </w:rPr>
        <w:br/>
      </w:r>
      <w:r>
        <w:rPr>
          <w:b/>
          <w:noProof/>
        </w:rPr>
        <w:t>НА РЕГИОНАЛНИЯ УПРАВИТЕЛЕН КОМИТЕТ НА ТРАНСПОРТНАТА ОБЩНОСТ</w:t>
      </w:r>
    </w:p>
    <w:p>
      <w:pPr>
        <w:spacing w:before="360" w:after="0" w:line="360" w:lineRule="auto"/>
        <w:jc w:val="center"/>
        <w:rPr>
          <w:rFonts w:eastAsia="Calibri"/>
          <w:b/>
          <w:noProof/>
          <w:szCs w:val="24"/>
        </w:rPr>
      </w:pPr>
      <w:r>
        <w:rPr>
          <w:b/>
          <w:noProof/>
          <w:szCs w:val="24"/>
        </w:rPr>
        <w:t>от [...] година</w:t>
      </w:r>
    </w:p>
    <w:p>
      <w:pPr>
        <w:spacing w:before="0" w:after="200" w:line="276" w:lineRule="auto"/>
        <w:jc w:val="center"/>
        <w:rPr>
          <w:rFonts w:eastAsia="Calibri"/>
          <w:b/>
          <w:noProof/>
          <w:szCs w:val="24"/>
        </w:rPr>
      </w:pPr>
      <w:r>
        <w:rPr>
          <w:b/>
          <w:noProof/>
          <w:szCs w:val="24"/>
        </w:rPr>
        <w:t>за приемането на бюджета на Транспортната общност за 2021 година</w:t>
      </w:r>
    </w:p>
    <w:p>
      <w:pPr>
        <w:keepNext/>
        <w:spacing w:before="600" w:line="360" w:lineRule="auto"/>
        <w:jc w:val="left"/>
        <w:rPr>
          <w:rFonts w:eastAsia="Calibri"/>
          <w:noProof/>
        </w:rPr>
      </w:pPr>
      <w:r>
        <w:rPr>
          <w:noProof/>
        </w:rPr>
        <w:t>РЕГИОНАЛНИЯТ УПРАВИТЕЛЕН КОМИТЕТ НА ТРАНСПОРТНАТА ОБЩНОСТ,</w:t>
      </w:r>
    </w:p>
    <w:p>
      <w:pPr>
        <w:spacing w:line="360" w:lineRule="auto"/>
        <w:jc w:val="left"/>
        <w:rPr>
          <w:rFonts w:eastAsia="Calibri"/>
          <w:noProof/>
        </w:rPr>
      </w:pPr>
      <w:r>
        <w:rPr>
          <w:noProof/>
        </w:rPr>
        <w:t>като взе предвид Договора за създаване на Транспортната общност, и по-специално член 24, параграф 1 и член 35 от него,</w:t>
      </w:r>
    </w:p>
    <w:p>
      <w:pPr>
        <w:keepNext/>
        <w:spacing w:line="360" w:lineRule="auto"/>
        <w:jc w:val="left"/>
        <w:rPr>
          <w:rFonts w:eastAsia="Calibri"/>
          <w:noProof/>
        </w:rPr>
      </w:pPr>
      <w:r>
        <w:rPr>
          <w:noProof/>
        </w:rPr>
        <w:t>РЕШИ:</w:t>
      </w:r>
    </w:p>
    <w:p>
      <w:pPr>
        <w:keepNext/>
        <w:spacing w:before="360" w:line="360" w:lineRule="auto"/>
        <w:jc w:val="center"/>
        <w:rPr>
          <w:rFonts w:eastAsia="Calibri"/>
          <w:i/>
          <w:noProof/>
        </w:rPr>
      </w:pPr>
      <w:r>
        <w:rPr>
          <w:i/>
          <w:noProof/>
        </w:rPr>
        <w:t>Член 1</w:t>
      </w:r>
    </w:p>
    <w:p>
      <w:pPr>
        <w:spacing w:line="360" w:lineRule="auto"/>
        <w:jc w:val="left"/>
        <w:rPr>
          <w:rFonts w:eastAsia="Calibri"/>
          <w:noProof/>
        </w:rPr>
      </w:pPr>
      <w:r>
        <w:rPr>
          <w:noProof/>
        </w:rPr>
        <w:t>С настоящото се приема бюджетът на Транспортната общност за 2021 г., приложен към настоящото решение.</w:t>
      </w:r>
    </w:p>
    <w:p>
      <w:pPr>
        <w:keepNext/>
        <w:spacing w:before="360"/>
        <w:jc w:val="center"/>
        <w:rPr>
          <w:rFonts w:eastAsia="Calibri"/>
          <w:i/>
          <w:noProof/>
        </w:rPr>
      </w:pPr>
      <w:r>
        <w:rPr>
          <w:i/>
          <w:noProof/>
        </w:rPr>
        <w:t>Член 2</w:t>
      </w:r>
    </w:p>
    <w:p>
      <w:pPr>
        <w:pStyle w:val="Point0number"/>
        <w:numPr>
          <w:ilvl w:val="0"/>
          <w:numId w:val="12"/>
        </w:numPr>
        <w:rPr>
          <w:noProof/>
        </w:rPr>
      </w:pPr>
      <w:r>
        <w:rPr>
          <w:noProof/>
        </w:rPr>
        <w:t>В съответствие с член 10, параграф 1 от финансовите правила и процедурите за одит, приложими за Транспортната общност, бюджетните кредити по даден бюджетен ред от бюджета за 2021 г. могат да се използват за цели, които бюджетът отнася към друг бюджетен ред, в рамките на общото ограничение от 10 % от бюджетните кредити по предишния бюджетен ред. Това не се прилага за бюджетния ред за бюджета за човешки ресурси.</w:t>
      </w:r>
    </w:p>
    <w:p>
      <w:pPr>
        <w:pStyle w:val="Point0number"/>
        <w:rPr>
          <w:noProof/>
        </w:rPr>
      </w:pPr>
      <w:r>
        <w:rPr>
          <w:noProof/>
        </w:rPr>
        <w:t xml:space="preserve">Бюджетните кредити, пренесени с оглед на изпълнението на задълженията, подписани в края на 2020 г., както е посочено в приложения бюджет, не са допустими за усвояването, посочено в първия параграф. Те не се вземат предвид при определяне на максималния размер, съответстващ на ограничението от 10 %, посочено пак там.  </w:t>
      </w:r>
    </w:p>
    <w:p>
      <w:pPr>
        <w:keepNext/>
        <w:spacing w:before="360"/>
        <w:jc w:val="center"/>
        <w:rPr>
          <w:rFonts w:eastAsia="Calibri"/>
          <w:i/>
          <w:noProof/>
        </w:rPr>
      </w:pPr>
      <w:r>
        <w:rPr>
          <w:i/>
          <w:noProof/>
        </w:rPr>
        <w:t>Член 3</w:t>
      </w:r>
    </w:p>
    <w:p>
      <w:pPr>
        <w:pStyle w:val="Point0number"/>
        <w:rPr>
          <w:noProof/>
        </w:rPr>
      </w:pPr>
      <w:r>
        <w:rPr>
          <w:noProof/>
        </w:rPr>
        <w:t>Бюджетните кредити, за които не са за поети задължения в края на финансовите години 2019 и 2020, се анулират и се изплащат обратно на страните в съответствие с процентите, определени в приложение V към Договора за създаване на Транспортната общност, и с действително платените вноски.</w:t>
      </w:r>
    </w:p>
    <w:p>
      <w:pPr>
        <w:keepNext/>
        <w:spacing w:after="0" w:line="360" w:lineRule="auto"/>
        <w:jc w:val="left"/>
        <w:rPr>
          <w:rFonts w:eastAsia="Calibri"/>
          <w:noProof/>
        </w:rPr>
      </w:pPr>
    </w:p>
    <w:p>
      <w:pPr>
        <w:keepNext/>
        <w:spacing w:after="0" w:line="360" w:lineRule="auto"/>
        <w:jc w:val="left"/>
        <w:rPr>
          <w:rFonts w:eastAsia="Calibri"/>
          <w:noProof/>
        </w:rPr>
      </w:pPr>
      <w:r>
        <w:rPr>
          <w:noProof/>
        </w:rPr>
        <w:t>Съставено в … на … 2020 година.</w:t>
      </w:r>
    </w:p>
    <w:p>
      <w:pPr>
        <w:keepNext/>
        <w:tabs>
          <w:tab w:val="left" w:pos="5669"/>
        </w:tabs>
        <w:spacing w:before="360" w:after="0" w:line="360" w:lineRule="auto"/>
        <w:jc w:val="left"/>
        <w:rPr>
          <w:rFonts w:eastAsia="Calibri"/>
          <w:i/>
          <w:noProof/>
        </w:rPr>
      </w:pPr>
      <w:r>
        <w:rPr>
          <w:i/>
          <w:noProof/>
        </w:rPr>
        <w:t>За Регионалния управителен комитет</w:t>
      </w:r>
    </w:p>
    <w:p>
      <w:pPr>
        <w:tabs>
          <w:tab w:val="left" w:pos="5669"/>
        </w:tabs>
        <w:spacing w:before="360" w:after="0" w:line="360" w:lineRule="auto"/>
        <w:jc w:val="left"/>
        <w:rPr>
          <w:rFonts w:eastAsia="Calibri"/>
          <w:i/>
          <w:noProof/>
        </w:rPr>
      </w:pPr>
      <w:r>
        <w:rPr>
          <w:noProof/>
        </w:rPr>
        <w:tab/>
      </w:r>
      <w:r>
        <w:rPr>
          <w:i/>
          <w:noProof/>
        </w:rPr>
        <w:t>Председател</w:t>
      </w:r>
    </w:p>
    <w:p>
      <w:pPr>
        <w:rPr>
          <w:rFonts w:eastAsia="Calibri"/>
          <w:noProof/>
        </w:rPr>
      </w:pPr>
      <w:r>
        <w:rPr>
          <w:noProof/>
        </w:rPr>
        <w:br w:type="page"/>
      </w:r>
    </w:p>
    <w:p>
      <w:pPr>
        <w:spacing w:line="360" w:lineRule="auto"/>
        <w:jc w:val="center"/>
        <w:rPr>
          <w:rFonts w:ascii="Calibri" w:eastAsia="Calibri" w:hAnsi="Calibri" w:cs="Arial"/>
          <w:noProof/>
          <w:u w:val="single"/>
        </w:rPr>
      </w:pPr>
      <w:r>
        <w:rPr>
          <w:noProof/>
        </w:rPr>
        <w:t>БЮДЖЕТ НА ТРАНСПОРТНАТА ОБЩНОСТ ЗА 2021 ГОДИНА</w:t>
      </w:r>
    </w:p>
    <w:tbl>
      <w:tblPr>
        <w:tblW w:w="9776" w:type="dxa"/>
        <w:tblInd w:w="113" w:type="dxa"/>
        <w:tblLook w:val="04A0" w:firstRow="1" w:lastRow="0" w:firstColumn="1" w:lastColumn="0" w:noHBand="0" w:noVBand="1"/>
      </w:tblPr>
      <w:tblGrid>
        <w:gridCol w:w="7225"/>
        <w:gridCol w:w="2551"/>
      </w:tblGrid>
      <w:tr>
        <w:trPr>
          <w:trHeight w:val="290"/>
        </w:trPr>
        <w:tc>
          <w:tcPr>
            <w:tcW w:w="7225" w:type="dxa"/>
            <w:tcBorders>
              <w:top w:val="single" w:sz="4" w:space="0" w:color="auto"/>
              <w:left w:val="single" w:sz="4" w:space="0" w:color="auto"/>
              <w:bottom w:val="single" w:sz="4" w:space="0" w:color="auto"/>
              <w:right w:val="single" w:sz="4" w:space="0" w:color="auto"/>
            </w:tcBorders>
            <w:noWrap/>
            <w:vAlign w:val="center"/>
            <w:hideMark/>
          </w:tcPr>
          <w:p>
            <w:pPr>
              <w:spacing w:before="60" w:after="60" w:line="276" w:lineRule="auto"/>
              <w:jc w:val="center"/>
              <w:rPr>
                <w:rFonts w:eastAsia="Calibri"/>
                <w:noProof/>
              </w:rPr>
            </w:pPr>
            <w:r>
              <w:rPr>
                <w:noProof/>
              </w:rPr>
              <w:t>Бюджетен ред</w:t>
            </w:r>
          </w:p>
        </w:tc>
        <w:tc>
          <w:tcPr>
            <w:tcW w:w="2551" w:type="dxa"/>
            <w:tcBorders>
              <w:top w:val="single" w:sz="4" w:space="0" w:color="auto"/>
              <w:left w:val="nil"/>
              <w:bottom w:val="single" w:sz="4" w:space="0" w:color="auto"/>
              <w:right w:val="single" w:sz="4" w:space="0" w:color="auto"/>
            </w:tcBorders>
            <w:noWrap/>
            <w:vAlign w:val="center"/>
            <w:hideMark/>
          </w:tcPr>
          <w:p>
            <w:pPr>
              <w:spacing w:before="60" w:after="60" w:line="276" w:lineRule="auto"/>
              <w:jc w:val="center"/>
              <w:rPr>
                <w:rFonts w:eastAsia="Calibri"/>
                <w:noProof/>
              </w:rPr>
            </w:pPr>
            <w:r>
              <w:rPr>
                <w:noProof/>
              </w:rPr>
              <w:t>Сума</w:t>
            </w:r>
          </w:p>
          <w:p>
            <w:pPr>
              <w:spacing w:before="60" w:after="60" w:line="276" w:lineRule="auto"/>
              <w:jc w:val="center"/>
              <w:rPr>
                <w:rFonts w:eastAsia="Calibri"/>
                <w:noProof/>
              </w:rPr>
            </w:pPr>
            <w:r>
              <w:rPr>
                <w:noProof/>
              </w:rPr>
              <w:t>(EUR)</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0"/>
                <w:numId w:val="9"/>
              </w:numPr>
              <w:spacing w:before="0" w:after="0" w:line="252" w:lineRule="auto"/>
              <w:contextualSpacing w:val="0"/>
              <w:jc w:val="left"/>
              <w:rPr>
                <w:b/>
                <w:bCs/>
                <w:noProof/>
                <w:color w:val="000000"/>
                <w:sz w:val="22"/>
              </w:rPr>
            </w:pPr>
            <w:r>
              <w:rPr>
                <w:b/>
                <w:bCs/>
                <w:noProof/>
                <w:color w:val="000000"/>
              </w:rPr>
              <w:t>Постоянен секретариат</w:t>
            </w:r>
          </w:p>
        </w:tc>
        <w:tc>
          <w:tcPr>
            <w:tcW w:w="2551" w:type="dxa"/>
            <w:tcBorders>
              <w:top w:val="single" w:sz="4" w:space="0" w:color="auto"/>
              <w:left w:val="single" w:sz="4" w:space="0" w:color="auto"/>
              <w:bottom w:val="single" w:sz="4" w:space="0" w:color="auto"/>
              <w:right w:val="single" w:sz="4" w:space="0" w:color="auto"/>
            </w:tcBorders>
            <w:vAlign w:val="center"/>
          </w:tcPr>
          <w:p>
            <w:pPr>
              <w:pStyle w:val="ListParagraph"/>
              <w:spacing w:line="252" w:lineRule="auto"/>
              <w:ind w:left="360"/>
              <w:rPr>
                <w:b/>
                <w:bCs/>
                <w:noProof/>
                <w:color w:val="000000"/>
              </w:rPr>
            </w:pP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1"/>
                <w:numId w:val="10"/>
              </w:numPr>
              <w:spacing w:before="0" w:after="0" w:line="252" w:lineRule="auto"/>
              <w:contextualSpacing w:val="0"/>
              <w:jc w:val="left"/>
              <w:rPr>
                <w:noProof/>
                <w:color w:val="000000"/>
              </w:rPr>
            </w:pPr>
            <w:r>
              <w:rPr>
                <w:noProof/>
                <w:color w:val="000000"/>
              </w:rPr>
              <w:t xml:space="preserve"> Човешки ресурси</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line="252" w:lineRule="auto"/>
              <w:jc w:val="right"/>
              <w:rPr>
                <w:bCs/>
                <w:noProof/>
                <w:color w:val="000000"/>
              </w:rPr>
            </w:pPr>
            <w:r>
              <w:rPr>
                <w:b/>
                <w:bCs/>
                <w:noProof/>
                <w:color w:val="000000"/>
              </w:rPr>
              <w:t xml:space="preserve"> </w:t>
            </w:r>
            <w:r>
              <w:rPr>
                <w:bCs/>
                <w:noProof/>
                <w:color w:val="000000"/>
              </w:rPr>
              <w:t xml:space="preserve">1 465 706 </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1"/>
                <w:numId w:val="10"/>
              </w:numPr>
              <w:spacing w:before="0" w:after="0" w:line="252" w:lineRule="auto"/>
              <w:contextualSpacing w:val="0"/>
              <w:jc w:val="left"/>
              <w:rPr>
                <w:noProof/>
                <w:color w:val="000000"/>
              </w:rPr>
            </w:pPr>
            <w:r>
              <w:rPr>
                <w:noProof/>
                <w:color w:val="000000"/>
              </w:rPr>
              <w:t xml:space="preserve"> Пътни разходи</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line="252" w:lineRule="auto"/>
              <w:jc w:val="right"/>
              <w:rPr>
                <w:bCs/>
                <w:noProof/>
                <w:color w:val="000000"/>
              </w:rPr>
            </w:pPr>
            <w:r>
              <w:rPr>
                <w:b/>
                <w:bCs/>
                <w:noProof/>
                <w:color w:val="000000"/>
              </w:rPr>
              <w:t xml:space="preserve"> </w:t>
            </w:r>
            <w:r>
              <w:rPr>
                <w:bCs/>
                <w:noProof/>
                <w:color w:val="000000"/>
              </w:rPr>
              <w:t xml:space="preserve">237 600 </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1"/>
                <w:numId w:val="10"/>
              </w:numPr>
              <w:spacing w:before="0" w:after="0" w:line="252" w:lineRule="auto"/>
              <w:contextualSpacing w:val="0"/>
              <w:jc w:val="left"/>
              <w:rPr>
                <w:noProof/>
                <w:color w:val="000000"/>
              </w:rPr>
            </w:pPr>
            <w:r>
              <w:rPr>
                <w:noProof/>
                <w:color w:val="000000"/>
              </w:rPr>
              <w:t xml:space="preserve"> Канцеларски разходи, оборудване и софтуер</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line="252" w:lineRule="auto"/>
              <w:jc w:val="right"/>
              <w:rPr>
                <w:bCs/>
                <w:noProof/>
                <w:color w:val="000000"/>
              </w:rPr>
            </w:pPr>
            <w:r>
              <w:rPr>
                <w:bCs/>
                <w:noProof/>
                <w:color w:val="000000"/>
              </w:rPr>
              <w:t xml:space="preserve">403 080 </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pStyle w:val="ListParagraph"/>
              <w:numPr>
                <w:ilvl w:val="0"/>
                <w:numId w:val="11"/>
              </w:numPr>
              <w:spacing w:before="0" w:after="0" w:line="252" w:lineRule="auto"/>
              <w:contextualSpacing w:val="0"/>
              <w:jc w:val="left"/>
              <w:rPr>
                <w:noProof/>
                <w:color w:val="000000"/>
              </w:rPr>
            </w:pPr>
            <w:r>
              <w:rPr>
                <w:i/>
                <w:noProof/>
                <w:color w:val="000000"/>
                <w:sz w:val="22"/>
              </w:rPr>
              <w:t>От които нови кредити</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pStyle w:val="ListParagraph"/>
              <w:spacing w:before="0" w:after="0" w:line="252" w:lineRule="auto"/>
              <w:ind w:left="1451"/>
              <w:contextualSpacing w:val="0"/>
              <w:jc w:val="right"/>
              <w:rPr>
                <w:i/>
                <w:noProof/>
                <w:color w:val="000000"/>
                <w:sz w:val="22"/>
              </w:rPr>
            </w:pPr>
            <w:r>
              <w:rPr>
                <w:i/>
                <w:noProof/>
                <w:color w:val="000000"/>
                <w:sz w:val="22"/>
              </w:rPr>
              <w:t>308 080</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pStyle w:val="ListParagraph"/>
              <w:numPr>
                <w:ilvl w:val="0"/>
                <w:numId w:val="11"/>
              </w:numPr>
              <w:spacing w:before="0" w:after="0" w:line="252" w:lineRule="auto"/>
              <w:contextualSpacing w:val="0"/>
              <w:jc w:val="left"/>
              <w:rPr>
                <w:noProof/>
                <w:color w:val="000000"/>
              </w:rPr>
            </w:pPr>
            <w:r>
              <w:rPr>
                <w:i/>
                <w:noProof/>
                <w:color w:val="000000"/>
                <w:sz w:val="22"/>
              </w:rPr>
              <w:t>От които пренесени бюджетни кредити, съответстващи на задължения, подписани в края на 2020 г., за които плащанията са дължими през 2021 г.</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pStyle w:val="ListParagraph"/>
              <w:spacing w:before="0" w:after="0" w:line="252" w:lineRule="auto"/>
              <w:ind w:left="1451"/>
              <w:contextualSpacing w:val="0"/>
              <w:jc w:val="right"/>
              <w:rPr>
                <w:i/>
                <w:noProof/>
                <w:color w:val="000000"/>
                <w:sz w:val="22"/>
              </w:rPr>
            </w:pPr>
            <w:r>
              <w:rPr>
                <w:i/>
                <w:noProof/>
                <w:color w:val="000000"/>
                <w:sz w:val="22"/>
              </w:rPr>
              <w:t>95 000</w:t>
            </w:r>
            <w:r>
              <w:rPr>
                <w:rStyle w:val="FootnoteReference"/>
                <w:i/>
                <w:noProof/>
                <w:color w:val="000000"/>
                <w:sz w:val="22"/>
              </w:rPr>
              <w:footnoteReference w:id="1"/>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1"/>
                <w:numId w:val="10"/>
              </w:numPr>
              <w:spacing w:before="0" w:after="0" w:line="252" w:lineRule="auto"/>
              <w:contextualSpacing w:val="0"/>
              <w:jc w:val="left"/>
              <w:rPr>
                <w:noProof/>
                <w:color w:val="000000"/>
              </w:rPr>
            </w:pPr>
            <w:r>
              <w:rPr>
                <w:noProof/>
                <w:color w:val="000000"/>
              </w:rPr>
              <w:t xml:space="preserve"> Други разходи и услуги, включително:</w:t>
            </w:r>
          </w:p>
          <w:p>
            <w:pPr>
              <w:spacing w:line="252" w:lineRule="auto"/>
              <w:ind w:firstLine="220"/>
              <w:rPr>
                <w:noProof/>
                <w:color w:val="000000"/>
              </w:rPr>
            </w:pPr>
            <w:r>
              <w:rPr>
                <w:noProof/>
                <w:color w:val="000000"/>
              </w:rPr>
              <w:t>– Услуги, възложени на външни изпълнители, и други услуги (одит, видимост, обучение на персонала, банкови такси)</w:t>
            </w:r>
          </w:p>
          <w:p>
            <w:pPr>
              <w:spacing w:line="252" w:lineRule="auto"/>
              <w:ind w:firstLine="220"/>
              <w:rPr>
                <w:noProof/>
                <w:color w:val="000000"/>
              </w:rPr>
            </w:pPr>
            <w:r>
              <w:rPr>
                <w:noProof/>
                <w:color w:val="000000"/>
              </w:rPr>
              <w:t>– Разходи за заседания и конференции</w:t>
            </w:r>
          </w:p>
          <w:p>
            <w:pPr>
              <w:spacing w:line="252" w:lineRule="auto"/>
              <w:ind w:firstLine="220"/>
              <w:rPr>
                <w:noProof/>
                <w:color w:val="000000"/>
              </w:rPr>
            </w:pPr>
            <w:r>
              <w:rPr>
                <w:noProof/>
                <w:color w:val="000000"/>
              </w:rPr>
              <w:t>– Разходи за информационни технологии и комуникация</w:t>
            </w:r>
          </w:p>
          <w:p>
            <w:pPr>
              <w:spacing w:line="252" w:lineRule="auto"/>
              <w:ind w:firstLine="220"/>
              <w:rPr>
                <w:noProof/>
                <w:color w:val="000000"/>
              </w:rPr>
            </w:pPr>
            <w:r>
              <w:rPr>
                <w:noProof/>
                <w:color w:val="000000"/>
              </w:rPr>
              <w:t>– Разходи за набиране на персонал</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line="252" w:lineRule="auto"/>
              <w:jc w:val="right"/>
              <w:rPr>
                <w:bCs/>
                <w:noProof/>
                <w:color w:val="000000"/>
              </w:rPr>
            </w:pPr>
            <w:r>
              <w:rPr>
                <w:b/>
                <w:bCs/>
                <w:noProof/>
                <w:color w:val="000000"/>
              </w:rPr>
              <w:t xml:space="preserve"> </w:t>
            </w:r>
            <w:r>
              <w:rPr>
                <w:bCs/>
                <w:noProof/>
                <w:color w:val="000000"/>
              </w:rPr>
              <w:t>262 890</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1"/>
                <w:numId w:val="10"/>
              </w:numPr>
              <w:spacing w:before="0" w:after="0" w:line="252" w:lineRule="auto"/>
              <w:contextualSpacing w:val="0"/>
              <w:jc w:val="left"/>
              <w:rPr>
                <w:noProof/>
                <w:color w:val="000000"/>
              </w:rPr>
            </w:pPr>
            <w:r>
              <w:rPr>
                <w:noProof/>
                <w:color w:val="000000"/>
              </w:rPr>
              <w:t xml:space="preserve"> ПРОУЧВАНИЯ, техническа помощ за подпомагане на прилагането на достиженията на правото на ЕС и плановете за действие.</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line="252" w:lineRule="auto"/>
              <w:jc w:val="right"/>
              <w:rPr>
                <w:bCs/>
                <w:noProof/>
                <w:color w:val="000000"/>
              </w:rPr>
            </w:pPr>
            <w:r>
              <w:rPr>
                <w:bCs/>
                <w:noProof/>
                <w:color w:val="000000"/>
              </w:rPr>
              <w:t xml:space="preserve"> 690 000</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pStyle w:val="ListParagraph"/>
              <w:numPr>
                <w:ilvl w:val="0"/>
                <w:numId w:val="11"/>
              </w:numPr>
              <w:spacing w:before="0" w:after="0" w:line="252" w:lineRule="auto"/>
              <w:contextualSpacing w:val="0"/>
              <w:jc w:val="left"/>
              <w:rPr>
                <w:i/>
                <w:noProof/>
                <w:color w:val="000000"/>
                <w:sz w:val="22"/>
              </w:rPr>
            </w:pPr>
            <w:r>
              <w:rPr>
                <w:i/>
                <w:noProof/>
                <w:color w:val="000000"/>
                <w:sz w:val="22"/>
              </w:rPr>
              <w:t>От които нови кредити</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spacing w:line="252" w:lineRule="auto"/>
              <w:jc w:val="right"/>
              <w:rPr>
                <w:bCs/>
                <w:i/>
                <w:noProof/>
                <w:color w:val="000000"/>
                <w:sz w:val="22"/>
              </w:rPr>
            </w:pPr>
            <w:r>
              <w:rPr>
                <w:bCs/>
                <w:i/>
                <w:noProof/>
                <w:color w:val="000000"/>
                <w:sz w:val="22"/>
              </w:rPr>
              <w:t>560 000</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pStyle w:val="ListParagraph"/>
              <w:numPr>
                <w:ilvl w:val="0"/>
                <w:numId w:val="11"/>
              </w:numPr>
              <w:spacing w:before="0" w:after="0" w:line="252" w:lineRule="auto"/>
              <w:contextualSpacing w:val="0"/>
              <w:jc w:val="left"/>
              <w:rPr>
                <w:i/>
                <w:noProof/>
                <w:color w:val="000000"/>
                <w:sz w:val="22"/>
              </w:rPr>
            </w:pPr>
            <w:r>
              <w:rPr>
                <w:i/>
                <w:noProof/>
                <w:color w:val="000000"/>
                <w:sz w:val="22"/>
              </w:rPr>
              <w:t>От които пренесени</w:t>
            </w:r>
            <w:r>
              <w:rPr>
                <w:i/>
                <w:noProof/>
                <w:sz w:val="22"/>
              </w:rPr>
              <w:t xml:space="preserve"> бюджетни кредити, съответстващи на задължения, подписани в края на 2020 г., за които плащанията са дължими през 2021 г.</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spacing w:line="252" w:lineRule="auto"/>
              <w:jc w:val="right"/>
              <w:rPr>
                <w:bCs/>
                <w:i/>
                <w:noProof/>
                <w:color w:val="000000"/>
                <w:sz w:val="22"/>
              </w:rPr>
            </w:pPr>
            <w:r>
              <w:rPr>
                <w:bCs/>
                <w:i/>
                <w:noProof/>
                <w:color w:val="000000"/>
                <w:sz w:val="22"/>
              </w:rPr>
              <w:t>130 000</w:t>
            </w:r>
            <w:r>
              <w:rPr>
                <w:rStyle w:val="FootnoteReference"/>
                <w:rFonts w:eastAsia="Calibri"/>
                <w:i/>
                <w:noProof/>
                <w:color w:val="000000"/>
                <w:sz w:val="22"/>
                <w:lang w:eastAsia="en-GB"/>
              </w:rPr>
              <w:footnoteReference w:id="2"/>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0"/>
                <w:numId w:val="10"/>
              </w:numPr>
              <w:spacing w:before="0" w:after="0" w:line="252" w:lineRule="auto"/>
              <w:contextualSpacing w:val="0"/>
              <w:jc w:val="left"/>
              <w:rPr>
                <w:b/>
                <w:bCs/>
                <w:noProof/>
                <w:color w:val="000000"/>
              </w:rPr>
            </w:pPr>
            <w:r>
              <w:rPr>
                <w:b/>
                <w:bCs/>
                <w:noProof/>
                <w:color w:val="000000"/>
              </w:rPr>
              <w:t>Съвет на министрите</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spacing w:line="252" w:lineRule="auto"/>
              <w:jc w:val="right"/>
              <w:rPr>
                <w:b/>
                <w:bCs/>
                <w:noProof/>
                <w:color w:val="000000"/>
              </w:rPr>
            </w:pP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1"/>
                <w:numId w:val="10"/>
              </w:numPr>
              <w:spacing w:before="0" w:after="0" w:line="252" w:lineRule="auto"/>
              <w:contextualSpacing w:val="0"/>
              <w:jc w:val="left"/>
              <w:rPr>
                <w:noProof/>
                <w:color w:val="000000"/>
              </w:rPr>
            </w:pPr>
            <w:r>
              <w:rPr>
                <w:noProof/>
                <w:color w:val="000000"/>
              </w:rPr>
              <w:t xml:space="preserve"> Разходи за заседания и конференции</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line="252" w:lineRule="auto"/>
              <w:jc w:val="right"/>
              <w:rPr>
                <w:bCs/>
                <w:noProof/>
                <w:color w:val="000000"/>
              </w:rPr>
            </w:pPr>
            <w:r>
              <w:rPr>
                <w:bCs/>
                <w:noProof/>
                <w:color w:val="000000"/>
              </w:rPr>
              <w:t>         60 000</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0"/>
                <w:numId w:val="10"/>
              </w:numPr>
              <w:spacing w:before="0" w:after="0" w:line="252" w:lineRule="auto"/>
              <w:contextualSpacing w:val="0"/>
              <w:jc w:val="left"/>
              <w:rPr>
                <w:b/>
                <w:bCs/>
                <w:noProof/>
                <w:color w:val="000000"/>
              </w:rPr>
            </w:pPr>
            <w:r>
              <w:rPr>
                <w:b/>
                <w:bCs/>
                <w:noProof/>
                <w:color w:val="000000"/>
              </w:rPr>
              <w:t>Регионален управителен комитет</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spacing w:line="252" w:lineRule="auto"/>
              <w:jc w:val="right"/>
              <w:rPr>
                <w:b/>
                <w:bCs/>
                <w:noProof/>
                <w:color w:val="000000"/>
              </w:rPr>
            </w:pP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1"/>
                <w:numId w:val="10"/>
              </w:numPr>
              <w:spacing w:before="0" w:after="0" w:line="252" w:lineRule="auto"/>
              <w:contextualSpacing w:val="0"/>
              <w:jc w:val="left"/>
              <w:rPr>
                <w:noProof/>
                <w:color w:val="000000"/>
              </w:rPr>
            </w:pPr>
            <w:r>
              <w:rPr>
                <w:noProof/>
                <w:color w:val="000000"/>
              </w:rPr>
              <w:t xml:space="preserve"> Разходи за заседания и конференции</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line="252" w:lineRule="auto"/>
              <w:jc w:val="right"/>
              <w:rPr>
                <w:bCs/>
                <w:noProof/>
                <w:color w:val="000000"/>
              </w:rPr>
            </w:pPr>
            <w:r>
              <w:rPr>
                <w:bCs/>
                <w:noProof/>
                <w:color w:val="000000"/>
              </w:rPr>
              <w:t>                      25 450</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0"/>
                <w:numId w:val="10"/>
              </w:numPr>
              <w:spacing w:before="0" w:after="0" w:line="252" w:lineRule="auto"/>
              <w:contextualSpacing w:val="0"/>
              <w:jc w:val="left"/>
              <w:rPr>
                <w:b/>
                <w:bCs/>
                <w:noProof/>
                <w:color w:val="000000"/>
              </w:rPr>
            </w:pPr>
            <w:r>
              <w:rPr>
                <w:b/>
                <w:bCs/>
                <w:noProof/>
                <w:color w:val="000000"/>
              </w:rPr>
              <w:t>Технически комитети</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spacing w:line="252" w:lineRule="auto"/>
              <w:jc w:val="right"/>
              <w:rPr>
                <w:b/>
                <w:bCs/>
                <w:noProof/>
                <w:color w:val="000000"/>
              </w:rPr>
            </w:pP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1"/>
                <w:numId w:val="10"/>
              </w:numPr>
              <w:spacing w:before="0" w:after="0" w:line="252" w:lineRule="auto"/>
              <w:contextualSpacing w:val="0"/>
              <w:jc w:val="left"/>
              <w:rPr>
                <w:noProof/>
                <w:color w:val="000000"/>
              </w:rPr>
            </w:pPr>
            <w:r>
              <w:rPr>
                <w:noProof/>
                <w:color w:val="000000"/>
              </w:rPr>
              <w:t xml:space="preserve"> Разходи за заседания и конференции</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line="252" w:lineRule="auto"/>
              <w:jc w:val="right"/>
              <w:rPr>
                <w:bCs/>
                <w:noProof/>
                <w:color w:val="000000"/>
              </w:rPr>
            </w:pPr>
            <w:r>
              <w:rPr>
                <w:bCs/>
                <w:noProof/>
                <w:color w:val="000000"/>
              </w:rPr>
              <w:t>         114 100</w:t>
            </w: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0"/>
                <w:numId w:val="10"/>
              </w:numPr>
              <w:spacing w:before="0" w:after="0" w:line="252" w:lineRule="auto"/>
              <w:contextualSpacing w:val="0"/>
              <w:jc w:val="left"/>
              <w:rPr>
                <w:b/>
                <w:bCs/>
                <w:noProof/>
                <w:color w:val="000000"/>
              </w:rPr>
            </w:pPr>
            <w:r>
              <w:rPr>
                <w:b/>
                <w:bCs/>
                <w:noProof/>
                <w:color w:val="000000"/>
              </w:rPr>
              <w:t>Социален форум</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pPr>
              <w:spacing w:line="252" w:lineRule="auto"/>
              <w:jc w:val="right"/>
              <w:rPr>
                <w:b/>
                <w:bCs/>
                <w:noProof/>
                <w:color w:val="000000"/>
              </w:rPr>
            </w:pPr>
          </w:p>
        </w:tc>
      </w:tr>
      <w:tr>
        <w:tblPrEx>
          <w:tblCellMar>
            <w:left w:w="0" w:type="dxa"/>
            <w:right w:w="0" w:type="dxa"/>
          </w:tblCellMar>
        </w:tblPrEx>
        <w:trPr>
          <w:trHeight w:val="480"/>
        </w:trPr>
        <w:tc>
          <w:tcPr>
            <w:tcW w:w="72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pStyle w:val="ListParagraph"/>
              <w:numPr>
                <w:ilvl w:val="1"/>
                <w:numId w:val="10"/>
              </w:numPr>
              <w:spacing w:before="0" w:after="0" w:line="252" w:lineRule="auto"/>
              <w:contextualSpacing w:val="0"/>
              <w:jc w:val="left"/>
              <w:rPr>
                <w:noProof/>
                <w:color w:val="000000"/>
              </w:rPr>
            </w:pPr>
            <w:r>
              <w:rPr>
                <w:noProof/>
                <w:color w:val="000000"/>
              </w:rPr>
              <w:t xml:space="preserve"> Разходи за заседания и конференции</w:t>
            </w:r>
          </w:p>
        </w:tc>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line="252" w:lineRule="auto"/>
              <w:jc w:val="right"/>
              <w:rPr>
                <w:bCs/>
                <w:noProof/>
                <w:color w:val="000000"/>
              </w:rPr>
            </w:pPr>
            <w:r>
              <w:rPr>
                <w:bCs/>
                <w:noProof/>
                <w:color w:val="000000"/>
              </w:rPr>
              <w:t>16 300</w:t>
            </w:r>
          </w:p>
        </w:tc>
      </w:tr>
      <w:tr>
        <w:trPr>
          <w:trHeight w:val="290"/>
        </w:trPr>
        <w:tc>
          <w:tcPr>
            <w:tcW w:w="7225" w:type="dxa"/>
            <w:tcBorders>
              <w:top w:val="single" w:sz="4" w:space="0" w:color="auto"/>
              <w:left w:val="single" w:sz="4" w:space="0" w:color="auto"/>
              <w:bottom w:val="single" w:sz="4" w:space="0" w:color="auto"/>
              <w:right w:val="single" w:sz="4" w:space="0" w:color="auto"/>
            </w:tcBorders>
            <w:noWrap/>
            <w:vAlign w:val="bottom"/>
            <w:hideMark/>
          </w:tcPr>
          <w:p>
            <w:pPr>
              <w:spacing w:before="60" w:after="60" w:line="276" w:lineRule="auto"/>
              <w:jc w:val="left"/>
              <w:rPr>
                <w:rFonts w:eastAsia="Calibri"/>
                <w:b/>
                <w:noProof/>
              </w:rPr>
            </w:pPr>
            <w:r>
              <w:rPr>
                <w:b/>
                <w:noProof/>
              </w:rPr>
              <w:t>Резерв (приблизително 8 % от новите кредити)</w:t>
            </w:r>
          </w:p>
        </w:tc>
        <w:tc>
          <w:tcPr>
            <w:tcW w:w="2551" w:type="dxa"/>
            <w:tcBorders>
              <w:top w:val="single" w:sz="4" w:space="0" w:color="auto"/>
              <w:left w:val="nil"/>
              <w:bottom w:val="single" w:sz="4" w:space="0" w:color="auto"/>
              <w:right w:val="single" w:sz="4" w:space="0" w:color="auto"/>
            </w:tcBorders>
            <w:noWrap/>
            <w:vAlign w:val="bottom"/>
            <w:hideMark/>
          </w:tcPr>
          <w:p>
            <w:pPr>
              <w:spacing w:before="60" w:after="60" w:line="276" w:lineRule="auto"/>
              <w:jc w:val="right"/>
              <w:rPr>
                <w:rFonts w:eastAsia="Calibri"/>
                <w:noProof/>
              </w:rPr>
            </w:pPr>
            <w:r>
              <w:rPr>
                <w:noProof/>
              </w:rPr>
              <w:t>249 874</w:t>
            </w:r>
          </w:p>
        </w:tc>
      </w:tr>
      <w:tr>
        <w:trPr>
          <w:trHeight w:val="290"/>
        </w:trPr>
        <w:tc>
          <w:tcPr>
            <w:tcW w:w="7225" w:type="dxa"/>
            <w:tcBorders>
              <w:top w:val="single" w:sz="4" w:space="0" w:color="auto"/>
              <w:left w:val="single" w:sz="4" w:space="0" w:color="auto"/>
              <w:bottom w:val="single" w:sz="4" w:space="0" w:color="auto"/>
              <w:right w:val="single" w:sz="4" w:space="0" w:color="auto"/>
            </w:tcBorders>
            <w:noWrap/>
            <w:vAlign w:val="bottom"/>
          </w:tcPr>
          <w:p>
            <w:pPr>
              <w:spacing w:before="60" w:after="60" w:line="276" w:lineRule="auto"/>
              <w:jc w:val="left"/>
              <w:rPr>
                <w:rFonts w:eastAsia="Calibri"/>
                <w:b/>
                <w:noProof/>
              </w:rPr>
            </w:pPr>
            <w:r>
              <w:rPr>
                <w:b/>
                <w:noProof/>
              </w:rPr>
              <w:t>Общо нови кредити</w:t>
            </w:r>
          </w:p>
        </w:tc>
        <w:tc>
          <w:tcPr>
            <w:tcW w:w="2551" w:type="dxa"/>
            <w:tcBorders>
              <w:top w:val="single" w:sz="4" w:space="0" w:color="auto"/>
              <w:left w:val="nil"/>
              <w:bottom w:val="single" w:sz="4" w:space="0" w:color="auto"/>
              <w:right w:val="single" w:sz="4" w:space="0" w:color="auto"/>
            </w:tcBorders>
            <w:noWrap/>
            <w:vAlign w:val="bottom"/>
          </w:tcPr>
          <w:p>
            <w:pPr>
              <w:spacing w:before="60" w:after="60" w:line="276" w:lineRule="auto"/>
              <w:jc w:val="right"/>
              <w:rPr>
                <w:rFonts w:eastAsia="Calibri"/>
                <w:noProof/>
              </w:rPr>
            </w:pPr>
            <w:r>
              <w:rPr>
                <w:b/>
                <w:noProof/>
              </w:rPr>
              <w:t>3 300 000</w:t>
            </w:r>
          </w:p>
        </w:tc>
      </w:tr>
      <w:tr>
        <w:trPr>
          <w:trHeight w:val="290"/>
        </w:trPr>
        <w:tc>
          <w:tcPr>
            <w:tcW w:w="7225" w:type="dxa"/>
            <w:tcBorders>
              <w:top w:val="single" w:sz="4" w:space="0" w:color="auto"/>
              <w:left w:val="single" w:sz="4" w:space="0" w:color="auto"/>
              <w:bottom w:val="single" w:sz="4" w:space="0" w:color="auto"/>
              <w:right w:val="single" w:sz="4" w:space="0" w:color="auto"/>
            </w:tcBorders>
            <w:noWrap/>
            <w:vAlign w:val="bottom"/>
          </w:tcPr>
          <w:p>
            <w:pPr>
              <w:spacing w:before="60" w:after="60" w:line="276" w:lineRule="auto"/>
              <w:jc w:val="left"/>
              <w:rPr>
                <w:rFonts w:eastAsia="Calibri"/>
                <w:b/>
                <w:noProof/>
              </w:rPr>
            </w:pPr>
            <w:r>
              <w:rPr>
                <w:b/>
                <w:noProof/>
              </w:rPr>
              <w:t>Общо пренесени бюджетни кредити от 2020 г.</w:t>
            </w:r>
          </w:p>
        </w:tc>
        <w:tc>
          <w:tcPr>
            <w:tcW w:w="2551" w:type="dxa"/>
            <w:tcBorders>
              <w:top w:val="single" w:sz="4" w:space="0" w:color="auto"/>
              <w:left w:val="nil"/>
              <w:bottom w:val="single" w:sz="4" w:space="0" w:color="auto"/>
              <w:right w:val="single" w:sz="4" w:space="0" w:color="auto"/>
            </w:tcBorders>
            <w:noWrap/>
            <w:vAlign w:val="bottom"/>
          </w:tcPr>
          <w:p>
            <w:pPr>
              <w:spacing w:before="60" w:after="60" w:line="276" w:lineRule="auto"/>
              <w:jc w:val="right"/>
              <w:rPr>
                <w:rFonts w:eastAsia="Calibri"/>
                <w:b/>
                <w:noProof/>
              </w:rPr>
            </w:pPr>
            <w:r>
              <w:rPr>
                <w:b/>
                <w:noProof/>
              </w:rPr>
              <w:t>225 000</w:t>
            </w:r>
            <w:r>
              <w:rPr>
                <w:rStyle w:val="FootnoteReference"/>
                <w:rFonts w:eastAsia="Calibri"/>
                <w:b/>
                <w:noProof/>
                <w:lang w:eastAsia="en-GB"/>
              </w:rPr>
              <w:footnoteReference w:id="3"/>
            </w:r>
          </w:p>
        </w:tc>
      </w:tr>
      <w:tr>
        <w:trPr>
          <w:trHeight w:val="290"/>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pPr>
              <w:spacing w:before="60" w:after="60" w:line="276" w:lineRule="auto"/>
              <w:jc w:val="left"/>
              <w:rPr>
                <w:rFonts w:eastAsia="Calibri"/>
                <w:b/>
                <w:noProof/>
              </w:rPr>
            </w:pPr>
            <w:r>
              <w:rPr>
                <w:b/>
                <w:noProof/>
              </w:rPr>
              <w:t>Общо всичко</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pPr>
              <w:spacing w:before="60" w:after="60" w:line="276" w:lineRule="auto"/>
              <w:jc w:val="right"/>
              <w:rPr>
                <w:rFonts w:eastAsia="Calibri"/>
                <w:b/>
                <w:noProof/>
              </w:rPr>
            </w:pPr>
            <w:r>
              <w:rPr>
                <w:b/>
                <w:noProof/>
              </w:rPr>
              <w:t>3 525 000</w:t>
            </w:r>
            <w:r>
              <w:rPr>
                <w:rStyle w:val="FootnoteReference"/>
                <w:rFonts w:eastAsia="Calibri"/>
                <w:b/>
                <w:noProof/>
                <w:lang w:eastAsia="en-GB"/>
              </w:rPr>
              <w:footnoteReference w:id="4"/>
            </w:r>
          </w:p>
        </w:tc>
      </w:tr>
      <w:tr>
        <w:trPr>
          <w:trHeight w:val="98"/>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60" w:after="60" w:line="276" w:lineRule="auto"/>
              <w:jc w:val="left"/>
              <w:rPr>
                <w:rFonts w:eastAsia="Calibri"/>
                <w:b/>
                <w:noProof/>
                <w:sz w:val="6"/>
                <w:szCs w:val="6"/>
                <w:lang w:eastAsia="en-GB"/>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pPr>
              <w:spacing w:before="60" w:after="60" w:line="276" w:lineRule="auto"/>
              <w:jc w:val="right"/>
              <w:rPr>
                <w:rFonts w:eastAsia="Calibri"/>
                <w:b/>
                <w:noProof/>
                <w:sz w:val="6"/>
                <w:szCs w:val="6"/>
                <w:lang w:eastAsia="en-GB"/>
              </w:rPr>
            </w:pPr>
          </w:p>
        </w:tc>
      </w:tr>
      <w:tr>
        <w:trPr>
          <w:trHeight w:val="290"/>
        </w:trPr>
        <w:tc>
          <w:tcPr>
            <w:tcW w:w="7225" w:type="dxa"/>
            <w:tcBorders>
              <w:top w:val="single" w:sz="4" w:space="0" w:color="auto"/>
              <w:left w:val="single" w:sz="4" w:space="0" w:color="auto"/>
              <w:bottom w:val="single" w:sz="4" w:space="0" w:color="auto"/>
              <w:right w:val="single" w:sz="4" w:space="0" w:color="auto"/>
            </w:tcBorders>
            <w:noWrap/>
            <w:vAlign w:val="bottom"/>
            <w:hideMark/>
          </w:tcPr>
          <w:p>
            <w:pPr>
              <w:spacing w:before="60" w:after="60" w:line="276" w:lineRule="auto"/>
              <w:jc w:val="left"/>
              <w:rPr>
                <w:rFonts w:eastAsia="Calibri"/>
                <w:noProof/>
              </w:rPr>
            </w:pPr>
            <w:r>
              <w:rPr>
                <w:noProof/>
              </w:rPr>
              <w:t>Вноска на ЕС (80 % от новите кредити)</w:t>
            </w:r>
          </w:p>
        </w:tc>
        <w:tc>
          <w:tcPr>
            <w:tcW w:w="2551" w:type="dxa"/>
            <w:tcBorders>
              <w:top w:val="single" w:sz="4" w:space="0" w:color="auto"/>
              <w:left w:val="nil"/>
              <w:bottom w:val="single" w:sz="4" w:space="0" w:color="auto"/>
              <w:right w:val="single" w:sz="4" w:space="0" w:color="auto"/>
            </w:tcBorders>
            <w:noWrap/>
            <w:vAlign w:val="bottom"/>
            <w:hideMark/>
          </w:tcPr>
          <w:p>
            <w:pPr>
              <w:spacing w:before="60" w:after="60" w:line="276" w:lineRule="auto"/>
              <w:jc w:val="right"/>
              <w:rPr>
                <w:rFonts w:eastAsia="Calibri"/>
                <w:noProof/>
              </w:rPr>
            </w:pPr>
            <w:r>
              <w:rPr>
                <w:noProof/>
              </w:rPr>
              <w:t>2 640 000</w:t>
            </w:r>
          </w:p>
        </w:tc>
      </w:tr>
      <w:tr>
        <w:trPr>
          <w:trHeight w:val="290"/>
        </w:trPr>
        <w:tc>
          <w:tcPr>
            <w:tcW w:w="7225" w:type="dxa"/>
            <w:tcBorders>
              <w:top w:val="single" w:sz="4" w:space="0" w:color="auto"/>
              <w:left w:val="single" w:sz="4" w:space="0" w:color="auto"/>
              <w:bottom w:val="single" w:sz="4" w:space="0" w:color="auto"/>
              <w:right w:val="single" w:sz="4" w:space="0" w:color="auto"/>
            </w:tcBorders>
            <w:noWrap/>
            <w:vAlign w:val="bottom"/>
            <w:hideMark/>
          </w:tcPr>
          <w:p>
            <w:pPr>
              <w:spacing w:before="60" w:after="60" w:line="276" w:lineRule="auto"/>
              <w:jc w:val="left"/>
              <w:rPr>
                <w:rFonts w:eastAsia="Calibri"/>
                <w:noProof/>
              </w:rPr>
            </w:pPr>
            <w:r>
              <w:rPr>
                <w:noProof/>
              </w:rPr>
              <w:t>Вноска на страните от Югоизточна Европа (20 % от новите кредити: в приложение V към ДТО е посочено разпределението по държави).</w:t>
            </w:r>
          </w:p>
        </w:tc>
        <w:tc>
          <w:tcPr>
            <w:tcW w:w="2551" w:type="dxa"/>
            <w:tcBorders>
              <w:top w:val="single" w:sz="4" w:space="0" w:color="auto"/>
              <w:left w:val="nil"/>
              <w:bottom w:val="single" w:sz="4" w:space="0" w:color="auto"/>
              <w:right w:val="single" w:sz="4" w:space="0" w:color="auto"/>
            </w:tcBorders>
            <w:noWrap/>
            <w:hideMark/>
          </w:tcPr>
          <w:p>
            <w:pPr>
              <w:spacing w:before="60" w:after="60" w:line="276" w:lineRule="auto"/>
              <w:jc w:val="right"/>
              <w:rPr>
                <w:rFonts w:eastAsia="Calibri"/>
                <w:noProof/>
              </w:rPr>
            </w:pPr>
            <w:r>
              <w:rPr>
                <w:noProof/>
              </w:rPr>
              <w:t>660 000</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rPr>
          <w:lang w:val="ru-RU"/>
        </w:rPr>
      </w:pPr>
      <w:r>
        <w:rPr>
          <w:rStyle w:val="FootnoteReference"/>
        </w:rPr>
        <w:footnoteRef/>
      </w:r>
      <w:r>
        <w:rPr>
          <w:lang w:val="ru-RU"/>
        </w:rPr>
        <w:tab/>
        <w:t>Ориентировъчен размер на сумата: в ход са процедури за възлагане на обществени поръчки за видеоконферентна връзка и за софтуер за счетоводство/човешки ресурси, договорите се очаква да бъдат подписани през декември 2020</w:t>
      </w:r>
      <w:r>
        <w:t> </w:t>
      </w:r>
      <w:r>
        <w:rPr>
          <w:lang w:val="ru-RU"/>
        </w:rPr>
        <w:t>г.</w:t>
      </w:r>
    </w:p>
  </w:footnote>
  <w:footnote w:id="2">
    <w:p>
      <w:pPr>
        <w:pStyle w:val="FootnoteText"/>
        <w:ind w:left="142" w:hanging="142"/>
        <w:rPr>
          <w:lang w:val="ru-RU"/>
        </w:rPr>
      </w:pPr>
      <w:r>
        <w:rPr>
          <w:rStyle w:val="FootnoteReference"/>
        </w:rPr>
        <w:footnoteRef/>
      </w:r>
      <w:r>
        <w:rPr>
          <w:lang w:val="ru-RU"/>
        </w:rPr>
        <w:tab/>
        <w:t>Ориентировъчен размер на сумата: в ход е процедура за възлагане на обществена поръчка за техническа помощ за Обсерватория за транспорта, договорът се очаква да бъде подписан през декември 2020</w:t>
      </w:r>
      <w:r>
        <w:t> </w:t>
      </w:r>
      <w:r>
        <w:rPr>
          <w:lang w:val="ru-RU"/>
        </w:rPr>
        <w:t>г.</w:t>
      </w:r>
    </w:p>
  </w:footnote>
  <w:footnote w:id="3">
    <w:p>
      <w:pPr>
        <w:pStyle w:val="FootnoteText"/>
        <w:ind w:left="142" w:hanging="142"/>
        <w:rPr>
          <w:lang w:val="ru-RU"/>
        </w:rPr>
      </w:pPr>
      <w:r>
        <w:rPr>
          <w:rStyle w:val="FootnoteReference"/>
        </w:rPr>
        <w:footnoteRef/>
      </w:r>
      <w:r>
        <w:rPr>
          <w:lang w:val="ru-RU"/>
        </w:rPr>
        <w:tab/>
        <w:t>Ориентировъчна сума, окончателната сума трябва да бъде потвърдена през декември 2020</w:t>
      </w:r>
      <w:r>
        <w:t> </w:t>
      </w:r>
      <w:r>
        <w:rPr>
          <w:lang w:val="ru-RU"/>
        </w:rPr>
        <w:t>г. при приключването на съответните процедури за възлагане на обществени поръчки и подписване на договорите.</w:t>
      </w:r>
    </w:p>
  </w:footnote>
  <w:footnote w:id="4">
    <w:p>
      <w:pPr>
        <w:pStyle w:val="FootnoteText"/>
        <w:rPr>
          <w:lang w:val="ru-RU"/>
        </w:rPr>
      </w:pPr>
      <w:r>
        <w:rPr>
          <w:rStyle w:val="FootnoteReference"/>
        </w:rPr>
        <w:footnoteRef/>
      </w:r>
      <w:r>
        <w:rPr>
          <w:lang w:val="ru-RU"/>
        </w:rPr>
        <w:tab/>
        <w:t>Ориентировъчна сума, окончателната сума трябва да бъде потвърдена, когато стане известна общата сума, пренесена от 2020</w:t>
      </w:r>
      <w:r>
        <w:t> </w:t>
      </w:r>
      <w:r>
        <w:rPr>
          <w:lang w:val="ru-RU"/>
        </w:rPr>
        <w:t>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6A56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DCBE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8636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BAD8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60C4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441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3E5BEC"/>
    <w:lvl w:ilvl="0">
      <w:start w:val="1"/>
      <w:numFmt w:val="decimal"/>
      <w:pStyle w:val="ListNumber"/>
      <w:lvlText w:val="%1."/>
      <w:lvlJc w:val="left"/>
      <w:pPr>
        <w:tabs>
          <w:tab w:val="num" w:pos="360"/>
        </w:tabs>
        <w:ind w:left="360" w:hanging="360"/>
      </w:pPr>
    </w:lvl>
  </w:abstractNum>
  <w:abstractNum w:abstractNumId="7">
    <w:nsid w:val="FFFFFF89"/>
    <w:multiLevelType w:val="singleLevel"/>
    <w:tmpl w:val="D444E7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341E2B"/>
    <w:multiLevelType w:val="multilevel"/>
    <w:tmpl w:val="87B6F516"/>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6B5013"/>
    <w:multiLevelType w:val="multilevel"/>
    <w:tmpl w:val="4998B8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5516855"/>
    <w:multiLevelType w:val="hybridMultilevel"/>
    <w:tmpl w:val="C192B6C8"/>
    <w:lvl w:ilvl="0" w:tplc="D58E63B6">
      <w:start w:val="56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num>
  <w:num w:numId="15">
    <w:abstractNumId w:val="22"/>
  </w:num>
  <w:num w:numId="16">
    <w:abstractNumId w:val="13"/>
  </w:num>
  <w:num w:numId="17">
    <w:abstractNumId w:val="15"/>
  </w:num>
  <w:num w:numId="18">
    <w:abstractNumId w:val="10"/>
  </w:num>
  <w:num w:numId="19">
    <w:abstractNumId w:val="21"/>
  </w:num>
  <w:num w:numId="20">
    <w:abstractNumId w:val="9"/>
  </w:num>
  <w:num w:numId="21">
    <w:abstractNumId w:val="16"/>
  </w:num>
  <w:num w:numId="22">
    <w:abstractNumId w:val="18"/>
  </w:num>
  <w:num w:numId="23">
    <w:abstractNumId w:val="19"/>
  </w:num>
  <w:num w:numId="24">
    <w:abstractNumId w:val="12"/>
  </w:num>
  <w:num w:numId="25">
    <w:abstractNumId w:val="1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1 13:40: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52E37AE-5773-4617-867D-7664A681EC6E"/>
    <w:docVar w:name="LW_COVERPAGE_TYPE" w:val="1"/>
    <w:docVar w:name="LW_CROSSREFERENCE" w:val="&lt;UNUSED&gt;"/>
    <w:docVar w:name="LW_DocType" w:val="ANNEX"/>
    <w:docVar w:name="LW_EMISSION" w:val="26.11.2020"/>
    <w:docVar w:name="LW_EMISSION_ISODATE" w:val="2020-11-2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6?\u1077?\u1075?\u1080?\u1086?\u1085?\u1072?\u1083?\u1085?\u1080?\u1103? \u1091?\u1087?\u1088?\u1072?\u1074?\u1080?\u1090?\u1077?\u1083?\u1077?\u1085? \u1082?\u1086?\u1084?\u1080?\u1090?\u1077?\u1090? \u1085?\u1072? \u1058?\u1088?\u1072?\u1085?\u1089?\u1087?\u1086?\u1088?\u1090?\u1085?\u1072?\u1090?\u1072? \u1086?\u1073?\u1097?\u1085?\u1086?\u1089?\u1090? \u1087?\u1086? \u1086?\u1090?\u1085?\u1086?\u1096?\u1077?\u1085?\u1080?\u1077? \u1085?\u1072? \u1087?\u1088?\u1080?\u1077?\u1084?\u1072?\u1085?\u1077?\u1090?\u1086? \u1085?\u1072? \u1073?\u1102?\u1076?\u1078?\u1077?\u1090?\u1072? \u1085?\u1072? \u1058?\u1088?\u1072?\u1085?\u1089?\u1087?\u1086?\u1088?\u1090?\u1085?\u1072?\u1090?\u1072? \u1086?\u1073?\u1097?\u1085?\u1086?\u1089?\u1090? \u1079?\u1072? 2021 \u1075?\u1086?\u1076?\u1080?\u1085?\u1072?&lt;/FMT&gt;_x000d__x000d__x000d__x000d__x000b_"/>
    <w:docVar w:name="LW_OBJETACTEPRINCIPAL.CP" w:val="&lt;FMT:Bold&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6?\u1077?\u1075?\u1080?\u1086?\u1085?\u1072?\u1083?\u1085?\u1080?\u1103? \u1091?\u1087?\u1088?\u1072?\u1074?\u1080?\u1090?\u1077?\u1083?\u1077?\u1085? \u1082?\u1086?\u1084?\u1080?\u1090?\u1077?\u1090? \u1085?\u1072? \u1058?\u1088?\u1072?\u1085?\u1089?\u1087?\u1086?\u1088?\u1090?\u1085?\u1072?\u1090?\u1072? \u1086?\u1073?\u1097?\u1085?\u1086?\u1089?\u1090? \u1087?\u1086? \u1086?\u1090?\u1085?\u1086?\u1096?\u1077?\u1085?\u1080?\u1077? \u1085?\u1072? \u1087?\u1088?\u1080?\u1077?\u1084?\u1072?\u1085?\u1077?\u1090?\u1086? \u1085?\u1072? \u1073?\u1102?\u1076?\u1078?\u1077?\u1090?\u1072? \u1085?\u1072? \u1058?\u1088?\u1072?\u1085?\u1089?\u1087?\u1086?\u1088?\u1090?\u1085?\u1072?\u1090?\u1072? \u1086?\u1073?\u1097?\u1085?\u1086?\u1089?\u1090? \u1079?\u1072? 2021 \u1075?\u1086?\u1076?\u1080?\u1085?\u1072?&lt;/FMT&gt;_x000d__x000d__x000d__x000d__x000b_"/>
    <w:docVar w:name="LW_PART_NBR" w:val="1"/>
    <w:docVar w:name="LW_PART_NBR_TOTAL" w:val="1"/>
    <w:docVar w:name="LW_REF.INST.NEW" w:val="COM"/>
    <w:docVar w:name="LW_REF.INST.NEW_ADOPTED" w:val="final"/>
    <w:docVar w:name="LW_REF.INST.NEW_TEXT" w:val="(2020) 7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99688">
      <w:bodyDiv w:val="1"/>
      <w:marLeft w:val="0"/>
      <w:marRight w:val="0"/>
      <w:marTop w:val="0"/>
      <w:marBottom w:val="0"/>
      <w:divBdr>
        <w:top w:val="none" w:sz="0" w:space="0" w:color="auto"/>
        <w:left w:val="none" w:sz="0" w:space="0" w:color="auto"/>
        <w:bottom w:val="none" w:sz="0" w:space="0" w:color="auto"/>
        <w:right w:val="none" w:sz="0" w:space="0" w:color="auto"/>
      </w:divBdr>
    </w:div>
    <w:div w:id="798113401">
      <w:bodyDiv w:val="1"/>
      <w:marLeft w:val="0"/>
      <w:marRight w:val="0"/>
      <w:marTop w:val="0"/>
      <w:marBottom w:val="0"/>
      <w:divBdr>
        <w:top w:val="none" w:sz="0" w:space="0" w:color="auto"/>
        <w:left w:val="none" w:sz="0" w:space="0" w:color="auto"/>
        <w:bottom w:val="none" w:sz="0" w:space="0" w:color="auto"/>
        <w:right w:val="none" w:sz="0" w:space="0" w:color="auto"/>
      </w:divBdr>
    </w:div>
    <w:div w:id="1530070531">
      <w:bodyDiv w:val="1"/>
      <w:marLeft w:val="0"/>
      <w:marRight w:val="0"/>
      <w:marTop w:val="0"/>
      <w:marBottom w:val="0"/>
      <w:divBdr>
        <w:top w:val="none" w:sz="0" w:space="0" w:color="auto"/>
        <w:left w:val="none" w:sz="0" w:space="0" w:color="auto"/>
        <w:bottom w:val="none" w:sz="0" w:space="0" w:color="auto"/>
        <w:right w:val="none" w:sz="0" w:space="0" w:color="auto"/>
      </w:divBdr>
    </w:div>
    <w:div w:id="20162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CCD4A-C6F9-41E8-84A1-32A24A4B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521</Words>
  <Characters>2705</Characters>
  <Application>Microsoft Office Word</Application>
  <DocSecurity>0</DocSecurity>
  <Lines>108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BORUTA Malgorzata (MOVE)</dc:creator>
  <cp:keywords/>
  <dc:description/>
  <cp:lastModifiedBy>WES PDFC Administrator</cp:lastModifiedBy>
  <cp:revision>9</cp:revision>
  <dcterms:created xsi:type="dcterms:W3CDTF">2020-12-09T13:59:00Z</dcterms:created>
  <dcterms:modified xsi:type="dcterms:W3CDTF">2020-12-11T12:40:00Z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