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E3" w:rsidRDefault="00113423" w:rsidP="0011342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DEC0F8B-4592-4AF7-B460-E3103A201DE9" style="width:450.75pt;height:418.5pt">
            <v:imagedata r:id="rId8" o:title=""/>
          </v:shape>
        </w:pict>
      </w:r>
    </w:p>
    <w:p w:rsidR="00A335E3" w:rsidRDefault="00A335E3">
      <w:pPr>
        <w:rPr>
          <w:noProof/>
        </w:rPr>
        <w:sectPr w:rsidR="00A335E3" w:rsidSect="0011342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A335E3" w:rsidRDefault="00113423">
      <w:pPr>
        <w:pStyle w:val="Exposdesmotifstitre"/>
        <w:rPr>
          <w:noProof/>
        </w:rPr>
      </w:pPr>
      <w:bookmarkStart w:id="0" w:name="_GoBack"/>
      <w:bookmarkEnd w:id="0"/>
      <w:r>
        <w:rPr>
          <w:noProof/>
        </w:rPr>
        <w:lastRenderedPageBreak/>
        <w:t>ОБЯСНИТЕЛЕН МЕМОРАНДУМ</w:t>
      </w:r>
    </w:p>
    <w:p w:rsidR="00A335E3" w:rsidRDefault="00113423">
      <w:pPr>
        <w:pStyle w:val="ManualHeading1"/>
        <w:rPr>
          <w:rFonts w:eastAsia="Arial Unicode MS"/>
          <w:noProof/>
        </w:rPr>
      </w:pPr>
      <w:r>
        <w:rPr>
          <w:noProof/>
        </w:rPr>
        <w:t>1.</w:t>
      </w:r>
      <w:r>
        <w:rPr>
          <w:noProof/>
        </w:rPr>
        <w:tab/>
        <w:t>Предмет на предложението</w:t>
      </w:r>
    </w:p>
    <w:p w:rsidR="00A335E3" w:rsidRDefault="00113423">
      <w:pPr>
        <w:autoSpaceDE w:val="0"/>
        <w:autoSpaceDN w:val="0"/>
        <w:adjustRightInd w:val="0"/>
        <w:spacing w:after="240"/>
        <w:rPr>
          <w:noProof/>
          <w:szCs w:val="24"/>
        </w:rPr>
      </w:pPr>
      <w:r>
        <w:rPr>
          <w:noProof/>
        </w:rPr>
        <w:t xml:space="preserve">Настоящото предложение се отнася до решението за определяне на позицията, която трябва да се заеме от </w:t>
      </w:r>
      <w:r>
        <w:rPr>
          <w:noProof/>
        </w:rPr>
        <w:t>името на Съюза на подновената 63-та сесия на Комисията за упойващите вещества по отношение на включването на вещества в списъците към Единната конвенция на ООН по упойващите вещества от 1961 г., изменена с Протокола от 1972 г., и Конвенцията на ООН за псих</w:t>
      </w:r>
      <w:r>
        <w:rPr>
          <w:noProof/>
        </w:rPr>
        <w:t>отропните вещества от 1971 г. Предвидено е подновената 63-та сесия на Комисията за упойващите вещества да се проведе на 3 и 4 декември 2020 г.</w:t>
      </w:r>
    </w:p>
    <w:p w:rsidR="00A335E3" w:rsidRDefault="00113423">
      <w:pPr>
        <w:pStyle w:val="ManualHeading1"/>
        <w:rPr>
          <w:noProof/>
        </w:rPr>
      </w:pPr>
      <w:r>
        <w:rPr>
          <w:noProof/>
        </w:rPr>
        <w:t>2.</w:t>
      </w:r>
      <w:r>
        <w:rPr>
          <w:noProof/>
        </w:rPr>
        <w:tab/>
        <w:t>Контекст на предложението</w:t>
      </w:r>
    </w:p>
    <w:p w:rsidR="00A335E3" w:rsidRDefault="00113423">
      <w:pPr>
        <w:pStyle w:val="ManualHeading2"/>
        <w:rPr>
          <w:noProof/>
          <w:u w:color="000000"/>
          <w:bdr w:val="nil"/>
        </w:rPr>
      </w:pPr>
      <w:r>
        <w:rPr>
          <w:noProof/>
          <w:u w:color="000000"/>
          <w:bdr w:val="nil"/>
        </w:rPr>
        <w:t xml:space="preserve">2.1. </w:t>
      </w:r>
      <w:r>
        <w:rPr>
          <w:noProof/>
        </w:rPr>
        <w:tab/>
      </w:r>
      <w:r>
        <w:rPr>
          <w:noProof/>
          <w:u w:color="000000"/>
          <w:bdr w:val="nil"/>
        </w:rPr>
        <w:t>Единната конвенция на ООН по упойващите вещества от 1961 г., изменена с Проток</w:t>
      </w:r>
      <w:r>
        <w:rPr>
          <w:noProof/>
          <w:u w:color="000000"/>
          <w:bdr w:val="nil"/>
        </w:rPr>
        <w:t>ола от 1972 г., и Конвенцията на ООН за психотропните вещества от 1971 г.</w:t>
      </w:r>
    </w:p>
    <w:p w:rsidR="00A335E3" w:rsidRDefault="00113423">
      <w:pPr>
        <w:autoSpaceDE w:val="0"/>
        <w:autoSpaceDN w:val="0"/>
        <w:adjustRightInd w:val="0"/>
        <w:spacing w:after="240"/>
        <w:rPr>
          <w:noProof/>
          <w:szCs w:val="24"/>
        </w:rPr>
      </w:pPr>
      <w:r>
        <w:rPr>
          <w:noProof/>
        </w:rPr>
        <w:t>Целта на Единната конвенция на Организацията на обединените нации (ООН) по упойващите вещества от 1961 г., изменена с Протокола от 1972 г. (наричана по-нататък „Конвенцията по упойва</w:t>
      </w:r>
      <w:r>
        <w:rPr>
          <w:noProof/>
        </w:rPr>
        <w:t>щите вещества“)</w:t>
      </w:r>
      <w:r>
        <w:rPr>
          <w:rStyle w:val="FootnoteReference"/>
          <w:noProof/>
          <w:szCs w:val="24"/>
        </w:rPr>
        <w:footnoteReference w:id="1"/>
      </w:r>
      <w:r>
        <w:rPr>
          <w:noProof/>
        </w:rPr>
        <w:t>, е борбата със злоупотребите с наркотични вещества чрез координирани действия на международно равнище. Предвидени са две съвместно функциониращи форми на намеса и контрол. На първо място, целта е притежаването, употребата, търговията, разп</w:t>
      </w:r>
      <w:r>
        <w:rPr>
          <w:noProof/>
        </w:rPr>
        <w:t>ространението, вносът, износът, произвеждането и производството на наркотици да се ограничат изключително до необходимото за медицински и научни цели. На второ място, Конвенцията се бори с трафика на наркотици чрез международно сътрудничество с цел възпира</w:t>
      </w:r>
      <w:r>
        <w:rPr>
          <w:noProof/>
        </w:rPr>
        <w:t>не и обезкуражаване на трафикантите на наркотици.</w:t>
      </w:r>
    </w:p>
    <w:p w:rsidR="00A335E3" w:rsidRDefault="00113423">
      <w:pPr>
        <w:autoSpaceDE w:val="0"/>
        <w:autoSpaceDN w:val="0"/>
        <w:adjustRightInd w:val="0"/>
        <w:spacing w:after="240"/>
        <w:rPr>
          <w:noProof/>
          <w:szCs w:val="24"/>
        </w:rPr>
      </w:pPr>
      <w:r>
        <w:rPr>
          <w:noProof/>
        </w:rPr>
        <w:t>С Конвенцията на ООН за психотропните вещества от 1971 г. (наричана по-нататък „Конвенцията за психотропните вещества“)</w:t>
      </w:r>
      <w:r>
        <w:rPr>
          <w:rStyle w:val="FootnoteReference"/>
          <w:noProof/>
          <w:szCs w:val="24"/>
        </w:rPr>
        <w:footnoteReference w:id="2"/>
      </w:r>
      <w:r>
        <w:rPr>
          <w:noProof/>
        </w:rPr>
        <w:t xml:space="preserve"> се въвежда международна система за контрол на психотропните вещества. Тя представлява</w:t>
      </w:r>
      <w:r>
        <w:rPr>
          <w:noProof/>
        </w:rPr>
        <w:t xml:space="preserve"> отговор на разнообразяването и разширяването на спектъра на наркотиците, с които се злоупотребява, и с нея се въвежда контрол върху редица синтетични наркотици в зависимост от техния потенциал да доведат до злоупотреби, от една страна, и терапевтичната им</w:t>
      </w:r>
      <w:r>
        <w:rPr>
          <w:noProof/>
        </w:rPr>
        <w:t xml:space="preserve"> стойност, от друга страна.</w:t>
      </w:r>
    </w:p>
    <w:p w:rsidR="00A335E3" w:rsidRDefault="00113423">
      <w:pPr>
        <w:autoSpaceDE w:val="0"/>
        <w:autoSpaceDN w:val="0"/>
        <w:adjustRightInd w:val="0"/>
        <w:spacing w:after="240"/>
        <w:rPr>
          <w:noProof/>
          <w:szCs w:val="24"/>
        </w:rPr>
      </w:pPr>
      <w:r>
        <w:rPr>
          <w:noProof/>
        </w:rPr>
        <w:t xml:space="preserve">Всички държави — членки на ЕС, са страни по конвенциите, докато Съюзът не е. </w:t>
      </w:r>
    </w:p>
    <w:p w:rsidR="00A335E3" w:rsidRDefault="00113423">
      <w:pPr>
        <w:pStyle w:val="ManualHeading2"/>
        <w:rPr>
          <w:noProof/>
        </w:rPr>
      </w:pPr>
      <w:r>
        <w:rPr>
          <w:noProof/>
        </w:rPr>
        <w:t>2.2.</w:t>
      </w:r>
      <w:r>
        <w:rPr>
          <w:noProof/>
        </w:rPr>
        <w:tab/>
        <w:t xml:space="preserve">Комисия за упойващите вещества </w:t>
      </w:r>
    </w:p>
    <w:p w:rsidR="00A335E3" w:rsidRDefault="00113423">
      <w:pPr>
        <w:autoSpaceDE w:val="0"/>
        <w:autoSpaceDN w:val="0"/>
        <w:adjustRightInd w:val="0"/>
        <w:spacing w:after="240"/>
        <w:rPr>
          <w:noProof/>
          <w:szCs w:val="24"/>
        </w:rPr>
      </w:pPr>
      <w:r>
        <w:rPr>
          <w:noProof/>
        </w:rPr>
        <w:t>Комисията за упойващите вещества е комисия към Икономическия и социален съвет на ООН (ECOSOC) и нейните функции и</w:t>
      </w:r>
      <w:r>
        <w:rPr>
          <w:noProof/>
        </w:rPr>
        <w:t xml:space="preserve"> правомощия са регламентирани, </w:t>
      </w:r>
      <w:r>
        <w:rPr>
          <w:i/>
          <w:noProof/>
          <w:szCs w:val="24"/>
        </w:rPr>
        <w:t>inter alia</w:t>
      </w:r>
      <w:r>
        <w:rPr>
          <w:noProof/>
        </w:rPr>
        <w:t>, в двете конвенции. Тя се състои от 53 държави — членки на ООН, избрани от Икономическия и социален съвет. През декември 2020 г. 12 държави членки ще бъдат членове на Комисията за упойващите вещества с право на гла</w:t>
      </w:r>
      <w:r>
        <w:rPr>
          <w:noProof/>
        </w:rPr>
        <w:t>с</w:t>
      </w:r>
      <w:r>
        <w:rPr>
          <w:rStyle w:val="FootnoteReference"/>
          <w:noProof/>
          <w:szCs w:val="24"/>
        </w:rPr>
        <w:footnoteReference w:id="3"/>
      </w:r>
      <w:r>
        <w:rPr>
          <w:noProof/>
        </w:rPr>
        <w:t xml:space="preserve">. Съюзът има статут на наблюдател в Комисията за упойващите вещества. </w:t>
      </w:r>
    </w:p>
    <w:p w:rsidR="00A335E3" w:rsidRDefault="00113423">
      <w:pPr>
        <w:pStyle w:val="ManualHeading2"/>
        <w:rPr>
          <w:noProof/>
        </w:rPr>
      </w:pPr>
      <w:r>
        <w:rPr>
          <w:noProof/>
        </w:rPr>
        <w:lastRenderedPageBreak/>
        <w:t>2.3.</w:t>
      </w:r>
      <w:r>
        <w:rPr>
          <w:noProof/>
        </w:rPr>
        <w:tab/>
        <w:t>Предвиденият акт на Комисията за упойващите вещества</w:t>
      </w:r>
    </w:p>
    <w:p w:rsidR="00A335E3" w:rsidRDefault="00113423">
      <w:pPr>
        <w:autoSpaceDE w:val="0"/>
        <w:autoSpaceDN w:val="0"/>
        <w:adjustRightInd w:val="0"/>
        <w:spacing w:after="240"/>
        <w:rPr>
          <w:noProof/>
          <w:szCs w:val="24"/>
        </w:rPr>
      </w:pPr>
      <w:r>
        <w:rPr>
          <w:noProof/>
        </w:rPr>
        <w:t>Комисията за упойващите вещества изменя редовно списъците на веществата, приложени към конвенциите, въз основа на препоръки н</w:t>
      </w:r>
      <w:r>
        <w:rPr>
          <w:noProof/>
        </w:rPr>
        <w:t xml:space="preserve">а Световната здравна организация (СЗО), която се консултира със своята експертна комисия по наркозависимостите (ECDD). </w:t>
      </w:r>
    </w:p>
    <w:p w:rsidR="00A335E3" w:rsidRDefault="00113423">
      <w:pPr>
        <w:autoSpaceDE w:val="0"/>
        <w:autoSpaceDN w:val="0"/>
        <w:adjustRightInd w:val="0"/>
        <w:spacing w:after="240"/>
        <w:rPr>
          <w:noProof/>
          <w:szCs w:val="24"/>
        </w:rPr>
      </w:pPr>
      <w:r>
        <w:rPr>
          <w:noProof/>
        </w:rPr>
        <w:t>На 24 януари 2019 г. СЗО внесе до Генералния секретар на ООН</w:t>
      </w:r>
      <w:r>
        <w:rPr>
          <w:rStyle w:val="FootnoteReference"/>
          <w:noProof/>
        </w:rPr>
        <w:footnoteReference w:id="4"/>
      </w:r>
      <w:r>
        <w:rPr>
          <w:noProof/>
        </w:rPr>
        <w:t xml:space="preserve"> шест препоръки, издадени вследствие на критичния преглед, направен на 41-т</w:t>
      </w:r>
      <w:r>
        <w:rPr>
          <w:noProof/>
        </w:rPr>
        <w:t xml:space="preserve">о заседание на ECDD, във връзка с канабиса и свързаните с канабиса вещества. </w:t>
      </w:r>
    </w:p>
    <w:p w:rsidR="00A335E3" w:rsidRDefault="00113423">
      <w:pPr>
        <w:autoSpaceDE w:val="0"/>
        <w:autoSpaceDN w:val="0"/>
        <w:adjustRightInd w:val="0"/>
        <w:spacing w:after="240"/>
        <w:rPr>
          <w:rFonts w:eastAsia="Arial Unicode MS"/>
          <w:noProof/>
        </w:rPr>
      </w:pPr>
      <w:r>
        <w:rPr>
          <w:noProof/>
        </w:rPr>
        <w:t>На 4 март 2020 г.</w:t>
      </w:r>
      <w:r>
        <w:rPr>
          <w:rStyle w:val="FootnoteReference"/>
          <w:noProof/>
        </w:rPr>
        <w:footnoteReference w:id="5"/>
      </w:r>
      <w:r>
        <w:rPr>
          <w:noProof/>
        </w:rPr>
        <w:t xml:space="preserve"> Комисията за упойващите вещества реши да отложи гласуването по препоръките за своята подновена 63-та сесия, предвидена да се проведе във Виена на 3 и 4 декемвр</w:t>
      </w:r>
      <w:r>
        <w:rPr>
          <w:noProof/>
        </w:rPr>
        <w:t xml:space="preserve">и 2020 г. </w:t>
      </w:r>
    </w:p>
    <w:p w:rsidR="00A335E3" w:rsidRDefault="00113423">
      <w:pPr>
        <w:pStyle w:val="ManualHeading1"/>
        <w:rPr>
          <w:rFonts w:eastAsia="Arial Unicode MS"/>
          <w:noProof/>
        </w:rPr>
      </w:pPr>
      <w:r>
        <w:rPr>
          <w:noProof/>
        </w:rPr>
        <w:t>3.</w:t>
      </w:r>
      <w:r>
        <w:rPr>
          <w:noProof/>
        </w:rPr>
        <w:tab/>
        <w:t>Позиция, която трябва да се заеме от името на Съюза</w:t>
      </w:r>
    </w:p>
    <w:p w:rsidR="00A335E3" w:rsidRDefault="00113423">
      <w:pPr>
        <w:autoSpaceDE w:val="0"/>
        <w:autoSpaceDN w:val="0"/>
        <w:adjustRightInd w:val="0"/>
        <w:spacing w:after="240"/>
        <w:rPr>
          <w:noProof/>
          <w:szCs w:val="24"/>
        </w:rPr>
      </w:pPr>
      <w:r>
        <w:rPr>
          <w:noProof/>
        </w:rPr>
        <w:t>Промените в списъците на двете конвенции имат преки последици за приложното поле на правото на Съюза в областта на контрола на наркотиците за всички държави членки. Член 1, параграф 1, буква</w:t>
      </w:r>
      <w:r>
        <w:rPr>
          <w:noProof/>
        </w:rPr>
        <w:t xml:space="preserve"> а) от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w:t>
      </w:r>
      <w:r>
        <w:rPr>
          <w:rStyle w:val="FootnoteReference"/>
          <w:noProof/>
          <w:szCs w:val="24"/>
        </w:rPr>
        <w:footnoteReference w:id="6"/>
      </w:r>
      <w:r>
        <w:rPr>
          <w:noProof/>
        </w:rPr>
        <w:t xml:space="preserve"> (наричано по-нататък „Рамковото реш</w:t>
      </w:r>
      <w:r>
        <w:rPr>
          <w:noProof/>
        </w:rPr>
        <w:t>ение“) гласи, че по смисъла на Рамковото решение „наркотици“ означава вещество, обхванато от Конвенцията по упойващите вещества или Конвенцията за психотропните вещества, както и всяко от веществата, включени в списъка в приложението към Рамковото решение.</w:t>
      </w:r>
      <w:r>
        <w:rPr>
          <w:noProof/>
        </w:rPr>
        <w:t xml:space="preserve"> Следователно Рамковото решение се прилага по отношение на веществата, изброени в списъците на Конвенцията по упойващите вещества и на Конвенцията за психотропните вещества. Ето защо всяка промяна в списъците, приложени към тези конвенции, засяга пряко общ</w:t>
      </w:r>
      <w:r>
        <w:rPr>
          <w:noProof/>
        </w:rPr>
        <w:t>ите разпоредби на ЕС и променя техния обхват в съответствие с член 3, параграф 2 от Договора за функционирането на Европейския съюз (ДФЕС). Това е така, независимо дали въпросното вещество вече е поставено под контрол в целия Съюз.</w:t>
      </w:r>
    </w:p>
    <w:p w:rsidR="00A335E3" w:rsidRDefault="00113423">
      <w:pPr>
        <w:autoSpaceDE w:val="0"/>
        <w:autoSpaceDN w:val="0"/>
        <w:adjustRightInd w:val="0"/>
        <w:rPr>
          <w:noProof/>
        </w:rPr>
      </w:pPr>
      <w:r>
        <w:rPr>
          <w:noProof/>
        </w:rPr>
        <w:t xml:space="preserve">Понастоящем канабисът и </w:t>
      </w:r>
      <w:r>
        <w:rPr>
          <w:noProof/>
        </w:rPr>
        <w:t>свързаните с канабиса вещества, които бяха предмет на критичния преглед на 41-то заседание на ECDD и на шестте препоръки на СЗО от 24 януари 2019 г., се контролират на международно равнище съгласно Конвенцията по упойващите вещества или Конвенцията за псих</w:t>
      </w:r>
      <w:r>
        <w:rPr>
          <w:noProof/>
        </w:rPr>
        <w:t>отропните вещества:</w:t>
      </w:r>
    </w:p>
    <w:p w:rsidR="00A335E3" w:rsidRDefault="00113423">
      <w:pPr>
        <w:pStyle w:val="Tiret0"/>
        <w:numPr>
          <w:ilvl w:val="0"/>
          <w:numId w:val="11"/>
        </w:numPr>
        <w:rPr>
          <w:noProof/>
        </w:rPr>
      </w:pPr>
      <w:r>
        <w:rPr>
          <w:b/>
          <w:noProof/>
        </w:rPr>
        <w:t>„канабис и канабис — смола“</w:t>
      </w:r>
      <w:r>
        <w:rPr>
          <w:noProof/>
        </w:rPr>
        <w:t xml:space="preserve"> са включени в списък I на Конвенцията по упойващите вещества. Освен това </w:t>
      </w:r>
      <w:r>
        <w:rPr>
          <w:i/>
          <w:noProof/>
        </w:rPr>
        <w:t>„канабис и канабис — смола“</w:t>
      </w:r>
      <w:r>
        <w:rPr>
          <w:noProof/>
        </w:rPr>
        <w:t xml:space="preserve"> са включени и в списък IV на Конвенцията по упойващите вещества, съдържащ веществата, които се считат за ос</w:t>
      </w:r>
      <w:r>
        <w:rPr>
          <w:noProof/>
        </w:rPr>
        <w:t xml:space="preserve">обено опасни; </w:t>
      </w:r>
    </w:p>
    <w:p w:rsidR="00A335E3" w:rsidRDefault="00113423">
      <w:pPr>
        <w:pStyle w:val="Tiret0"/>
        <w:rPr>
          <w:b/>
          <w:noProof/>
        </w:rPr>
      </w:pPr>
      <w:r>
        <w:rPr>
          <w:noProof/>
        </w:rPr>
        <w:t xml:space="preserve">веществото </w:t>
      </w:r>
      <w:r>
        <w:rPr>
          <w:b/>
          <w:noProof/>
        </w:rPr>
        <w:t>дронабинол (</w:t>
      </w:r>
      <w:r>
        <w:rPr>
          <w:b/>
          <w:i/>
          <w:noProof/>
        </w:rPr>
        <w:t>делта</w:t>
      </w:r>
      <w:r>
        <w:rPr>
          <w:b/>
          <w:noProof/>
        </w:rPr>
        <w:t>-9-тетрахидроканабинол)</w:t>
      </w:r>
      <w:r>
        <w:rPr>
          <w:noProof/>
        </w:rPr>
        <w:t xml:space="preserve"> е включено в списък II на Конвенцията за психотропните вещества;</w:t>
      </w:r>
    </w:p>
    <w:p w:rsidR="00A335E3" w:rsidRDefault="00113423">
      <w:pPr>
        <w:pStyle w:val="Tiret0"/>
        <w:rPr>
          <w:noProof/>
        </w:rPr>
      </w:pPr>
      <w:r>
        <w:rPr>
          <w:noProof/>
        </w:rPr>
        <w:t xml:space="preserve">веществото </w:t>
      </w:r>
      <w:r>
        <w:rPr>
          <w:b/>
          <w:noProof/>
        </w:rPr>
        <w:t>тетрахидроканабинол</w:t>
      </w:r>
      <w:r>
        <w:rPr>
          <w:noProof/>
        </w:rPr>
        <w:t xml:space="preserve"> (изомери на </w:t>
      </w:r>
      <w:r>
        <w:rPr>
          <w:i/>
          <w:noProof/>
        </w:rPr>
        <w:t>делта</w:t>
      </w:r>
      <w:r>
        <w:rPr>
          <w:noProof/>
        </w:rPr>
        <w:t>-9-тетрахидроканабинол) е включено в списък I на Конвенцията за психотропнит</w:t>
      </w:r>
      <w:r>
        <w:rPr>
          <w:noProof/>
        </w:rPr>
        <w:t xml:space="preserve">е вещества; </w:t>
      </w:r>
    </w:p>
    <w:p w:rsidR="00A335E3" w:rsidRDefault="00113423">
      <w:pPr>
        <w:pStyle w:val="Tiret0"/>
        <w:rPr>
          <w:noProof/>
        </w:rPr>
      </w:pPr>
      <w:r>
        <w:rPr>
          <w:noProof/>
        </w:rPr>
        <w:t>„</w:t>
      </w:r>
      <w:r>
        <w:rPr>
          <w:b/>
          <w:noProof/>
        </w:rPr>
        <w:t>екстракти и тинктури от конопа</w:t>
      </w:r>
      <w:r>
        <w:rPr>
          <w:noProof/>
        </w:rPr>
        <w:t>“ са включени в списък I на Конвенцията по упойващите вещества;</w:t>
      </w:r>
    </w:p>
    <w:p w:rsidR="00A335E3" w:rsidRDefault="00113423">
      <w:pPr>
        <w:pStyle w:val="Tiret0"/>
        <w:rPr>
          <w:noProof/>
        </w:rPr>
      </w:pPr>
      <w:r>
        <w:rPr>
          <w:noProof/>
        </w:rPr>
        <w:t>„</w:t>
      </w:r>
      <w:r>
        <w:rPr>
          <w:b/>
          <w:noProof/>
        </w:rPr>
        <w:t>препарати от канабидиол</w:t>
      </w:r>
      <w:r>
        <w:rPr>
          <w:noProof/>
        </w:rPr>
        <w:t>“ се контролират съгласно вписването „Екстракти и тинктури от канабис“ в списък I на Конвенцията по упойващите вещества;</w:t>
      </w:r>
    </w:p>
    <w:p w:rsidR="00A335E3" w:rsidRDefault="00113423">
      <w:pPr>
        <w:pStyle w:val="Tiret0"/>
        <w:rPr>
          <w:b/>
          <w:noProof/>
        </w:rPr>
      </w:pPr>
      <w:r>
        <w:rPr>
          <w:noProof/>
        </w:rPr>
        <w:t>„</w:t>
      </w:r>
      <w:r>
        <w:rPr>
          <w:b/>
          <w:noProof/>
        </w:rPr>
        <w:t>фа</w:t>
      </w:r>
      <w:r>
        <w:rPr>
          <w:b/>
          <w:noProof/>
        </w:rPr>
        <w:t>рмацевтични препарати от канабис и дронабинол</w:t>
      </w:r>
      <w:r>
        <w:rPr>
          <w:noProof/>
        </w:rPr>
        <w:t xml:space="preserve">“ се контролират като препарати на основата на канабис съгласно списък I на Единната конвенция по упойващите вещества или като препарати, използващи синтетичен </w:t>
      </w:r>
      <w:r>
        <w:rPr>
          <w:i/>
          <w:noProof/>
        </w:rPr>
        <w:t>делта</w:t>
      </w:r>
      <w:r>
        <w:rPr>
          <w:noProof/>
        </w:rPr>
        <w:t xml:space="preserve">-9-тетрахидроканабинол, съгласно списък II на </w:t>
      </w:r>
      <w:r>
        <w:rPr>
          <w:noProof/>
        </w:rPr>
        <w:t>Конвенцията за психотропните вещества.</w:t>
      </w:r>
    </w:p>
    <w:p w:rsidR="00A335E3" w:rsidRDefault="00113423">
      <w:pPr>
        <w:rPr>
          <w:noProof/>
          <w:szCs w:val="24"/>
        </w:rPr>
      </w:pPr>
      <w:r>
        <w:rPr>
          <w:noProof/>
        </w:rPr>
        <w:t xml:space="preserve">Предложението на Комисията за позиция на Съюза се основава на факти. То е изготвено въз основа на наличните документи за заседанията на експертната комисия по наркозависимостите на СЗО, на отговорите, предоставени от </w:t>
      </w:r>
      <w:r>
        <w:rPr>
          <w:noProof/>
        </w:rPr>
        <w:t>СЗО, Международния орган за контрол на упойващите вещества (INCB) и Службата на ООН по наркотиците и престъпността (СНПООН), в рамките на съответния им мандат, по време на 4-то и 5-то междусесийно заседание на Комисията за упойващите вещества на 24 юни 201</w:t>
      </w:r>
      <w:r>
        <w:rPr>
          <w:noProof/>
        </w:rPr>
        <w:t>9 г. и на 23 септември 2019 г.</w:t>
      </w:r>
      <w:r>
        <w:rPr>
          <w:rStyle w:val="FootnoteReference"/>
          <w:noProof/>
          <w:szCs w:val="24"/>
          <w:lang w:eastAsia="en-GB"/>
        </w:rPr>
        <w:footnoteReference w:id="7"/>
      </w:r>
      <w:r>
        <w:rPr>
          <w:noProof/>
        </w:rPr>
        <w:t>, на анализа от INCB на въздействието на препоръките на СЗО</w:t>
      </w:r>
      <w:r>
        <w:rPr>
          <w:rStyle w:val="FootnoteReference"/>
          <w:noProof/>
          <w:szCs w:val="24"/>
          <w:lang w:eastAsia="en-GB"/>
        </w:rPr>
        <w:footnoteReference w:id="8"/>
      </w:r>
      <w:r>
        <w:rPr>
          <w:noProof/>
        </w:rPr>
        <w:t xml:space="preserve"> и на тематичните дискусии, организирани от Комисията за упойващите вещества на 25—26 юни и 24—25 август</w:t>
      </w:r>
      <w:r>
        <w:rPr>
          <w:rStyle w:val="FootnoteReference"/>
          <w:noProof/>
          <w:szCs w:val="24"/>
          <w:lang w:eastAsia="en-GB"/>
        </w:rPr>
        <w:footnoteReference w:id="9"/>
      </w:r>
      <w:r>
        <w:rPr>
          <w:noProof/>
        </w:rPr>
        <w:t xml:space="preserve">. В него са взети под внимание и обменът с държавите членки </w:t>
      </w:r>
      <w:r>
        <w:rPr>
          <w:noProof/>
        </w:rPr>
        <w:t xml:space="preserve">в рамките на хоризонталната работна група „Наркотици“ и работата на Европейския център за мониторинг на наркотици и наркомании (ЕЦМНН) в тази област. </w:t>
      </w:r>
    </w:p>
    <w:p w:rsidR="00A335E3" w:rsidRDefault="00113423">
      <w:pPr>
        <w:rPr>
          <w:noProof/>
          <w:szCs w:val="24"/>
        </w:rPr>
      </w:pPr>
      <w:r>
        <w:rPr>
          <w:noProof/>
        </w:rPr>
        <w:t>С предложението на Комисията за позиция на Съюза се предлага да бъдат подкрепени само някои от препоръкит</w:t>
      </w:r>
      <w:r>
        <w:rPr>
          <w:noProof/>
        </w:rPr>
        <w:t xml:space="preserve">е на СЗО, които отразяват развитието на научните познания за съответните вещества и няма да доведат до значителна промяна по отношение на контрола на тези вещества. </w:t>
      </w:r>
    </w:p>
    <w:p w:rsidR="00A335E3" w:rsidRDefault="00113423">
      <w:pPr>
        <w:rPr>
          <w:noProof/>
          <w:szCs w:val="24"/>
        </w:rPr>
      </w:pPr>
      <w:r>
        <w:rPr>
          <w:noProof/>
        </w:rPr>
        <w:t>Отделно от това някои от препоръките се характеризират с липса на яснота във връзка с прав</w:t>
      </w:r>
      <w:r>
        <w:rPr>
          <w:noProof/>
        </w:rPr>
        <w:t xml:space="preserve">ното и практическото им отражение и последици, що се отнася до новите мерки за контрол или липсата на такива. Затова в предложението на Комисията за позиция на Съюза се предлага тези препоръки да не бъдат приети. </w:t>
      </w:r>
    </w:p>
    <w:p w:rsidR="00A335E3" w:rsidRDefault="00113423">
      <w:pPr>
        <w:autoSpaceDE w:val="0"/>
        <w:autoSpaceDN w:val="0"/>
        <w:adjustRightInd w:val="0"/>
        <w:spacing w:after="240"/>
        <w:rPr>
          <w:noProof/>
          <w:szCs w:val="24"/>
        </w:rPr>
      </w:pPr>
      <w:r>
        <w:rPr>
          <w:noProof/>
        </w:rPr>
        <w:t>Необходимо е Съюзът да определи своята поз</w:t>
      </w:r>
      <w:r>
        <w:rPr>
          <w:noProof/>
        </w:rPr>
        <w:t>иция за заседанието на Комисията за упойващите вещества, когато бъде свикана да вземе решение относно списъците с вещества. Поради ограниченията, произтичащи от статута на наблюдател на Съюза, тази позиция следва да бъде изразена от държавите членки, които</w:t>
      </w:r>
      <w:r>
        <w:rPr>
          <w:noProof/>
        </w:rPr>
        <w:t xml:space="preserve"> ще бъдат членове на Комисията за упойващите вещества през декември 2020 г., действащи съвместно в интерес на Съюза в рамките на тази комисия. Съюзът не е страна по посочените конвенции, но има изключителна компетентност в тази област.</w:t>
      </w:r>
    </w:p>
    <w:p w:rsidR="00A335E3" w:rsidRDefault="00113423">
      <w:pPr>
        <w:autoSpaceDE w:val="0"/>
        <w:autoSpaceDN w:val="0"/>
        <w:adjustRightInd w:val="0"/>
        <w:spacing w:after="240"/>
        <w:rPr>
          <w:noProof/>
          <w:szCs w:val="24"/>
        </w:rPr>
      </w:pPr>
      <w:r>
        <w:rPr>
          <w:noProof/>
        </w:rPr>
        <w:t>За тази цел Комисият</w:t>
      </w:r>
      <w:r>
        <w:rPr>
          <w:noProof/>
        </w:rPr>
        <w:t>а предлага позиция на Съюза, която да бъде изразена от името на Европейския съюз от държавите членки, които са членове на Комисията за упойващите вещества през декември 2020 г., на подновената 63-та сесия на Комисията за упойващите вещества относно списъци</w:t>
      </w:r>
      <w:r>
        <w:rPr>
          <w:noProof/>
        </w:rPr>
        <w:t>те с вещества по Конвенцията по упойващите вещества и Конвенцията за психотропните вещества. За шести път Комисията представя такова проектопредложение за позиция на Съюза</w:t>
      </w:r>
      <w:r>
        <w:rPr>
          <w:rStyle w:val="FootnoteReference"/>
          <w:noProof/>
          <w:szCs w:val="24"/>
        </w:rPr>
        <w:footnoteReference w:id="10"/>
      </w:r>
      <w:r>
        <w:rPr>
          <w:noProof/>
        </w:rPr>
        <w:t>. Съветът прие позициите на Съюза</w:t>
      </w:r>
      <w:r>
        <w:rPr>
          <w:rStyle w:val="FootnoteReference"/>
          <w:noProof/>
          <w:szCs w:val="24"/>
        </w:rPr>
        <w:footnoteReference w:id="11"/>
      </w:r>
      <w:r>
        <w:rPr>
          <w:noProof/>
        </w:rPr>
        <w:t xml:space="preserve"> и благодарение на това на предишните заседания на</w:t>
      </w:r>
      <w:r>
        <w:rPr>
          <w:noProof/>
        </w:rPr>
        <w:t xml:space="preserve"> Комисията за упойващите вещества ЕС успя да изрази единно мнение по отношение на вписването на вещества в списъците на международно равнище, тъй като държавите членки, участващи в Комисията за упойващите вещества, гласуваха в съответствие с приетата позиц</w:t>
      </w:r>
      <w:r>
        <w:rPr>
          <w:noProof/>
        </w:rPr>
        <w:t>ия на Съюза.</w:t>
      </w:r>
    </w:p>
    <w:p w:rsidR="00A335E3" w:rsidRDefault="00113423">
      <w:pPr>
        <w:pStyle w:val="ManualHeading1"/>
        <w:rPr>
          <w:noProof/>
        </w:rPr>
      </w:pPr>
      <w:r>
        <w:rPr>
          <w:noProof/>
        </w:rPr>
        <w:t>4.</w:t>
      </w:r>
      <w:r>
        <w:rPr>
          <w:noProof/>
        </w:rPr>
        <w:tab/>
        <w:t>Правно основание</w:t>
      </w:r>
    </w:p>
    <w:p w:rsidR="00A335E3" w:rsidRDefault="00113423">
      <w:pPr>
        <w:pStyle w:val="ManualHeading2"/>
        <w:rPr>
          <w:noProof/>
        </w:rPr>
      </w:pPr>
      <w:r>
        <w:rPr>
          <w:noProof/>
        </w:rPr>
        <w:t>4.1.</w:t>
      </w:r>
      <w:r>
        <w:rPr>
          <w:noProof/>
        </w:rPr>
        <w:tab/>
        <w:t>Процесуалноправно основание</w:t>
      </w:r>
    </w:p>
    <w:p w:rsidR="00A335E3" w:rsidRDefault="00113423">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w:t>
      </w:r>
      <w:r>
        <w:rPr>
          <w:i/>
          <w:noProof/>
        </w:rPr>
        <w:t xml:space="preserve">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rsidR="00A335E3" w:rsidRDefault="00113423">
      <w:pPr>
        <w:rPr>
          <w:noProof/>
        </w:rPr>
      </w:pPr>
      <w:r>
        <w:rPr>
          <w:noProof/>
        </w:rPr>
        <w:t xml:space="preserve">Член 218, параграф 9 от ДФЕС се прилага </w:t>
      </w:r>
      <w:r>
        <w:rPr>
          <w:noProof/>
        </w:rPr>
        <w:t>независимо от това дали Съюзът е член на органа или страна по споразумението</w:t>
      </w:r>
      <w:r>
        <w:rPr>
          <w:rStyle w:val="FootnoteReference"/>
          <w:noProof/>
        </w:rPr>
        <w:footnoteReference w:id="12"/>
      </w:r>
      <w:r>
        <w:rPr>
          <w:noProof/>
        </w:rPr>
        <w:t xml:space="preserve">. Понятието „актове с правно действие“ включва актовете, които имат правно действие по силата на нормите на международното право, които уреждат съответния орган. То включва и </w:t>
      </w:r>
      <w:r>
        <w:rPr>
          <w:noProof/>
        </w:rPr>
        <w:t>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3"/>
      </w:r>
      <w:r>
        <w:rPr>
          <w:noProof/>
        </w:rPr>
        <w:t>.</w:t>
      </w:r>
    </w:p>
    <w:p w:rsidR="00A335E3" w:rsidRDefault="00113423">
      <w:pPr>
        <w:rPr>
          <w:noProof/>
        </w:rPr>
      </w:pPr>
      <w:r>
        <w:rPr>
          <w:noProof/>
        </w:rPr>
        <w:t>По смисъла на този член Комисията за упойващите вещества</w:t>
      </w:r>
      <w:r>
        <w:rPr>
          <w:noProof/>
        </w:rPr>
        <w:t xml:space="preserve"> е „орган, създаден със споразумение“, като се има предвид, че тя е орган, създаден от ECOSOC, орган на ООН и че са ѝ възложени специфични задачи съгласно Конвенцията по упойващите вещества и Конвенцията за психотропните вещества.</w:t>
      </w:r>
    </w:p>
    <w:p w:rsidR="00A335E3" w:rsidRDefault="00113423">
      <w:pPr>
        <w:rPr>
          <w:noProof/>
        </w:rPr>
      </w:pPr>
      <w:r>
        <w:rPr>
          <w:noProof/>
        </w:rPr>
        <w:t>Решенията на Комисията за</w:t>
      </w:r>
      <w:r>
        <w:rPr>
          <w:noProof/>
        </w:rPr>
        <w:t xml:space="preserve"> упойващите вещества по отношение на списъците с вещества представляват „актове с правно действие“ по смисъла на член 218, параграф 9 от ДФЕС. Съгласно Конвенцията по упойващите вещества и Конвенцията за психотропните вещества решенията на Комисията за упо</w:t>
      </w:r>
      <w:r>
        <w:rPr>
          <w:noProof/>
        </w:rPr>
        <w:t>йващите вещества автоматично стават правнообвързващи, освен ако някоя от страните не поиска от ECOSOC да преразгледа решението в рамките на предвидения срок</w:t>
      </w:r>
      <w:r>
        <w:rPr>
          <w:rStyle w:val="FootnoteReference"/>
          <w:noProof/>
          <w:szCs w:val="24"/>
        </w:rPr>
        <w:footnoteReference w:id="14"/>
      </w:r>
      <w:r>
        <w:rPr>
          <w:noProof/>
        </w:rPr>
        <w:t>. Решенията на ECOSOC по въпроса са окончателни. Решенията на Комисията за упойващите вещества по о</w:t>
      </w:r>
      <w:r>
        <w:rPr>
          <w:noProof/>
        </w:rPr>
        <w:t>тношение на съставянето на списъци с вещества също така имат правно действие в правния ред на ЕС по силата на правото на Съюза, като се има предвид фактът, че тези решения могат да окажат решаващо влияние върху съдържанието на законодателството на ЕС, и по</w:t>
      </w:r>
      <w:r>
        <w:rPr>
          <w:noProof/>
        </w:rPr>
        <w:t>-конкретно на Рамково решение 2004/757/ПВР на Съвета. Промените в списъците на конвенциите имат преки последици за приложното поле на този правен инструмент на ЕС.</w:t>
      </w:r>
    </w:p>
    <w:p w:rsidR="00A335E3" w:rsidRDefault="00113423">
      <w:pPr>
        <w:rPr>
          <w:noProof/>
        </w:rPr>
      </w:pPr>
      <w:r>
        <w:rPr>
          <w:noProof/>
        </w:rPr>
        <w:t>Предвиденият акт не допълва, нито изменя институционалната рамка на споразумението.</w:t>
      </w:r>
    </w:p>
    <w:p w:rsidR="00A335E3" w:rsidRDefault="00113423">
      <w:pPr>
        <w:rPr>
          <w:noProof/>
        </w:rPr>
      </w:pPr>
      <w:r>
        <w:rPr>
          <w:noProof/>
        </w:rPr>
        <w:t>Поради т</w:t>
      </w:r>
      <w:r>
        <w:rPr>
          <w:noProof/>
        </w:rPr>
        <w:t>ова процесуалноправното основание за предложеното решение е член 218, параграф 9 от ДФЕС.</w:t>
      </w:r>
    </w:p>
    <w:p w:rsidR="00A335E3" w:rsidRDefault="00113423">
      <w:pPr>
        <w:pStyle w:val="ManualHeading2"/>
        <w:rPr>
          <w:noProof/>
        </w:rPr>
      </w:pPr>
      <w:r>
        <w:rPr>
          <w:noProof/>
        </w:rPr>
        <w:t>4.2.</w:t>
      </w:r>
      <w:r>
        <w:rPr>
          <w:noProof/>
        </w:rPr>
        <w:tab/>
        <w:t>Материалноправно основание</w:t>
      </w:r>
    </w:p>
    <w:p w:rsidR="00A335E3" w:rsidRDefault="00113423">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w:t>
      </w:r>
      <w:r>
        <w:rPr>
          <w:noProof/>
        </w:rPr>
        <w:t xml:space="preserve">едвидения акт, във връзка с който се заема позиция от името на Съюза. </w:t>
      </w:r>
    </w:p>
    <w:p w:rsidR="00A335E3" w:rsidRDefault="00113423">
      <w:pPr>
        <w:autoSpaceDE w:val="0"/>
        <w:autoSpaceDN w:val="0"/>
        <w:adjustRightInd w:val="0"/>
        <w:spacing w:after="240"/>
        <w:rPr>
          <w:noProof/>
          <w:szCs w:val="24"/>
        </w:rPr>
      </w:pPr>
      <w:r>
        <w:rPr>
          <w:noProof/>
        </w:rPr>
        <w:t>Основната цел и съдържанието на предвидения акт са свързани с незаконния трафик на наркотици.</w:t>
      </w:r>
    </w:p>
    <w:p w:rsidR="00A335E3" w:rsidRDefault="00113423">
      <w:pPr>
        <w:autoSpaceDE w:val="0"/>
        <w:autoSpaceDN w:val="0"/>
        <w:adjustRightInd w:val="0"/>
        <w:spacing w:after="240"/>
        <w:rPr>
          <w:noProof/>
          <w:szCs w:val="24"/>
        </w:rPr>
      </w:pPr>
      <w:r>
        <w:rPr>
          <w:noProof/>
        </w:rPr>
        <w:t>Поради това материалноправното основание за предложеното решение е член 83, параграф 1 от Д</w:t>
      </w:r>
      <w:r>
        <w:rPr>
          <w:noProof/>
        </w:rPr>
        <w:t>ФЕС, в който незаконният трафик на наркотици се определя като престъпност с особено трансгранично измерение, а Европейският парламент и Съветът се оправомощават да установят минимални правила относно определянето на престъпленията и на санкциите в областта</w:t>
      </w:r>
      <w:r>
        <w:rPr>
          <w:noProof/>
        </w:rPr>
        <w:t xml:space="preserve"> на незаконния трафик на наркотици. </w:t>
      </w:r>
    </w:p>
    <w:p w:rsidR="00A335E3" w:rsidRDefault="00113423">
      <w:pPr>
        <w:pStyle w:val="ManualHeading2"/>
        <w:rPr>
          <w:noProof/>
        </w:rPr>
      </w:pPr>
      <w:r>
        <w:rPr>
          <w:noProof/>
        </w:rPr>
        <w:t>4.3.</w:t>
      </w:r>
      <w:r>
        <w:rPr>
          <w:noProof/>
        </w:rPr>
        <w:tab/>
        <w:t>Променлива геометрия</w:t>
      </w:r>
    </w:p>
    <w:p w:rsidR="00A335E3" w:rsidRDefault="00113423">
      <w:pPr>
        <w:autoSpaceDE w:val="0"/>
        <w:autoSpaceDN w:val="0"/>
        <w:adjustRightInd w:val="0"/>
        <w:spacing w:after="240"/>
        <w:rPr>
          <w:noProof/>
          <w:szCs w:val="24"/>
        </w:rPr>
      </w:pPr>
      <w:r>
        <w:rPr>
          <w:noProof/>
        </w:rPr>
        <w:t xml:space="preserve">Дания е обвързана от Рамково решение 2004/757/ПВР на Съвета, приложимо до 22 ноември 2018 г., в чийто член 1 се посочва, че „наркотици“ означава веществата, обхванати от Конвенцията за упойващите вещества или Конвенцията за психотропните вещества. </w:t>
      </w:r>
    </w:p>
    <w:p w:rsidR="00A335E3" w:rsidRDefault="00113423">
      <w:pPr>
        <w:autoSpaceDE w:val="0"/>
        <w:autoSpaceDN w:val="0"/>
        <w:adjustRightInd w:val="0"/>
        <w:spacing w:after="240"/>
        <w:rPr>
          <w:noProof/>
          <w:szCs w:val="24"/>
        </w:rPr>
      </w:pPr>
      <w:r>
        <w:rPr>
          <w:noProof/>
        </w:rPr>
        <w:t>Тъй кат</w:t>
      </w:r>
      <w:r>
        <w:rPr>
          <w:noProof/>
        </w:rPr>
        <w:t>о решенията на Комисията за упойващите вещества по отношение на списъците с вещества засягат общите правила в областта на незаконния трафик на наркотици, с които Дания е обвързана, Дания участва в приемането на решение на Съвета за установяване на позицият</w:t>
      </w:r>
      <w:r>
        <w:rPr>
          <w:noProof/>
        </w:rPr>
        <w:t>а, която трябва да се заеме от името на Съюза при приемането на такива решения.</w:t>
      </w:r>
    </w:p>
    <w:p w:rsidR="00A335E3" w:rsidRDefault="00113423">
      <w:pPr>
        <w:pStyle w:val="ManualHeading2"/>
        <w:rPr>
          <w:noProof/>
        </w:rPr>
      </w:pPr>
      <w:r>
        <w:rPr>
          <w:noProof/>
        </w:rPr>
        <w:t>4.4.</w:t>
      </w:r>
      <w:r>
        <w:rPr>
          <w:noProof/>
        </w:rPr>
        <w:tab/>
        <w:t>Заключение</w:t>
      </w:r>
    </w:p>
    <w:p w:rsidR="00A335E3" w:rsidRDefault="00113423">
      <w:pPr>
        <w:autoSpaceDE w:val="0"/>
        <w:autoSpaceDN w:val="0"/>
        <w:adjustRightInd w:val="0"/>
        <w:spacing w:after="240"/>
        <w:rPr>
          <w:noProof/>
          <w:szCs w:val="24"/>
        </w:rPr>
      </w:pPr>
      <w:r>
        <w:rPr>
          <w:noProof/>
        </w:rPr>
        <w:t>Правното основание за настоящото предложение е член 83, параграф 1 във връзка с член 218, параграф 9 от ДФЕС.</w:t>
      </w:r>
    </w:p>
    <w:p w:rsidR="00A335E3" w:rsidRDefault="00113423">
      <w:pPr>
        <w:pStyle w:val="ManualHeading1"/>
        <w:rPr>
          <w:noProof/>
        </w:rPr>
      </w:pPr>
      <w:r>
        <w:rPr>
          <w:noProof/>
        </w:rPr>
        <w:t>5.</w:t>
      </w:r>
      <w:r>
        <w:rPr>
          <w:noProof/>
        </w:rPr>
        <w:tab/>
        <w:t>ОТРАЖЕНИЕ ВЪРХУ БЮДЖЕТА</w:t>
      </w:r>
    </w:p>
    <w:p w:rsidR="00A335E3" w:rsidRDefault="00113423">
      <w:pPr>
        <w:autoSpaceDE w:val="0"/>
        <w:autoSpaceDN w:val="0"/>
        <w:adjustRightInd w:val="0"/>
        <w:spacing w:after="240"/>
        <w:rPr>
          <w:noProof/>
          <w:szCs w:val="24"/>
        </w:rPr>
      </w:pPr>
      <w:r>
        <w:rPr>
          <w:noProof/>
        </w:rPr>
        <w:t>Няма отражение върху бю</w:t>
      </w:r>
      <w:r>
        <w:rPr>
          <w:noProof/>
        </w:rPr>
        <w:t>джета.</w:t>
      </w:r>
    </w:p>
    <w:p w:rsidR="00A335E3" w:rsidRDefault="00A335E3">
      <w:pPr>
        <w:rPr>
          <w:noProof/>
        </w:rPr>
        <w:sectPr w:rsidR="00A335E3" w:rsidSect="00113423">
          <w:footerReference w:type="default" r:id="rId15"/>
          <w:footerReference w:type="first" r:id="rId16"/>
          <w:pgSz w:w="11907" w:h="16839"/>
          <w:pgMar w:top="1134" w:right="1417" w:bottom="1134" w:left="1417" w:header="709" w:footer="709" w:gutter="0"/>
          <w:cols w:space="708"/>
          <w:docGrid w:linePitch="360"/>
        </w:sectPr>
      </w:pPr>
    </w:p>
    <w:p w:rsidR="00A335E3" w:rsidRDefault="00113423" w:rsidP="00113423">
      <w:pPr>
        <w:pStyle w:val="Rfrenceinterinstitutionnelle"/>
        <w:rPr>
          <w:noProof/>
        </w:rPr>
      </w:pPr>
      <w:r w:rsidRPr="00113423">
        <w:t>2020/0296 (NLE)</w:t>
      </w:r>
    </w:p>
    <w:p w:rsidR="00A335E3" w:rsidRDefault="00113423" w:rsidP="00113423">
      <w:pPr>
        <w:pStyle w:val="Statut"/>
        <w:rPr>
          <w:noProof/>
        </w:rPr>
      </w:pPr>
      <w:r w:rsidRPr="00113423">
        <w:t>Предложение за</w:t>
      </w:r>
    </w:p>
    <w:p w:rsidR="00A335E3" w:rsidRDefault="00113423" w:rsidP="00113423">
      <w:pPr>
        <w:pStyle w:val="Typedudocument"/>
        <w:rPr>
          <w:noProof/>
        </w:rPr>
      </w:pPr>
      <w:r w:rsidRPr="00113423">
        <w:t>РЕШЕНИЕ НА СЪВЕТА</w:t>
      </w:r>
    </w:p>
    <w:p w:rsidR="00A335E3" w:rsidRDefault="00113423" w:rsidP="00113423">
      <w:pPr>
        <w:pStyle w:val="Titreobjet"/>
        <w:rPr>
          <w:noProof/>
        </w:rPr>
      </w:pPr>
      <w:r w:rsidRPr="00113423">
        <w:t>относно позицията, която трябва да се заеме от името на Европейския съюз на подновената шестдесет и трета сесия на Комисията за упойващите вещества по отношение на включването на вещества в списъците по Единната конвенция по упойващите вещества от 1961 г., изменена с Протокола от 1972 г., и Конвенцията за психотропните вещества от 1971 г.</w:t>
      </w:r>
    </w:p>
    <w:p w:rsidR="00A335E3" w:rsidRDefault="00113423">
      <w:pPr>
        <w:pStyle w:val="Institutionquiagit"/>
        <w:rPr>
          <w:b/>
          <w:noProof/>
        </w:rPr>
      </w:pPr>
      <w:r>
        <w:rPr>
          <w:b/>
          <w:noProof/>
        </w:rPr>
        <w:t>С</w:t>
      </w:r>
      <w:r>
        <w:rPr>
          <w:b/>
          <w:noProof/>
        </w:rPr>
        <w:t>ЪВЕТЪТ НА ЕВРОПЕЙСКИЯ СЪЮЗ,</w:t>
      </w:r>
    </w:p>
    <w:p w:rsidR="00A335E3" w:rsidRDefault="00113423">
      <w:pPr>
        <w:rPr>
          <w:noProof/>
        </w:rPr>
      </w:pPr>
      <w:r>
        <w:rPr>
          <w:noProof/>
        </w:rPr>
        <w:t>като взе предвид Договора за</w:t>
      </w:r>
      <w:r>
        <w:rPr>
          <w:noProof/>
        </w:rPr>
        <w:t xml:space="preserve"> функционирането на Европейския съюз, и по-специално член 83, параграф 1 във връзка с член 218, параграф 9 от него,</w:t>
      </w:r>
    </w:p>
    <w:p w:rsidR="00A335E3" w:rsidRDefault="00113423">
      <w:pPr>
        <w:rPr>
          <w:noProof/>
        </w:rPr>
      </w:pPr>
      <w:r>
        <w:rPr>
          <w:noProof/>
        </w:rPr>
        <w:t>като взе предвид предложението на Европейската комисия,</w:t>
      </w:r>
    </w:p>
    <w:p w:rsidR="00A335E3" w:rsidRDefault="00113423">
      <w:pPr>
        <w:rPr>
          <w:noProof/>
        </w:rPr>
      </w:pPr>
      <w:r>
        <w:rPr>
          <w:noProof/>
        </w:rPr>
        <w:t>като има предвид, че:</w:t>
      </w:r>
    </w:p>
    <w:p w:rsidR="00A335E3" w:rsidRDefault="00113423">
      <w:pPr>
        <w:pStyle w:val="ManualConsidrant"/>
        <w:rPr>
          <w:noProof/>
        </w:rPr>
      </w:pPr>
      <w:r>
        <w:rPr>
          <w:noProof/>
        </w:rPr>
        <w:t>(1)</w:t>
      </w:r>
      <w:r>
        <w:rPr>
          <w:noProof/>
        </w:rPr>
        <w:tab/>
        <w:t>Единната конвенция на Организацията на обединените нации (</w:t>
      </w:r>
      <w:r>
        <w:rPr>
          <w:noProof/>
        </w:rPr>
        <w:t>ООН) по упойващите вещества от 1961 г. („Конвенцията по упойващите вещества“), изменена с Протокола от 1972 г.</w:t>
      </w:r>
      <w:r>
        <w:rPr>
          <w:rStyle w:val="FootnoteReference"/>
          <w:noProof/>
        </w:rPr>
        <w:footnoteReference w:id="15"/>
      </w:r>
      <w:r>
        <w:rPr>
          <w:noProof/>
        </w:rPr>
        <w:t xml:space="preserve">, влезе в сила на 8 август 1975 г. </w:t>
      </w:r>
    </w:p>
    <w:p w:rsidR="00A335E3" w:rsidRDefault="00113423">
      <w:pPr>
        <w:pStyle w:val="ManualConsidrant"/>
        <w:rPr>
          <w:noProof/>
        </w:rPr>
      </w:pPr>
      <w:r>
        <w:rPr>
          <w:noProof/>
        </w:rPr>
        <w:t>(2)</w:t>
      </w:r>
      <w:r>
        <w:rPr>
          <w:noProof/>
        </w:rPr>
        <w:tab/>
        <w:t>Съгласно член 3 от Конвенцията по упойващите вещества Комисията за упойващите вещества може да взема реше</w:t>
      </w:r>
      <w:r>
        <w:rPr>
          <w:noProof/>
        </w:rPr>
        <w:t>ния за добавяне на вещества към списъците към тази конвенция. Тя може да внася промени в списъците единствено в съответствие с препоръките на Световната здравна организация (СЗО), но може също така да реши да не направи промените, препоръчани от СЗО.</w:t>
      </w:r>
    </w:p>
    <w:p w:rsidR="00A335E3" w:rsidRDefault="00113423">
      <w:pPr>
        <w:pStyle w:val="ManualConsidrant"/>
        <w:rPr>
          <w:noProof/>
        </w:rPr>
      </w:pPr>
      <w:r>
        <w:rPr>
          <w:noProof/>
        </w:rPr>
        <w:t>(3)</w:t>
      </w:r>
      <w:r>
        <w:rPr>
          <w:noProof/>
        </w:rPr>
        <w:tab/>
        <w:t>К</w:t>
      </w:r>
      <w:r>
        <w:rPr>
          <w:noProof/>
        </w:rPr>
        <w:t>онвенцията на ООН за психотропните вещества от 1971 г. („Конвенцията за психотропните вещества“)</w:t>
      </w:r>
      <w:r>
        <w:rPr>
          <w:rStyle w:val="FootnoteReference"/>
          <w:noProof/>
        </w:rPr>
        <w:footnoteReference w:id="16"/>
      </w:r>
      <w:r>
        <w:rPr>
          <w:noProof/>
        </w:rPr>
        <w:t xml:space="preserve"> влезе в сила на 16 август 1976 г.</w:t>
      </w:r>
    </w:p>
    <w:p w:rsidR="00A335E3" w:rsidRDefault="00113423">
      <w:pPr>
        <w:pStyle w:val="ManualConsidrant"/>
        <w:rPr>
          <w:noProof/>
        </w:rPr>
      </w:pPr>
      <w:r>
        <w:rPr>
          <w:noProof/>
        </w:rPr>
        <w:t>(4)</w:t>
      </w:r>
      <w:r>
        <w:rPr>
          <w:noProof/>
        </w:rPr>
        <w:tab/>
      </w:r>
      <w:r>
        <w:rPr>
          <w:noProof/>
        </w:rPr>
        <w:t>Съгласно член 2 от Конвенцията за психотропните вещества Комисията за упойващите вещества може да взема решения за добавяне или за изваждане на вещества от списъците към тази конвенция въз основа на препоръките на СЗО. Тя разполага с широки дискреционни пр</w:t>
      </w:r>
      <w:r>
        <w:rPr>
          <w:noProof/>
        </w:rPr>
        <w:t xml:space="preserve">авомощия да взема предвид икономическите, социалните, правните, административните или други фактори, но не може да действа произволно. </w:t>
      </w:r>
    </w:p>
    <w:p w:rsidR="00A335E3" w:rsidRDefault="00113423">
      <w:pPr>
        <w:pStyle w:val="ManualConsidrant"/>
        <w:rPr>
          <w:noProof/>
        </w:rPr>
      </w:pPr>
      <w:r>
        <w:rPr>
          <w:noProof/>
        </w:rPr>
        <w:t>(5)</w:t>
      </w:r>
      <w:r>
        <w:rPr>
          <w:noProof/>
        </w:rPr>
        <w:tab/>
        <w:t xml:space="preserve">Промените в списъците към двете конвенции имат преки последици за приложното поле на правото на Съюза в областта на </w:t>
      </w:r>
      <w:r>
        <w:rPr>
          <w:noProof/>
        </w:rPr>
        <w:t>контрола на наркотиците. Рамково решение 2004/757/ПВР на Съвета</w:t>
      </w:r>
      <w:r>
        <w:rPr>
          <w:rStyle w:val="FootnoteReference"/>
          <w:noProof/>
        </w:rPr>
        <w:footnoteReference w:id="17"/>
      </w:r>
      <w:r>
        <w:rPr>
          <w:noProof/>
        </w:rPr>
        <w:t xml:space="preserve"> се прилага за веществата, изброени в списъците към тези конвенции. Ето защо всяка промяна в списъците към тези конвенции засяга пряко общите правила на Съюза и променя техния обхват в съответ</w:t>
      </w:r>
      <w:r>
        <w:rPr>
          <w:noProof/>
        </w:rPr>
        <w:t>ствие с член 3, параграф 2 от Договора за функционирането на Европейския съюз (ДФЕС).</w:t>
      </w:r>
    </w:p>
    <w:p w:rsidR="00A335E3" w:rsidRDefault="00113423">
      <w:pPr>
        <w:pStyle w:val="ManualConsidrant"/>
        <w:rPr>
          <w:noProof/>
        </w:rPr>
      </w:pPr>
      <w:r>
        <w:rPr>
          <w:noProof/>
        </w:rPr>
        <w:t>(6)</w:t>
      </w:r>
      <w:r>
        <w:rPr>
          <w:noProof/>
        </w:rPr>
        <w:tab/>
        <w:t>По време на своята подновена шестдесет и трета сесия, която ще се проведе във Виена на 3 и 4 декември 2020 г., Комисията за упойващите вещества трябва да приеме решен</w:t>
      </w:r>
      <w:r>
        <w:rPr>
          <w:noProof/>
        </w:rPr>
        <w:t xml:space="preserve">ия относно канабиса и свързани с него вещества, които вече са предмет на контрол въз основа на Конвенцията по упойващите вещества или Конвенцията за психотропните вещества. </w:t>
      </w:r>
    </w:p>
    <w:p w:rsidR="00A335E3" w:rsidRDefault="00113423">
      <w:pPr>
        <w:pStyle w:val="ManualConsidrant"/>
        <w:rPr>
          <w:noProof/>
        </w:rPr>
      </w:pPr>
      <w:r>
        <w:rPr>
          <w:noProof/>
        </w:rPr>
        <w:t>(7)</w:t>
      </w:r>
      <w:r>
        <w:rPr>
          <w:noProof/>
        </w:rPr>
        <w:tab/>
        <w:t>Съюзът не е страна по съответните конвенции на ООН. Той има статут на наблюдат</w:t>
      </w:r>
      <w:r>
        <w:rPr>
          <w:noProof/>
        </w:rPr>
        <w:t>ел в Комисията за упойващите вещества, в която към декември 2020 г. дванадесет държави — членки на ЕС, са членове с право на глас</w:t>
      </w:r>
      <w:r>
        <w:rPr>
          <w:rStyle w:val="FootnoteReference"/>
          <w:noProof/>
        </w:rPr>
        <w:footnoteReference w:id="18"/>
      </w:r>
      <w:r>
        <w:rPr>
          <w:noProof/>
        </w:rPr>
        <w:t>. Поради това е необходимо да се оправомощят държавите членки да изразят позицията на Съюза по отношение на включването на вещ</w:t>
      </w:r>
      <w:r>
        <w:rPr>
          <w:noProof/>
        </w:rPr>
        <w:t>ества в списъците към Конвенцията по упойващите вещества и Конвенцията за психотропните вещества, като се има предвид, че решенията относно международното включване на вещества в списъците към конвенциите попадат в обхвата на изключителната компетентност н</w:t>
      </w:r>
      <w:r>
        <w:rPr>
          <w:noProof/>
        </w:rPr>
        <w:t xml:space="preserve">а Съюза. </w:t>
      </w:r>
    </w:p>
    <w:p w:rsidR="00A335E3" w:rsidRDefault="00113423">
      <w:pPr>
        <w:pStyle w:val="ManualConsidrant"/>
        <w:rPr>
          <w:noProof/>
        </w:rPr>
      </w:pPr>
      <w:r>
        <w:rPr>
          <w:noProof/>
        </w:rPr>
        <w:t>(8)</w:t>
      </w:r>
      <w:r>
        <w:rPr>
          <w:noProof/>
        </w:rPr>
        <w:tab/>
        <w:t>На 24 януари 2019 г.</w:t>
      </w:r>
      <w:r>
        <w:rPr>
          <w:rStyle w:val="FootnoteReference"/>
          <w:noProof/>
        </w:rPr>
        <w:footnoteReference w:id="19"/>
      </w:r>
      <w:r>
        <w:rPr>
          <w:noProof/>
        </w:rPr>
        <w:t xml:space="preserve"> СЗО внесе шест препоръки, издадени вследствие на критичния преглед, направен на 41-то заседание на нейната експертна комисия по наркозависимостите („експертната комисия на СЗО“), във връзка с канабиса и свързаните с кана</w:t>
      </w:r>
      <w:r>
        <w:rPr>
          <w:noProof/>
        </w:rPr>
        <w:t>биса вещества. Тези препоръки нямат за цел да се разреши употребата на канабис или на свързани с канабиса вещества за развлечение.</w:t>
      </w:r>
    </w:p>
    <w:p w:rsidR="00A335E3" w:rsidRDefault="00113423">
      <w:pPr>
        <w:pStyle w:val="ManualConsidrant"/>
        <w:rPr>
          <w:noProof/>
        </w:rPr>
      </w:pPr>
      <w:r>
        <w:rPr>
          <w:noProof/>
        </w:rPr>
        <w:t>(9)</w:t>
      </w:r>
      <w:r>
        <w:rPr>
          <w:noProof/>
        </w:rPr>
        <w:tab/>
        <w:t xml:space="preserve">Съгласно оценката на експертната комисия на СЗО </w:t>
      </w:r>
      <w:r>
        <w:rPr>
          <w:b/>
          <w:noProof/>
        </w:rPr>
        <w:t>канабисът и канабисът — смола</w:t>
      </w:r>
      <w:r>
        <w:rPr>
          <w:noProof/>
        </w:rPr>
        <w:t xml:space="preserve"> не водят непременно до отрицателни последиц</w:t>
      </w:r>
      <w:r>
        <w:rPr>
          <w:noProof/>
        </w:rPr>
        <w:t xml:space="preserve">и за здравето, подобни на последиците от другите вещества, изброени в списък IV на Конвенцията по упойващите вещества. Освен това препаратите от канабис са показали терапевтичен потенциал за лечение на болка и на други медицински състояния, като епилепсия </w:t>
      </w:r>
      <w:r>
        <w:rPr>
          <w:noProof/>
        </w:rPr>
        <w:t xml:space="preserve">и спастичност, дължаща се на множествена склероза. </w:t>
      </w:r>
    </w:p>
    <w:p w:rsidR="00A335E3" w:rsidRDefault="00113423">
      <w:pPr>
        <w:pStyle w:val="ManualConsidrant"/>
        <w:rPr>
          <w:noProof/>
        </w:rPr>
      </w:pPr>
      <w:r>
        <w:rPr>
          <w:noProof/>
        </w:rPr>
        <w:t>(10)</w:t>
      </w:r>
      <w:r>
        <w:rPr>
          <w:noProof/>
        </w:rPr>
        <w:tab/>
        <w:t xml:space="preserve">СЗО счита, че канабисът и канабисът — смола следва да бъдат включени в списък на равнище на контрол, с което ще се предотвратят вредите, причинявани от употребата на канабис, и същевременно няма да </w:t>
      </w:r>
      <w:r>
        <w:rPr>
          <w:noProof/>
        </w:rPr>
        <w:t>бъде пречка пред достъпа или проучванията и разработването на свързани с канабис препарати за медицинска употреба. Затова СЗО заключи, че включването на канабиса и канабиса — смола в списък IV не е в съответствие с критериите за включване на наркотично вещ</w:t>
      </w:r>
      <w:r>
        <w:rPr>
          <w:noProof/>
        </w:rPr>
        <w:t>ество в списък IV.</w:t>
      </w:r>
    </w:p>
    <w:p w:rsidR="00A335E3" w:rsidRDefault="00113423">
      <w:pPr>
        <w:pStyle w:val="ManualConsidrant"/>
        <w:rPr>
          <w:noProof/>
        </w:rPr>
      </w:pPr>
      <w:r>
        <w:rPr>
          <w:noProof/>
        </w:rPr>
        <w:t>(11)</w:t>
      </w:r>
      <w:r>
        <w:rPr>
          <w:noProof/>
        </w:rPr>
        <w:tab/>
        <w:t>Тази препоръка не предполага промяна в нивото на международния контрол на канабиса и канабиса — смола. Тя надлежно отчита научните постижения в тази област от първото въвеждане на канабиса и канабиса — смола в Конвенцията по упойващ</w:t>
      </w:r>
      <w:r>
        <w:rPr>
          <w:noProof/>
        </w:rPr>
        <w:t xml:space="preserve">ите вещества. Заличаването на канабиса и канабиса — смола от списък IV на Конвенцията по упойващите вещества ще е полезно за развитието на колективните познания както за терапевтичната полза, така и за всички свързани вреди от канабиса.  </w:t>
      </w:r>
    </w:p>
    <w:p w:rsidR="00A335E3" w:rsidRDefault="00113423">
      <w:pPr>
        <w:pStyle w:val="ManualConsidrant"/>
        <w:rPr>
          <w:noProof/>
        </w:rPr>
      </w:pPr>
      <w:r>
        <w:rPr>
          <w:noProof/>
        </w:rPr>
        <w:t>(12)</w:t>
      </w:r>
      <w:r>
        <w:rPr>
          <w:noProof/>
        </w:rPr>
        <w:tab/>
        <w:t>Ето защо поз</w:t>
      </w:r>
      <w:r>
        <w:rPr>
          <w:noProof/>
        </w:rPr>
        <w:t xml:space="preserve">ицията на Съюза следва да бъде канабисът и канабисът — смола да се заличат от списък IV на Конвенцията по упойващите вещества. </w:t>
      </w:r>
    </w:p>
    <w:p w:rsidR="00A335E3" w:rsidRDefault="00113423">
      <w:pPr>
        <w:pStyle w:val="ManualConsidrant"/>
        <w:rPr>
          <w:noProof/>
        </w:rPr>
      </w:pPr>
      <w:r>
        <w:rPr>
          <w:noProof/>
        </w:rPr>
        <w:t>(13)</w:t>
      </w:r>
      <w:r>
        <w:rPr>
          <w:noProof/>
        </w:rPr>
        <w:tab/>
        <w:t xml:space="preserve">Съгласно оценката на експертната комисия на СЗО </w:t>
      </w:r>
      <w:r>
        <w:rPr>
          <w:b/>
          <w:i/>
          <w:noProof/>
        </w:rPr>
        <w:t>делта</w:t>
      </w:r>
      <w:r>
        <w:rPr>
          <w:b/>
          <w:noProof/>
        </w:rPr>
        <w:t>-9-тетрахидроканабинол и неговият активен стереоизомер дронабинол</w:t>
      </w:r>
      <w:r>
        <w:rPr>
          <w:noProof/>
        </w:rPr>
        <w:t>, осо</w:t>
      </w:r>
      <w:r>
        <w:rPr>
          <w:noProof/>
        </w:rPr>
        <w:t>бено в незаконно добити форми с висока чистота, могат да доведат до отрицателни последици за здравето, зависимост и потенциал за злоупотреба, които са поне толкова големи, колкото за канабиса, който е включен в списък I на Конвенцията по упойващите веществ</w:t>
      </w:r>
      <w:r>
        <w:rPr>
          <w:noProof/>
        </w:rPr>
        <w:t>а. Вещество, което може да доведе до злоупотреби и да породи отрицателни последици за здравето, подобни на тези от вещество, което вече е включено в списък на Конвенцията по упойващите вещества, следва по принцип да бъде включено в списъка по същия начин к</w:t>
      </w:r>
      <w:r>
        <w:rPr>
          <w:noProof/>
        </w:rPr>
        <w:t xml:space="preserve">ато това вещество. Тъй като веществото </w:t>
      </w:r>
      <w:r>
        <w:rPr>
          <w:i/>
          <w:noProof/>
        </w:rPr>
        <w:t>делта</w:t>
      </w:r>
      <w:r>
        <w:rPr>
          <w:noProof/>
        </w:rPr>
        <w:t>-9-тетрахидроканабинол може да доведе до подобни злоупотреби като канабиса, както и да породи подобни отрицателни последици за здравето, то отговаря на критериите за включване в списък I на Конвенцията по упойващ</w:t>
      </w:r>
      <w:r>
        <w:rPr>
          <w:noProof/>
        </w:rPr>
        <w:t xml:space="preserve">ите вещества. </w:t>
      </w:r>
    </w:p>
    <w:p w:rsidR="00A335E3" w:rsidRDefault="00113423">
      <w:pPr>
        <w:pStyle w:val="ManualConsidrant"/>
        <w:rPr>
          <w:noProof/>
        </w:rPr>
      </w:pPr>
      <w:r>
        <w:rPr>
          <w:noProof/>
        </w:rPr>
        <w:t>(14)</w:t>
      </w:r>
      <w:r>
        <w:rPr>
          <w:noProof/>
        </w:rPr>
        <w:tab/>
        <w:t xml:space="preserve">Освен това според СЗО включването на </w:t>
      </w:r>
      <w:r>
        <w:rPr>
          <w:i/>
          <w:noProof/>
        </w:rPr>
        <w:t>делта</w:t>
      </w:r>
      <w:r>
        <w:rPr>
          <w:noProof/>
        </w:rPr>
        <w:t>-9-тетрахидроканабинола в обхвата на същата Конвенция и в същия списък като канабиса, т.е. списък I на Конвенцията по упойващите вещества, би улеснило значително прилагането в държавите членки н</w:t>
      </w:r>
      <w:r>
        <w:rPr>
          <w:noProof/>
        </w:rPr>
        <w:t xml:space="preserve">а мерките за контрол на конвенциите. Затова СЗО препоръча </w:t>
      </w:r>
      <w:r>
        <w:rPr>
          <w:i/>
          <w:noProof/>
        </w:rPr>
        <w:t>делта</w:t>
      </w:r>
      <w:r>
        <w:rPr>
          <w:noProof/>
        </w:rPr>
        <w:t xml:space="preserve">-9-тетрахидроканабинол и активният му стереоизомер дронабинол да бъдат вписани в списък I на Конвенцията по упойващите вещества и ако тази препоръка бъде приета, да бъдат заличени от списък II </w:t>
      </w:r>
      <w:r>
        <w:rPr>
          <w:noProof/>
        </w:rPr>
        <w:t>на Конвенцията за психотропните вещества.</w:t>
      </w:r>
    </w:p>
    <w:p w:rsidR="00A335E3" w:rsidRDefault="00113423">
      <w:pPr>
        <w:pStyle w:val="ManualConsidrant"/>
        <w:rPr>
          <w:noProof/>
        </w:rPr>
      </w:pPr>
      <w:r>
        <w:rPr>
          <w:noProof/>
        </w:rPr>
        <w:t>(15)</w:t>
      </w:r>
      <w:r>
        <w:rPr>
          <w:noProof/>
        </w:rPr>
        <w:tab/>
        <w:t xml:space="preserve">Тази препоръка не предполага промяна в нивото на международен контрол на </w:t>
      </w:r>
      <w:r>
        <w:rPr>
          <w:i/>
          <w:noProof/>
        </w:rPr>
        <w:t>делта</w:t>
      </w:r>
      <w:r>
        <w:rPr>
          <w:noProof/>
        </w:rPr>
        <w:t>-9-тетрахидроканабинола и на активния му стереоизомер дронабинол. Тя би могла също да улесни прилагането на мерките за контрол в дъ</w:t>
      </w:r>
      <w:r>
        <w:rPr>
          <w:noProof/>
        </w:rPr>
        <w:t>ржавите членки.</w:t>
      </w:r>
    </w:p>
    <w:p w:rsidR="00A335E3" w:rsidRDefault="00113423">
      <w:pPr>
        <w:pStyle w:val="ManualConsidrant"/>
        <w:rPr>
          <w:noProof/>
        </w:rPr>
      </w:pPr>
      <w:r>
        <w:rPr>
          <w:noProof/>
        </w:rPr>
        <w:t>(16)</w:t>
      </w:r>
      <w:r>
        <w:rPr>
          <w:noProof/>
        </w:rPr>
        <w:tab/>
        <w:t xml:space="preserve">Поради това позицията на Съюза следва да бъде </w:t>
      </w:r>
      <w:r>
        <w:rPr>
          <w:i/>
          <w:noProof/>
        </w:rPr>
        <w:t>делта</w:t>
      </w:r>
      <w:r>
        <w:rPr>
          <w:noProof/>
        </w:rPr>
        <w:t>-9-тетрахидроканабинолът и активният му стереоизомер дронабинол да бъдат добавени в списък I на Конвенцията по упойващите вещества и ако тази препоръка бъде приета, да бъдат заличени о</w:t>
      </w:r>
      <w:r>
        <w:rPr>
          <w:noProof/>
        </w:rPr>
        <w:t xml:space="preserve">т списък II на Конвенцията за психотропните вещества. </w:t>
      </w:r>
    </w:p>
    <w:p w:rsidR="00A335E3" w:rsidRDefault="00113423">
      <w:pPr>
        <w:pStyle w:val="ManualConsidrant"/>
        <w:rPr>
          <w:noProof/>
        </w:rPr>
      </w:pPr>
      <w:r>
        <w:rPr>
          <w:noProof/>
        </w:rPr>
        <w:t>(17)</w:t>
      </w:r>
      <w:r>
        <w:rPr>
          <w:noProof/>
        </w:rPr>
        <w:tab/>
        <w:t xml:space="preserve">Съгласно оценката на експертната комисия на СЗО веществото </w:t>
      </w:r>
      <w:r>
        <w:rPr>
          <w:b/>
          <w:noProof/>
        </w:rPr>
        <w:t xml:space="preserve">тетрахидроканабинол (изомери на </w:t>
      </w:r>
      <w:r>
        <w:rPr>
          <w:b/>
          <w:i/>
          <w:noProof/>
        </w:rPr>
        <w:t>делта</w:t>
      </w:r>
      <w:r>
        <w:rPr>
          <w:b/>
          <w:noProof/>
        </w:rPr>
        <w:t>-9-тетрахидроканабинол)</w:t>
      </w:r>
      <w:r>
        <w:rPr>
          <w:noProof/>
        </w:rPr>
        <w:t>, което е вписано в списък I на Конвенцията за психотропните вещества, не пор</w:t>
      </w:r>
      <w:r>
        <w:rPr>
          <w:noProof/>
        </w:rPr>
        <w:t xml:space="preserve">ажда злоупотреби и няма отрицателни последици за здравето, подобни на тези, свързани с </w:t>
      </w:r>
      <w:r>
        <w:rPr>
          <w:i/>
          <w:noProof/>
        </w:rPr>
        <w:t>делта</w:t>
      </w:r>
      <w:r>
        <w:rPr>
          <w:noProof/>
        </w:rPr>
        <w:t xml:space="preserve">-9-тетрахидроканабинола, но поради химическото сходство на всеки от шестте изомера с </w:t>
      </w:r>
      <w:r>
        <w:rPr>
          <w:i/>
          <w:noProof/>
        </w:rPr>
        <w:t>делта</w:t>
      </w:r>
      <w:r>
        <w:rPr>
          <w:noProof/>
        </w:rPr>
        <w:t>-9-тетрахидроканабинол е много трудно тези шест изомера да бъдат разгранич</w:t>
      </w:r>
      <w:r>
        <w:rPr>
          <w:noProof/>
        </w:rPr>
        <w:t xml:space="preserve">авани от </w:t>
      </w:r>
      <w:r>
        <w:rPr>
          <w:i/>
          <w:noProof/>
        </w:rPr>
        <w:t>делта</w:t>
      </w:r>
      <w:r>
        <w:rPr>
          <w:noProof/>
        </w:rPr>
        <w:t xml:space="preserve">-9-тетрахидроканабинола, като се използват стандартни методи за химически анализ. Освен това включването на тези шест изомера в обхвата на същата конвенция и в същия списък като </w:t>
      </w:r>
      <w:r>
        <w:rPr>
          <w:i/>
          <w:noProof/>
        </w:rPr>
        <w:t>делта</w:t>
      </w:r>
      <w:r>
        <w:rPr>
          <w:noProof/>
        </w:rPr>
        <w:t>-9-тетрахидроканабинола, т.е. списък I на Конвенцията по уп</w:t>
      </w:r>
      <w:r>
        <w:rPr>
          <w:noProof/>
        </w:rPr>
        <w:t xml:space="preserve">ойващите вещества, би улеснило осъществяването на международния контрол върху </w:t>
      </w:r>
      <w:r>
        <w:rPr>
          <w:i/>
          <w:noProof/>
        </w:rPr>
        <w:t>делта</w:t>
      </w:r>
      <w:r>
        <w:rPr>
          <w:noProof/>
        </w:rPr>
        <w:t xml:space="preserve">-9-тетрахидроканабинола и би помогнало на държавите членки в изпълнението на мерките за контрол на национално равнище. Ето защо СЗО препоръча тетрахидроканабинолът (изомери </w:t>
      </w:r>
      <w:r>
        <w:rPr>
          <w:noProof/>
        </w:rPr>
        <w:t xml:space="preserve">на </w:t>
      </w:r>
      <w:r>
        <w:rPr>
          <w:i/>
          <w:noProof/>
        </w:rPr>
        <w:t>делта</w:t>
      </w:r>
      <w:r>
        <w:rPr>
          <w:noProof/>
        </w:rPr>
        <w:t>-9-тетрахидроканабинол) да бъде добавен в списък I на Конвенцията по упойващите вещества, при условие че Комисията за упойващите вещества приеме препоръката за добавянето на дронабинола и неговите стереоизомери (</w:t>
      </w:r>
      <w:r>
        <w:rPr>
          <w:i/>
          <w:noProof/>
        </w:rPr>
        <w:t>делта</w:t>
      </w:r>
      <w:r>
        <w:rPr>
          <w:noProof/>
        </w:rPr>
        <w:t>-9-тетрахидроканабинол) в списъ</w:t>
      </w:r>
      <w:r>
        <w:rPr>
          <w:noProof/>
        </w:rPr>
        <w:t>к I на Конвенцията по упойващите вещества, и ако тази препоръка бъде приета, да бъде заличен от списък I на Конвенцията за психотропните вещества.</w:t>
      </w:r>
    </w:p>
    <w:p w:rsidR="00A335E3" w:rsidRDefault="00113423">
      <w:pPr>
        <w:pStyle w:val="ManualConsidrant"/>
        <w:rPr>
          <w:noProof/>
        </w:rPr>
      </w:pPr>
      <w:r>
        <w:rPr>
          <w:noProof/>
        </w:rPr>
        <w:t>(18)</w:t>
      </w:r>
      <w:r>
        <w:rPr>
          <w:noProof/>
        </w:rPr>
        <w:tab/>
        <w:t>Тази препоръка не предполага промяна в нивото на международен контрол на тетрахидроканабинола (изомери н</w:t>
      </w:r>
      <w:r>
        <w:rPr>
          <w:noProof/>
        </w:rPr>
        <w:t xml:space="preserve">а </w:t>
      </w:r>
      <w:r>
        <w:rPr>
          <w:i/>
          <w:noProof/>
        </w:rPr>
        <w:t>делта</w:t>
      </w:r>
      <w:r>
        <w:rPr>
          <w:noProof/>
        </w:rPr>
        <w:t>-9-тетрахидроканабинол). Тя е в съответствие с принципите за по-добро регулиране и би могла да улесни прилагането на мерките за контрол в държавите членки.</w:t>
      </w:r>
    </w:p>
    <w:p w:rsidR="00A335E3" w:rsidRDefault="00113423">
      <w:pPr>
        <w:pStyle w:val="ManualConsidrant"/>
        <w:rPr>
          <w:noProof/>
        </w:rPr>
      </w:pPr>
      <w:r>
        <w:rPr>
          <w:noProof/>
        </w:rPr>
        <w:t>(19)</w:t>
      </w:r>
      <w:r>
        <w:rPr>
          <w:noProof/>
        </w:rPr>
        <w:tab/>
        <w:t>Поради това позицията на Съюза следва да бъде веществото тетрахидроканабинол (изомери на</w:t>
      </w:r>
      <w:r>
        <w:rPr>
          <w:noProof/>
        </w:rPr>
        <w:t xml:space="preserve"> </w:t>
      </w:r>
      <w:r>
        <w:rPr>
          <w:i/>
          <w:noProof/>
        </w:rPr>
        <w:t>делта</w:t>
      </w:r>
      <w:r>
        <w:rPr>
          <w:noProof/>
        </w:rPr>
        <w:t>-9-тетрахидроканабинол) да бъде добавено в списък I на Конвенцията по упойващите вещества, при условие че Комисията за упойващите вещества приеме препоръката за добавяне на дронабинола и на неговите стереоизомери (</w:t>
      </w:r>
      <w:r>
        <w:rPr>
          <w:i/>
          <w:noProof/>
        </w:rPr>
        <w:t>делта</w:t>
      </w:r>
      <w:r>
        <w:rPr>
          <w:noProof/>
        </w:rPr>
        <w:t>-9-тетрахидроканабинол) в списъ</w:t>
      </w:r>
      <w:r>
        <w:rPr>
          <w:noProof/>
        </w:rPr>
        <w:t>к I на Конвенцията по упойващите вещества, и ако тази препоръка бъде приета, да бъде заличен от списък I на Конвенцията за психотропните вещества.</w:t>
      </w:r>
    </w:p>
    <w:p w:rsidR="00A335E3" w:rsidRDefault="00113423">
      <w:pPr>
        <w:pStyle w:val="ManualConsidrant"/>
        <w:rPr>
          <w:noProof/>
        </w:rPr>
      </w:pPr>
      <w:r>
        <w:rPr>
          <w:noProof/>
        </w:rPr>
        <w:t>(20)</w:t>
      </w:r>
      <w:r>
        <w:rPr>
          <w:noProof/>
        </w:rPr>
        <w:tab/>
        <w:t xml:space="preserve">С цел да се осигури последователност при включването в списъци на делта-9-тетрахидроканабинол и неговия </w:t>
      </w:r>
      <w:r>
        <w:rPr>
          <w:noProof/>
        </w:rPr>
        <w:t xml:space="preserve">активен стереоизомер дронабинол, както и на тетрахидроканабинол (изомери на делта-9-тетрахидроканабинол), и за да се избегне рискът всяко от тези вещества да бъде включено в списъците на Конвенцията по упойващите вещества и на Конвенцията за психотропните </w:t>
      </w:r>
      <w:r>
        <w:rPr>
          <w:noProof/>
        </w:rPr>
        <w:t>вещества, следва да бъде възможно държавите членки да изразят позицията на Съюза по отношение на тези вещества в общ вот.</w:t>
      </w:r>
    </w:p>
    <w:p w:rsidR="00A335E3" w:rsidRDefault="00113423">
      <w:pPr>
        <w:pStyle w:val="ManualConsidrant"/>
        <w:rPr>
          <w:noProof/>
        </w:rPr>
      </w:pPr>
      <w:r>
        <w:rPr>
          <w:noProof/>
        </w:rPr>
        <w:t>(21)</w:t>
      </w:r>
      <w:r>
        <w:rPr>
          <w:noProof/>
        </w:rPr>
        <w:tab/>
        <w:t xml:space="preserve">Съгласно оценката на експертната комисия към СЗО различните психотропни свойства на </w:t>
      </w:r>
      <w:r>
        <w:rPr>
          <w:b/>
          <w:noProof/>
        </w:rPr>
        <w:t>екстрактите и тинктурите от канабис</w:t>
      </w:r>
      <w:r>
        <w:rPr>
          <w:noProof/>
        </w:rPr>
        <w:t>, както са</w:t>
      </w:r>
      <w:r>
        <w:rPr>
          <w:noProof/>
        </w:rPr>
        <w:t xml:space="preserve"> цитирани в Конвенцията по упойващите вещества, се дължат основно на различни концентрации на </w:t>
      </w:r>
      <w:r>
        <w:rPr>
          <w:i/>
          <w:noProof/>
        </w:rPr>
        <w:t>делта</w:t>
      </w:r>
      <w:r>
        <w:rPr>
          <w:noProof/>
        </w:rPr>
        <w:t>-9-тетрахидроканабинол, съдържащ се в тези екстракти и тинктури. Някои екстракти и тинктури от канабис без психоактивни свойства, съдържащи предимно канабиди</w:t>
      </w:r>
      <w:r>
        <w:rPr>
          <w:noProof/>
        </w:rPr>
        <w:t xml:space="preserve">ол, имат обещаващи терапевтични приложения. Фактът, че различни препарати с променлива концентрация на </w:t>
      </w:r>
      <w:r>
        <w:rPr>
          <w:i/>
          <w:noProof/>
        </w:rPr>
        <w:t>делта</w:t>
      </w:r>
      <w:r>
        <w:rPr>
          <w:noProof/>
        </w:rPr>
        <w:t>-9-тетрахидроканабинол се контролират в рамките на едно и също вписване „Екстракти и тинктури“ и един и същ списък, представлява предизвикателство з</w:t>
      </w:r>
      <w:r>
        <w:rPr>
          <w:noProof/>
        </w:rPr>
        <w:t xml:space="preserve">а отговорните органи, прилагащи мерки за контрол в държавите. Освен това определението за препарати съгласно Конвенцията по упойващите вещества може да обхваща всички продукти, представляващи „екстракти и тинктури“ от канабис, като „препарати“ от канабис, </w:t>
      </w:r>
      <w:r>
        <w:rPr>
          <w:noProof/>
        </w:rPr>
        <w:t>а така също, ако препоръката на комисията за преместването на дронабинола в списък I на Конвенцията по упойващите вещества бъде приета, те могат да се считат и за „препарати“ от дронабинол и неговите стереоизомери. Поради това СЗО препоръча екстрактите и т</w:t>
      </w:r>
      <w:r>
        <w:rPr>
          <w:noProof/>
        </w:rPr>
        <w:t xml:space="preserve">инктурите да бъдат заличени от списък I на Конвенцията по упойващите вещества. </w:t>
      </w:r>
    </w:p>
    <w:p w:rsidR="00A335E3" w:rsidRDefault="00113423">
      <w:pPr>
        <w:pStyle w:val="ManualConsidrant"/>
        <w:rPr>
          <w:noProof/>
        </w:rPr>
      </w:pPr>
      <w:r>
        <w:rPr>
          <w:noProof/>
        </w:rPr>
        <w:t>(22)</w:t>
      </w:r>
      <w:r>
        <w:rPr>
          <w:noProof/>
        </w:rPr>
        <w:tab/>
        <w:t>Информацията, предоставена от СЗО след публикуването на тази препоръка</w:t>
      </w:r>
      <w:r>
        <w:rPr>
          <w:rStyle w:val="FootnoteReference"/>
          <w:noProof/>
        </w:rPr>
        <w:footnoteReference w:id="20"/>
      </w:r>
      <w:r>
        <w:rPr>
          <w:noProof/>
        </w:rPr>
        <w:t xml:space="preserve">, както и анализът от Международния орган за контрол на упойващите вещества (INCB) на въздействието </w:t>
      </w:r>
      <w:r>
        <w:rPr>
          <w:noProof/>
        </w:rPr>
        <w:t>на тази препоръка</w:t>
      </w:r>
      <w:r>
        <w:rPr>
          <w:rStyle w:val="FootnoteReference"/>
          <w:noProof/>
        </w:rPr>
        <w:footnoteReference w:id="21"/>
      </w:r>
      <w:r>
        <w:rPr>
          <w:noProof/>
        </w:rPr>
        <w:t>, поясняват, че тази препоръка не предполага промяна в нивото на международния контрол на екстракти и тинктури от канабис, нито се очаква препоръката да окаже въздействие върху задълженията за контрол и/или докладване на държавите членки.</w:t>
      </w:r>
      <w:r>
        <w:rPr>
          <w:noProof/>
        </w:rPr>
        <w:t xml:space="preserve"> Освен това промяната ще доведе до по-голяма сигурност на контрола на продуктите, които са получени без използването на разтворител, а чрез прилагане на топлина и налягане.</w:t>
      </w:r>
    </w:p>
    <w:p w:rsidR="00A335E3" w:rsidRDefault="00113423">
      <w:pPr>
        <w:pStyle w:val="ManualConsidrant"/>
        <w:rPr>
          <w:noProof/>
        </w:rPr>
      </w:pPr>
      <w:r>
        <w:rPr>
          <w:noProof/>
        </w:rPr>
        <w:t>(23)</w:t>
      </w:r>
      <w:r>
        <w:rPr>
          <w:noProof/>
        </w:rPr>
        <w:tab/>
        <w:t>Ето защо позицията на Съюза следва да бъде да се гласува за препоръката „екстр</w:t>
      </w:r>
      <w:r>
        <w:rPr>
          <w:noProof/>
        </w:rPr>
        <w:t xml:space="preserve">акти и тинктури“ да се заличат от списък I на Конвенцията по упойващите вещества. </w:t>
      </w:r>
    </w:p>
    <w:p w:rsidR="00A335E3" w:rsidRDefault="00113423">
      <w:pPr>
        <w:pStyle w:val="ManualConsidrant"/>
        <w:rPr>
          <w:noProof/>
        </w:rPr>
      </w:pPr>
      <w:r>
        <w:rPr>
          <w:noProof/>
        </w:rPr>
        <w:t>(24)</w:t>
      </w:r>
      <w:r>
        <w:rPr>
          <w:noProof/>
        </w:rPr>
        <w:tab/>
        <w:t xml:space="preserve">Съгласно оценката на експертната комисия към СЗО веществото </w:t>
      </w:r>
      <w:r>
        <w:rPr>
          <w:b/>
          <w:noProof/>
        </w:rPr>
        <w:t>канабидиол</w:t>
      </w:r>
      <w:r>
        <w:rPr>
          <w:noProof/>
        </w:rPr>
        <w:t xml:space="preserve"> се открива в канабиса и канабиса — смола, но няма психоактивни свойства и няма потенциал за злоуп</w:t>
      </w:r>
      <w:r>
        <w:rPr>
          <w:noProof/>
        </w:rPr>
        <w:t>отреба и за предизвикване на зависимост. Това вещество няма значителни отрицателни последици за здравето. Освен това е установено, че канабидиолът има ефективно действие при управлението на някои неподатливи на лечение епилептични заболявания, започващи пр</w:t>
      </w:r>
      <w:r>
        <w:rPr>
          <w:noProof/>
        </w:rPr>
        <w:t xml:space="preserve">ез детството. </w:t>
      </w:r>
    </w:p>
    <w:p w:rsidR="00A335E3" w:rsidRDefault="00113423">
      <w:pPr>
        <w:pStyle w:val="ManualConsidrant"/>
        <w:rPr>
          <w:noProof/>
        </w:rPr>
      </w:pPr>
      <w:r>
        <w:rPr>
          <w:noProof/>
        </w:rPr>
        <w:t>(25)</w:t>
      </w:r>
      <w:r>
        <w:rPr>
          <w:noProof/>
        </w:rPr>
        <w:tab/>
        <w:t xml:space="preserve">СЗО отбеляза, че лекарствата без психоактивно въздействие, които се произвеждат като препарати на растението канабис, ще съдържат следи от </w:t>
      </w:r>
      <w:r>
        <w:rPr>
          <w:i/>
          <w:noProof/>
        </w:rPr>
        <w:t>делта</w:t>
      </w:r>
      <w:r>
        <w:rPr>
          <w:noProof/>
        </w:rPr>
        <w:t xml:space="preserve">-9-тетрахидроканабинол и призна, че химичният анализ на </w:t>
      </w:r>
      <w:r>
        <w:rPr>
          <w:i/>
          <w:noProof/>
        </w:rPr>
        <w:t>делта</w:t>
      </w:r>
      <w:r>
        <w:rPr>
          <w:noProof/>
        </w:rPr>
        <w:t>-9-тетрахидроканабинол с точнос</w:t>
      </w:r>
      <w:r>
        <w:rPr>
          <w:noProof/>
        </w:rPr>
        <w:t>т до 0,15 % може да бъде труден за някои държави членки. Ето защо СЗО препоръчва в списък I на Конвенцията по упойващите вещества да бъде добавена бележка под линия, която да гласи следното: „Препарати, съдържащи предимно канабидиол и не повече от 0,2 % от</w:t>
      </w:r>
      <w:r>
        <w:rPr>
          <w:noProof/>
        </w:rPr>
        <w:t xml:space="preserve"> </w:t>
      </w:r>
      <w:r>
        <w:rPr>
          <w:i/>
          <w:noProof/>
        </w:rPr>
        <w:t>делта</w:t>
      </w:r>
      <w:r>
        <w:rPr>
          <w:noProof/>
        </w:rPr>
        <w:t>-9-тетрахидроканабинол, не подлежат на международен контрол.“</w:t>
      </w:r>
    </w:p>
    <w:p w:rsidR="00A335E3" w:rsidRDefault="00113423">
      <w:pPr>
        <w:pStyle w:val="ManualConsidrant"/>
        <w:rPr>
          <w:noProof/>
        </w:rPr>
      </w:pPr>
      <w:r>
        <w:rPr>
          <w:noProof/>
        </w:rPr>
        <w:t>(26)</w:t>
      </w:r>
      <w:r>
        <w:rPr>
          <w:noProof/>
        </w:rPr>
        <w:tab/>
        <w:t>Тази препоръка обаче ще понижи настоящото равнище на контрол за тези препарати; установяването на ограничението от 0,2 % не е подкрепено в достатъчна степен от научни доказателства; ф</w:t>
      </w:r>
      <w:r>
        <w:rPr>
          <w:noProof/>
        </w:rPr>
        <w:t>ормулировката на препоръката не изключва възможни различни тълкувания относно начина на изчисляване на тези 0,2 %; и техническото изпълнение на мярката ще бъде трудно от гледна точка на техническия и административния капацитет. Различното третиране на кана</w:t>
      </w:r>
      <w:r>
        <w:rPr>
          <w:noProof/>
        </w:rPr>
        <w:t>бидиола в сравнение с други канабиноиди не е в съответствие със съществуващата структура на списъците на конвенциите. Така формулираната препоръка не предлага необходимата правна сигурност и не представлява подходящо решение за канабидиола.</w:t>
      </w:r>
    </w:p>
    <w:p w:rsidR="00A335E3" w:rsidRDefault="00113423">
      <w:pPr>
        <w:pStyle w:val="ManualConsidrant"/>
        <w:rPr>
          <w:noProof/>
        </w:rPr>
      </w:pPr>
      <w:r>
        <w:rPr>
          <w:noProof/>
        </w:rPr>
        <w:t>(27)</w:t>
      </w:r>
      <w:r>
        <w:rPr>
          <w:noProof/>
        </w:rPr>
        <w:tab/>
        <w:t>Поради тов</w:t>
      </w:r>
      <w:r>
        <w:rPr>
          <w:noProof/>
        </w:rPr>
        <w:t xml:space="preserve">а позицията на Съюза следва да бъде да се гласува против препоръката за добавяне на бележка под линия относно „препарати, съдържащи предимно канабидиол и не повече от 0,2 % от </w:t>
      </w:r>
      <w:r>
        <w:rPr>
          <w:i/>
          <w:noProof/>
        </w:rPr>
        <w:t>делта</w:t>
      </w:r>
      <w:r>
        <w:rPr>
          <w:noProof/>
        </w:rPr>
        <w:t>-9-тетрахидроканабинол“ във вписването за канабис и канабис — смола в списъ</w:t>
      </w:r>
      <w:r>
        <w:rPr>
          <w:noProof/>
        </w:rPr>
        <w:t xml:space="preserve">к I на Конвенцията по упойващите вещества. </w:t>
      </w:r>
    </w:p>
    <w:p w:rsidR="00A335E3" w:rsidRDefault="00113423">
      <w:pPr>
        <w:pStyle w:val="ManualConsidrant"/>
        <w:rPr>
          <w:noProof/>
        </w:rPr>
      </w:pPr>
      <w:r>
        <w:rPr>
          <w:noProof/>
        </w:rPr>
        <w:t>(28)</w:t>
      </w:r>
      <w:r>
        <w:rPr>
          <w:noProof/>
        </w:rPr>
        <w:tab/>
        <w:t>Освен това, като се имат предвид възможните приложения с висока стойност на канабидиола, например в сектора на здравеопазването, козметичните продукти и храните, както и икономическият и екологичният потенци</w:t>
      </w:r>
      <w:r>
        <w:rPr>
          <w:noProof/>
        </w:rPr>
        <w:t xml:space="preserve">ал на промишленото отглеждане на коноп, СЗО се приканва спешно да предложи преразгледана препоръка с цел да се вземе решение за подходящото равнище на международен контрол на канабидиола, включително възможността той да бъде освободен от такъв контрол.  </w:t>
      </w:r>
    </w:p>
    <w:p w:rsidR="00A335E3" w:rsidRDefault="00113423">
      <w:pPr>
        <w:pStyle w:val="ManualConsidrant"/>
        <w:rPr>
          <w:noProof/>
        </w:rPr>
      </w:pPr>
      <w:r>
        <w:rPr>
          <w:noProof/>
        </w:rPr>
        <w:t>(</w:t>
      </w:r>
      <w:r>
        <w:rPr>
          <w:noProof/>
        </w:rPr>
        <w:t>29)</w:t>
      </w:r>
      <w:r>
        <w:rPr>
          <w:noProof/>
        </w:rPr>
        <w:tab/>
        <w:t xml:space="preserve">Съгласно оценката на експертната комисия към СЗО лекарствата, съдържащи </w:t>
      </w:r>
      <w:r>
        <w:rPr>
          <w:i/>
          <w:noProof/>
        </w:rPr>
        <w:t>делта</w:t>
      </w:r>
      <w:r>
        <w:rPr>
          <w:noProof/>
        </w:rPr>
        <w:t xml:space="preserve">-9-тетрахидроканабинол, не водят до проблеми със злоупотреба и зависимост и не се отклоняват с цел немедицинска употреба. Освен това СЗО призна, че тези препарати се изготвят </w:t>
      </w:r>
      <w:r>
        <w:rPr>
          <w:noProof/>
        </w:rPr>
        <w:t>по такъв начин, че да няма вероятност да се злоупотреби с тях, и липсват доказателства за действителна злоупотреба или отрицателни последици за здравето до степен, която би оправдала настоящото равнище на контрол, свързано със списък I на Конвенцията по уп</w:t>
      </w:r>
      <w:r>
        <w:rPr>
          <w:noProof/>
        </w:rPr>
        <w:t>ойващите вещества, или равнището на контрол, свързано със списък II на Конвенцията за психотропните вещества. Ето защо СЗО препоръча в списък III на Конвенцията по упойващите вещества да се добавят „</w:t>
      </w:r>
      <w:r>
        <w:rPr>
          <w:b/>
          <w:noProof/>
        </w:rPr>
        <w:t>препарати, произведени чрез химичен синтез или като препа</w:t>
      </w:r>
      <w:r>
        <w:rPr>
          <w:b/>
          <w:noProof/>
        </w:rPr>
        <w:t>рати от канабис</w:t>
      </w:r>
      <w:r>
        <w:rPr>
          <w:noProof/>
        </w:rPr>
        <w:t xml:space="preserve">, съставени като фармацевтични препарати с една или повече други съставки, и по такъв начин, че </w:t>
      </w:r>
      <w:r>
        <w:rPr>
          <w:i/>
          <w:noProof/>
        </w:rPr>
        <w:t>делта</w:t>
      </w:r>
      <w:r>
        <w:rPr>
          <w:noProof/>
        </w:rPr>
        <w:t>-9-тетрахидроканабинолът не може да бъде възстановен с леснодостъпни средства или в количество, което би представлявало риск за общественото</w:t>
      </w:r>
      <w:r>
        <w:rPr>
          <w:noProof/>
        </w:rPr>
        <w:t xml:space="preserve"> здраве“. </w:t>
      </w:r>
    </w:p>
    <w:p w:rsidR="00A335E3" w:rsidRDefault="00113423">
      <w:pPr>
        <w:pStyle w:val="ManualConsidrant"/>
        <w:rPr>
          <w:noProof/>
        </w:rPr>
      </w:pPr>
      <w:r>
        <w:rPr>
          <w:noProof/>
        </w:rPr>
        <w:t>(30)</w:t>
      </w:r>
      <w:r>
        <w:rPr>
          <w:noProof/>
        </w:rPr>
        <w:tab/>
        <w:t>Формулировката на тази препоръка за „фармацевтични“ препарати обаче не се основава на нито един термин от Конвенцията по упойващите вещества. Освен това тази препоръка би могла да доведе до допълнителна регулаторна тежест за държавите членк</w:t>
      </w:r>
      <w:r>
        <w:rPr>
          <w:noProof/>
        </w:rPr>
        <w:t xml:space="preserve">и, които ще трябва да дадат определения на понятията, използвани в тази препоръка, за да се гарантира еднаквото ѝ прилагане, и ще трябва да проверят за всеки продукт дали е изпълнено условието „да не може да бъде възстановен с леснодостъпни средства“. </w:t>
      </w:r>
    </w:p>
    <w:p w:rsidR="00A335E3" w:rsidRDefault="00113423">
      <w:pPr>
        <w:pStyle w:val="ManualConsidrant"/>
        <w:rPr>
          <w:noProof/>
        </w:rPr>
      </w:pPr>
      <w:r>
        <w:rPr>
          <w:noProof/>
        </w:rPr>
        <w:t>(31</w:t>
      </w:r>
      <w:r>
        <w:rPr>
          <w:noProof/>
        </w:rPr>
        <w:t>)</w:t>
      </w:r>
      <w:r>
        <w:rPr>
          <w:noProof/>
        </w:rPr>
        <w:tab/>
        <w:t>Поради това позицията на Съюза следва да бъде да се гласува против препоръката за добавянето на „препарати, произведени чрез химичен синтез или като препарати от канабис, съставени като фармацевтични препарати с една или повече други съставки, и по такъв</w:t>
      </w:r>
      <w:r>
        <w:rPr>
          <w:noProof/>
        </w:rPr>
        <w:t xml:space="preserve"> начин, че </w:t>
      </w:r>
      <w:r>
        <w:rPr>
          <w:i/>
          <w:noProof/>
        </w:rPr>
        <w:t>делта</w:t>
      </w:r>
      <w:r>
        <w:rPr>
          <w:noProof/>
        </w:rPr>
        <w:t xml:space="preserve">-9-тетрахидроканабинолът (дронабиолът) не може да бъде възстановен с леснодостъпни средства или в количества, които могат да представляват риск за общественото здраве“ в списък III на Конвенцията по упойващите вещества. </w:t>
      </w:r>
    </w:p>
    <w:p w:rsidR="00A335E3" w:rsidRDefault="00113423">
      <w:pPr>
        <w:pStyle w:val="ManualConsidrant"/>
        <w:rPr>
          <w:noProof/>
        </w:rPr>
      </w:pPr>
      <w:r>
        <w:rPr>
          <w:noProof/>
        </w:rPr>
        <w:t>(32)</w:t>
      </w:r>
      <w:r>
        <w:rPr>
          <w:noProof/>
        </w:rPr>
        <w:tab/>
        <w:t>Уместно е да с</w:t>
      </w:r>
      <w:r>
        <w:rPr>
          <w:noProof/>
        </w:rPr>
        <w:t>е установи позицията, която трябва да се заеме от името на Съюза в Комисията за упойващите вещества, тъй като решенията за включване на канабиса и свързаните с канабиса вещества в различните списъци могат да окажат съществено въздействие върху съдържанието</w:t>
      </w:r>
      <w:r>
        <w:rPr>
          <w:noProof/>
        </w:rPr>
        <w:t xml:space="preserve"> на правото на Съюза, а именно върху Рамково решение 2004/757/ПВР.</w:t>
      </w:r>
    </w:p>
    <w:p w:rsidR="00A335E3" w:rsidRDefault="00113423">
      <w:pPr>
        <w:pStyle w:val="ManualConsidrant"/>
        <w:rPr>
          <w:noProof/>
        </w:rPr>
      </w:pPr>
      <w:r>
        <w:rPr>
          <w:noProof/>
        </w:rPr>
        <w:t>(33)</w:t>
      </w:r>
      <w:r>
        <w:rPr>
          <w:noProof/>
        </w:rPr>
        <w:tab/>
        <w:t>Позицията на Съюза трябва да бъде изразена от държавите членки, които са членове на Комисията за упойващите вещества, като те действат съвместно.</w:t>
      </w:r>
    </w:p>
    <w:p w:rsidR="00A335E3" w:rsidRDefault="00113423">
      <w:pPr>
        <w:pStyle w:val="ManualConsidrant"/>
        <w:rPr>
          <w:noProof/>
        </w:rPr>
      </w:pPr>
      <w:r>
        <w:rPr>
          <w:noProof/>
        </w:rPr>
        <w:t>(34)</w:t>
      </w:r>
      <w:r>
        <w:rPr>
          <w:noProof/>
        </w:rPr>
        <w:tab/>
        <w:t>Дания е обвързана от Рамково реше</w:t>
      </w:r>
      <w:r>
        <w:rPr>
          <w:noProof/>
        </w:rPr>
        <w:t>ние 2004/757/ПВР и поради това участва в приемането и прилагането на настоящото решение.</w:t>
      </w:r>
    </w:p>
    <w:p w:rsidR="00A335E3" w:rsidRDefault="00113423">
      <w:pPr>
        <w:pStyle w:val="ManualConsidrant"/>
        <w:rPr>
          <w:noProof/>
        </w:rPr>
      </w:pPr>
      <w:r>
        <w:rPr>
          <w:noProof/>
        </w:rPr>
        <w:t>(35)</w:t>
      </w:r>
      <w:r>
        <w:rPr>
          <w:noProof/>
        </w:rPr>
        <w:tab/>
        <w:t>Ирландия е обвързана от Рамково решение 2004/757/ПВР и поради това участва в приемането и прилагането на настоящото решение,</w:t>
      </w:r>
    </w:p>
    <w:p w:rsidR="00A335E3" w:rsidRDefault="00113423">
      <w:pPr>
        <w:pStyle w:val="Formuledadoption"/>
        <w:rPr>
          <w:noProof/>
        </w:rPr>
      </w:pPr>
      <w:r>
        <w:rPr>
          <w:noProof/>
        </w:rPr>
        <w:t>ПРИЕ НАСТОЯЩОТО РЕШЕНИЕ:</w:t>
      </w:r>
    </w:p>
    <w:p w:rsidR="00A335E3" w:rsidRDefault="00113423">
      <w:pPr>
        <w:pStyle w:val="Titrearticle"/>
        <w:rPr>
          <w:noProof/>
        </w:rPr>
      </w:pPr>
      <w:r>
        <w:rPr>
          <w:noProof/>
        </w:rPr>
        <w:t>Член 1</w:t>
      </w:r>
    </w:p>
    <w:p w:rsidR="00A335E3" w:rsidRDefault="00113423">
      <w:pPr>
        <w:rPr>
          <w:bCs/>
          <w:noProof/>
          <w:szCs w:val="24"/>
        </w:rPr>
      </w:pPr>
      <w:r>
        <w:rPr>
          <w:noProof/>
        </w:rPr>
        <w:t>Позицията, която трябва да се заеме от името на Съюза на подновената шестдесет и трета сесия на Комисията за упойващите вещества, която ще се проведе на 3 и 4 декември 2020 г. — когато този орган ще има за задача да приеме решения относно добавянето или за</w:t>
      </w:r>
      <w:r>
        <w:rPr>
          <w:noProof/>
        </w:rPr>
        <w:t>личаването на вещества в списъците на Единната конвенция на Организацията на обединените нации по упойващите вещества от 1961 г., изменена с Протокола от 1972 г., и на Конвенцията на Организацията на обединените нации за психотропните вещества от 1971 г. —</w:t>
      </w:r>
      <w:r>
        <w:rPr>
          <w:noProof/>
        </w:rPr>
        <w:t xml:space="preserve"> е изложена в приложението към настоящото решение.</w:t>
      </w:r>
    </w:p>
    <w:p w:rsidR="00A335E3" w:rsidRDefault="00113423">
      <w:pPr>
        <w:pStyle w:val="Titrearticle"/>
        <w:rPr>
          <w:noProof/>
        </w:rPr>
      </w:pPr>
      <w:r>
        <w:rPr>
          <w:noProof/>
        </w:rPr>
        <w:t>Член 2</w:t>
      </w:r>
    </w:p>
    <w:p w:rsidR="00A335E3" w:rsidRDefault="00113423">
      <w:pPr>
        <w:rPr>
          <w:bCs/>
          <w:noProof/>
          <w:szCs w:val="24"/>
        </w:rPr>
      </w:pPr>
      <w:r>
        <w:rPr>
          <w:noProof/>
        </w:rPr>
        <w:t>Позицията, посочена в член 1, се изразява от държавите членки, които са членове на Комисията по упойващите вещества и които действат съвместно.</w:t>
      </w:r>
    </w:p>
    <w:p w:rsidR="00A335E3" w:rsidRDefault="00113423">
      <w:pPr>
        <w:pStyle w:val="Titrearticle"/>
        <w:keepNext w:val="0"/>
        <w:rPr>
          <w:noProof/>
        </w:rPr>
      </w:pPr>
      <w:r>
        <w:rPr>
          <w:noProof/>
        </w:rPr>
        <w:t xml:space="preserve">Член 3 </w:t>
      </w:r>
    </w:p>
    <w:p w:rsidR="00A335E3" w:rsidRDefault="00113423">
      <w:pPr>
        <w:rPr>
          <w:noProof/>
        </w:rPr>
      </w:pPr>
      <w:r>
        <w:rPr>
          <w:noProof/>
        </w:rPr>
        <w:t>Адресати на настоящото решение са държавите чл</w:t>
      </w:r>
      <w:r>
        <w:rPr>
          <w:noProof/>
        </w:rPr>
        <w:t>енки в съответствие с Договорите.</w:t>
      </w:r>
    </w:p>
    <w:p w:rsidR="00A335E3" w:rsidRDefault="00A335E3">
      <w:pPr>
        <w:rPr>
          <w:noProof/>
        </w:rPr>
      </w:pPr>
    </w:p>
    <w:p w:rsidR="00A335E3" w:rsidRDefault="00113423" w:rsidP="00113423">
      <w:pPr>
        <w:pStyle w:val="Fait"/>
        <w:rPr>
          <w:noProof/>
        </w:rPr>
      </w:pPr>
      <w:r w:rsidRPr="00113423">
        <w:t xml:space="preserve">Съставено в Брюксел на </w:t>
      </w:r>
      <w:r w:rsidRPr="00113423">
        <w:rPr>
          <w:rStyle w:val="Marker"/>
        </w:rPr>
        <w:t>[…]</w:t>
      </w:r>
      <w:r w:rsidRPr="00113423">
        <w:t xml:space="preserve"> година.</w:t>
      </w:r>
    </w:p>
    <w:p w:rsidR="00A335E3" w:rsidRDefault="00113423">
      <w:pPr>
        <w:pStyle w:val="Institutionquisigne"/>
        <w:rPr>
          <w:noProof/>
        </w:rPr>
      </w:pPr>
      <w:r>
        <w:rPr>
          <w:noProof/>
        </w:rPr>
        <w:tab/>
      </w:r>
      <w:r>
        <w:rPr>
          <w:noProof/>
        </w:rPr>
        <w:t>За Съвета</w:t>
      </w:r>
    </w:p>
    <w:p w:rsidR="00A335E3" w:rsidRDefault="00113423">
      <w:pPr>
        <w:pStyle w:val="Personnequisigne"/>
        <w:rPr>
          <w:noProof/>
        </w:rPr>
      </w:pPr>
      <w:r>
        <w:rPr>
          <w:noProof/>
        </w:rPr>
        <w:tab/>
        <w:t>Председател</w:t>
      </w:r>
    </w:p>
    <w:sectPr w:rsidR="00A335E3" w:rsidSect="0011342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E3" w:rsidRDefault="00113423">
      <w:pPr>
        <w:spacing w:before="0" w:after="0"/>
      </w:pPr>
      <w:r>
        <w:separator/>
      </w:r>
    </w:p>
  </w:endnote>
  <w:endnote w:type="continuationSeparator" w:id="0">
    <w:p w:rsidR="00A335E3" w:rsidRDefault="001134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23" w:rsidRPr="00113423" w:rsidRDefault="00113423" w:rsidP="00113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E3" w:rsidRPr="00113423" w:rsidRDefault="00113423" w:rsidP="00113423">
    <w:pPr>
      <w:pStyle w:val="Footer"/>
      <w:rPr>
        <w:rFonts w:ascii="Arial" w:hAnsi="Arial" w:cs="Arial"/>
        <w:b/>
        <w:sz w:val="48"/>
      </w:rPr>
    </w:pPr>
    <w:r w:rsidRPr="00113423">
      <w:rPr>
        <w:rFonts w:ascii="Arial" w:hAnsi="Arial" w:cs="Arial"/>
        <w:b/>
        <w:sz w:val="48"/>
      </w:rPr>
      <w:t>BG</w:t>
    </w:r>
    <w:r w:rsidRPr="00113423">
      <w:rPr>
        <w:rFonts w:ascii="Arial" w:hAnsi="Arial" w:cs="Arial"/>
        <w:b/>
        <w:sz w:val="48"/>
      </w:rPr>
      <w:tab/>
    </w:r>
    <w:r w:rsidRPr="00113423">
      <w:rPr>
        <w:rFonts w:ascii="Arial" w:hAnsi="Arial" w:cs="Arial"/>
        <w:b/>
        <w:sz w:val="48"/>
      </w:rPr>
      <w:tab/>
    </w:r>
    <w:r w:rsidRPr="00113423">
      <w:tab/>
    </w:r>
    <w:r w:rsidRPr="0011342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23" w:rsidRPr="00113423" w:rsidRDefault="00113423" w:rsidP="001134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E3" w:rsidRPr="00113423" w:rsidRDefault="00113423" w:rsidP="00113423">
    <w:pPr>
      <w:pStyle w:val="Footer"/>
      <w:rPr>
        <w:rFonts w:ascii="Arial" w:hAnsi="Arial" w:cs="Arial"/>
        <w:b/>
        <w:sz w:val="48"/>
      </w:rPr>
    </w:pPr>
    <w:r w:rsidRPr="00113423">
      <w:rPr>
        <w:rFonts w:ascii="Arial" w:hAnsi="Arial" w:cs="Arial"/>
        <w:b/>
        <w:sz w:val="48"/>
      </w:rPr>
      <w:t>BG</w:t>
    </w:r>
    <w:r w:rsidRPr="00113423">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113423">
      <w:tab/>
    </w:r>
    <w:r w:rsidRPr="00113423">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23" w:rsidRPr="00113423" w:rsidRDefault="00113423" w:rsidP="0011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E3" w:rsidRDefault="00113423">
      <w:pPr>
        <w:spacing w:before="0" w:after="0"/>
      </w:pPr>
      <w:r>
        <w:separator/>
      </w:r>
    </w:p>
  </w:footnote>
  <w:footnote w:type="continuationSeparator" w:id="0">
    <w:p w:rsidR="00A335E3" w:rsidRDefault="00113423">
      <w:pPr>
        <w:spacing w:before="0" w:after="0"/>
      </w:pPr>
      <w:r>
        <w:continuationSeparator/>
      </w:r>
    </w:p>
  </w:footnote>
  <w:footnote w:id="1">
    <w:p w:rsidR="00A335E3" w:rsidRDefault="00113423">
      <w:pPr>
        <w:pStyle w:val="FootnoteText"/>
      </w:pPr>
      <w:r>
        <w:rPr>
          <w:rStyle w:val="FootnoteReference"/>
        </w:rPr>
        <w:footnoteRef/>
      </w:r>
      <w:r>
        <w:tab/>
        <w:t>Сборник договори на ООН, том 978, № 14152.</w:t>
      </w:r>
    </w:p>
  </w:footnote>
  <w:footnote w:id="2">
    <w:p w:rsidR="00A335E3" w:rsidRDefault="00113423">
      <w:pPr>
        <w:pStyle w:val="FootnoteText"/>
      </w:pPr>
      <w:r>
        <w:rPr>
          <w:rStyle w:val="FootnoteReference"/>
        </w:rPr>
        <w:footnoteRef/>
      </w:r>
      <w:r>
        <w:tab/>
        <w:t>Сборник договори на ООН, том 1019, № 14956.</w:t>
      </w:r>
    </w:p>
  </w:footnote>
  <w:footnote w:id="3">
    <w:p w:rsidR="00A335E3" w:rsidRDefault="00113423">
      <w:pPr>
        <w:pStyle w:val="FootnoteText"/>
      </w:pPr>
      <w:r>
        <w:rPr>
          <w:rStyle w:val="FootnoteReference"/>
        </w:rPr>
        <w:footnoteRef/>
      </w:r>
      <w:r>
        <w:tab/>
        <w:t xml:space="preserve">От 1 януари 2020 г. следните 12 държави членки са членове на </w:t>
      </w:r>
      <w:r>
        <w:t>Комисията за упойващите вещества с право на глас: Австрия, Белгия, Германия, Испания, Италия, Нидерландия, Полша, Унгария, Франция, Хърватия, Чешката република, Швеция.</w:t>
      </w:r>
    </w:p>
  </w:footnote>
  <w:footnote w:id="4">
    <w:p w:rsidR="00A335E3" w:rsidRDefault="00113423">
      <w:pPr>
        <w:pStyle w:val="FootnoteText"/>
      </w:pPr>
      <w:r>
        <w:rPr>
          <w:rStyle w:val="FootnoteReference"/>
        </w:rPr>
        <w:footnoteRef/>
      </w:r>
      <w:r>
        <w:tab/>
      </w:r>
      <w:hyperlink r:id="rId1" w:history="1">
        <w:r>
          <w:rPr>
            <w:rStyle w:val="Hyperlink"/>
          </w:rPr>
          <w:t>https://www.who.int/medicines/access/controlled-substances/UNSG_letter_ECDD41_recommendations_cannabis_24Jan19.pdf?ua=1</w:t>
        </w:r>
      </w:hyperlink>
      <w:r>
        <w:t xml:space="preserve">. На 5 август 2020 г. СЗО изпрати писмо до Кабинета на генералния секретар на ООН, за </w:t>
      </w:r>
      <w:r>
        <w:t xml:space="preserve">да поясни, че изразът „съдържащи </w:t>
      </w:r>
      <w:r>
        <w:rPr>
          <w:i/>
        </w:rPr>
        <w:t>делта</w:t>
      </w:r>
      <w:r>
        <w:t xml:space="preserve"> — 9-тетрахидроканабинол (дронабинол)“ следва да се разглежда като част от текста на препоръката относно фармацевтичните препарати от канабис и дронабинол. </w:t>
      </w:r>
    </w:p>
  </w:footnote>
  <w:footnote w:id="5">
    <w:p w:rsidR="00A335E3" w:rsidRDefault="00113423">
      <w:pPr>
        <w:pStyle w:val="FootnoteText"/>
      </w:pPr>
      <w:r>
        <w:rPr>
          <w:rStyle w:val="FootnoteReference"/>
        </w:rPr>
        <w:footnoteRef/>
      </w:r>
      <w:r>
        <w:tab/>
        <w:t xml:space="preserve">Решение 63/14 на Комисията за упойващите вещества. </w:t>
      </w:r>
      <w:hyperlink r:id="rId2" w:history="1">
        <w:r>
          <w:rPr>
            <w:rStyle w:val="Hyperlink"/>
          </w:rPr>
          <w:t>https://www.unodc.org/documents/commissions/CND/Drug_Resolutions/2020-2029/2020/Decision_63_14.pdf</w:t>
        </w:r>
      </w:hyperlink>
      <w:r>
        <w:t xml:space="preserve">. </w:t>
      </w:r>
    </w:p>
  </w:footnote>
  <w:footnote w:id="6">
    <w:p w:rsidR="00A335E3" w:rsidRDefault="00113423">
      <w:pPr>
        <w:pStyle w:val="FootnoteText"/>
      </w:pPr>
      <w:r>
        <w:rPr>
          <w:rStyle w:val="FootnoteReference"/>
        </w:rPr>
        <w:footnoteRef/>
      </w:r>
      <w:r>
        <w:tab/>
        <w:t>ОВ L 335, 11.11.2004 г., стр. 8, изменено с Ди</w:t>
      </w:r>
      <w:r>
        <w:t>ректива (ЕС) 2017/2103 на Европейския парламент и на Съвета от 15 ноември 2017 г. за изменение на Рамково решение 2004/757/ПВР на Съвета с цел включване на нови психоактивни вещества в определението за „наркотици“ и за отмяна на Решение 2005/387/ПВР на Съв</w:t>
      </w:r>
      <w:r>
        <w:t xml:space="preserve">ета (ОВ L 305, 21.11.2017 г., стр. 12). </w:t>
      </w:r>
    </w:p>
  </w:footnote>
  <w:footnote w:id="7">
    <w:p w:rsidR="00A335E3" w:rsidRDefault="00113423">
      <w:pPr>
        <w:pStyle w:val="FootnoteText"/>
      </w:pPr>
      <w:r>
        <w:rPr>
          <w:rStyle w:val="FootnoteReference"/>
        </w:rPr>
        <w:footnoteRef/>
      </w:r>
      <w:r>
        <w:tab/>
        <w:t xml:space="preserve">Вж. обобщението на всички въпроси и отговори към 26 ноември на: </w:t>
      </w:r>
      <w:hyperlink r:id="rId3" w:history="1">
        <w:r>
          <w:rPr>
            <w:rStyle w:val="Hyperlink"/>
          </w:rPr>
          <w:t>https://www.unodc.org/documents/c</w:t>
        </w:r>
        <w:r>
          <w:rPr>
            <w:rStyle w:val="Hyperlink"/>
          </w:rPr>
          <w:t>ommissions/CND/CND_Sessions/CND_63/CRPs/ECN72020_CRP4_V2000845.pdf</w:t>
        </w:r>
      </w:hyperlink>
      <w:r>
        <w:t>.</w:t>
      </w:r>
    </w:p>
  </w:footnote>
  <w:footnote w:id="8">
    <w:p w:rsidR="00A335E3" w:rsidRDefault="00113423">
      <w:pPr>
        <w:pStyle w:val="FootnoteText"/>
      </w:pPr>
      <w:r>
        <w:rPr>
          <w:rStyle w:val="FootnoteReference"/>
        </w:rPr>
        <w:footnoteRef/>
      </w:r>
      <w:r>
        <w:tab/>
        <w:t>Анализ на въздействието на препоръките на СЗО във връзка с канабиса и свързаните с канабиса вещества върху изискванията за контрол на международната система за контрол на наркотиците, 15</w:t>
      </w:r>
      <w:r>
        <w:t xml:space="preserve"> юни 2020 г., Секретариат на INCB. </w:t>
      </w:r>
    </w:p>
  </w:footnote>
  <w:footnote w:id="9">
    <w:p w:rsidR="00A335E3" w:rsidRDefault="00113423">
      <w:pPr>
        <w:pStyle w:val="FootnoteText"/>
      </w:pPr>
      <w:r>
        <w:rPr>
          <w:rStyle w:val="FootnoteReference"/>
        </w:rPr>
        <w:footnoteRef/>
      </w:r>
      <w:r>
        <w:tab/>
        <w:t>За 6—7 октомври 2020 г. е насрочена нова тематична среща, за да се обсъди препоръката на СЗО относно канабиса и канабиса — смола. На 8 октомври е планирано междусесийно заседание на Комисията за упойващите вещества, за</w:t>
      </w:r>
      <w:r>
        <w:t xml:space="preserve"> да се приключат обсъжданията по всички препоръки.</w:t>
      </w:r>
    </w:p>
  </w:footnote>
  <w:footnote w:id="10">
    <w:p w:rsidR="00A335E3" w:rsidRDefault="00113423">
      <w:pPr>
        <w:pStyle w:val="FootnoteText"/>
      </w:pPr>
      <w:r>
        <w:rPr>
          <w:rStyle w:val="FootnoteReference"/>
        </w:rPr>
        <w:footnoteRef/>
      </w:r>
      <w:r>
        <w:tab/>
        <w:t>COM(2017) 72 final; COM(2018) 31 final; COM(2019) 862 final; COM(2019) 624 и COM(2019) 631.</w:t>
      </w:r>
    </w:p>
  </w:footnote>
  <w:footnote w:id="11">
    <w:p w:rsidR="00A335E3" w:rsidRDefault="00113423">
      <w:pPr>
        <w:pStyle w:val="FootnoteText"/>
      </w:pPr>
      <w:r>
        <w:rPr>
          <w:rStyle w:val="FootnoteReference"/>
        </w:rPr>
        <w:footnoteRef/>
      </w:r>
      <w:r>
        <w:tab/>
        <w:t>Приети от Съвета съответно на 7 март 2017 г., 27 февруари 2018 г., 5 март 2019 г. и 17 февруари 2020 г.</w:t>
      </w:r>
    </w:p>
  </w:footnote>
  <w:footnote w:id="12">
    <w:p w:rsidR="00A335E3" w:rsidRDefault="00113423">
      <w:pPr>
        <w:pStyle w:val="FootnoteText"/>
      </w:pPr>
      <w:r>
        <w:rPr>
          <w:rStyle w:val="FootnoteReference"/>
        </w:rPr>
        <w:footnoteRef/>
      </w:r>
      <w:r>
        <w:tab/>
        <w:t>Реш</w:t>
      </w:r>
      <w:r>
        <w:t xml:space="preserve">ение на Съда на Европейския съюз от 7 октомври 2014 г. по дело Германия/Съвет, C-399/12, ECLI:EU:C:2014:2258, т. 64. </w:t>
      </w:r>
    </w:p>
  </w:footnote>
  <w:footnote w:id="13">
    <w:p w:rsidR="00A335E3" w:rsidRDefault="00113423">
      <w:pPr>
        <w:pStyle w:val="FootnoteText"/>
      </w:pPr>
      <w:r>
        <w:rPr>
          <w:rStyle w:val="FootnoteReference"/>
        </w:rPr>
        <w:footnoteRef/>
      </w:r>
      <w:r>
        <w:tab/>
        <w:t xml:space="preserve">Решение на Съда на Европейския съюз от 7 октомври 2014 г. по дело Германия/Съвет, C-399/12, ECLI:EU:C:2014:2258, т. 61—64. </w:t>
      </w:r>
    </w:p>
  </w:footnote>
  <w:footnote w:id="14">
    <w:p w:rsidR="00A335E3" w:rsidRDefault="00113423">
      <w:pPr>
        <w:pStyle w:val="FootnoteText"/>
      </w:pPr>
      <w:r>
        <w:rPr>
          <w:rStyle w:val="FootnoteReference"/>
        </w:rPr>
        <w:footnoteRef/>
      </w:r>
      <w:r>
        <w:tab/>
        <w:t>Член 3, па</w:t>
      </w:r>
      <w:r>
        <w:t>раграф 7 от Конвенцията по упойващите вещества; член 2, параграф 7 от Конвенцията за психотропните вещества.</w:t>
      </w:r>
    </w:p>
  </w:footnote>
  <w:footnote w:id="15">
    <w:p w:rsidR="00A335E3" w:rsidRDefault="00113423">
      <w:pPr>
        <w:pStyle w:val="FootnoteText"/>
      </w:pPr>
      <w:r>
        <w:rPr>
          <w:rStyle w:val="FootnoteReference"/>
        </w:rPr>
        <w:footnoteRef/>
      </w:r>
      <w:r>
        <w:tab/>
      </w:r>
      <w:r>
        <w:rPr>
          <w:color w:val="000000" w:themeColor="text1"/>
        </w:rPr>
        <w:t>Сборник договори на ООН, том 978, № 14152.</w:t>
      </w:r>
    </w:p>
  </w:footnote>
  <w:footnote w:id="16">
    <w:p w:rsidR="00A335E3" w:rsidRDefault="00113423">
      <w:pPr>
        <w:pStyle w:val="FootnoteText"/>
      </w:pPr>
      <w:r>
        <w:rPr>
          <w:rStyle w:val="FootnoteReference"/>
        </w:rPr>
        <w:footnoteRef/>
      </w:r>
      <w:r>
        <w:tab/>
      </w:r>
      <w:r>
        <w:rPr>
          <w:color w:val="000000" w:themeColor="text1"/>
        </w:rPr>
        <w:t>Сборник договори на ООН, том 1019, № 14956.</w:t>
      </w:r>
    </w:p>
  </w:footnote>
  <w:footnote w:id="17">
    <w:p w:rsidR="00A335E3" w:rsidRDefault="00113423">
      <w:pPr>
        <w:pStyle w:val="FootnoteText"/>
      </w:pPr>
      <w:r>
        <w:rPr>
          <w:rStyle w:val="FootnoteReference"/>
        </w:rPr>
        <w:footnoteRef/>
      </w:r>
      <w:r>
        <w:tab/>
        <w:t xml:space="preserve">Рамково решение 2004/757/ПВР на Съвета от 25 октомври </w:t>
      </w:r>
      <w:r>
        <w:t>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(ОВ L 335, 11.11.2004 г., стр. 8).</w:t>
      </w:r>
    </w:p>
  </w:footnote>
  <w:footnote w:id="18">
    <w:p w:rsidR="00A335E3" w:rsidRDefault="00113423">
      <w:pPr>
        <w:pStyle w:val="FootnoteText"/>
      </w:pPr>
      <w:r>
        <w:rPr>
          <w:rStyle w:val="FootnoteReference"/>
        </w:rPr>
        <w:footnoteRef/>
      </w:r>
      <w:r>
        <w:tab/>
        <w:t>От 1 януари 2020 г. следните 12 държави членки са членове на</w:t>
      </w:r>
      <w:r>
        <w:t xml:space="preserve"> Комисията за упойващите вещества с право на глас: Австрия, Белгия, Германия, Испания, Италия, Нидерландия, Полша, Унгария, Франция, Хърватия, Чешката република, Швеция. </w:t>
      </w:r>
    </w:p>
  </w:footnote>
  <w:footnote w:id="19">
    <w:p w:rsidR="00A335E3" w:rsidRDefault="00113423">
      <w:pPr>
        <w:pStyle w:val="FootnoteText"/>
      </w:pPr>
      <w:r>
        <w:rPr>
          <w:rStyle w:val="FootnoteReference"/>
        </w:rPr>
        <w:footnoteRef/>
      </w:r>
      <w:r>
        <w:tab/>
      </w:r>
      <w:hyperlink r:id="rId4" w:history="1">
        <w:r>
          <w:rPr>
            <w:rStyle w:val="Hyperlink"/>
          </w:rPr>
          <w:t>https://www.who.int/medicines/access/controlled-substances/UNSG_letter_ECDD41_recommendations_cannabis_24Jan19.pdf?ua=1</w:t>
        </w:r>
      </w:hyperlink>
      <w:r>
        <w:t xml:space="preserve"> </w:t>
      </w:r>
    </w:p>
  </w:footnote>
  <w:footnote w:id="20">
    <w:p w:rsidR="00A335E3" w:rsidRDefault="00113423">
      <w:pPr>
        <w:pStyle w:val="FootnoteText"/>
        <w:jc w:val="left"/>
      </w:pPr>
      <w:r>
        <w:rPr>
          <w:rStyle w:val="FootnoteReference"/>
        </w:rPr>
        <w:footnoteRef/>
      </w:r>
      <w:r>
        <w:tab/>
        <w:t xml:space="preserve">Вж. обобщението на всички въпроси и отговори към 26 ноември на: </w:t>
      </w:r>
      <w:hyperlink r:id="rId5" w:history="1">
        <w:r>
          <w:rPr>
            <w:rStyle w:val="Hyperlink"/>
          </w:rPr>
          <w:t>https://www.unodc.org/documents/commissions/CND/CND_Sessions/CND_63/CRPs/ECN72020_CRP4_V2000845.pdf</w:t>
        </w:r>
      </w:hyperlink>
      <w:r>
        <w:t xml:space="preserve">. </w:t>
      </w:r>
    </w:p>
  </w:footnote>
  <w:footnote w:id="21">
    <w:p w:rsidR="00A335E3" w:rsidRDefault="00113423">
      <w:pPr>
        <w:pStyle w:val="FootnoteText"/>
      </w:pPr>
      <w:r>
        <w:rPr>
          <w:rStyle w:val="FootnoteReference"/>
        </w:rPr>
        <w:footnoteRef/>
      </w:r>
      <w:r>
        <w:tab/>
        <w:t>Анализ на въздействието на препоръките на СЗО във вр</w:t>
      </w:r>
      <w:r>
        <w:t>ъзка с канабиса и свързаните с канабиса вещества върху изискванията за контрол на международната система за контрол на наркотиците, 15 юни 2020 г., Секретариат на INCB.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23" w:rsidRPr="00113423" w:rsidRDefault="00113423" w:rsidP="00113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23" w:rsidRPr="00113423" w:rsidRDefault="00113423" w:rsidP="00113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23" w:rsidRPr="00113423" w:rsidRDefault="00113423" w:rsidP="00113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28283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AC40B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F707D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16432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7B8C9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B5AB5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1"/>
    <w:lvlOverride w:ilvl="0">
      <w:startOverride w:val="1"/>
    </w:lvlOverride>
  </w:num>
  <w:num w:numId="5">
    <w:abstractNumId w:val="4"/>
  </w:num>
  <w:num w:numId="6">
    <w:abstractNumId w:val="7"/>
  </w:num>
  <w:num w:numId="7">
    <w:abstractNumId w:val="5"/>
  </w:num>
  <w:num w:numId="8">
    <w:abstractNumId w:val="6"/>
  </w:num>
  <w:num w:numId="9">
    <w:abstractNumId w:val="2"/>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6:42: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COM(2020) 659 final of 16.10.2020 downgraded on 8.12.2020."/>
    <w:docVar w:name="LW_COVERPAGE_EXISTS" w:val="True"/>
    <w:docVar w:name="LW_COVERPAGE_GUID" w:val="2DEC0F8B-4592-4AF7-B460-E3103A201DE9"/>
    <w:docVar w:name="LW_COVERPAGE_TYPE" w:val="1"/>
    <w:docVar w:name="LW_CROSSREFERENCE" w:val="&lt;UNUSED&gt;"/>
    <w:docVar w:name="LW_DocType" w:val="COM"/>
    <w:docVar w:name="LW_EMISSION" w:val="8.12.2020"/>
    <w:docVar w:name="LW_EMISSION_ISODATE" w:val="2020-12-08"/>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6"/>
    <w:docVar w:name="LW_REF.II.NEW.CP_YEAR" w:val="2020"/>
    <w:docVar w:name="LW_REF.INST.NEW" w:val="COM"/>
    <w:docVar w:name="LW_REF.INST.NEW_ADOPTED" w:val="final/2"/>
    <w:docVar w:name="LW_REF.INST.NEW_TEXT" w:val="(2020) 6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87?\u1086?\u1076?\u1085?\u1086?\u1074?\u1077?\u1085?\u1072?\u1090?\u1072? \u1096?\u1077?\u1089?\u1090?\u1076?\u1077?\u1089?\u1077?\u1090? \u1080? \u1090?\u1088?\u1077?\u1090?\u1072? \u1089?\u1077?\u1089?\u1080?\u1103? \u1085?\u1072? \u1050?\u1086?\u1084?\u1080?\u1089?\u1080?\u1103?\u1090?\u1072? \u1079?\u1072? \u1091?\u1087?\u1086?\u1081?\u1074?\u1072?\u1097?\u1080?\u1090?\u1077? \u1074?\u1077?\u1097?\u1077?\u1089?\u1090?\u1074?\u1072? \u1087?\u1086? \u1086?\u1090?\u1085?\u1086?\u1096?\u1077?\u1085?\u1080?\u1077? \u1085?\u1072? \u1074?\u1082?\u1083?\u1102?\u1095?\u1074?\u1072?\u1085?\u1077?\u1090?\u1086? \u1085?\u1072? \u1074?\u1077?\u1097?\u1077?\u1089?\u1090?\u1074?\u1072? \u1074? \u1089?\u1087?\u1080?\u1089?\u1098?\u1094?\u1080?\u1090?\u1077? \u1087?\u1086? \u1045?\u1076?\u1080?\u1085?\u1085?\u1072?\u1090?\u1072? \u1082?\u1086?\u1085?\u1074?\u1077?\u1085?\u1094?\u1080?\u1103? \u1087?\u1086? \u1091?\u1087?\u1086?\u1081?\u1074?\u1072?\u1097?\u1080?\u1090?\u1077? \u1074?\u1077?\u1097?\u1077?\u1089?\u1090?\u1074?\u1072? \u1086?\u1090? 1961 \u1075?., \u1080?\u1079?\u1084?\u1077?\u1085?\u1077?\u1085?\u1072? \u1089? \u1055?\u1088?\u1086?\u1090?\u1086?\u1082?\u1086?\u1083?\u1072? \u1086?\u1090? 1972 \u1075?., \u1080? \u1050?\u1086?\u1085?\u1074?\u1077?\u1085?\u1094?\u1080?\u1103?\u1090?\u1072? \u1079?\u1072? \u1087?\u1089?\u1080?\u1093?\u1086?\u1090?\u1088?\u1086?\u1087?\u1085?\u1080?\u1090?\u1077? \u1074?\u1077?\u1097?\u1077?\u1089?\u1090?\u1074?\u1072? \u1086?\u1090? 1971 \u1075?."/>
    <w:docVar w:name="LW_TYPE.DOC.CP" w:val="\u1056?\u1045?\u1064?\u1045?\u1053?\u1048?\u1045? \u1053?\u1040? \u1057?\u1066?\u1042?\u1045?\u1058?\u1040?"/>
  </w:docVars>
  <w:rsids>
    <w:rsidRoot w:val="00A335E3"/>
    <w:rsid w:val="00113423"/>
    <w:rsid w:val="00A3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252526E-B484-4A9B-BD38-8C0D415D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lang w:eastAsia="en-GB"/>
    </w:rPr>
  </w:style>
  <w:style w:type="paragraph" w:styleId="ListBullet4">
    <w:name w:val="List Bullet 4"/>
    <w:basedOn w:val="Normal"/>
    <w:pPr>
      <w:numPr>
        <w:numId w:val="3"/>
      </w:numPr>
    </w:pPr>
    <w:rPr>
      <w:lang w:eastAsia="en-GB"/>
    </w:rPr>
  </w:style>
  <w:style w:type="character" w:styleId="Emphasis">
    <w:name w:val="Emphasis"/>
    <w:basedOn w:val="DefaultParagraphFont"/>
    <w:uiPriority w:val="20"/>
    <w:qFormat/>
    <w:rPr>
      <w:i/>
      <w:iCs/>
    </w:rPr>
  </w:style>
  <w:style w:type="paragraph" w:styleId="ListBullet3">
    <w:name w:val="List Bullet 3"/>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u w:val="single"/>
    </w:rPr>
  </w:style>
  <w:style w:type="paragraph" w:customStyle="1" w:styleId="Normalny1">
    <w:name w:val="Normalny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113423"/>
    <w:pPr>
      <w:tabs>
        <w:tab w:val="center" w:pos="4535"/>
        <w:tab w:val="right" w:pos="9071"/>
      </w:tabs>
      <w:spacing w:before="0"/>
    </w:pPr>
  </w:style>
  <w:style w:type="character" w:customStyle="1" w:styleId="HeaderChar">
    <w:name w:val="Header Char"/>
    <w:basedOn w:val="DefaultParagraphFont"/>
    <w:link w:val="Header"/>
    <w:uiPriority w:val="99"/>
    <w:rsid w:val="00113423"/>
    <w:rPr>
      <w:rFonts w:ascii="Times New Roman" w:hAnsi="Times New Roman" w:cs="Times New Roman"/>
      <w:sz w:val="24"/>
      <w:lang w:val="bg-BG"/>
    </w:rPr>
  </w:style>
  <w:style w:type="paragraph" w:styleId="Footer">
    <w:name w:val="footer"/>
    <w:basedOn w:val="Normal"/>
    <w:link w:val="FooterChar"/>
    <w:uiPriority w:val="99"/>
    <w:unhideWhenUsed/>
    <w:rsid w:val="0011342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3423"/>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13423"/>
    <w:pPr>
      <w:tabs>
        <w:tab w:val="center" w:pos="7285"/>
        <w:tab w:val="right" w:pos="14003"/>
      </w:tabs>
      <w:spacing w:before="0"/>
    </w:pPr>
  </w:style>
  <w:style w:type="paragraph" w:customStyle="1" w:styleId="FooterLandscape">
    <w:name w:val="FooterLandscape"/>
    <w:basedOn w:val="Normal"/>
    <w:rsid w:val="0011342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1342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13423"/>
    <w:pPr>
      <w:spacing w:before="0"/>
      <w:jc w:val="right"/>
    </w:pPr>
    <w:rPr>
      <w:sz w:val="28"/>
    </w:rPr>
  </w:style>
  <w:style w:type="paragraph" w:customStyle="1" w:styleId="FooterSensitivity">
    <w:name w:val="Footer Sensitivity"/>
    <w:basedOn w:val="Normal"/>
    <w:rsid w:val="0011342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documents/commissions/CND/CND_Sessions/CND_63/CRPs/ECN72020_CRP4_V2000845.pdf" TargetMode="External"/><Relationship Id="rId2" Type="http://schemas.openxmlformats.org/officeDocument/2006/relationships/hyperlink" Target="https://www.unodc.org/documents/commissions/CND/Drug_Resolutions/2020-2029/2020/Decision_63_14.pdf" TargetMode="External"/><Relationship Id="rId1" Type="http://schemas.openxmlformats.org/officeDocument/2006/relationships/hyperlink" Target="https://www.who.int/medicines/access/controlled-substances/UNSG_letter_ECDD41_recommendations_cannabis_24Jan19.pdf?ua=1" TargetMode="External"/><Relationship Id="rId5" Type="http://schemas.openxmlformats.org/officeDocument/2006/relationships/hyperlink" Target="https://www.unodc.org/documents/commissions/CND/CND_Sessions/CND_63/CRPs/ECN72020_CRP4_V2000845.pdf" TargetMode="External"/><Relationship Id="rId4" Type="http://schemas.openxmlformats.org/officeDocument/2006/relationships/hyperlink" Target="https://www.who.int/medicines/access/controlled-substances/UNSG_letter_ECDD41_recommendations_cannabis_24Jan19.pdf?u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E54D99-F650-410D-B0D9-1E699F45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13</Pages>
  <Words>4487</Words>
  <Characters>25847</Characters>
  <Application>Microsoft Office Word</Application>
  <DocSecurity>0</DocSecurity>
  <Lines>461</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38</cp:revision>
  <dcterms:created xsi:type="dcterms:W3CDTF">2020-10-15T12:28:00Z</dcterms:created>
  <dcterms:modified xsi:type="dcterms:W3CDTF">2020-12-07T15:55:00Z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