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61" w:rsidRDefault="0058279F" w:rsidP="0058279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19200E6-6523-405D-AE50-2E5BAE156B6A" style="width:450.75pt;height:436.5pt">
            <v:imagedata r:id="rId7" o:title=""/>
          </v:shape>
        </w:pict>
      </w:r>
    </w:p>
    <w:p w:rsidR="00B72161" w:rsidRDefault="00B72161">
      <w:pPr>
        <w:rPr>
          <w:noProof/>
        </w:rPr>
        <w:sectPr w:rsidR="00B72161" w:rsidSect="0058279F">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B72161" w:rsidRDefault="0058279F">
      <w:pPr>
        <w:pStyle w:val="Annexetitre"/>
        <w:rPr>
          <w:noProof/>
        </w:rPr>
      </w:pPr>
      <w:bookmarkStart w:id="0" w:name="_GoBack"/>
      <w:bookmarkEnd w:id="0"/>
      <w:r>
        <w:rPr>
          <w:noProof/>
        </w:rPr>
        <w:lastRenderedPageBreak/>
        <w:t xml:space="preserve">ANNEX </w:t>
      </w:r>
    </w:p>
    <w:p w:rsidR="00B72161" w:rsidRDefault="00B72161">
      <w:pPr>
        <w:autoSpaceDE w:val="0"/>
        <w:autoSpaceDN w:val="0"/>
        <w:adjustRightInd w:val="0"/>
        <w:spacing w:before="0" w:after="27"/>
        <w:rPr>
          <w:noProof/>
          <w:color w:val="000000"/>
          <w:szCs w:val="24"/>
        </w:rPr>
      </w:pPr>
    </w:p>
    <w:p w:rsidR="00B72161" w:rsidRDefault="0058279F">
      <w:pPr>
        <w:autoSpaceDE w:val="0"/>
        <w:autoSpaceDN w:val="0"/>
        <w:adjustRightInd w:val="0"/>
        <w:spacing w:before="0" w:after="27"/>
        <w:rPr>
          <w:noProof/>
          <w:color w:val="000000"/>
          <w:szCs w:val="24"/>
        </w:rPr>
      </w:pPr>
      <w:r>
        <w:rPr>
          <w:noProof/>
          <w:color w:val="000000"/>
          <w:szCs w:val="24"/>
        </w:rPr>
        <w:t xml:space="preserve">Position to be taken by the Member States which are members of the Commission on Narcotic Drugs, acting jointly, in the interest of the Union during the reconvened sixty-third session of the Commission on Narcotic Drugs on 3 and 4 </w:t>
      </w:r>
      <w:r>
        <w:rPr>
          <w:bCs/>
          <w:noProof/>
          <w:szCs w:val="24"/>
        </w:rPr>
        <w:t xml:space="preserve">December 2020 </w:t>
      </w:r>
      <w:r>
        <w:rPr>
          <w:noProof/>
          <w:color w:val="000000"/>
          <w:szCs w:val="24"/>
        </w:rPr>
        <w:t>regarding c</w:t>
      </w:r>
      <w:r>
        <w:rPr>
          <w:noProof/>
          <w:color w:val="000000"/>
          <w:szCs w:val="24"/>
        </w:rPr>
        <w:t>hanges in the scope of control of substances:</w:t>
      </w:r>
    </w:p>
    <w:p w:rsidR="00B72161" w:rsidRDefault="00B72161">
      <w:pPr>
        <w:autoSpaceDE w:val="0"/>
        <w:autoSpaceDN w:val="0"/>
        <w:adjustRightInd w:val="0"/>
        <w:spacing w:before="0" w:after="27"/>
        <w:rPr>
          <w:noProof/>
          <w:color w:val="000000"/>
          <w:szCs w:val="24"/>
        </w:rPr>
      </w:pPr>
    </w:p>
    <w:p w:rsidR="00B72161" w:rsidRDefault="0058279F">
      <w:pPr>
        <w:pStyle w:val="Point0number"/>
        <w:numPr>
          <w:ilvl w:val="0"/>
          <w:numId w:val="1"/>
        </w:numPr>
        <w:rPr>
          <w:noProof/>
        </w:rPr>
      </w:pPr>
      <w:r>
        <w:rPr>
          <w:noProof/>
        </w:rPr>
        <w:t>cannabis and cannabis resin are to be deleted from Schedule IV of the Convention on Narcotic Drugs</w:t>
      </w:r>
      <w:r>
        <w:rPr>
          <w:rStyle w:val="FootnoteReference"/>
          <w:noProof/>
        </w:rPr>
        <w:footnoteReference w:id="1"/>
      </w:r>
      <w:r>
        <w:rPr>
          <w:noProof/>
        </w:rPr>
        <w:t xml:space="preserve">; </w:t>
      </w:r>
    </w:p>
    <w:p w:rsidR="00B72161" w:rsidRDefault="0058279F">
      <w:pPr>
        <w:pStyle w:val="Point0number"/>
        <w:numPr>
          <w:ilvl w:val="0"/>
          <w:numId w:val="1"/>
        </w:numPr>
        <w:rPr>
          <w:noProof/>
        </w:rPr>
      </w:pPr>
      <w:r>
        <w:rPr>
          <w:noProof/>
        </w:rPr>
        <w:t>dronabinol (</w:t>
      </w:r>
      <w:r>
        <w:rPr>
          <w:i/>
          <w:noProof/>
        </w:rPr>
        <w:t>delta</w:t>
      </w:r>
      <w:r>
        <w:rPr>
          <w:noProof/>
        </w:rPr>
        <w:t xml:space="preserve">-9-tetrahydrocannabinol) is to be added to Schedule I of the Convention on Narcotic Drugs </w:t>
      </w:r>
      <w:r>
        <w:rPr>
          <w:noProof/>
        </w:rPr>
        <w:t xml:space="preserve">and, if this recommendation is adopted, to be deleted from Schedule II of the Convention on Psychotropic Substances; </w:t>
      </w:r>
    </w:p>
    <w:p w:rsidR="00B72161" w:rsidRDefault="0058279F">
      <w:pPr>
        <w:pStyle w:val="Point0number"/>
        <w:numPr>
          <w:ilvl w:val="0"/>
          <w:numId w:val="1"/>
        </w:numPr>
        <w:rPr>
          <w:noProof/>
        </w:rPr>
      </w:pPr>
      <w:r>
        <w:rPr>
          <w:noProof/>
        </w:rPr>
        <w:t xml:space="preserve">tetrahydrocannabinol (isomers of </w:t>
      </w:r>
      <w:r>
        <w:rPr>
          <w:i/>
          <w:noProof/>
        </w:rPr>
        <w:t>delta</w:t>
      </w:r>
      <w:r>
        <w:rPr>
          <w:noProof/>
        </w:rPr>
        <w:t>-9-tetrahydrocannabinol) is to be added to Schedule I of the Convention on Narcotic Drugs, subject t</w:t>
      </w:r>
      <w:r>
        <w:rPr>
          <w:noProof/>
        </w:rPr>
        <w:t>o the CND’s adoption of the recommendation to add dronabinol and its stereoisomers (</w:t>
      </w:r>
      <w:r>
        <w:rPr>
          <w:i/>
          <w:noProof/>
        </w:rPr>
        <w:t>delta</w:t>
      </w:r>
      <w:r>
        <w:rPr>
          <w:noProof/>
        </w:rPr>
        <w:t xml:space="preserve">-9-tetrahydrocannabinol) to Schedule I of the Convention on Narcotic Drugs, and, if this recommendation is adopted, is to be deleted from Schedule I of the Convention </w:t>
      </w:r>
      <w:r>
        <w:rPr>
          <w:noProof/>
        </w:rPr>
        <w:t xml:space="preserve">on Psychotropic Substances; </w:t>
      </w:r>
    </w:p>
    <w:p w:rsidR="00B72161" w:rsidRDefault="0058279F">
      <w:pPr>
        <w:pStyle w:val="Point0number"/>
        <w:numPr>
          <w:ilvl w:val="0"/>
          <w:numId w:val="1"/>
        </w:numPr>
        <w:rPr>
          <w:noProof/>
        </w:rPr>
      </w:pPr>
      <w:r>
        <w:rPr>
          <w:noProof/>
        </w:rPr>
        <w:t>the term ‘extracts and tinctures’ is to be deleted from Schedule I of the  Convention on Narcotic Drugs;</w:t>
      </w:r>
    </w:p>
    <w:p w:rsidR="00B72161" w:rsidRDefault="0058279F">
      <w:pPr>
        <w:pStyle w:val="Point0number"/>
        <w:numPr>
          <w:ilvl w:val="0"/>
          <w:numId w:val="1"/>
        </w:numPr>
        <w:rPr>
          <w:noProof/>
        </w:rPr>
      </w:pPr>
      <w:r>
        <w:rPr>
          <w:noProof/>
        </w:rPr>
        <w:t xml:space="preserve">the footnote reading </w:t>
      </w:r>
      <w:r>
        <w:rPr>
          <w:i/>
          <w:noProof/>
        </w:rPr>
        <w:t>“Preparations containing predominantly cannabidiol and not more than 0.2 percent of delta-9-tetrahydr</w:t>
      </w:r>
      <w:r>
        <w:rPr>
          <w:i/>
          <w:noProof/>
        </w:rPr>
        <w:t>ocannabinol are not under international control”</w:t>
      </w:r>
      <w:r>
        <w:rPr>
          <w:noProof/>
        </w:rPr>
        <w:t xml:space="preserve"> shall not be added to the entry for cannabis and cannabis resin in Schedule I of the Convention on Narcotic Drugs; the WHO is invited to urgently propose a revised recommendation with a view to decide the ap</w:t>
      </w:r>
      <w:r>
        <w:rPr>
          <w:noProof/>
        </w:rPr>
        <w:t>propriate level of international control for cannabidiol, including the possibility of exempting it from such control;</w:t>
      </w:r>
    </w:p>
    <w:p w:rsidR="00B72161" w:rsidRDefault="0058279F">
      <w:pPr>
        <w:pStyle w:val="Point0number"/>
        <w:numPr>
          <w:ilvl w:val="0"/>
          <w:numId w:val="1"/>
        </w:numPr>
        <w:rPr>
          <w:noProof/>
        </w:rPr>
      </w:pPr>
      <w:r>
        <w:rPr>
          <w:noProof/>
        </w:rPr>
        <w:t>preparations produced either by chemical synthesis or as preparation of cannabis, that are compounded as pharmaceutical preparations with</w:t>
      </w:r>
      <w:r>
        <w:rPr>
          <w:noProof/>
        </w:rPr>
        <w:t xml:space="preserve"> one or more other ingredients and in such a way that </w:t>
      </w:r>
      <w:r>
        <w:rPr>
          <w:i/>
          <w:noProof/>
        </w:rPr>
        <w:t>delta</w:t>
      </w:r>
      <w:r>
        <w:rPr>
          <w:noProof/>
        </w:rPr>
        <w:t>-9-tetrahydrocannabinol (dronabinol) cannot be recovered by readily available means or in a yield which would constitute a risk to public health shall not be added to Schedule III of the Convention</w:t>
      </w:r>
      <w:r>
        <w:rPr>
          <w:noProof/>
        </w:rPr>
        <w:t xml:space="preserve"> on Narcotic Drugs. </w:t>
      </w:r>
    </w:p>
    <w:p w:rsidR="00B72161" w:rsidRDefault="00B72161">
      <w:pPr>
        <w:rPr>
          <w:noProof/>
        </w:rPr>
      </w:pPr>
    </w:p>
    <w:p w:rsidR="00B72161" w:rsidRDefault="0058279F">
      <w:pPr>
        <w:rPr>
          <w:noProof/>
        </w:rPr>
      </w:pPr>
      <w:r>
        <w:rPr>
          <w:noProof/>
        </w:rPr>
        <w:t xml:space="preserve">In order to ensure coherence of the scheduling and to avoid the risk that a substance could be scheduled under the Convention on Narcotic Drugs as well as under the Convention on Psychotropic Substances, Member States can accept a </w:t>
      </w:r>
      <w:r>
        <w:rPr>
          <w:noProof/>
        </w:rPr>
        <w:t>joint vote on the recommendations concerning dronabinol and tetrahydrocannabinol.</w:t>
      </w:r>
    </w:p>
    <w:p w:rsidR="00B72161" w:rsidRDefault="00B72161">
      <w:pPr>
        <w:rPr>
          <w:noProof/>
        </w:rPr>
      </w:pPr>
    </w:p>
    <w:sectPr w:rsidR="00B72161" w:rsidSect="0058279F">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161" w:rsidRDefault="0058279F">
      <w:pPr>
        <w:spacing w:before="0" w:after="0"/>
      </w:pPr>
      <w:r>
        <w:separator/>
      </w:r>
    </w:p>
  </w:endnote>
  <w:endnote w:type="continuationSeparator" w:id="0">
    <w:p w:rsidR="00B72161" w:rsidRDefault="005827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9F" w:rsidRPr="0058279F" w:rsidRDefault="0058279F" w:rsidP="00582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161" w:rsidRPr="0058279F" w:rsidRDefault="0058279F" w:rsidP="0058279F">
    <w:pPr>
      <w:pStyle w:val="Footer"/>
      <w:rPr>
        <w:rFonts w:ascii="Arial" w:hAnsi="Arial" w:cs="Arial"/>
        <w:b/>
        <w:sz w:val="48"/>
      </w:rPr>
    </w:pPr>
    <w:r w:rsidRPr="0058279F">
      <w:rPr>
        <w:rFonts w:ascii="Arial" w:hAnsi="Arial" w:cs="Arial"/>
        <w:b/>
        <w:sz w:val="48"/>
      </w:rPr>
      <w:t>EN</w:t>
    </w:r>
    <w:r w:rsidRPr="0058279F">
      <w:rPr>
        <w:rFonts w:ascii="Arial" w:hAnsi="Arial" w:cs="Arial"/>
        <w:b/>
        <w:sz w:val="48"/>
      </w:rPr>
      <w:tab/>
    </w:r>
    <w:r w:rsidRPr="0058279F">
      <w:rPr>
        <w:rFonts w:ascii="Arial" w:hAnsi="Arial" w:cs="Arial"/>
        <w:b/>
        <w:sz w:val="48"/>
      </w:rPr>
      <w:tab/>
    </w:r>
    <w:r w:rsidRPr="0058279F">
      <w:tab/>
    </w:r>
    <w:r w:rsidRPr="0058279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9F" w:rsidRPr="0058279F" w:rsidRDefault="0058279F" w:rsidP="005827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9F" w:rsidRPr="0058279F" w:rsidRDefault="0058279F" w:rsidP="0058279F">
    <w:pPr>
      <w:pStyle w:val="Footer"/>
      <w:rPr>
        <w:rFonts w:ascii="Arial" w:hAnsi="Arial" w:cs="Arial"/>
        <w:b/>
        <w:sz w:val="48"/>
      </w:rPr>
    </w:pPr>
    <w:r w:rsidRPr="0058279F">
      <w:rPr>
        <w:rFonts w:ascii="Arial" w:hAnsi="Arial" w:cs="Arial"/>
        <w:b/>
        <w:sz w:val="48"/>
      </w:rPr>
      <w:t>EN</w:t>
    </w:r>
    <w:r w:rsidRPr="0058279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8279F">
      <w:tab/>
    </w:r>
    <w:r w:rsidRPr="0058279F">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9F" w:rsidRPr="0058279F" w:rsidRDefault="0058279F" w:rsidP="00582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161" w:rsidRDefault="0058279F">
      <w:pPr>
        <w:spacing w:before="0" w:after="0"/>
      </w:pPr>
      <w:r>
        <w:separator/>
      </w:r>
    </w:p>
  </w:footnote>
  <w:footnote w:type="continuationSeparator" w:id="0">
    <w:p w:rsidR="00B72161" w:rsidRDefault="0058279F">
      <w:pPr>
        <w:spacing w:before="0" w:after="0"/>
      </w:pPr>
      <w:r>
        <w:continuationSeparator/>
      </w:r>
    </w:p>
  </w:footnote>
  <w:footnote w:id="1">
    <w:p w:rsidR="00B72161" w:rsidRDefault="0058279F">
      <w:pPr>
        <w:pStyle w:val="FootnoteText"/>
      </w:pPr>
      <w:r>
        <w:rPr>
          <w:rStyle w:val="FootnoteReference"/>
        </w:rPr>
        <w:footnoteRef/>
      </w:r>
      <w:r>
        <w:tab/>
        <w:t>They continue to be listed in Schedule I of that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9F" w:rsidRPr="0058279F" w:rsidRDefault="0058279F" w:rsidP="00582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9F" w:rsidRPr="0058279F" w:rsidRDefault="0058279F" w:rsidP="00582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9F" w:rsidRPr="0058279F" w:rsidRDefault="0058279F" w:rsidP="00582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408880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18CB2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C8D07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D3418D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2A89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C1A31B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5F8FE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408D0E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16:44: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COM(2020) 659 final of 16.10.2020 downgraded on 8.12.2020."/>
    <w:docVar w:name="LW_COVERPAGE_EXISTS" w:val="True"/>
    <w:docVar w:name="LW_COVERPAGE_GUID" w:val="819200E6-6523-405D-AE50-2E5BAE156B6A"/>
    <w:docVar w:name="LW_COVERPAGE_TYPE" w:val="1"/>
    <w:docVar w:name="LW_CROSSREFERENCE" w:val="&lt;UNUSED&gt;"/>
    <w:docVar w:name="LW_DocType" w:val="ANNEX"/>
    <w:docVar w:name="LW_EMISSION" w:val="8.12.2020"/>
    <w:docVar w:name="LW_EMISSION_ISODATE" w:val="2020-12-0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reconvened sixty-third session of the Commission on Narcotic Drugs on the scheduling of substances under the Single Convention on Narcotic Drugs of 1961, as amended by the 1972 Protocol, and the Convention on Psychotropic Substances of 1971"/>
    <w:docVar w:name="LW_OBJETACTEPRINCIPAL.CP" w:val="on the position to be taken, on behalf of the European Union, in the reconvened sixty-third session of the Commission on Narcotic Drugs on the scheduling of substances under the Single Convention on Narcotic Drugs of 1961, as amended by the 1972 Protocol, and the Convention on Psychotropic Substances of 1971"/>
    <w:docVar w:name="LW_PART_NBR" w:val="1"/>
    <w:docVar w:name="LW_PART_NBR_TOTAL" w:val="1"/>
    <w:docVar w:name="LW_REF.INST.NEW" w:val="COM"/>
    <w:docVar w:name="LW_REF.INST.NEW_ADOPTED" w:val="final/2"/>
    <w:docVar w:name="LW_REF.INST.NEW_TEXT" w:val="(2020) 6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w:rsids>
    <w:rsidRoot w:val="00B72161"/>
    <w:rsid w:val="0058279F"/>
    <w:rsid w:val="00B7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B261D1F-A662-443D-BB3E-DD341AC3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58279F"/>
    <w:pPr>
      <w:tabs>
        <w:tab w:val="center" w:pos="4535"/>
        <w:tab w:val="right" w:pos="9071"/>
      </w:tabs>
      <w:spacing w:before="0"/>
    </w:pPr>
  </w:style>
  <w:style w:type="character" w:customStyle="1" w:styleId="HeaderChar">
    <w:name w:val="Header Char"/>
    <w:basedOn w:val="DefaultParagraphFont"/>
    <w:link w:val="Header"/>
    <w:uiPriority w:val="99"/>
    <w:rsid w:val="0058279F"/>
    <w:rPr>
      <w:rFonts w:ascii="Times New Roman" w:hAnsi="Times New Roman" w:cs="Times New Roman"/>
      <w:sz w:val="24"/>
      <w:lang w:val="en-GB"/>
    </w:rPr>
  </w:style>
  <w:style w:type="paragraph" w:styleId="Footer">
    <w:name w:val="footer"/>
    <w:basedOn w:val="Normal"/>
    <w:link w:val="FooterChar"/>
    <w:uiPriority w:val="99"/>
    <w:unhideWhenUsed/>
    <w:rsid w:val="0058279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8279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8279F"/>
    <w:pPr>
      <w:tabs>
        <w:tab w:val="center" w:pos="7285"/>
        <w:tab w:val="right" w:pos="14003"/>
      </w:tabs>
      <w:spacing w:before="0"/>
    </w:pPr>
  </w:style>
  <w:style w:type="paragraph" w:customStyle="1" w:styleId="FooterLandscape">
    <w:name w:val="FooterLandscape"/>
    <w:basedOn w:val="Normal"/>
    <w:rsid w:val="0058279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8279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8279F"/>
    <w:pPr>
      <w:spacing w:before="0"/>
      <w:jc w:val="right"/>
    </w:pPr>
    <w:rPr>
      <w:sz w:val="28"/>
    </w:rPr>
  </w:style>
  <w:style w:type="paragraph" w:customStyle="1" w:styleId="FooterSensitivity">
    <w:name w:val="Footer Sensitivity"/>
    <w:basedOn w:val="Normal"/>
    <w:rsid w:val="0058279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2</TotalTime>
  <Pages>2</Pages>
  <Words>369</Words>
  <Characters>2026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AKBAY-COLLET Dicle (HOME)</dc:creator>
  <cp:keywords/>
  <dc:description/>
  <cp:lastModifiedBy>WADHWANIA Nadia (SG)</cp:lastModifiedBy>
  <cp:revision>18</cp:revision>
  <dcterms:created xsi:type="dcterms:W3CDTF">2020-10-13T09:21:00Z</dcterms:created>
  <dcterms:modified xsi:type="dcterms:W3CDTF">2020-12-07T15:54:00Z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