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380661A-2AF8-4233-996E-96E13F0E5C8B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  <w:u w:val="single"/>
        </w:rPr>
        <w:t>Указания за водене на преговори за ново споразумение в областта на рибарството с Кралство Норвегия</w:t>
      </w:r>
    </w:p>
    <w:p>
      <w:pPr>
        <w:pStyle w:val="NumPar1"/>
        <w:numPr>
          <w:ilvl w:val="0"/>
          <w:numId w:val="5"/>
        </w:numPr>
        <w:spacing w:before="0" w:after="240"/>
        <w:ind w:left="397" w:hanging="397"/>
        <w:rPr>
          <w:noProof/>
          <w:szCs w:val="24"/>
        </w:rPr>
      </w:pPr>
      <w:r>
        <w:rPr>
          <w:noProof/>
        </w:rPr>
        <w:t>Целта на преговорите е сключване на ново споразумение, с което се определят общите принципи и цели на отношенията в областта на рибарството между Съюза и Норвегия и се създава рамка за управлението на общите рибни запаси и за реципрочния достъп до водите и ресурсите.</w:t>
      </w:r>
    </w:p>
    <w:p>
      <w:pPr>
        <w:pStyle w:val="NumPar1"/>
        <w:spacing w:before="0" w:after="240"/>
        <w:ind w:left="397" w:hanging="397"/>
        <w:rPr>
          <w:noProof/>
          <w:szCs w:val="24"/>
        </w:rPr>
      </w:pPr>
      <w:r>
        <w:rPr>
          <w:noProof/>
        </w:rPr>
        <w:t>Споразумението следва да обхваща сътрудничеството при разработването на мерки за устойчива експлоатация и опазване на ресурсите, включително избягване на изхвърлянето на улов.</w:t>
      </w:r>
    </w:p>
    <w:p>
      <w:pPr>
        <w:ind w:firstLine="397"/>
        <w:rPr>
          <w:noProof/>
          <w:szCs w:val="24"/>
        </w:rPr>
      </w:pPr>
      <w:r>
        <w:rPr>
          <w:noProof/>
        </w:rPr>
        <w:t>По-специално Комисията следва да се стреми:</w:t>
      </w:r>
    </w:p>
    <w:p>
      <w:pPr>
        <w:pStyle w:val="Bullet1"/>
        <w:numPr>
          <w:ilvl w:val="0"/>
          <w:numId w:val="6"/>
        </w:numPr>
        <w:spacing w:before="0"/>
        <w:ind w:left="1077" w:hanging="397"/>
        <w:rPr>
          <w:noProof/>
        </w:rPr>
      </w:pPr>
      <w:r>
        <w:rPr>
          <w:noProof/>
        </w:rPr>
        <w:t>да гарантира, че тези мерки са недискриминационни и следват научнообоснован подход, съобразно с целта за постигане на максимален устойчив улов за съответните запаси;</w:t>
      </w:r>
    </w:p>
    <w:p>
      <w:pPr>
        <w:pStyle w:val="Bullet1"/>
        <w:numPr>
          <w:ilvl w:val="0"/>
          <w:numId w:val="6"/>
        </w:numPr>
        <w:spacing w:before="0"/>
        <w:ind w:left="1077" w:hanging="397"/>
        <w:rPr>
          <w:noProof/>
        </w:rPr>
      </w:pPr>
      <w:r>
        <w:rPr>
          <w:noProof/>
        </w:rPr>
        <w:t>да предвиди разпоредби относно сътрудничеството при контрола и правоприлагането, събирането на данни и научните консултации;</w:t>
      </w:r>
    </w:p>
    <w:p>
      <w:pPr>
        <w:pStyle w:val="Bullet1"/>
        <w:spacing w:before="0"/>
        <w:ind w:left="1077" w:hanging="397"/>
        <w:rPr>
          <w:noProof/>
        </w:rPr>
      </w:pPr>
      <w:r>
        <w:rPr>
          <w:noProof/>
        </w:rPr>
        <w:t>да осигури постоянно отговорно рибарство, гарантиращо дългосрочното опазване и устойчивата експлоатация на морските биологични ресурси, в съответствие с приложимите принципи на международното право;</w:t>
      </w:r>
    </w:p>
    <w:p>
      <w:pPr>
        <w:pStyle w:val="Bullet1"/>
        <w:spacing w:before="0"/>
        <w:ind w:left="1077" w:hanging="397"/>
        <w:rPr>
          <w:noProof/>
        </w:rPr>
      </w:pPr>
      <w:r>
        <w:rPr>
          <w:noProof/>
        </w:rPr>
        <w:t>да запази възможностите за риболов на Съюза и да избегне икономически смущения в риболовните дейности на страните;</w:t>
      </w:r>
    </w:p>
    <w:p>
      <w:pPr>
        <w:pStyle w:val="Bullet1"/>
        <w:spacing w:before="0"/>
        <w:ind w:left="1077" w:hanging="397"/>
        <w:rPr>
          <w:noProof/>
        </w:rPr>
      </w:pPr>
      <w:r>
        <w:rPr>
          <w:noProof/>
        </w:rPr>
        <w:t>да запази съществуващите условия за реципрочен достъп и стабилните квоти, които могат да бъдат коригирани само със съгласието на страните;</w:t>
      </w:r>
    </w:p>
    <w:p>
      <w:pPr>
        <w:pStyle w:val="Bullet1"/>
        <w:spacing w:before="0"/>
        <w:ind w:left="1077" w:hanging="397"/>
        <w:rPr>
          <w:noProof/>
        </w:rPr>
      </w:pPr>
      <w:r>
        <w:rPr>
          <w:noProof/>
        </w:rPr>
        <w:t>да включи в споразумението реда и условията за прехвърляне и размяна на квоти и за определяне на годишния или многогодишния общ допустим улов или ограничения на риболовното усилие въз основа на дългосрочни стратегии за управление;</w:t>
      </w:r>
    </w:p>
    <w:p>
      <w:pPr>
        <w:pStyle w:val="Bullet1"/>
        <w:spacing w:before="0"/>
        <w:ind w:left="1077" w:hanging="397"/>
        <w:rPr>
          <w:noProof/>
        </w:rPr>
      </w:pPr>
      <w:r>
        <w:rPr>
          <w:noProof/>
        </w:rPr>
        <w:t>да включи реда и условията за издаване на разрешения за риболов и да предвиди разпоредби, които гарантират равно третиране и спазване на изискванията, включително съвместни дейности по контрол и инспекция.</w:t>
      </w:r>
    </w:p>
    <w:p>
      <w:pPr>
        <w:pStyle w:val="NumPar1"/>
        <w:rPr>
          <w:noProof/>
        </w:rPr>
      </w:pPr>
      <w:r>
        <w:rPr>
          <w:noProof/>
        </w:rPr>
        <w:t>Със споразумението ще бъде създадена подходяща институционална рамка за сътрудничество при опазването и управлението на общите рибни запаси, позволяваща на съответните страни да прилагат последователен подход към управлението на общите запаси с оглед на други споразумения, евентуално сключени от ЕС.</w:t>
      </w:r>
    </w:p>
    <w:p>
      <w:pPr>
        <w:pStyle w:val="NumPar1"/>
        <w:rPr>
          <w:noProof/>
        </w:rPr>
      </w:pPr>
      <w:r>
        <w:rPr>
          <w:noProof/>
        </w:rPr>
        <w:t>В двустранните преговори между Европейския съюз и Кралство Норвегия за условията за реципрочен достъп и стабилните квоти в риболова следва да се вземат предвид резултатите от преговорите по тристранното споразумение в областта на рибарството между Съюза, Обединеното кралство Великобритания и Северна Ирландия и Кралство Норвегия, чийто предмет са запасите, които се срещат във водите на Съюза, както и във водите под суверенитета и юрисдикцията на Обединеното кралство и Кралство Норвегия.</w:t>
      </w:r>
    </w:p>
    <w:p>
      <w:pPr>
        <w:pStyle w:val="NumPar1"/>
        <w:ind w:left="851" w:hanging="851"/>
        <w:rPr>
          <w:noProof/>
        </w:rPr>
      </w:pPr>
      <w:r>
        <w:rPr>
          <w:noProof/>
        </w:rPr>
        <w:t>Споразумението следва да бъде сключено своевременно, за да се гарантира, че до 2023 г. ще замени действащото споразумение. Поради това в него следва да се съдържа клауза за отмяна на действащото споразумение.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E224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F9E10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1FC0A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46C83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BD2A1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A88D6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E04D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D8AE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2 09:22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380661A-2AF8-4233-996E-96E13F0E5C8B"/>
    <w:docVar w:name="LW_COVERPAGE_TYPE" w:val="1"/>
    <w:docVar w:name="LW_CROSSREFERENCE" w:val="&lt;UNUSED&gt;"/>
    <w:docVar w:name="LW_DocType" w:val="ANNEX"/>
    <w:docVar w:name="LW_EMISSION" w:val="9.12.2020"/>
    <w:docVar w:name="LW_EMISSION_ISODATE" w:val="2020-12-0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45?\u1064?\u1045?\u1053?\u1048?\u1045? \u1053?\u1040? \u1057?\u1066?\u1042?\u1045?\u1058?\u1040?_x000d__x000d__x000b_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5?\u1086?\u1074?\u1086? \u1089?\u1087?\u1086?\u1088?\u1072?\u1079?\u1091?\u1084?\u1077?\u1085?\u1080?\u1077? \u1074? \u1086?\u1073?\u1083?\u1072?\u1089?\u1090?\u1090?\u1072? \u1085?\u1072? \u1088?\u1080?\u1073?\u1072?\u1088?\u1089?\u1090?\u1074?\u1086?\u1090?\u1086? \u1084?\u1077?\u1078?\u1076?\u1091? \u1045?\u1074?\u1088?\u1086?\u1087?\u1077?\u1081?\u1089?\u1082?\u1080?\u1103? \u1089?\u1098?\u1102?\u1079? \u1080? \u1050?\u1088?\u1072?\u1083?\u1089?\u1090?\u1074?\u1086? \u1053?\u1086?\u1088?\u1074?\u1077?\u1075?\u1080?\u1103?"/>
    <w:docVar w:name="LW_OBJETACTEPRINCIPAL.CP" w:val="\u1056?\u1045?\u1064?\u1045?\u1053?\u1048?\u1045? \u1053?\u1040? \u1057?\u1066?\u1042?\u1045?\u1058?\u1040?_x000d__x000d__x000b_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5?\u1086?\u1074?\u1086? \u1089?\u1087?\u1086?\u1088?\u1072?\u1079?\u1091?\u1084?\u1077?\u1085?\u1080?\u1077? \u1074? \u1086?\u1073?\u1083?\u1072?\u1089?\u1090?\u1090?\u1072? \u1085?\u1072? \u1088?\u1080?\u1073?\u1072?\u1088?\u1089?\u1090?\u1074?\u1086?\u1090?\u1086? \u1084?\u1077?\u1078?\u1076?\u1091? \u1045?\u1074?\u1088?\u1086?\u1087?\u1077?\u1081?\u1089?\u1082?\u1080?\u1103? \u1089?\u1098?\u1102?\u1079? \u1080? \u1050?\u1088?\u1072?\u1083?\u1089?\u1090?\u1074?\u1086? \u1053?\u1086?\u1088?\u1074?\u1077?\u1075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"/>
    <w:docVar w:name="LW_TYPEACTEPRINCIPAL.CP" w:val="\u1055?\u1088?\u1077?\u1087?\u1086?\u1088?\u1098?\u1082?\u1072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395</Words>
  <Characters>2389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Veronique (MARE)</dc:creator>
  <cp:keywords/>
  <dc:description/>
  <cp:lastModifiedBy>WES PDFC Administrator</cp:lastModifiedBy>
  <cp:revision>9</cp:revision>
  <dcterms:created xsi:type="dcterms:W3CDTF">2020-11-23T09:59:00Z</dcterms:created>
  <dcterms:modified xsi:type="dcterms:W3CDTF">2020-12-02T08:22:00Z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