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FB2644F-34E9-4AA2-8C5A-E3485558ABB4" style="width:450.25pt;height:337.7pt">
            <v:imagedata r:id="rId9" o:title=""/>
          </v:shape>
        </w:pict>
      </w:r>
    </w:p>
    <w:p>
      <w:pPr>
        <w:rPr>
          <w:noProof/>
        </w:rPr>
        <w:sectPr>
          <w:footerReference w:type="default" r:id="rId10"/>
          <w:footnotePr>
            <w:numRestart w:val="eachPage"/>
          </w:footnotePr>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ОБЯСНИТЕЛЕН МЕМОРАНДУМ</w:t>
      </w:r>
    </w:p>
    <w:p>
      <w:pPr>
        <w:pStyle w:val="ManualHeading1"/>
        <w:spacing w:before="0" w:after="240"/>
        <w:rPr>
          <w:noProof/>
        </w:rPr>
      </w:pPr>
      <w:r>
        <w:rPr>
          <w:noProof/>
        </w:rPr>
        <w:t>1.</w:t>
      </w:r>
      <w:r>
        <w:rPr>
          <w:noProof/>
        </w:rPr>
        <w:tab/>
        <w:t>КОНТЕКСТ НА ПРЕДЛОЖЕНИЕТО</w:t>
      </w:r>
    </w:p>
    <w:p>
      <w:pPr>
        <w:pStyle w:val="ManualHeading2"/>
        <w:spacing w:before="0" w:after="240"/>
        <w:rPr>
          <w:rFonts w:eastAsia="Arial Unicode MS"/>
          <w:noProof/>
        </w:rPr>
      </w:pPr>
      <w:r>
        <w:rPr>
          <w:noProof/>
          <w:color w:val="000000"/>
          <w:u w:color="000000"/>
          <w:bdr w:val="nil"/>
        </w:rPr>
        <w:t>•</w:t>
      </w:r>
      <w:r>
        <w:rPr>
          <w:noProof/>
        </w:rPr>
        <w:tab/>
        <w:t>Основания и цели на предложението</w:t>
      </w:r>
    </w:p>
    <w:p>
      <w:pPr>
        <w:widowControl w:val="0"/>
        <w:shd w:val="clear" w:color="auto" w:fill="FFFFFF"/>
        <w:autoSpaceDE w:val="0"/>
        <w:autoSpaceDN w:val="0"/>
        <w:adjustRightInd w:val="0"/>
        <w:spacing w:before="0" w:after="240" w:line="269" w:lineRule="exact"/>
        <w:ind w:right="86"/>
        <w:rPr>
          <w:noProof/>
          <w:szCs w:val="24"/>
        </w:rPr>
      </w:pPr>
      <w:r>
        <w:rPr>
          <w:noProof/>
        </w:rPr>
        <w:t>Комисията предлага да се започнат преговори с Норвегия за ново споразумение в областта на рибарството, с което се определя рамката за управление на общите рибни запаси и достъпа до водите и ресурсите.</w:t>
      </w:r>
    </w:p>
    <w:p>
      <w:pPr>
        <w:rPr>
          <w:noProof/>
        </w:rPr>
      </w:pPr>
      <w:r>
        <w:rPr>
          <w:noProof/>
        </w:rPr>
        <w:t>В контекста на оттеглянето на Обединеното кралство от Европейския съюз Норвегия заяви, че желае замяна на действащото споразумение относно риболова между Кралство Норвегия и Европейската икономическа общност („споразумението от 1980 г.“). През юли тя уведоми Комисията за намерението си на 15 септември 2020 г. да обяви необходимия деветмесечен срок за предизвестие, за да задейства прекратяването на споразумението, което означава, че неговият срок ще изтече на 15 юни 2021 г. Прекратяването на споразумението без то да бъде заменено би отменило правното основание за реципрочния достъп до водите и съответно би оказало отрицателно въздействие върху флотовете на ЕС. Деветмесечният срок обаче е крайно недостатъчен за Съюза да установи преговорната си позиция и да сключи ново споразумение, като това би увеличило несигурността още повече.</w:t>
      </w:r>
    </w:p>
    <w:p>
      <w:pPr>
        <w:pBdr>
          <w:top w:val="nil"/>
          <w:left w:val="nil"/>
          <w:bottom w:val="nil"/>
          <w:right w:val="nil"/>
          <w:between w:val="nil"/>
          <w:bar w:val="nil"/>
        </w:pBdr>
        <w:spacing w:before="0" w:after="240"/>
        <w:rPr>
          <w:noProof/>
        </w:rPr>
      </w:pPr>
      <w:r>
        <w:rPr>
          <w:noProof/>
        </w:rPr>
        <w:t>Споразумението от 1980 г. е основното двустранно споразумение, уреждащо отношенията в областта на рибарството между Съюза и Норвегия. То обхваща всички съвместно управлявани запаси в Северно море, Скагерак и Категат и осигурява правното основание за ежегодните консултации за определяне на възможностите за риболов и вземане на решения по други аспекти на съвместното управление, като например контрола. Освен това то е тясно свързано с няколко други споразумения: Споразумението от Порто (сключено по време на подписването на Споразумението за ЕИП), Споразумението за добросъседство между Швеция и Норвегия и Споразумението за Скагерак и Категат.</w:t>
      </w:r>
    </w:p>
    <w:p>
      <w:pPr>
        <w:pBdr>
          <w:top w:val="nil"/>
          <w:left w:val="nil"/>
          <w:bottom w:val="nil"/>
          <w:right w:val="nil"/>
          <w:between w:val="nil"/>
          <w:bar w:val="nil"/>
        </w:pBdr>
        <w:spacing w:before="0" w:after="240"/>
        <w:rPr>
          <w:noProof/>
          <w:szCs w:val="24"/>
        </w:rPr>
      </w:pPr>
      <w:r>
        <w:rPr>
          <w:noProof/>
        </w:rPr>
        <w:t>Някои възможности за риболов ще бъдат обхванати от ново, отделно споразумение между Обединеното кралство, Норвегия и Съюза, други рибни запаси обаче ще останат под суверенитета само на Съюза и Норвегия.</w:t>
      </w:r>
    </w:p>
    <w:p>
      <w:pPr>
        <w:pBdr>
          <w:top w:val="nil"/>
          <w:left w:val="nil"/>
          <w:bottom w:val="nil"/>
          <w:right w:val="nil"/>
          <w:between w:val="nil"/>
          <w:bar w:val="nil"/>
        </w:pBdr>
        <w:spacing w:before="0" w:after="240"/>
        <w:rPr>
          <w:noProof/>
          <w:szCs w:val="24"/>
        </w:rPr>
      </w:pPr>
      <w:r>
        <w:rPr>
          <w:noProof/>
        </w:rPr>
        <w:t>Предвид желанието на Норвегия за замяна на споразумението от 1980 г. и в съответствие с член 63, параграф 1 от Конвенцията на Организацията на обединените нации по морско право</w:t>
      </w:r>
      <w:r>
        <w:rPr>
          <w:rStyle w:val="FootnoteReference"/>
          <w:noProof/>
          <w:szCs w:val="24"/>
        </w:rPr>
        <w:footnoteReference w:id="1"/>
      </w:r>
      <w:r>
        <w:rPr>
          <w:noProof/>
        </w:rPr>
        <w:t xml:space="preserve"> Съюзът и Норвегия следва да се споразумеят относно мерките, необходими за съгласуване и гарантиране на опазването и развитието на съвместно управляваните запаси в североизточната част на Атлантическия океан.</w:t>
      </w:r>
    </w:p>
    <w:p>
      <w:pPr>
        <w:pBdr>
          <w:top w:val="nil"/>
          <w:left w:val="nil"/>
          <w:bottom w:val="nil"/>
          <w:right w:val="nil"/>
          <w:between w:val="nil"/>
          <w:bar w:val="nil"/>
        </w:pBdr>
        <w:spacing w:before="0" w:after="240"/>
        <w:rPr>
          <w:noProof/>
          <w:szCs w:val="24"/>
        </w:rPr>
      </w:pPr>
      <w:r>
        <w:rPr>
          <w:noProof/>
        </w:rPr>
        <w:t>С цел да се избегне създаването на правен вакуум от прекратяването на действащото споразумение, който би оказал значително въздействие върху дейностите на флотовете на ЕС, Норвегия прие да встъпи в преговори за ново споразумение. До приключване на тези преговори споразумението от 1980 г. остава в сила. Норвегия се съгласи с този подход, при условие че преговорите започнат през януари 2021 г. Те ще се проведат успоредно с тристранните преговори с участието на Обединеното кралство.</w:t>
      </w:r>
    </w:p>
    <w:p>
      <w:pPr>
        <w:spacing w:before="0" w:after="240"/>
        <w:rPr>
          <w:noProof/>
          <w:szCs w:val="24"/>
        </w:rPr>
      </w:pPr>
      <w:r>
        <w:rPr>
          <w:noProof/>
        </w:rPr>
        <w:lastRenderedPageBreak/>
        <w:t>За тази цел Европейският съюз се стреми да сключи ново споразумение в областта на рибарството с Кралство Норвегия („споразумението“).</w:t>
      </w:r>
    </w:p>
    <w:p>
      <w:pPr>
        <w:pBdr>
          <w:top w:val="nil"/>
          <w:left w:val="nil"/>
          <w:bottom w:val="nil"/>
          <w:right w:val="nil"/>
          <w:between w:val="nil"/>
          <w:bar w:val="nil"/>
        </w:pBdr>
        <w:spacing w:before="0" w:after="240"/>
        <w:rPr>
          <w:rFonts w:eastAsia="Arial Unicode MS"/>
          <w:noProof/>
        </w:rPr>
      </w:pPr>
    </w:p>
    <w:p>
      <w:pPr>
        <w:pStyle w:val="ManualHeading2"/>
        <w:spacing w:before="0" w:after="240"/>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От 16 юни 1980 г. насам споразуменията за риболов между Европейския съюз и Норвегия се основават на Споразумението относно риболова между Европейската икономическа общност и Кралство Норвегия. Споразумението от 1980 г., което обхваща Северно море и североизточната част на Атлантическия океан, е най-важното споразумение в областта на рибарството, което Съюзът е сключил с друга държава, по отношение на размяната на възможности за риболов и мерките за съвместно управление. След първоначален срок от 10 години споразумението се възобновява автоматично на всеки 6 години, освен ако една от страните не подаде известие за прекратяване 9 месеца преди желаната дата за прекратяване. Последното автоматично подновяване беше през 2015 г. за срок до 16 юни 2021 г.</w:t>
      </w:r>
    </w:p>
    <w:p>
      <w:pPr>
        <w:pBdr>
          <w:top w:val="nil"/>
          <w:left w:val="nil"/>
          <w:bottom w:val="nil"/>
          <w:right w:val="nil"/>
          <w:between w:val="nil"/>
          <w:bar w:val="nil"/>
        </w:pBdr>
        <w:spacing w:before="0" w:after="240"/>
        <w:rPr>
          <w:noProof/>
          <w:szCs w:val="24"/>
        </w:rPr>
      </w:pPr>
      <w:r>
        <w:rPr>
          <w:noProof/>
        </w:rPr>
        <w:t>Споразумението от 1980 г. осигурява правното основание за договаряне на общ допустим улов от съвместно управляваните запаси и за реципрочен достъп, който позволява на корабите на страните да извършват риболов във водите на съответната друга страна. Новото споразумение следва да запази съществуващите условия за реципрочен достъп до водите и размера на квотите, като се основава на традиционната дейност на флота на Съюза.</w:t>
      </w:r>
    </w:p>
    <w:p>
      <w:pPr>
        <w:pBdr>
          <w:top w:val="nil"/>
          <w:left w:val="nil"/>
          <w:bottom w:val="nil"/>
          <w:right w:val="nil"/>
          <w:between w:val="nil"/>
          <w:bar w:val="nil"/>
        </w:pBdr>
        <w:spacing w:before="0" w:after="240"/>
        <w:rPr>
          <w:rFonts w:eastAsia="Arial Unicode MS"/>
          <w:noProof/>
        </w:rPr>
      </w:pPr>
      <w:r>
        <w:rPr>
          <w:noProof/>
        </w:rPr>
        <w:t>Новото споразумение ще попадне в по-широкия обхват на общата политика в областта на рибарството (ОПОР). То ще представлява основата за отношенията в областта на рибарството в зоните, в които запасите се управляват съвместно с Норвегия, с оглед на насърчаване на устойчивата експлоатация, управление и опазване на морските биологични ресурси в съответствие с целите на ОПОР и принципите на доброто управление.</w:t>
      </w:r>
    </w:p>
    <w:p>
      <w:pPr>
        <w:pStyle w:val="ManualHeading2"/>
        <w:spacing w:before="0" w:after="240"/>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spacing w:before="0" w:after="240"/>
        <w:rPr>
          <w:noProof/>
        </w:rPr>
      </w:pPr>
      <w:r>
        <w:rPr>
          <w:noProof/>
        </w:rPr>
        <w:t>2.</w:t>
      </w:r>
      <w:r>
        <w:rPr>
          <w:noProof/>
        </w:rPr>
        <w:tab/>
        <w:t>ПРАВНО ОСНОВАНИЕ, СУБСИДИАРНОСТ И ПРОПОРЦИОНАЛНОСТ</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за настоящото решение е член 218 от Договора за функционирането на Европейския съюз (ДФЕС), с който се определя процедурата за водене на преговори и сключване на международни споразумения.</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Не е приложимо (изключителна компетентност).</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Решението е пропорционално на целта.</w:t>
      </w:r>
    </w:p>
    <w:p>
      <w:pPr>
        <w:pStyle w:val="ManualHeading2"/>
        <w:spacing w:before="0" w:after="240"/>
        <w:rPr>
          <w:rFonts w:eastAsia="Arial Unicode MS"/>
          <w:noProof/>
          <w:u w:color="000000"/>
          <w:bdr w:val="nil"/>
        </w:rPr>
      </w:pPr>
      <w:r>
        <w:rPr>
          <w:noProof/>
          <w:u w:color="000000"/>
          <w:bdr w:val="nil"/>
        </w:rPr>
        <w:lastRenderedPageBreak/>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Инструментът е предвиден съгласно член 218, параграф 3 от ДФЕС.</w:t>
      </w:r>
    </w:p>
    <w:p>
      <w:pPr>
        <w:pStyle w:val="ManualHeading1"/>
        <w:spacing w:before="0" w:after="240"/>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Не е приложимо.</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Не е приложимо.</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noProof/>
        </w:rPr>
      </w:pPr>
      <w:r>
        <w:rPr>
          <w:noProof/>
        </w:rPr>
        <w:t>Не е приложимо.</w:t>
      </w:r>
    </w:p>
    <w:p>
      <w:pPr>
        <w:pStyle w:val="ManualHeading1"/>
        <w:spacing w:before="0" w:after="240"/>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 е приложимо.</w:t>
      </w:r>
    </w:p>
    <w:p>
      <w:pPr>
        <w:pStyle w:val="ManualHeading1"/>
        <w:spacing w:before="0" w:after="240"/>
        <w:rPr>
          <w:noProof/>
        </w:rPr>
      </w:pPr>
      <w:r>
        <w:rPr>
          <w:noProof/>
        </w:rPr>
        <w:t>5.</w:t>
      </w:r>
      <w:r>
        <w:rPr>
          <w:noProof/>
        </w:rPr>
        <w:tab/>
        <w:t>ДРУГИ ЕЛЕМЕНТИ</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Очаква се преговорите да започнат през първото тримесечие на 2021 г.</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rPr>
          <w:noProof/>
        </w:rPr>
      </w:pPr>
      <w:r>
        <w:rPr>
          <w:noProof/>
        </w:rPr>
        <w:t>Комисията препоръчва следното:</w:t>
      </w:r>
    </w:p>
    <w:p>
      <w:pPr>
        <w:pBdr>
          <w:top w:val="nil"/>
          <w:left w:val="nil"/>
          <w:bottom w:val="nil"/>
          <w:right w:val="nil"/>
          <w:between w:val="nil"/>
          <w:bar w:val="nil"/>
        </w:pBdr>
        <w:spacing w:before="0"/>
        <w:ind w:left="681" w:hanging="397"/>
        <w:rPr>
          <w:noProof/>
        </w:rPr>
      </w:pPr>
      <w:r>
        <w:rPr>
          <w:noProof/>
        </w:rPr>
        <w:t xml:space="preserve">— </w:t>
      </w:r>
      <w:r>
        <w:rPr>
          <w:noProof/>
        </w:rPr>
        <w:tab/>
        <w:t>Съветът да упълномощи Комисията да започне и проведе преговори за сключването на ново споразумение в областта на рибарството с Кралство Норвегия;</w:t>
      </w:r>
    </w:p>
    <w:p>
      <w:pPr>
        <w:pBdr>
          <w:top w:val="nil"/>
          <w:left w:val="nil"/>
          <w:bottom w:val="nil"/>
          <w:right w:val="nil"/>
          <w:between w:val="nil"/>
          <w:bar w:val="nil"/>
        </w:pBdr>
        <w:spacing w:before="0"/>
        <w:ind w:left="681" w:hanging="397"/>
        <w:rPr>
          <w:noProof/>
        </w:rPr>
      </w:pPr>
      <w:r>
        <w:rPr>
          <w:noProof/>
        </w:rPr>
        <w:t xml:space="preserve">— </w:t>
      </w:r>
      <w:r>
        <w:rPr>
          <w:noProof/>
        </w:rPr>
        <w:tab/>
        <w:t>Комисията да бъде определена за преговарящ на ЕС по този въпрос;</w:t>
      </w:r>
    </w:p>
    <w:p>
      <w:pPr>
        <w:pBdr>
          <w:top w:val="nil"/>
          <w:left w:val="nil"/>
          <w:bottom w:val="nil"/>
          <w:right w:val="nil"/>
          <w:between w:val="nil"/>
          <w:bar w:val="nil"/>
        </w:pBdr>
        <w:spacing w:before="0"/>
        <w:ind w:left="681" w:hanging="397"/>
        <w:rPr>
          <w:noProof/>
        </w:rPr>
      </w:pPr>
      <w:r>
        <w:rPr>
          <w:noProof/>
        </w:rPr>
        <w:lastRenderedPageBreak/>
        <w:t xml:space="preserve">— </w:t>
      </w:r>
      <w:r>
        <w:rPr>
          <w:noProof/>
        </w:rPr>
        <w:tab/>
        <w:t>Комисията да води преговорите в консултация със специалния комитет, създаден в съответствие с ДФЕС;</w:t>
      </w:r>
    </w:p>
    <w:p>
      <w:pPr>
        <w:pBdr>
          <w:top w:val="nil"/>
          <w:left w:val="nil"/>
          <w:bottom w:val="nil"/>
          <w:right w:val="nil"/>
          <w:between w:val="nil"/>
          <w:bar w:val="nil"/>
        </w:pBdr>
        <w:spacing w:before="0"/>
        <w:ind w:left="681" w:hanging="397"/>
        <w:rPr>
          <w:noProof/>
        </w:rPr>
      </w:pPr>
      <w:r>
        <w:rPr>
          <w:noProof/>
        </w:rPr>
        <w:t xml:space="preserve">— </w:t>
      </w:r>
      <w:r>
        <w:rPr>
          <w:noProof/>
        </w:rPr>
        <w:tab/>
        <w:t>Съветът да одобри указанията за водене на преговорите, приложени към настоящата препоръка.</w:t>
      </w:r>
    </w:p>
    <w:p>
      <w:pPr>
        <w:pBdr>
          <w:top w:val="nil"/>
          <w:left w:val="nil"/>
          <w:bottom w:val="nil"/>
          <w:right w:val="nil"/>
          <w:between w:val="nil"/>
          <w:bar w:val="nil"/>
        </w:pBdr>
        <w:spacing w:before="0" w:after="240"/>
        <w:ind w:left="681" w:hanging="397"/>
        <w:rPr>
          <w:noProof/>
        </w:rPr>
      </w:pPr>
    </w:p>
    <w:p>
      <w:pPr>
        <w:pBdr>
          <w:top w:val="nil"/>
          <w:left w:val="nil"/>
          <w:bottom w:val="nil"/>
          <w:right w:val="nil"/>
          <w:between w:val="nil"/>
          <w:bar w:val="nil"/>
        </w:pBdr>
        <w:spacing w:before="0" w:after="240"/>
        <w:ind w:left="681" w:hanging="397"/>
        <w:rPr>
          <w:noProof/>
        </w:rPr>
        <w:sectPr>
          <w:footerReference w:type="default" r:id="rId11"/>
          <w:footerReference w:type="first" r:id="rId12"/>
          <w:footnotePr>
            <w:numRestart w:val="eachPage"/>
          </w:footnotePr>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за ново споразумение в областта на рибарството между Европейския съюз и Кралство Норвегия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Комисията,</w:t>
      </w:r>
    </w:p>
    <w:p>
      <w:pPr>
        <w:rPr>
          <w:noProof/>
        </w:rPr>
      </w:pPr>
      <w:r>
        <w:rPr>
          <w:noProof/>
        </w:rPr>
        <w:t>като има предвид, че:</w:t>
      </w:r>
    </w:p>
    <w:p>
      <w:pPr>
        <w:pStyle w:val="Point0"/>
        <w:rPr>
          <w:noProof/>
        </w:rPr>
      </w:pPr>
      <w:r>
        <w:rPr>
          <w:noProof/>
        </w:rPr>
        <w:t>(1)</w:t>
      </w:r>
      <w:r>
        <w:rPr>
          <w:noProof/>
        </w:rPr>
        <w:tab/>
        <w:t>Отношенията в областта на рибарството между Съюза и Норвегия се основават на Споразумението относно риболова между Кралство Норвегия и Европейската икономическа общност, което беше подписано на 27 февруари 1980 г. и влезе в сила на 16 юни 1981 г.</w:t>
      </w:r>
    </w:p>
    <w:p>
      <w:pPr>
        <w:pStyle w:val="Point0"/>
        <w:rPr>
          <w:noProof/>
        </w:rPr>
      </w:pPr>
      <w:r>
        <w:rPr>
          <w:noProof/>
        </w:rPr>
        <w:t>(2)</w:t>
      </w:r>
      <w:r>
        <w:rPr>
          <w:noProof/>
        </w:rPr>
        <w:tab/>
        <w:t>След първоначален срок от 10 години срокът на споразумението се удължава автоматично за допълнителни периоди от 6 години, като последното удължаване беше през 2015 г.</w:t>
      </w:r>
    </w:p>
    <w:p>
      <w:pPr>
        <w:pStyle w:val="Point0"/>
        <w:rPr>
          <w:noProof/>
        </w:rPr>
      </w:pPr>
      <w:r>
        <w:rPr>
          <w:noProof/>
        </w:rPr>
        <w:t>(3)</w:t>
      </w:r>
      <w:r>
        <w:rPr>
          <w:noProof/>
        </w:rPr>
        <w:tab/>
        <w:t>Споразумението обхваща Северно море, Скагерак и североизточната част на Атлантическия океан и дава възможност за определяне на общия допустим улов за общите запаси, прехвърляне на възможности за риболов, съвместни технически мерки и разрешаване на въпроси, свързани с контрола и правоприлагането.</w:t>
      </w:r>
    </w:p>
    <w:p>
      <w:pPr>
        <w:pStyle w:val="Point0"/>
        <w:rPr>
          <w:noProof/>
        </w:rPr>
      </w:pPr>
      <w:r>
        <w:rPr>
          <w:noProof/>
        </w:rPr>
        <w:t>(4)</w:t>
      </w:r>
      <w:r>
        <w:rPr>
          <w:noProof/>
        </w:rPr>
        <w:tab/>
        <w:t>Предвид очакваното значително въздействие, което оттеглянето на Обединеното кралство от Съюза ще окаже върху споделеното управление на запасите в североизточната част на Атлантическия океан, Норвегия изрази желанието си за замяна на действащото споразумение. След преходния период за оттеглянето на Обединеното кралство (който изтича в края на 2020 г.) запасите ще бъдат обхванати от двустранни или тристранни споразумения. Запасите, обитаващи водите под юрисдикцията на Обединеното кралство, Съюза и Норвегия, ще бъдат предмет на отделно тристранно споразумение. Предвид желанието на Норвегия за замяна на действащото споразумение, ще бъде необходимо ново двустранно споразумение, за да бъдат обхванати запасите, които попадат в юрисдикцията единствено на Норвегия и Съюза.</w:t>
      </w:r>
    </w:p>
    <w:p>
      <w:pPr>
        <w:pStyle w:val="Point0"/>
        <w:rPr>
          <w:noProof/>
        </w:rPr>
      </w:pPr>
      <w:r>
        <w:rPr>
          <w:noProof/>
        </w:rPr>
        <w:t>(5)</w:t>
      </w:r>
      <w:r>
        <w:rPr>
          <w:noProof/>
        </w:rPr>
        <w:tab/>
        <w:t>В съответствие с член 63, параграф 1 от Конвенцията на Организацията на обединените нации по морско право</w:t>
      </w:r>
      <w:r>
        <w:rPr>
          <w:rStyle w:val="FootnoteReference"/>
          <w:noProof/>
          <w:szCs w:val="24"/>
        </w:rPr>
        <w:footnoteReference w:id="2"/>
      </w:r>
      <w:r>
        <w:rPr>
          <w:noProof/>
        </w:rPr>
        <w:t xml:space="preserve"> и с оглед на цялостните отношения на Съюза с Норвегия е важно да се поддържа сътрудничеството в областта на отговорното рибарство, за да се осигурят дългосрочното опазване и устойчивата експлоатация на живите морски ресурси.</w:t>
      </w:r>
    </w:p>
    <w:p>
      <w:pPr>
        <w:pStyle w:val="Point0"/>
        <w:rPr>
          <w:noProof/>
        </w:rPr>
      </w:pPr>
      <w:r>
        <w:rPr>
          <w:noProof/>
        </w:rPr>
        <w:t>(6)</w:t>
      </w:r>
      <w:r>
        <w:rPr>
          <w:noProof/>
        </w:rPr>
        <w:tab/>
        <w:t>Поради това следва да бъдат започнати преговори с Норвегия за сключването на ново двустранно споразумение в областта на рибарството,</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bookmarkStart w:id="1" w:name="_CopyToNewDocument_"/>
      <w:bookmarkEnd w:id="1"/>
      <w:r>
        <w:rPr>
          <w:noProof/>
        </w:rPr>
        <w:t>Комисията се упълномощава да започне преговори от името на Съюза за ново споразумение в областта на рибарството с Кралство Норвегия.</w:t>
      </w:r>
    </w:p>
    <w:p>
      <w:pPr>
        <w:pStyle w:val="Titrearticle"/>
        <w:rPr>
          <w:noProof/>
        </w:rPr>
      </w:pPr>
      <w:r>
        <w:rPr>
          <w:noProof/>
        </w:rPr>
        <w:t>Член 2</w:t>
      </w:r>
    </w:p>
    <w:p>
      <w:pPr>
        <w:rPr>
          <w:noProof/>
        </w:rPr>
      </w:pPr>
      <w:r>
        <w:rPr>
          <w:noProof/>
        </w:rPr>
        <w:t>Указанията за водене на преговорите се съдържат в приложението.</w:t>
      </w:r>
    </w:p>
    <w:p>
      <w:pPr>
        <w:pStyle w:val="Titrearticle"/>
        <w:rPr>
          <w:noProof/>
        </w:rPr>
      </w:pPr>
      <w:r>
        <w:rPr>
          <w:noProof/>
        </w:rPr>
        <w:t>Член 3</w:t>
      </w:r>
    </w:p>
    <w:p>
      <w:pPr>
        <w:rPr>
          <w:noProof/>
        </w:rPr>
      </w:pPr>
      <w:r>
        <w:rPr>
          <w:noProof/>
        </w:rPr>
        <w:t>Преговорите се водят в консултация с Работната група на Съвета по външна политика на рибарството.</w:t>
      </w:r>
    </w:p>
    <w:p>
      <w:pPr>
        <w:pStyle w:val="Titrearticle"/>
        <w:rPr>
          <w:noProof/>
        </w:rPr>
      </w:pPr>
      <w:r>
        <w:rPr>
          <w:noProof/>
        </w:rPr>
        <w:t>Член 4</w:t>
      </w:r>
    </w:p>
    <w:p>
      <w:pPr>
        <w:rPr>
          <w:noProof/>
        </w:rPr>
      </w:pPr>
      <w:r>
        <w:rPr>
          <w:noProof/>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
        <w:ind w:left="284" w:hanging="284"/>
      </w:pPr>
      <w:r>
        <w:rPr>
          <w:rStyle w:val="FootnoteReference"/>
        </w:rPr>
        <w:footnoteRef/>
      </w:r>
      <w:r>
        <w:tab/>
        <w:t>Конвенция на Организацията на обединените нации по морско право (ОВ L 179, 23.6.1998 г., стр. 3).</w:t>
      </w:r>
    </w:p>
  </w:footnote>
  <w:footnote w:id="2">
    <w:p>
      <w:pPr>
        <w:pStyle w:val="FootnoteText"/>
        <w:ind w:left="284" w:hanging="284"/>
      </w:pPr>
      <w:r>
        <w:rPr>
          <w:rStyle w:val="FootnoteReference"/>
        </w:rPr>
        <w:footnoteRef/>
      </w:r>
      <w:r>
        <w:tab/>
        <w:t>Конвенция на Организацията на обединените нации по морско право (</w:t>
      </w:r>
      <w:r>
        <w:rPr>
          <w:rStyle w:val="Emphasis"/>
        </w:rPr>
        <w:t>ОВ L 179, 23.6.1998 г., стр. 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1AA7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72809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76A7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FC63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3E9F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E24F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8E59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2CCB8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09:21: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FB2644F-34E9-4AA2-8C5A-E3485558ABB4"/>
    <w:docVar w:name="LW_COVERPAGE_TYPE" w:val="1"/>
    <w:docVar w:name="LW_CROSSREFERENCE" w:val="&lt;UNUSED&gt;"/>
    <w:docVar w:name="LW_DocType" w:val="COM"/>
    <w:docVar w:name="LW_EMISSION" w:val="9.12.2020"/>
    <w:docVar w:name="LW_EMISSION_ISODATE" w:val="2020-12-09"/>
    <w:docVar w:name="LW_EMISSION_LOCATION" w:val="BRX"/>
    <w:docVar w:name="LW_EMISSION_PREFIX" w:val="\u1041?\u1088?\u1102?\u1082?\u1089?\u1077?\u1083?, "/>
    <w:docVar w:name="LW_EMISSION_SUFFIX" w:val=" \u1075?."/>
    <w:docVar w:name="LW_ID_DOCMODEL" w:val="SG-001"/>
    <w:docVar w:name="LW_ID_DOCSIGNATURE" w:val="SG-001"/>
    <w:docVar w:name="LW_ID_DOCSTRUCTURE" w:val="COM/PL/ORG/NOEEA"/>
    <w:docVar w:name="LW_ID_DOCTYPE" w:val="SG-001"/>
    <w:docVar w:name="LW_ID_EXP.MOTIFS.NEW" w:val="EM_PL_"/>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79?\u1072? \u1088?\u1072?\u1079?\u1088?\u1077?\u1096?\u1072?\u1074?\u1072?\u1085?\u1077? \u1085?\u1072? \u1079?\u1072?\u1087?\u1086?\u1095?\u1074?\u1072?\u1085?\u1077?\u1090?\u1086? \u1085?\u1072? \u1087?\u1088?\u1077?\u1075?\u1086?\u1074?\u1086?\u1088?\u1080? \u1079?\u1072? \u1085?\u1086?\u1074?\u1086? \u1089?\u1087?\u1086?\u1088?\u1072?\u1079?\u1091?\u1084?\u1077?\u1085?\u1080?\u1077? \u1074? \u1086?\u1073?\u1083?\u1072?\u1089?\u1090?\u1090?\u1072? \u1085?\u1072? \u1088?\u1080?\u1073?\u1072?\u1088?\u1089?\u1090?\u1074?\u1086?\u1090?\u1086? \u1084?\u1077?\u1078?\u1076?\u1091? \u1045?\u1074?\u1088?\u1086?\u1087?\u1077?\u1081?\u1089?\u1082?\u1080?\u1103? \u1089?\u1098?\u1102?\u1079? \u1080? \u1050?\u1088?\u1072?\u1083?\u1089?\u1090?\u1074?\u1086? \u1053?\u1086?\u1088?\u1074?\u1077?\u1075?\u1080?\u1103?&lt;/FMT&gt;"/>
    <w:docVar w:name="LW_TITRE.OBJ.CP" w:val="&lt;FMT:Bold&gt;\u1079?\u1072? \u1088?\u1072?\u1079?\u1088?\u1077?\u1096?\u1072?\u1074?\u1072?\u1085?\u1077? \u1085?\u1072? \u1079?\u1072?\u1087?\u1086?\u1095?\u1074?\u1072?\u1085?\u1077?\u1090?\u1086? \u1085?\u1072? \u1087?\u1088?\u1077?\u1075?\u1086?\u1074?\u1086?\u1088?\u1080? \u1079?\u1072? \u1085?\u1086?\u1074?\u1086? \u1089?\u1087?\u1086?\u1088?\u1072?\u1079?\u1091?\u1084?\u1077?\u1085?\u1080?\u1077? \u1074? \u1086?\u1073?\u1083?\u1072?\u1089?\u1090?\u1090?\u1072? \u1085?\u1072? \u1088?\u1080?\u1073?\u1072?\u1088?\u1089?\u1090?\u1074?\u1086?\u1090?\u1086? \u1084?\u1077?\u1078?\u1076?\u1091? \u1045?\u1074?\u1088?\u1086?\u1087?\u1077?\u1081?\u1089?\u1082?\u1080?\u1103? \u1089?\u1098?\u1102?\u1079? \u1080? \u1050?\u1088?\u1072?\u1083?\u1089?\u1090?\u1074?\u1086? \u1053?\u1086?\u1088?\u1074?\u1077?\u1075?\u1080?\u1103?&lt;/FMT&gt;"/>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Footnote">
    <w:name w:val="Footnote"/>
    <w:basedOn w:val="FootnoteTex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customStyle="1" w:styleId="Footnote">
    <w:name w:val="Footnote"/>
    <w:basedOn w:val="FootnoteTex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F781F3-DA84-4F30-968C-2E8FB7A3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1334</Words>
  <Characters>7913</Characters>
  <Application>Microsoft Office Word</Application>
  <DocSecurity>0</DocSecurity>
  <Lines>172</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2020-11-27T07:44:00Z</dcterms:created>
  <dcterms:modified xsi:type="dcterms:W3CDTF">2020-12-02T08:21:00Z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