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2285C8A-80FF-41C4-93FC-4A681C5AFFE2" style="width:450.4pt;height:397.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jc w:val="center"/>
        <w:rPr>
          <w:b/>
          <w:noProof/>
        </w:rPr>
      </w:pPr>
      <w:r>
        <w:rPr>
          <w:b/>
          <w:noProof/>
          <w:u w:val="single"/>
        </w:rPr>
        <w:t>Directives for the negotiation of a new fisheries agreement with the Kingdom of Norway</w:t>
      </w:r>
    </w:p>
    <w:p>
      <w:pPr>
        <w:pStyle w:val="NumPar1"/>
        <w:numPr>
          <w:ilvl w:val="0"/>
          <w:numId w:val="19"/>
        </w:numPr>
        <w:spacing w:before="0" w:after="240"/>
        <w:ind w:left="397" w:hanging="397"/>
        <w:rPr>
          <w:noProof/>
          <w:szCs w:val="24"/>
        </w:rPr>
      </w:pPr>
      <w:r>
        <w:rPr>
          <w:noProof/>
          <w:szCs w:val="24"/>
        </w:rPr>
        <w:t>The objective of the negotiations is to conclude a new agreement that lays down the general principles and objectives of the Union’s fisheries relations with Norway and establishes a</w:t>
      </w:r>
      <w:r>
        <w:rPr>
          <w:noProof/>
        </w:rPr>
        <w:t xml:space="preserve"> framework for the management of shared fish stocks and for reciprocal access to waters and resources.</w:t>
      </w:r>
    </w:p>
    <w:p>
      <w:pPr>
        <w:pStyle w:val="NumPar1"/>
        <w:spacing w:before="0" w:after="240"/>
        <w:ind w:left="397" w:hanging="397"/>
        <w:rPr>
          <w:noProof/>
          <w:szCs w:val="24"/>
        </w:rPr>
      </w:pPr>
      <w:r>
        <w:rPr>
          <w:noProof/>
          <w:szCs w:val="24"/>
        </w:rPr>
        <w:t>The agreement should cover cooperation on the development of measures for the sustainable exploitation and conservation of resources, including the avoidance of discarding.</w:t>
      </w:r>
    </w:p>
    <w:p>
      <w:pPr>
        <w:ind w:firstLine="397"/>
        <w:rPr>
          <w:noProof/>
          <w:szCs w:val="24"/>
        </w:rPr>
      </w:pPr>
      <w:r>
        <w:rPr>
          <w:noProof/>
        </w:rPr>
        <w:t>In particular, the Commission should aim to:</w:t>
      </w:r>
    </w:p>
    <w:p>
      <w:pPr>
        <w:pStyle w:val="Bullet1"/>
        <w:numPr>
          <w:ilvl w:val="0"/>
          <w:numId w:val="20"/>
        </w:numPr>
        <w:spacing w:before="0"/>
        <w:ind w:left="1077" w:hanging="397"/>
        <w:rPr>
          <w:noProof/>
        </w:rPr>
      </w:pPr>
      <w:r>
        <w:rPr>
          <w:noProof/>
        </w:rPr>
        <w:t>ensure that such measures are non-discriminatory and follow a science-based approach in line with the objective of achieving maximum sustainable yield for the stocks concerned;</w:t>
      </w:r>
    </w:p>
    <w:p>
      <w:pPr>
        <w:pStyle w:val="Bullet1"/>
        <w:numPr>
          <w:ilvl w:val="0"/>
          <w:numId w:val="20"/>
        </w:numPr>
        <w:spacing w:before="0"/>
        <w:ind w:left="1077" w:hanging="397"/>
        <w:rPr>
          <w:noProof/>
        </w:rPr>
      </w:pPr>
      <w:r>
        <w:rPr>
          <w:noProof/>
        </w:rPr>
        <w:t>include provisions on cooperation on control and enforcement, data collection and scientific advice;</w:t>
      </w:r>
    </w:p>
    <w:p>
      <w:pPr>
        <w:pStyle w:val="Bullet1"/>
        <w:spacing w:before="0"/>
        <w:ind w:left="1077" w:hanging="397"/>
        <w:rPr>
          <w:noProof/>
        </w:rPr>
      </w:pPr>
      <w:r>
        <w:rPr>
          <w:noProof/>
        </w:rPr>
        <w:t>secure continued responsible fisheries that ensure the long-term conservation and sustainable exploitation of marine biological resources, in line with the relevant principles under international law;</w:t>
      </w:r>
    </w:p>
    <w:p>
      <w:pPr>
        <w:pStyle w:val="Bullet1"/>
        <w:spacing w:before="0"/>
        <w:ind w:left="1077" w:hanging="397"/>
        <w:rPr>
          <w:noProof/>
        </w:rPr>
      </w:pPr>
      <w:r>
        <w:rPr>
          <w:noProof/>
        </w:rPr>
        <w:t>preserve</w:t>
      </w:r>
      <w:r>
        <w:rPr>
          <w:noProof/>
          <w:szCs w:val="24"/>
        </w:rPr>
        <w:t xml:space="preserve"> the Union’s fishing opportunities and avoid the economic dislocation of the parties’ fishing activities;</w:t>
      </w:r>
    </w:p>
    <w:p>
      <w:pPr>
        <w:pStyle w:val="Bullet1"/>
        <w:spacing w:before="0"/>
        <w:ind w:left="1077" w:hanging="397"/>
        <w:rPr>
          <w:noProof/>
        </w:rPr>
      </w:pPr>
      <w:r>
        <w:rPr>
          <w:noProof/>
        </w:rPr>
        <w:t>preserve</w:t>
      </w:r>
      <w:r>
        <w:rPr>
          <w:noProof/>
          <w:szCs w:val="24"/>
        </w:rPr>
        <w:t xml:space="preserve"> existing reciprocal access conditions and </w:t>
      </w:r>
      <w:r>
        <w:rPr>
          <w:noProof/>
        </w:rPr>
        <w:t>stable quota shares, which can be adjusted only with the parties’ consent;</w:t>
      </w:r>
    </w:p>
    <w:p>
      <w:pPr>
        <w:pStyle w:val="Bullet1"/>
        <w:spacing w:before="0"/>
        <w:ind w:left="1077" w:hanging="397"/>
        <w:rPr>
          <w:noProof/>
        </w:rPr>
      </w:pPr>
      <w:r>
        <w:rPr>
          <w:noProof/>
        </w:rPr>
        <w:t>include modalities for quota transfers and exchanges, and for the setting of annual or multi-annual total allowable catches or effort limitations on the basis of long-term management strategies;</w:t>
      </w:r>
    </w:p>
    <w:p>
      <w:pPr>
        <w:pStyle w:val="Bullet1"/>
        <w:spacing w:before="0"/>
        <w:ind w:left="1077" w:hanging="397"/>
        <w:rPr>
          <w:noProof/>
        </w:rPr>
      </w:pPr>
      <w:r>
        <w:rPr>
          <w:noProof/>
        </w:rPr>
        <w:t>include modalities for issuing fishing authorisations and provisions that ensure equality of treatment and compliance, including joint control and inspection activities.</w:t>
      </w:r>
    </w:p>
    <w:p>
      <w:pPr>
        <w:pStyle w:val="NumPar1"/>
        <w:rPr>
          <w:noProof/>
        </w:rPr>
      </w:pPr>
      <w:r>
        <w:rPr>
          <w:noProof/>
        </w:rPr>
        <w:t>The agreement will establish an appropriate institutional framework for cooperation on the conservation and management of the shared fish stocks allowing a coherent approach to the management of shared stocks in view of other agreements possibly agreed by the EU for the parties concerned.</w:t>
      </w:r>
    </w:p>
    <w:p>
      <w:pPr>
        <w:pStyle w:val="NumPar1"/>
        <w:rPr>
          <w:noProof/>
        </w:rPr>
      </w:pPr>
      <w:r>
        <w:rPr>
          <w:noProof/>
        </w:rPr>
        <w:t>The bilateral negotiations on the reciprocal access conditions and quota shares on fisheries between the European Union and the Kingdom of Norway should take into account the outcomes following the negotiations of the trilateral Fisheries Agreement of the Union with the United Kingdom of Great Britain and Northern Ireland and the Kingdom of Norway, covering stocks occurring in Union waters as well in the waters under the sovereignty and jurisdiction of the United Kingdom and of the Kingdom of Norway.</w:t>
      </w:r>
    </w:p>
    <w:p>
      <w:pPr>
        <w:pStyle w:val="NumPar1"/>
        <w:ind w:left="851" w:hanging="851"/>
        <w:rPr>
          <w:noProof/>
        </w:rPr>
      </w:pPr>
      <w:r>
        <w:rPr>
          <w:noProof/>
        </w:rPr>
        <w:t>The agreement should be concluded timely in order to ensure that it replaces the current Agreement by 2023. It should therefore contain a clause repealing the Agreement.</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E224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9E10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FC0A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6C83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D2A1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A88D6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04D120"/>
    <w:lvl w:ilvl="0">
      <w:start w:val="1"/>
      <w:numFmt w:val="decimal"/>
      <w:pStyle w:val="ListNumber"/>
      <w:lvlText w:val="%1."/>
      <w:lvlJc w:val="left"/>
      <w:pPr>
        <w:tabs>
          <w:tab w:val="num" w:pos="360"/>
        </w:tabs>
        <w:ind w:left="360" w:hanging="360"/>
      </w:pPr>
    </w:lvl>
  </w:abstractNum>
  <w:abstractNum w:abstractNumId="7">
    <w:nsid w:val="FFFFFF89"/>
    <w:multiLevelType w:val="singleLevel"/>
    <w:tmpl w:val="0D8AE7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 w:numId="35">
    <w:abstractNumId w:val="6"/>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09:22: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52285C8A-80FF-41C4-93FC-4A681C5AFFE2"/>
    <w:docVar w:name="LW_COVERPAGE_TYPE" w:val="1"/>
    <w:docVar w:name="LW_CROSSREFERENCE" w:val="&lt;UNUSED&gt;"/>
    <w:docVar w:name="LW_DocType" w:val="ANNEX"/>
    <w:docVar w:name="LW_EMISSION" w:val="9.12.2020"/>
    <w:docVar w:name="LW_EMISSION_ISODATE" w:val="2020-12-0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UNCIL DECISION_x000d__x000b_authorising the opening of negotiations for a new fisheries agreement between the European Union and the Kingdom of Norway"/>
    <w:docVar w:name="LW_OBJETACTEPRINCIPAL.CP" w:val="COUNCIL DECISION_x000d__x000b_authorising the opening of negotiations for a new fisheries agreement between the European Union and the Kingdom of Norway"/>
    <w:docVar w:name="LW_PART_NBR" w:val="1"/>
    <w:docVar w:name="LW_PART_NBR_TOTAL" w:val="1"/>
    <w:docVar w:name="LW_REF.INST.NEW" w:val="COM"/>
    <w:docVar w:name="LW_REF.INST.NEW_ADOPTED" w:val="final"/>
    <w:docVar w:name="LW_REF.INST.NEW_TEXT" w:val="(2020)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w:docVar w:name="LW_TYPEACTEPRINCIPAL.CP" w:val="Recommendation for 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3">
    <w:name w:val="List Number 3"/>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5"/>
      </w:numPr>
      <w:contextualSpacing/>
    </w:pPr>
  </w:style>
  <w:style w:type="paragraph" w:styleId="ListNumber2">
    <w:name w:val="List Number 2"/>
    <w:basedOn w:val="Normal"/>
    <w:uiPriority w:val="99"/>
    <w:semiHidden/>
    <w:unhideWhenUsed/>
    <w:pPr>
      <w:numPr>
        <w:numId w:val="36"/>
      </w:numPr>
      <w:contextualSpacing/>
    </w:pPr>
  </w:style>
  <w:style w:type="paragraph" w:styleId="ListNumber3">
    <w:name w:val="List Number 3"/>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388</Words>
  <Characters>2262</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Veronique (MARE)</dc:creator>
  <cp:keywords/>
  <dc:description/>
  <cp:lastModifiedBy>WES PDFC Administrator</cp:lastModifiedBy>
  <cp:revision>9</cp:revision>
  <dcterms:created xsi:type="dcterms:W3CDTF">2020-10-30T14:50:00Z</dcterms:created>
  <dcterms:modified xsi:type="dcterms:W3CDTF">2020-12-02T08:22:00Z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