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F3DA61A-2904-44E8-87EE-F2D61A19A798" style="width:450.75pt;height:45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100" w:beforeAutospacing="1" w:after="100" w:afterAutospacing="1"/>
        <w:jc w:val="center"/>
        <w:rPr>
          <w:b/>
          <w:noProof/>
        </w:rPr>
      </w:pPr>
      <w:bookmarkStart w:id="0" w:name="_GoBack"/>
      <w:bookmarkEnd w:id="0"/>
      <w:r>
        <w:rPr>
          <w:b/>
          <w:noProof/>
        </w:rPr>
        <w:lastRenderedPageBreak/>
        <w:t xml:space="preserve">РЕШЕНИЕ № 1/[година] НА СЪВМЕСТНИЯ КОМИТЕТ ЕС — МАРОКО, СЪЗДАДЕН ПО СИЛАТА НА ЕВРО-СРЕДИЗЕМНОМОРСКОТО СПОРАЗУМЕНИЕ В ОБЛАСТТА НА ВЪЗДУХОПЛАВАНЕТО МЕЖДУ ЕВРОПЕЙСКАТА ОБЩНОСТ, ОТ ЕДНА СТРАНА, И КРАЛСТВО МАРОКО, ОТ ДРУГА СТРАНА </w:t>
      </w:r>
    </w:p>
    <w:p>
      <w:pPr>
        <w:spacing w:before="100" w:beforeAutospacing="1" w:after="100" w:afterAutospacing="1"/>
        <w:jc w:val="center"/>
        <w:rPr>
          <w:noProof/>
        </w:rPr>
      </w:pPr>
      <w:r>
        <w:rPr>
          <w:noProof/>
        </w:rPr>
        <w:t>от [...] година</w:t>
      </w:r>
    </w:p>
    <w:p>
      <w:pPr>
        <w:spacing w:before="100" w:beforeAutospacing="1" w:after="100" w:afterAutospacing="1"/>
        <w:jc w:val="center"/>
        <w:rPr>
          <w:noProof/>
        </w:rPr>
      </w:pPr>
      <w:r>
        <w:rPr>
          <w:noProof/>
        </w:rPr>
        <w:t>за приемане на процедурния правилник на Съвместния комитет</w:t>
      </w:r>
    </w:p>
    <w:p>
      <w:pPr>
        <w:spacing w:before="100" w:beforeAutospacing="1" w:after="100" w:afterAutospacing="1"/>
        <w:rPr>
          <w:noProof/>
        </w:rPr>
      </w:pPr>
      <w:r>
        <w:rPr>
          <w:noProof/>
        </w:rPr>
        <w:t>СЪВМЕСТНИЯТ КОМИТЕТ ПО СПОРАЗУМЕНИЕТО МЕЖДУ ЕС И МАРОКО,</w:t>
      </w:r>
    </w:p>
    <w:p>
      <w:pPr>
        <w:spacing w:before="100" w:beforeAutospacing="1" w:after="100" w:afterAutospacing="1"/>
        <w:rPr>
          <w:noProof/>
        </w:rPr>
      </w:pPr>
      <w:r>
        <w:rPr>
          <w:noProof/>
        </w:rPr>
        <w:t>като взе предвид Евро-средиземноморското споразумение в областта на въздухоплаването между Европейската общност и нейните държави членки, от една страна, и Кралство Мароко, от друга страна (наричано по-нататък „Споразумението“), и по-специално член 22, параграф 6 от него,</w:t>
      </w:r>
    </w:p>
    <w:p>
      <w:pPr>
        <w:spacing w:before="100" w:beforeAutospacing="1" w:after="100" w:afterAutospacing="1"/>
        <w:rPr>
          <w:noProof/>
        </w:rPr>
      </w:pPr>
      <w:r>
        <w:rPr>
          <w:noProof/>
        </w:rPr>
        <w:t>РЕШИ:</w:t>
      </w:r>
    </w:p>
    <w:p>
      <w:pPr>
        <w:spacing w:before="100" w:beforeAutospacing="1" w:after="100" w:afterAutospacing="1"/>
        <w:rPr>
          <w:i/>
          <w:noProof/>
        </w:rPr>
      </w:pPr>
      <w:r>
        <w:rPr>
          <w:i/>
          <w:noProof/>
        </w:rPr>
        <w:t>Член единствен</w:t>
      </w:r>
    </w:p>
    <w:p>
      <w:pPr>
        <w:spacing w:before="100" w:beforeAutospacing="1" w:after="100" w:afterAutospacing="1"/>
        <w:rPr>
          <w:noProof/>
        </w:rPr>
      </w:pPr>
      <w:r>
        <w:rPr>
          <w:noProof/>
        </w:rPr>
        <w:t>Приема се процедурният правилник на Съвместния комитет, приложен към настоящото решение.</w:t>
      </w:r>
    </w:p>
    <w:p>
      <w:pPr>
        <w:spacing w:before="100" w:beforeAutospacing="1" w:after="100" w:afterAutospacing="1"/>
        <w:rPr>
          <w:noProof/>
        </w:rPr>
      </w:pPr>
    </w:p>
    <w:p>
      <w:pPr>
        <w:spacing w:before="100" w:beforeAutospacing="1" w:after="100" w:afterAutospacing="1"/>
        <w:rPr>
          <w:noProof/>
        </w:rPr>
      </w:pPr>
      <w:r>
        <w:rPr>
          <w:noProof/>
        </w:rPr>
        <w:t>Съставено в […] на […] година.</w:t>
      </w:r>
    </w:p>
    <w:p>
      <w:pPr>
        <w:spacing w:before="100" w:beforeAutospacing="1" w:after="100" w:afterAutospacing="1"/>
        <w:rPr>
          <w:noProof/>
        </w:rPr>
      </w:pPr>
      <w:r>
        <w:rPr>
          <w:noProof/>
        </w:rPr>
        <w:t xml:space="preserve">За Съвместния комитет </w:t>
      </w:r>
    </w:p>
    <w:p>
      <w:pPr>
        <w:spacing w:before="100" w:beforeAutospacing="1" w:after="100" w:afterAutospacing="1"/>
        <w:rPr>
          <w:noProof/>
        </w:rPr>
      </w:pPr>
    </w:p>
    <w:p>
      <w:pPr>
        <w:spacing w:before="100" w:beforeAutospacing="1" w:after="100" w:afterAutospacing="1"/>
        <w:rPr>
          <w:i/>
          <w:noProof/>
        </w:rPr>
      </w:pPr>
      <w:r>
        <w:rPr>
          <w:i/>
          <w:noProof/>
        </w:rPr>
        <w:t xml:space="preserve">Ръководител на делегацията на Европейския съюз </w:t>
      </w:r>
    </w:p>
    <w:p>
      <w:pPr>
        <w:spacing w:before="100" w:beforeAutospacing="1" w:after="100" w:afterAutospacing="1"/>
        <w:rPr>
          <w:noProof/>
        </w:rPr>
      </w:pPr>
      <w:r>
        <w:rPr>
          <w:noProof/>
        </w:rPr>
        <w:t xml:space="preserve">[име] </w:t>
      </w:r>
    </w:p>
    <w:p>
      <w:pPr>
        <w:spacing w:before="100" w:beforeAutospacing="1" w:after="100" w:afterAutospacing="1"/>
        <w:rPr>
          <w:noProof/>
        </w:rPr>
      </w:pPr>
    </w:p>
    <w:p>
      <w:pPr>
        <w:spacing w:before="100" w:beforeAutospacing="1" w:after="100" w:afterAutospacing="1"/>
        <w:rPr>
          <w:i/>
          <w:noProof/>
        </w:rPr>
      </w:pPr>
      <w:r>
        <w:rPr>
          <w:i/>
          <w:noProof/>
        </w:rPr>
        <w:t xml:space="preserve">Ръководител на делегацията на Мароко </w:t>
      </w:r>
    </w:p>
    <w:p>
      <w:pPr>
        <w:spacing w:before="100" w:beforeAutospacing="1" w:after="100" w:afterAutospacing="1"/>
        <w:rPr>
          <w:noProof/>
        </w:rPr>
      </w:pPr>
      <w:r>
        <w:rPr>
          <w:noProof/>
        </w:rPr>
        <w:t xml:space="preserve">[име] </w:t>
      </w:r>
    </w:p>
    <w:p>
      <w:pPr>
        <w:rPr>
          <w:noProof/>
        </w:rPr>
      </w:pPr>
      <w:r>
        <w:rPr>
          <w:noProof/>
        </w:rPr>
        <w:br w:type="page"/>
      </w:r>
    </w:p>
    <w:p>
      <w:pPr>
        <w:spacing w:before="100" w:beforeAutospacing="1" w:after="100" w:afterAutospacing="1"/>
        <w:rPr>
          <w:noProof/>
        </w:rPr>
      </w:pPr>
    </w:p>
    <w:p>
      <w:pPr>
        <w:pStyle w:val="Annexetitre"/>
        <w:rPr>
          <w:noProof/>
        </w:rPr>
      </w:pPr>
      <w:r>
        <w:rPr>
          <w:noProof/>
        </w:rPr>
        <w:t>Приложение</w:t>
      </w:r>
    </w:p>
    <w:p>
      <w:pPr>
        <w:jc w:val="center"/>
        <w:rPr>
          <w:b/>
          <w:noProof/>
        </w:rPr>
      </w:pPr>
      <w:r>
        <w:rPr>
          <w:b/>
          <w:noProof/>
        </w:rPr>
        <w:t xml:space="preserve">Процедурен правилник на Съвместния комитет </w:t>
      </w:r>
    </w:p>
    <w:p>
      <w:pPr>
        <w:jc w:val="center"/>
        <w:rPr>
          <w:noProof/>
        </w:rPr>
      </w:pPr>
    </w:p>
    <w:p>
      <w:pPr>
        <w:jc w:val="center"/>
        <w:rPr>
          <w:noProof/>
        </w:rPr>
      </w:pPr>
    </w:p>
    <w:p>
      <w:pPr>
        <w:jc w:val="center"/>
        <w:rPr>
          <w:noProof/>
        </w:rPr>
      </w:pPr>
      <w:r>
        <w:rPr>
          <w:noProof/>
        </w:rPr>
        <w:t xml:space="preserve">Член 1 </w:t>
      </w:r>
      <w:r>
        <w:rPr>
          <w:b/>
          <w:noProof/>
        </w:rPr>
        <w:t>Ръководители на делегации</w:t>
      </w:r>
    </w:p>
    <w:p>
      <w:pPr>
        <w:rPr>
          <w:noProof/>
        </w:rPr>
      </w:pPr>
    </w:p>
    <w:p>
      <w:pPr>
        <w:rPr>
          <w:noProof/>
        </w:rPr>
      </w:pPr>
      <w:r>
        <w:rPr>
          <w:noProof/>
        </w:rPr>
        <w:t>1. Както е предвидено в член 22, параграф 1 от Споразумението, Съвместният комитет се състои от представители на договарящите  страни.</w:t>
      </w:r>
    </w:p>
    <w:p>
      <w:pPr>
        <w:rPr>
          <w:noProof/>
        </w:rPr>
      </w:pPr>
    </w:p>
    <w:p>
      <w:pPr>
        <w:rPr>
          <w:noProof/>
        </w:rPr>
      </w:pPr>
      <w:r>
        <w:rPr>
          <w:noProof/>
        </w:rPr>
        <w:t xml:space="preserve">2. Съвместният комитет се председателства съвместно от ръководителите на делегации на договарящите страни. </w:t>
      </w:r>
    </w:p>
    <w:p>
      <w:pPr>
        <w:rPr>
          <w:noProof/>
        </w:rPr>
      </w:pPr>
    </w:p>
    <w:p>
      <w:pPr>
        <w:jc w:val="center"/>
        <w:rPr>
          <w:noProof/>
        </w:rPr>
      </w:pPr>
      <w:r>
        <w:rPr>
          <w:noProof/>
        </w:rPr>
        <w:t xml:space="preserve">Член 2 </w:t>
      </w:r>
      <w:r>
        <w:rPr>
          <w:b/>
          <w:noProof/>
        </w:rPr>
        <w:t>Заседания</w:t>
      </w:r>
    </w:p>
    <w:p>
      <w:pPr>
        <w:rPr>
          <w:noProof/>
        </w:rPr>
      </w:pPr>
    </w:p>
    <w:p>
      <w:pPr>
        <w:rPr>
          <w:noProof/>
        </w:rPr>
      </w:pPr>
      <w:r>
        <w:rPr>
          <w:noProof/>
        </w:rPr>
        <w:t xml:space="preserve">1. Съгласно член 22, параграф 3 от Споразумението Съвместният комитет заседава при необходимост. Всяка договаряща страна може да поиска свикване на заседание на комитета. </w:t>
      </w:r>
    </w:p>
    <w:p>
      <w:pPr>
        <w:rPr>
          <w:noProof/>
        </w:rPr>
      </w:pPr>
    </w:p>
    <w:p>
      <w:pPr>
        <w:rPr>
          <w:noProof/>
        </w:rPr>
      </w:pPr>
      <w:r>
        <w:rPr>
          <w:noProof/>
        </w:rPr>
        <w:t xml:space="preserve">2. Съвместният комитет може да провежда присъствени заседания или да заседава по друг начин (напр. чрез конферентни телефонни разговори или видеоконференции). </w:t>
      </w:r>
    </w:p>
    <w:p>
      <w:pPr>
        <w:rPr>
          <w:noProof/>
        </w:rPr>
      </w:pPr>
    </w:p>
    <w:p>
      <w:pPr>
        <w:rPr>
          <w:noProof/>
        </w:rPr>
      </w:pPr>
      <w:r>
        <w:rPr>
          <w:noProof/>
        </w:rPr>
        <w:t>3. Заседанията се провеждат, доколкото е възможно, като се редуват между място в държава — членка на Европейския съюз, и Кралство Мароко, освен ако договарящите страни не са се споразумели за друго.</w:t>
      </w:r>
    </w:p>
    <w:p>
      <w:pPr>
        <w:rPr>
          <w:noProof/>
        </w:rPr>
      </w:pPr>
    </w:p>
    <w:p>
      <w:pPr>
        <w:rPr>
          <w:noProof/>
        </w:rPr>
      </w:pPr>
      <w:r>
        <w:rPr>
          <w:noProof/>
        </w:rPr>
        <w:t>4. След като датата и мястото на заседанията бъдат договорени между страните, заседанията се свикват от Европейската комисия за Европейския съюз и неговите държави членки и от министерството, отговарящо за гражданското въздухоплаване, за Кралство Мароко.</w:t>
      </w:r>
    </w:p>
    <w:p>
      <w:pPr>
        <w:rPr>
          <w:noProof/>
        </w:rPr>
      </w:pPr>
    </w:p>
    <w:p>
      <w:pPr>
        <w:rPr>
          <w:noProof/>
        </w:rPr>
      </w:pPr>
      <w:r>
        <w:rPr>
          <w:noProof/>
        </w:rPr>
        <w:t>5. Освен ако договарящите страни не са се споразумели за друго, заседанията на Съвместния комитет не са публични. Ако е необходимо, в края на заседанието по взаимно съгласие може да бъде изготвено съобщение за медиите.</w:t>
      </w:r>
    </w:p>
    <w:p>
      <w:pPr>
        <w:rPr>
          <w:noProof/>
        </w:rPr>
      </w:pPr>
    </w:p>
    <w:p>
      <w:pPr>
        <w:rPr>
          <w:noProof/>
        </w:rPr>
      </w:pPr>
    </w:p>
    <w:p>
      <w:pPr>
        <w:jc w:val="center"/>
        <w:rPr>
          <w:noProof/>
        </w:rPr>
      </w:pPr>
      <w:r>
        <w:rPr>
          <w:noProof/>
        </w:rPr>
        <w:t xml:space="preserve">Член 3 </w:t>
      </w:r>
      <w:r>
        <w:rPr>
          <w:b/>
          <w:noProof/>
        </w:rPr>
        <w:t>Делегации</w:t>
      </w:r>
    </w:p>
    <w:p>
      <w:pPr>
        <w:rPr>
          <w:noProof/>
        </w:rPr>
      </w:pPr>
    </w:p>
    <w:p>
      <w:pPr>
        <w:rPr>
          <w:noProof/>
        </w:rPr>
      </w:pPr>
      <w:r>
        <w:rPr>
          <w:noProof/>
        </w:rPr>
        <w:t>1. Преди всяко заседание ръководителите на делегации се информират взаимно за предвиждания състав на своите делегации.</w:t>
      </w:r>
    </w:p>
    <w:p>
      <w:pPr>
        <w:rPr>
          <w:noProof/>
        </w:rPr>
      </w:pPr>
    </w:p>
    <w:p>
      <w:pPr>
        <w:rPr>
          <w:noProof/>
        </w:rPr>
      </w:pPr>
      <w:r>
        <w:rPr>
          <w:noProof/>
        </w:rPr>
        <w:t>2. Със съгласието на Съвместния комитет представители на заинтересованите страни в сектора на въздушния транспорт могат да бъдат канени да присъстват на заседанията в качеството на наблюдатели.</w:t>
      </w:r>
    </w:p>
    <w:p>
      <w:pPr>
        <w:rPr>
          <w:noProof/>
        </w:rPr>
      </w:pPr>
    </w:p>
    <w:p>
      <w:pPr>
        <w:rPr>
          <w:noProof/>
        </w:rPr>
      </w:pPr>
      <w:r>
        <w:rPr>
          <w:noProof/>
        </w:rPr>
        <w:t>3. Съвместният комитет може да покани други заинтересовани страни или експерти да присъстват на заседанията с цел представяне на информация по определени въпроси.</w:t>
      </w:r>
    </w:p>
    <w:p>
      <w:pPr>
        <w:rPr>
          <w:noProof/>
        </w:rPr>
      </w:pPr>
    </w:p>
    <w:p>
      <w:pPr>
        <w:jc w:val="center"/>
        <w:rPr>
          <w:noProof/>
        </w:rPr>
      </w:pPr>
      <w:r>
        <w:rPr>
          <w:noProof/>
        </w:rPr>
        <w:t xml:space="preserve">Член 4 </w:t>
      </w:r>
      <w:r>
        <w:rPr>
          <w:b/>
          <w:noProof/>
        </w:rPr>
        <w:t>Секретариат</w:t>
      </w:r>
    </w:p>
    <w:p>
      <w:pPr>
        <w:rPr>
          <w:noProof/>
        </w:rPr>
      </w:pPr>
    </w:p>
    <w:p>
      <w:pPr>
        <w:rPr>
          <w:noProof/>
        </w:rPr>
      </w:pPr>
      <w:r>
        <w:rPr>
          <w:noProof/>
        </w:rPr>
        <w:t>Служител на Европейската комисия и служител на министерството, отговарящо за гражданското въздухоплаване на Кралство Мароко, ще изпълняват съвместно функциите на секретари на Съвместния комитет.</w:t>
      </w:r>
    </w:p>
    <w:p>
      <w:pPr>
        <w:rPr>
          <w:noProof/>
        </w:rPr>
      </w:pPr>
    </w:p>
    <w:p>
      <w:pPr>
        <w:keepNext/>
        <w:jc w:val="center"/>
        <w:rPr>
          <w:noProof/>
        </w:rPr>
      </w:pPr>
      <w:r>
        <w:rPr>
          <w:noProof/>
        </w:rPr>
        <w:t xml:space="preserve">Член 5 </w:t>
      </w:r>
      <w:r>
        <w:rPr>
          <w:b/>
          <w:noProof/>
        </w:rPr>
        <w:t>Дневен ред на заседанията</w:t>
      </w:r>
    </w:p>
    <w:p>
      <w:pPr>
        <w:keepNext/>
        <w:rPr>
          <w:noProof/>
        </w:rPr>
      </w:pPr>
    </w:p>
    <w:p>
      <w:pPr>
        <w:rPr>
          <w:noProof/>
        </w:rPr>
      </w:pPr>
      <w:r>
        <w:rPr>
          <w:noProof/>
        </w:rPr>
        <w:t>1. Ръководителите на делегации изготвят по взаимно съгласие предварителен дневен ред за всяко заседание. Този предварителен дневен ред се предава от секретарите на членовете на делегациите най-късно петнадесет дни преди датата на заседанието.</w:t>
      </w:r>
    </w:p>
    <w:p>
      <w:pPr>
        <w:rPr>
          <w:noProof/>
        </w:rPr>
      </w:pPr>
    </w:p>
    <w:p>
      <w:pPr>
        <w:rPr>
          <w:noProof/>
        </w:rPr>
      </w:pPr>
      <w:r>
        <w:rPr>
          <w:noProof/>
        </w:rPr>
        <w:t>2. Дневният ред се приема от Съвместния комитет в началото на всяко заседание. Въпроси, които не са включени в предварителния дневен ред, може да бъдат добавени към него със съгласието на Съвместния комитет.</w:t>
      </w:r>
    </w:p>
    <w:p>
      <w:pPr>
        <w:rPr>
          <w:noProof/>
        </w:rPr>
      </w:pPr>
    </w:p>
    <w:p>
      <w:pPr>
        <w:rPr>
          <w:noProof/>
        </w:rPr>
      </w:pPr>
      <w:r>
        <w:rPr>
          <w:noProof/>
        </w:rPr>
        <w:t>3. Ръководителите на делегации може да съкратят посочените в параграф 1 от настоящия член срокове, за да се вземат предвид изисквания или спешни обстоятелства, свързани с конкретен въпрос.</w:t>
      </w:r>
    </w:p>
    <w:p>
      <w:pPr>
        <w:rPr>
          <w:noProof/>
        </w:rPr>
      </w:pPr>
    </w:p>
    <w:p>
      <w:pPr>
        <w:jc w:val="center"/>
        <w:rPr>
          <w:noProof/>
        </w:rPr>
      </w:pPr>
      <w:r>
        <w:rPr>
          <w:noProof/>
        </w:rPr>
        <w:t xml:space="preserve">Член 6 </w:t>
      </w:r>
      <w:r>
        <w:rPr>
          <w:b/>
          <w:noProof/>
        </w:rPr>
        <w:t>Протоколи от заседанията</w:t>
      </w:r>
    </w:p>
    <w:p>
      <w:pPr>
        <w:rPr>
          <w:noProof/>
        </w:rPr>
      </w:pPr>
    </w:p>
    <w:p>
      <w:pPr>
        <w:rPr>
          <w:noProof/>
        </w:rPr>
      </w:pPr>
      <w:r>
        <w:rPr>
          <w:noProof/>
        </w:rPr>
        <w:t>1. След провеждане на всяко заседание на Съвместния комитет се съставя проектопротокол. В него се посочват обсъжданите въпроси, както и всички направени препоръки и приети решения.</w:t>
      </w:r>
    </w:p>
    <w:p>
      <w:pPr>
        <w:rPr>
          <w:noProof/>
        </w:rPr>
      </w:pPr>
    </w:p>
    <w:p>
      <w:pPr>
        <w:rPr>
          <w:noProof/>
        </w:rPr>
      </w:pPr>
      <w:r>
        <w:rPr>
          <w:noProof/>
        </w:rPr>
        <w:t>2. В срок от един месец след заседанието проектопротоколът се представя за одобрение чрез писмена процедура от ръководителя на делегацията домакин на другия ръководител на делегация.</w:t>
      </w:r>
    </w:p>
    <w:p>
      <w:pPr>
        <w:rPr>
          <w:noProof/>
        </w:rPr>
      </w:pPr>
    </w:p>
    <w:p>
      <w:pPr>
        <w:rPr>
          <w:noProof/>
        </w:rPr>
      </w:pPr>
      <w:r>
        <w:rPr>
          <w:noProof/>
        </w:rPr>
        <w:t>3. След като бъде одобрен, протоколът от заседанието се подписва в два екземпляра от ръководителите на делегации и един оригинал се връчва на всяка от договарящите страни. Ръководителите на делегации могат да решат, че подписването и размяната на електронни екземпляри удовлетворява посоченото изискване.</w:t>
      </w:r>
    </w:p>
    <w:p>
      <w:pPr>
        <w:rPr>
          <w:noProof/>
        </w:rPr>
      </w:pPr>
    </w:p>
    <w:p>
      <w:pPr>
        <w:rPr>
          <w:noProof/>
        </w:rPr>
      </w:pPr>
      <w:r>
        <w:rPr>
          <w:noProof/>
        </w:rPr>
        <w:t>4. Протоколите от заседанията на Съвместния комитет са публични, освен ако една от договарящите страни не поиска друго.</w:t>
      </w:r>
    </w:p>
    <w:p>
      <w:pPr>
        <w:rPr>
          <w:noProof/>
        </w:rPr>
      </w:pPr>
    </w:p>
    <w:p>
      <w:pPr>
        <w:jc w:val="center"/>
        <w:rPr>
          <w:b/>
          <w:noProof/>
        </w:rPr>
      </w:pPr>
      <w:r>
        <w:rPr>
          <w:noProof/>
        </w:rPr>
        <w:t xml:space="preserve">Член 7 </w:t>
      </w:r>
      <w:r>
        <w:rPr>
          <w:b/>
          <w:noProof/>
        </w:rPr>
        <w:t>Писмена процедура</w:t>
      </w:r>
    </w:p>
    <w:p>
      <w:pPr>
        <w:jc w:val="center"/>
        <w:rPr>
          <w:noProof/>
        </w:rPr>
      </w:pPr>
    </w:p>
    <w:p>
      <w:pPr>
        <w:rPr>
          <w:noProof/>
        </w:rPr>
      </w:pPr>
      <w:r>
        <w:rPr>
          <w:noProof/>
        </w:rPr>
        <w:t>Когато е необходимо и надлежно обосновано, решенията и препоръките на Съвместния комитет може да се приемат чрез писмена процедура. За тази цел ръководителите на делегации обменят проектите за мерки, по които се изисква становище на Съвместния комитет и които след това може да бъдат потвърдени чрез размяна на писма. От друга страна обаче, всяка договаряща страна може да поиска свикване на Съвместния комитет за обсъждане на съответния въпрос.</w:t>
      </w:r>
    </w:p>
    <w:p>
      <w:pPr>
        <w:rPr>
          <w:noProof/>
        </w:rPr>
      </w:pPr>
    </w:p>
    <w:p>
      <w:pPr>
        <w:jc w:val="center"/>
        <w:rPr>
          <w:noProof/>
        </w:rPr>
      </w:pPr>
    </w:p>
    <w:p>
      <w:pPr>
        <w:jc w:val="center"/>
        <w:rPr>
          <w:noProof/>
        </w:rPr>
      </w:pPr>
      <w:r>
        <w:rPr>
          <w:noProof/>
        </w:rPr>
        <w:t xml:space="preserve">Член 8 </w:t>
      </w:r>
      <w:r>
        <w:rPr>
          <w:b/>
          <w:noProof/>
        </w:rPr>
        <w:t xml:space="preserve">Решения и препоръки </w:t>
      </w:r>
    </w:p>
    <w:p>
      <w:pPr>
        <w:rPr>
          <w:noProof/>
        </w:rPr>
      </w:pPr>
    </w:p>
    <w:p>
      <w:pPr>
        <w:rPr>
          <w:noProof/>
        </w:rPr>
      </w:pPr>
      <w:r>
        <w:rPr>
          <w:noProof/>
        </w:rPr>
        <w:t xml:space="preserve">1. Съвместният комитет формулира препоръки и взема решения с консенсус. </w:t>
      </w:r>
    </w:p>
    <w:p>
      <w:pPr>
        <w:rPr>
          <w:noProof/>
        </w:rPr>
      </w:pPr>
    </w:p>
    <w:p>
      <w:pPr>
        <w:rPr>
          <w:noProof/>
        </w:rPr>
      </w:pPr>
      <w:r>
        <w:rPr>
          <w:noProof/>
        </w:rPr>
        <w:t xml:space="preserve">2. Решенията и препоръките на Съвместния комитет се обозначават съответно като „решение“ и „препоръка“, последвани от пореден номер, датата на тяхното приемане и описание на предмета им. </w:t>
      </w:r>
    </w:p>
    <w:p>
      <w:pPr>
        <w:rPr>
          <w:noProof/>
        </w:rPr>
      </w:pPr>
    </w:p>
    <w:p>
      <w:pPr>
        <w:rPr>
          <w:noProof/>
        </w:rPr>
      </w:pPr>
      <w:r>
        <w:rPr>
          <w:noProof/>
        </w:rPr>
        <w:t xml:space="preserve">3. Решенията и препоръките на Съвместния комитет се подписват от ръководителите на делегациите и се прилагат към протокола от заседанието. </w:t>
      </w:r>
    </w:p>
    <w:p>
      <w:pPr>
        <w:rPr>
          <w:noProof/>
        </w:rPr>
      </w:pPr>
    </w:p>
    <w:p>
      <w:pPr>
        <w:rPr>
          <w:noProof/>
        </w:rPr>
      </w:pPr>
      <w:r>
        <w:rPr>
          <w:noProof/>
        </w:rPr>
        <w:t>4. Решенията, приети от Съвместния комитет, се изпълняват от договарящите страни в съответствие с техните вътрешни процедури.</w:t>
      </w:r>
    </w:p>
    <w:p>
      <w:pPr>
        <w:rPr>
          <w:noProof/>
        </w:rPr>
      </w:pPr>
    </w:p>
    <w:p>
      <w:pPr>
        <w:rPr>
          <w:noProof/>
        </w:rPr>
      </w:pPr>
      <w:r>
        <w:rPr>
          <w:noProof/>
        </w:rPr>
        <w:t>5. Решенията, приети от Съвместния комитет, може да се публикуват от договарящите страни в съответните им официални издания. Всяка от договарящите страни може да преценява дали да публикува който и да е друг акт на Съвместния комитет. Всяка от договарящите страни получава един оригинал от решенията и препоръките.</w:t>
      </w:r>
    </w:p>
    <w:p>
      <w:pPr>
        <w:rPr>
          <w:noProof/>
        </w:rPr>
      </w:pPr>
    </w:p>
    <w:p>
      <w:pPr>
        <w:rPr>
          <w:noProof/>
        </w:rPr>
      </w:pPr>
    </w:p>
    <w:p>
      <w:pPr>
        <w:jc w:val="center"/>
        <w:rPr>
          <w:noProof/>
        </w:rPr>
      </w:pPr>
      <w:r>
        <w:rPr>
          <w:noProof/>
        </w:rPr>
        <w:t xml:space="preserve">Член 9 </w:t>
      </w:r>
      <w:r>
        <w:rPr>
          <w:b/>
          <w:noProof/>
        </w:rPr>
        <w:t>Работни групи</w:t>
      </w:r>
    </w:p>
    <w:p>
      <w:pPr>
        <w:rPr>
          <w:noProof/>
        </w:rPr>
      </w:pPr>
    </w:p>
    <w:p>
      <w:pPr>
        <w:rPr>
          <w:noProof/>
        </w:rPr>
      </w:pPr>
      <w:r>
        <w:rPr>
          <w:noProof/>
        </w:rPr>
        <w:t>1. Съвместният комитет може да създава работни групи, които да го подпомагат при изпълнението на неговите задължения. Мандатът на дадена работна група се включва в приложение към решението за създаването ѝ.</w:t>
      </w:r>
    </w:p>
    <w:p>
      <w:pPr>
        <w:rPr>
          <w:noProof/>
        </w:rPr>
      </w:pPr>
    </w:p>
    <w:p>
      <w:pPr>
        <w:rPr>
          <w:noProof/>
        </w:rPr>
      </w:pPr>
      <w:r>
        <w:rPr>
          <w:noProof/>
        </w:rPr>
        <w:t>2. Работните групи се състоят от представители на договарящите страни.</w:t>
      </w:r>
    </w:p>
    <w:p>
      <w:pPr>
        <w:rPr>
          <w:noProof/>
        </w:rPr>
      </w:pPr>
    </w:p>
    <w:p>
      <w:pPr>
        <w:rPr>
          <w:noProof/>
        </w:rPr>
      </w:pPr>
      <w:r>
        <w:rPr>
          <w:noProof/>
        </w:rPr>
        <w:t>3. Работните групи работят под ръководството на Съвместния комитет, на който докладват след всяко от своите заседания. Те не могат да вземат решения, но могат да отправят препоръки към Съвместния комитет.</w:t>
      </w:r>
    </w:p>
    <w:p>
      <w:pPr>
        <w:rPr>
          <w:noProof/>
        </w:rPr>
      </w:pPr>
    </w:p>
    <w:p>
      <w:pPr>
        <w:rPr>
          <w:noProof/>
        </w:rPr>
      </w:pPr>
      <w:r>
        <w:rPr>
          <w:noProof/>
        </w:rPr>
        <w:t>4. Съвместният комитет може по всяко време да вземе решение за разпускане на всички съществуващи работни групи, да промени мандата им или да създаде нови работни групи, които да го подпомагат при изпълнението на неговите задължения.</w:t>
      </w:r>
    </w:p>
    <w:p>
      <w:pPr>
        <w:rPr>
          <w:noProof/>
        </w:rPr>
      </w:pPr>
    </w:p>
    <w:p>
      <w:pPr>
        <w:jc w:val="center"/>
        <w:rPr>
          <w:noProof/>
        </w:rPr>
      </w:pPr>
      <w:r>
        <w:rPr>
          <w:noProof/>
        </w:rPr>
        <w:t xml:space="preserve">Член 10 </w:t>
      </w:r>
      <w:r>
        <w:rPr>
          <w:b/>
          <w:noProof/>
        </w:rPr>
        <w:t>Езиков режим</w:t>
      </w:r>
    </w:p>
    <w:p>
      <w:pPr>
        <w:rPr>
          <w:noProof/>
        </w:rPr>
      </w:pPr>
    </w:p>
    <w:p>
      <w:pPr>
        <w:rPr>
          <w:noProof/>
        </w:rPr>
      </w:pPr>
      <w:r>
        <w:rPr>
          <w:noProof/>
        </w:rPr>
        <w:t>Официални езици на Съвместния комитет са официалните езици на страните по Споразумението.</w:t>
      </w:r>
    </w:p>
    <w:p>
      <w:pPr>
        <w:rPr>
          <w:noProof/>
        </w:rPr>
      </w:pPr>
    </w:p>
    <w:p>
      <w:pPr>
        <w:keepNext/>
        <w:jc w:val="center"/>
        <w:rPr>
          <w:b/>
          <w:noProof/>
        </w:rPr>
      </w:pPr>
      <w:r>
        <w:rPr>
          <w:noProof/>
        </w:rPr>
        <w:t xml:space="preserve">Член 11 </w:t>
      </w:r>
      <w:r>
        <w:rPr>
          <w:b/>
          <w:noProof/>
        </w:rPr>
        <w:t>Разходи</w:t>
      </w:r>
    </w:p>
    <w:p>
      <w:pPr>
        <w:keepNext/>
        <w:jc w:val="center"/>
        <w:rPr>
          <w:b/>
          <w:noProof/>
        </w:rPr>
      </w:pPr>
    </w:p>
    <w:p>
      <w:pPr>
        <w:rPr>
          <w:noProof/>
        </w:rPr>
      </w:pPr>
      <w:r>
        <w:rPr>
          <w:noProof/>
        </w:rPr>
        <w:t>1. Всяка от договарящите страни поема разходите по участието си в заседанията на Съвместния комитет и на работните групи — както разходите за персонал, пътните и дневните разходи, така и пощенските и телекомуникационните разходи.</w:t>
      </w:r>
    </w:p>
    <w:p>
      <w:pPr>
        <w:rPr>
          <w:noProof/>
        </w:rPr>
      </w:pPr>
    </w:p>
    <w:p>
      <w:pPr>
        <w:rPr>
          <w:noProof/>
        </w:rPr>
      </w:pPr>
      <w:r>
        <w:rPr>
          <w:noProof/>
        </w:rPr>
        <w:t>2. Всички други разходи, свързани с материалната организация на заседанията, се поемат от договарящата страна, която е домакин на заседанието.</w:t>
      </w:r>
    </w:p>
    <w:p>
      <w:pPr>
        <w:rPr>
          <w:noProof/>
        </w:rPr>
      </w:pPr>
    </w:p>
    <w:p>
      <w:pPr>
        <w:jc w:val="center"/>
        <w:rPr>
          <w:noProof/>
        </w:rPr>
      </w:pPr>
      <w:r>
        <w:rPr>
          <w:noProof/>
        </w:rPr>
        <w:t xml:space="preserve">Член 12 </w:t>
      </w:r>
      <w:r>
        <w:rPr>
          <w:b/>
          <w:noProof/>
        </w:rPr>
        <w:t>Изменения на процедурния правилник</w:t>
      </w:r>
    </w:p>
    <w:p>
      <w:pPr>
        <w:rPr>
          <w:noProof/>
        </w:rPr>
      </w:pPr>
    </w:p>
    <w:p>
      <w:pPr>
        <w:rPr>
          <w:noProof/>
        </w:rPr>
      </w:pPr>
      <w:r>
        <w:rPr>
          <w:noProof/>
        </w:rPr>
        <w:t>Съвместният комитет може по всяко време да измени настоящия процедурен правилник с решение, взето в съответствие с член 22 от Споразумението.</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5C22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6E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FCA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B26B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B8E2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D63E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F2C04E"/>
    <w:lvl w:ilvl="0">
      <w:start w:val="1"/>
      <w:numFmt w:val="decimal"/>
      <w:pStyle w:val="ListNumber"/>
      <w:lvlText w:val="%1."/>
      <w:lvlJc w:val="left"/>
      <w:pPr>
        <w:tabs>
          <w:tab w:val="num" w:pos="360"/>
        </w:tabs>
        <w:ind w:left="360" w:hanging="360"/>
      </w:pPr>
    </w:lvl>
  </w:abstractNum>
  <w:abstractNum w:abstractNumId="7">
    <w:nsid w:val="FFFFFF89"/>
    <w:multiLevelType w:val="singleLevel"/>
    <w:tmpl w:val="74C2B4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5 09:45: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F3DA61A-2904-44E8-87EE-F2D61A19A798"/>
    <w:docVar w:name="LW_COVERPAGE_TYPE" w:val="1"/>
    <w:docVar w:name="LW_CROSSREFERENCE" w:val="&lt;UNUSED&gt;"/>
    <w:docVar w:name="LW_DocType" w:val="ANNEX"/>
    <w:docVar w:name="LW_EMISSION" w:val="11.12.2020"/>
    <w:docVar w:name="LW_EMISSION_ISODATE" w:val="2020-12-1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lt;/FMT&gt;_x000b_"/>
    <w:docVar w:name="LW_OBJETACTEPRINCIPAL.CP"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lt;/FMT&gt;_x000b_"/>
    <w:docVar w:name="LW_PART_NBR" w:val="1"/>
    <w:docVar w:name="LW_PART_NBR_TOTAL" w:val="1"/>
    <w:docVar w:name="LW_REF.INST.NEW" w:val="COM"/>
    <w:docVar w:name="LW_REF.INST.NEW_ADOPTED" w:val="final"/>
    <w:docVar w:name="LW_REF.INST.NEW_TEXT" w:val="(2020)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_x000b_\u1056?\u1077?\u1096?\u1077?\u1085?\u1080?\u1077? \u1085?\u1072? \u1057?\u1098?\u1074?\u1077?\u1090?\u1072?_x000b_"/>
    <w:docVar w:name="LW_TYPEACTEPRINCIPAL.CP" w:val="\u1087?\u1088?\u1077?\u1076?\u1083?\u1086?\u1078?\u1077?\u1085?\u1080?\u1077? \u1079?\u1072?_x000b_\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1048</Words>
  <Characters>6221</Characters>
  <Application>Microsoft Office Word</Application>
  <DocSecurity>0</DocSecurity>
  <Lines>182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2020-12-04T09:34:00Z</dcterms:created>
  <dcterms:modified xsi:type="dcterms:W3CDTF">2020-12-05T08:45:00Z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