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F196543-5FD4-4FA9-AD85-85422E329173" style="width:450.75pt;height:379.5pt">
            <v:imagedata r:id="rId10" o:title=""/>
          </v:shape>
        </w:pict>
      </w:r>
    </w:p>
    <w:p>
      <w:pPr>
        <w:rPr>
          <w:noProof/>
        </w:rPr>
        <w:sectPr>
          <w:footerReference w:type="default" r:id="rId11"/>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DQPStarAt1DQPStarAt72C3E718DF204D66A4A84"/>
      <w:r>
        <w:rPr>
          <w:noProof/>
        </w:rPr>
        <w:t>1.</w:t>
      </w:r>
      <w:r>
        <w:rPr>
          <w:noProof/>
        </w:rPr>
        <w:tab/>
        <w:t>Предмет на предложението</w:t>
      </w:r>
    </w:p>
    <w:bookmarkEnd w:id="1"/>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Евро-средиземноморското споразумение в областта на въздухоплаването между Европейската общност и нейните държави членки, от една страна, и Кралство Мароко, от друга страна (наричано по-нататък „Споразумението“)</w:t>
      </w:r>
      <w:r>
        <w:rPr>
          <w:rStyle w:val="FootnoteReference"/>
          <w:rFonts w:eastAsia="Arial Unicode MS"/>
          <w:noProof/>
        </w:rPr>
        <w:footnoteReference w:id="1"/>
      </w:r>
      <w:r>
        <w:rPr>
          <w:noProof/>
        </w:rPr>
        <w:t>.</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Евро-средиземноморско споразумение в областта на въздухоплаването между Европейската общност и нейните държави членки, от една страна, и Кралство Мароко, от друга страна</w:t>
      </w:r>
    </w:p>
    <w:p>
      <w:pPr>
        <w:rPr>
          <w:rFonts w:eastAsia="Arial Unicode MS"/>
          <w:noProof/>
          <w:szCs w:val="24"/>
        </w:rPr>
      </w:pPr>
      <w:r>
        <w:rPr>
          <w:noProof/>
        </w:rPr>
        <w:t xml:space="preserve">Със Споразумението се цели </w:t>
      </w:r>
      <w:r>
        <w:rPr>
          <w:noProof/>
          <w:color w:val="000000"/>
          <w:szCs w:val="24"/>
          <w:shd w:val="clear" w:color="auto" w:fill="FFFFFF"/>
        </w:rPr>
        <w:t xml:space="preserve">насърчаване на постепенно отваряне на достъпа до пазара и хармонизиране на нормативните уредби с цел сближаване с разпоредбите на ЕС, включително по въпросите на безопасността, управлението на въздушното движение, икономическото регулиране, защитата на потребителите и опазването на околната среда. Правилата следва да се основават на съответното законодателство, което е в сила в Европейския съюз, съгласно приложение VI към настоящото споразумение. </w:t>
      </w:r>
    </w:p>
    <w:p>
      <w:pPr>
        <w:rPr>
          <w:rFonts w:eastAsia="Arial Unicode MS"/>
          <w:noProof/>
        </w:rPr>
      </w:pPr>
      <w:r>
        <w:rPr>
          <w:noProof/>
        </w:rPr>
        <w:t xml:space="preserve">Споразумението влезе в сила на 19 март 2018 г. </w:t>
      </w:r>
    </w:p>
    <w:p>
      <w:pPr>
        <w:pStyle w:val="ManualHeading2"/>
        <w:rPr>
          <w:noProof/>
        </w:rPr>
      </w:pPr>
      <w:r>
        <w:rPr>
          <w:noProof/>
        </w:rPr>
        <w:t>2.2.</w:t>
      </w:r>
      <w:r>
        <w:rPr>
          <w:noProof/>
        </w:rPr>
        <w:tab/>
        <w:t>Съвместен комитет</w:t>
      </w:r>
    </w:p>
    <w:p>
      <w:pPr>
        <w:rPr>
          <w:rFonts w:eastAsia="Arial Unicode MS"/>
          <w:noProof/>
        </w:rPr>
      </w:pPr>
      <w:r>
        <w:rPr>
          <w:noProof/>
        </w:rPr>
        <w:t xml:space="preserve">Съгласно член 22 от Споразумението бе създаден Съвместен комитет. Той отговаря за администрирането на Споразумението и гарантира неговото правилно прилагане. </w:t>
      </w:r>
    </w:p>
    <w:p>
      <w:pPr>
        <w:rPr>
          <w:rFonts w:eastAsia="Arial Unicode MS"/>
          <w:noProof/>
        </w:rPr>
      </w:pPr>
      <w:r>
        <w:rPr>
          <w:noProof/>
        </w:rPr>
        <w:t xml:space="preserve">За тази Съвместният комитет си сътрудничи в редица области, отправя препоръки и взема решения в случаите, изрично предвидени в Споразумението. Основните му задачи са да си сътрудничи чрез: а) насърчаване на обмени на експертно ниво по нови законодателни или други нормативни инициативи и развития, включително в областта на сигурността, безопасността, околната среда, авиационната инфраструктура (включително слотове), както и защитата на потребителите; б) редовно проучване на социалните последици на Споразумението при прилагането му, особено в областта на заетостта и разработването на подходящи решения по основателни въпроси; в) разглеждане на възможни области за по-нататъшното развитие на Споразумението, включително препоръчване на изменения на Споразумението. </w:t>
      </w:r>
    </w:p>
    <w:p>
      <w:pPr>
        <w:rPr>
          <w:rFonts w:eastAsia="Arial Unicode MS"/>
          <w:noProof/>
        </w:rPr>
      </w:pPr>
      <w:r>
        <w:rPr>
          <w:noProof/>
        </w:rPr>
        <w:t>Освен това, в съответствие с член 5 (Инвестиции) от Споразумението, Съвместният комитет разглежда въпроси, свързани с двустранните инвестиции в мажоритарно участие или промени в ефективния контрол на въздушните превозвачи на страните.</w:t>
      </w:r>
    </w:p>
    <w:p>
      <w:pPr>
        <w:rPr>
          <w:rFonts w:eastAsia="Arial Unicode MS"/>
          <w:noProof/>
        </w:rPr>
      </w:pPr>
      <w:r>
        <w:rPr>
          <w:noProof/>
        </w:rPr>
        <w:t xml:space="preserve">Съгласно член 22, параграф 6 от Споразумението Съвместният комитет трябва да приеме с решение свой процедурен правилник. </w:t>
      </w:r>
    </w:p>
    <w:p>
      <w:pPr>
        <w:rPr>
          <w:rFonts w:eastAsia="Arial Unicode MS"/>
          <w:noProof/>
        </w:rPr>
      </w:pPr>
    </w:p>
    <w:p>
      <w:pPr>
        <w:pStyle w:val="ManualHeading2"/>
        <w:rPr>
          <w:noProof/>
        </w:rPr>
      </w:pPr>
      <w:r>
        <w:rPr>
          <w:noProof/>
        </w:rPr>
        <w:lastRenderedPageBreak/>
        <w:t>2.3.</w:t>
      </w:r>
      <w:r>
        <w:rPr>
          <w:noProof/>
        </w:rPr>
        <w:tab/>
        <w:t>Предвиден акт на Съвместния комитет</w:t>
      </w:r>
    </w:p>
    <w:p>
      <w:pPr>
        <w:rPr>
          <w:rFonts w:eastAsia="Arial Unicode MS"/>
          <w:noProof/>
        </w:rPr>
      </w:pPr>
      <w:r>
        <w:rPr>
          <w:noProof/>
        </w:rPr>
        <w:t xml:space="preserve">На първото си заседание Съвместният комитет следва да приеме решение относно приемането на своя процедурен правилник (наричан по-нататък „предвиденият акт“). </w:t>
      </w:r>
    </w:p>
    <w:p>
      <w:pPr>
        <w:rPr>
          <w:rFonts w:eastAsia="Arial Unicode MS"/>
          <w:noProof/>
        </w:rPr>
      </w:pPr>
      <w:r>
        <w:rPr>
          <w:noProof/>
        </w:rPr>
        <w:t>Целта на предвидения акт е, в съответствие с член 22, параграф 6 от Споразумението, да бъде приет процедурният правилник за организацията и работата на Съвместния комитет, за да се даде възможност за правилно прилагане на Споразумението.</w:t>
      </w:r>
    </w:p>
    <w:p>
      <w:pPr>
        <w:pStyle w:val="ManualHeading1"/>
        <w:rPr>
          <w:noProof/>
        </w:rPr>
      </w:pPr>
      <w:r>
        <w:rPr>
          <w:noProof/>
        </w:rPr>
        <w:t>3.</w:t>
      </w:r>
      <w:r>
        <w:rPr>
          <w:noProof/>
        </w:rPr>
        <w:tab/>
        <w:t>Позиция, която да трябва да се заеме от името на Съюза</w:t>
      </w:r>
    </w:p>
    <w:p>
      <w:pPr>
        <w:rPr>
          <w:noProof/>
        </w:rPr>
      </w:pPr>
      <w:r>
        <w:rPr>
          <w:noProof/>
        </w:rPr>
        <w:t>Позицията, която да се заеме от името на Съюза, следва да има за цел подкрепа за приемането на процедурния правилник на Съвместния комитет, създаден със Споразумението. Позицията следва да се основава на проекта на решение на Съвместния комитет, приложен към предложението за решение  на Съвета.</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Евро-средиземноморското споразумение в областта на въздухоплаването между Европейската общност и нейните държави членки, от една страна, и Кралство Мароко, от друга страна.</w:t>
      </w:r>
    </w:p>
    <w:p>
      <w:pPr>
        <w:rPr>
          <w:noProof/>
        </w:rPr>
      </w:pPr>
      <w:r>
        <w:rPr>
          <w:noProof/>
        </w:rPr>
        <w:t xml:space="preserve">Актът, който Съвместният комитет има за задача да приеме, е акт с правно действие, тъй като ще бъде обвързващ за страните съгласно международното право.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Предвид горепосоченото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w:t>
      </w:r>
      <w:r>
        <w:rPr>
          <w:noProof/>
        </w:rPr>
        <w:lastRenderedPageBreak/>
        <w:t>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 на предвидения акт са свързани с въздушния транспорт.</w:t>
      </w:r>
    </w:p>
    <w:p>
      <w:pPr>
        <w:rPr>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pStyle w:val="ManualHeading1"/>
        <w:rPr>
          <w:noProof/>
        </w:rPr>
      </w:pPr>
      <w:r>
        <w:rPr>
          <w:noProof/>
        </w:rPr>
        <w:t>5.</w:t>
      </w:r>
      <w:r>
        <w:rPr>
          <w:noProof/>
        </w:rPr>
        <w:tab/>
        <w:t>Публикуване на предвидения акт</w:t>
      </w:r>
    </w:p>
    <w:p>
      <w:pPr>
        <w:rPr>
          <w:noProof/>
        </w:rPr>
      </w:pPr>
      <w:r>
        <w:rPr>
          <w:noProof/>
        </w:rPr>
        <w:t xml:space="preserve">Тъй като с акта на Съвместния комитет ще се определи неговият процедурен правилник, целесъобразно е след приемането му той да се публикува в </w:t>
      </w:r>
      <w:r>
        <w:rPr>
          <w:i/>
          <w:noProof/>
        </w:rPr>
        <w:t>Официален вестник на Европейския съюз</w:t>
      </w:r>
      <w:r>
        <w:rPr>
          <w:noProof/>
        </w:rPr>
        <w:t>.</w:t>
      </w:r>
    </w:p>
    <w:p>
      <w:pPr>
        <w:spacing w:before="0" w:after="200" w:line="276" w:lineRule="auto"/>
        <w:jc w:val="left"/>
        <w:rPr>
          <w:noProof/>
        </w:rPr>
      </w:pPr>
      <w:r>
        <w:rPr>
          <w:noProof/>
        </w:rPr>
        <w:br w:type="page"/>
      </w:r>
    </w:p>
    <w:p>
      <w:pPr>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Евро-средиземноморското споразумение в областта на въздухоплаването между Европейската общност и нейните държави членки, от една страна, и Кралство Мароко,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bookmarkStart w:id="2" w:name="DQPStarAt1DQPStarAtD600FD7F2DB348B0ACCC3"/>
      <w:r>
        <w:rPr>
          <w:noProof/>
        </w:rPr>
        <w:t>(1)</w:t>
      </w:r>
      <w:r>
        <w:rPr>
          <w:noProof/>
        </w:rPr>
        <w:tab/>
        <w:t>Евро-средиземноморското споразумение в областта на въздухоплаването между Европейската общност и нейните държави членки, от една страна, и Кралство Мароко, от друга страна (наричано по-нататък „Споразумението“), беше сключено от Съюза с Решение (ЕС) 2018/146 на Съвета</w:t>
      </w:r>
      <w:r>
        <w:rPr>
          <w:rStyle w:val="FootnoteReference"/>
          <w:noProof/>
        </w:rPr>
        <w:footnoteReference w:id="2"/>
      </w:r>
      <w:r>
        <w:rPr>
          <w:noProof/>
        </w:rPr>
        <w:t xml:space="preserve"> и влезе в сила на 19 март 2018 г. </w:t>
      </w:r>
    </w:p>
    <w:bookmarkEnd w:id="2"/>
    <w:p>
      <w:pPr>
        <w:pStyle w:val="ManualConsidrant"/>
        <w:rPr>
          <w:noProof/>
        </w:rPr>
      </w:pPr>
      <w:r>
        <w:rPr>
          <w:noProof/>
        </w:rPr>
        <w:t>(2)</w:t>
      </w:r>
      <w:r>
        <w:rPr>
          <w:noProof/>
        </w:rPr>
        <w:tab/>
        <w:t>С член 22 от Споразумението се създава Съвместен комитет, който гарантира администрирането и правилното прилагане на Споразумението.</w:t>
      </w:r>
    </w:p>
    <w:p>
      <w:pPr>
        <w:pStyle w:val="ManualConsidrant"/>
        <w:rPr>
          <w:noProof/>
        </w:rPr>
      </w:pPr>
      <w:r>
        <w:rPr>
          <w:noProof/>
        </w:rPr>
        <w:t>(3)</w:t>
      </w:r>
      <w:r>
        <w:rPr>
          <w:noProof/>
        </w:rPr>
        <w:tab/>
        <w:t>В член 22, параграф 6 от Споразумението се предвижда, че Съвместният комитет следва да приеме свой процедурен правилник.</w:t>
      </w:r>
    </w:p>
    <w:p>
      <w:pPr>
        <w:pStyle w:val="ManualConsidrant"/>
        <w:rPr>
          <w:noProof/>
        </w:rPr>
      </w:pPr>
      <w:r>
        <w:rPr>
          <w:noProof/>
        </w:rPr>
        <w:t>(4)</w:t>
      </w:r>
      <w:r>
        <w:rPr>
          <w:noProof/>
        </w:rPr>
        <w:tab/>
        <w:t>С цел да се гарантира правилното прилагане на Споразумението, процедурният правилник на Съвместния комитет следва да бъде приет.</w:t>
      </w:r>
    </w:p>
    <w:p>
      <w:pPr>
        <w:pStyle w:val="ManualConsidrant"/>
        <w:rPr>
          <w:noProof/>
        </w:rPr>
      </w:pPr>
      <w:r>
        <w:rPr>
          <w:noProof/>
        </w:rPr>
        <w:t>(5)</w:t>
      </w:r>
      <w:r>
        <w:rPr>
          <w:noProof/>
        </w:rPr>
        <w:tab/>
        <w:t>Целесъобразно е да се определи позицията, която трябва да се заеме от името на Съюза в рамките на Съвместния комитет, тъй като решението на Съвместния комитет за приемане на неговия процедурен правилник ще бъде обвързващо за Съюза. Позицията на Съюза в рамките на Съвместния комитет следва да се основава на приложения към настоящото решение проект на решение на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на първото заседание на Съвместния комитет, създаден съгласно член 22 от Евро-средиземноморското </w:t>
      </w:r>
      <w:r>
        <w:rPr>
          <w:noProof/>
        </w:rPr>
        <w:lastRenderedPageBreak/>
        <w:t>споразумение в областта на въздухоплаването между Европейската общност и нейните държави членки, от една страна, и Кралство Мароко, от друга страна, във връзка с приемането на процедурния правилник на Съвместния комитет, се основава на проекта на решение на Съвместния комитет, приложен към настоящото решение.</w:t>
      </w:r>
    </w:p>
    <w:p>
      <w:pPr>
        <w:spacing w:before="100" w:beforeAutospacing="1" w:after="100" w:afterAutospacing="1"/>
        <w:rPr>
          <w:rFonts w:eastAsia="Times New Roman"/>
          <w:noProof/>
        </w:rPr>
      </w:pPr>
      <w:r>
        <w:rPr>
          <w:noProof/>
        </w:rPr>
        <w:t>Представителите на Съюза в рамките на Съвместния комитет могат да приемат незначителни промени в проекта за решение на Съвместния комитет, без да е необходимо допълнително решение на Съвета.</w:t>
      </w:r>
    </w:p>
    <w:p>
      <w:pPr>
        <w:pStyle w:val="Titrearticle"/>
        <w:rPr>
          <w:noProof/>
        </w:rPr>
      </w:pPr>
      <w:r>
        <w:rPr>
          <w:noProof/>
        </w:rPr>
        <w:t>Член 2</w:t>
      </w:r>
    </w:p>
    <w:p>
      <w:pPr>
        <w:spacing w:before="100" w:beforeAutospacing="1" w:after="100" w:afterAutospacing="1"/>
        <w:rPr>
          <w:rFonts w:eastAsia="Times New Roman"/>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(ЕС) 2018/146 на Съвета от 22 януари 2018 г. относно сключването, от името на Съюза, на Евро-средиземноморско споразумение в областта на въздухоплаването между Европейската общност и нейните държави членки, от една страна, и Кралство Мароко, от друга страна (ОВ L 26, 31.1.2018 г., стр. 4).</w:t>
      </w:r>
    </w:p>
  </w:footnote>
  <w:footnote w:id="2">
    <w:p>
      <w:pPr>
        <w:pStyle w:val="EndnoteText"/>
        <w:ind w:left="720" w:hanging="720"/>
      </w:pPr>
      <w:r>
        <w:rPr>
          <w:rStyle w:val="FootnoteReference"/>
        </w:rPr>
        <w:footnoteRef/>
      </w:r>
      <w:r>
        <w:tab/>
      </w:r>
      <w:r>
        <w:rPr>
          <w:rStyle w:val="FootnoteTextChar"/>
          <w:lang w:val="bg-BG"/>
        </w:rPr>
        <w:t xml:space="preserve">Решение (ЕС) 2018/146 на Съвета от 22 януари 2018 г. относно сключването, от името на Съюза, на Евро-средиземноморско споразумение в областта на въздухоплаването между Европейската общност и нейните държави членки, от една страна, и Кралство Мароко, от друга страна (ОВ </w:t>
      </w:r>
      <w:r>
        <w:rPr>
          <w:rStyle w:val="FootnoteTextChar"/>
        </w:rPr>
        <w:t>L</w:t>
      </w:r>
      <w:r>
        <w:rPr>
          <w:rStyle w:val="FootnoteTextChar"/>
          <w:lang w:val="bg-BG"/>
        </w:rPr>
        <w:t xml:space="preserve"> 26/4, 31.1.2018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2-05 09:44: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F196543-5FD4-4FA9-AD85-85422E329173"/>
    <w:docVar w:name="LW_COVERPAGE_TYPE" w:val="1"/>
    <w:docVar w:name="LW_CROSSREFERENCE" w:val="&lt;UNUSED&gt;"/>
    <w:docVar w:name="LW_DocType" w:val="COM"/>
    <w:docVar w:name="LW_EMISSION" w:val="11.12.2020"/>
    <w:docVar w:name="LW_EMISSION_ISODATE" w:val="2020-12-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2"/>
    <w:docVar w:name="LW_REF.II.NEW.CP_YEAR" w:val="2020"/>
    <w:docVar w:name="LW_REF.INST.NEW" w:val="COM"/>
    <w:docVar w:name="LW_REF.INST.NEW_ADOPTED" w:val="final"/>
    <w:docVar w:name="LW_REF.INST.NEW_TEXT" w:val="(2020)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256E201A-6145-4255-B72E-90233DE4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1209</Words>
  <Characters>7200</Characters>
  <Application>Microsoft Office Word</Application>
  <DocSecurity>0</DocSecurity>
  <Lines>144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2020-12-04T09:45:00Z</dcterms:created>
  <dcterms:modified xsi:type="dcterms:W3CDTF">2020-12-05T08:44:00Z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