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27" w:rsidRDefault="00D1648E" w:rsidP="00D164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1614817-9EBB-4F8D-B199-AE194CC24ACC" style="width:450.4pt;height:414.4pt">
            <v:imagedata r:id="rId8" o:title=""/>
          </v:shape>
        </w:pict>
      </w:r>
    </w:p>
    <w:bookmarkEnd w:id="0"/>
    <w:p w:rsidR="00EB2127" w:rsidRDefault="00EB2127">
      <w:pPr>
        <w:rPr>
          <w:noProof/>
        </w:rPr>
        <w:sectPr w:rsidR="00EB2127" w:rsidSect="00D1648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B2127" w:rsidRDefault="00872645">
      <w:pPr>
        <w:tabs>
          <w:tab w:val="left" w:pos="7560"/>
        </w:tabs>
        <w:spacing w:after="0" w:line="240" w:lineRule="auto"/>
        <w:jc w:val="both"/>
        <w:rPr>
          <w:rFonts w:ascii="Times New Roman" w:eastAsia="Times New Roman" w:hAnsi="Times New Roman"/>
          <w:b/>
          <w:noProof/>
          <w:sz w:val="80"/>
          <w:szCs w:val="80"/>
        </w:rPr>
      </w:pPr>
      <w:bookmarkStart w:id="1" w:name="_GoBack"/>
      <w:bookmarkEnd w:id="1"/>
      <w:r>
        <w:rPr>
          <w:rFonts w:ascii="Times New Roman" w:hAnsi="Times New Roman"/>
          <w:b/>
          <w:noProof/>
          <w:sz w:val="80"/>
          <w:szCs w:val="80"/>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EB2127">
        <w:tc>
          <w:tcPr>
            <w:tcW w:w="11040" w:type="dxa"/>
            <w:shd w:val="clear" w:color="auto" w:fill="0000FF"/>
          </w:tcPr>
          <w:p w:rsidR="00EB2127" w:rsidRDefault="00872645">
            <w:pPr>
              <w:tabs>
                <w:tab w:val="left" w:pos="1800"/>
                <w:tab w:val="left" w:pos="2250"/>
                <w:tab w:val="left" w:pos="7560"/>
              </w:tabs>
              <w:spacing w:after="0" w:line="240" w:lineRule="auto"/>
              <w:jc w:val="both"/>
              <w:rPr>
                <w:rFonts w:ascii="Times New Roman" w:eastAsia="Times New Roman" w:hAnsi="Times New Roman"/>
                <w:noProof/>
                <w:color w:val="0000FF"/>
                <w:sz w:val="24"/>
                <w:szCs w:val="24"/>
              </w:rPr>
            </w:pPr>
            <w:r>
              <w:rPr>
                <w:noProof/>
              </w:rPr>
              <w:tab/>
            </w:r>
            <w:r>
              <w:rPr>
                <w:noProof/>
              </w:rPr>
              <w:tab/>
            </w:r>
          </w:p>
        </w:tc>
      </w:tr>
    </w:tbl>
    <w:p w:rsidR="00EB2127" w:rsidRDefault="00872645">
      <w:pPr>
        <w:spacing w:after="0" w:line="240" w:lineRule="auto"/>
        <w:ind w:right="972"/>
        <w:rPr>
          <w:rFonts w:ascii="Times New Roman" w:eastAsia="Times New Roman" w:hAnsi="Times New Roman"/>
          <w:b/>
          <w:noProof/>
          <w:sz w:val="44"/>
          <w:szCs w:val="44"/>
        </w:rPr>
      </w:pPr>
      <w:r>
        <w:rPr>
          <w:rFonts w:ascii="Times New Roman" w:hAnsi="Times New Roman"/>
          <w:b/>
          <w:noProof/>
          <w:sz w:val="44"/>
          <w:szCs w:val="44"/>
        </w:rPr>
        <w:t>Deuxième PROJET de budget général</w:t>
      </w:r>
      <w:r>
        <w:rPr>
          <w:noProof/>
        </w:rPr>
        <w:t xml:space="preserve"> </w:t>
      </w:r>
      <w:r>
        <w:rPr>
          <w:noProof/>
        </w:rPr>
        <w:br/>
      </w:r>
      <w:r>
        <w:rPr>
          <w:rFonts w:ascii="Times New Roman" w:hAnsi="Times New Roman"/>
          <w:b/>
          <w:noProof/>
          <w:sz w:val="44"/>
          <w:szCs w:val="44"/>
        </w:rPr>
        <w:t>de l’Union européenne</w:t>
      </w:r>
      <w:r>
        <w:rPr>
          <w:noProof/>
        </w:rPr>
        <w:t xml:space="preserve"> </w:t>
      </w:r>
      <w:r>
        <w:rPr>
          <w:noProof/>
        </w:rPr>
        <w:br/>
      </w:r>
      <w:r>
        <w:rPr>
          <w:rFonts w:ascii="Times New Roman" w:hAnsi="Times New Roman"/>
          <w:b/>
          <w:noProof/>
          <w:sz w:val="44"/>
          <w:szCs w:val="44"/>
        </w:rPr>
        <w:t>pour l’exercice 2021</w:t>
      </w:r>
    </w:p>
    <w:p w:rsidR="00EB2127" w:rsidRDefault="00EB2127">
      <w:pPr>
        <w:spacing w:after="0" w:line="240" w:lineRule="auto"/>
        <w:jc w:val="both"/>
        <w:rPr>
          <w:rFonts w:ascii="Times New Roman" w:eastAsia="Times New Roman" w:hAnsi="Times New Roman"/>
          <w:b/>
          <w:noProof/>
          <w:sz w:val="44"/>
          <w:szCs w:val="44"/>
          <w:lang w:eastAsia="de-DE"/>
        </w:rPr>
      </w:pPr>
    </w:p>
    <w:p w:rsidR="00EB2127" w:rsidRDefault="00EB2127">
      <w:pPr>
        <w:spacing w:after="0" w:line="360" w:lineRule="auto"/>
        <w:jc w:val="both"/>
        <w:rPr>
          <w:rFonts w:ascii="Times New Roman" w:eastAsia="Times New Roman" w:hAnsi="Times New Roman"/>
          <w:b/>
          <w:noProof/>
          <w:sz w:val="44"/>
          <w:szCs w:val="44"/>
          <w:lang w:eastAsia="de-DE"/>
        </w:rPr>
      </w:pPr>
    </w:p>
    <w:p w:rsidR="00EB2127" w:rsidRDefault="00872645">
      <w:pPr>
        <w:spacing w:after="0" w:line="360" w:lineRule="auto"/>
        <w:ind w:right="1512"/>
        <w:jc w:val="both"/>
        <w:rPr>
          <w:rFonts w:ascii="Times New Roman" w:eastAsia="Times New Roman" w:hAnsi="Times New Roman"/>
          <w:b/>
          <w:noProof/>
          <w:sz w:val="28"/>
          <w:szCs w:val="28"/>
        </w:rPr>
      </w:pPr>
      <w:r>
        <w:rPr>
          <w:rFonts w:ascii="Times New Roman" w:hAnsi="Times New Roman"/>
          <w:b/>
          <w:noProof/>
          <w:sz w:val="28"/>
          <w:szCs w:val="28"/>
        </w:rPr>
        <w:t>INTRODUCTION GÉNÉRALE</w:t>
      </w: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EB2127">
      <w:pPr>
        <w:spacing w:after="0" w:line="360" w:lineRule="auto"/>
        <w:ind w:right="1512"/>
        <w:jc w:val="both"/>
        <w:rPr>
          <w:rFonts w:ascii="Times New Roman" w:eastAsia="Times New Roman" w:hAnsi="Times New Roman"/>
          <w:b/>
          <w:noProof/>
          <w:sz w:val="28"/>
          <w:szCs w:val="28"/>
          <w:lang w:eastAsia="de-DE"/>
        </w:rPr>
      </w:pPr>
    </w:p>
    <w:p w:rsidR="00EB2127" w:rsidRDefault="00D1648E">
      <w:pPr>
        <w:spacing w:after="0" w:line="360" w:lineRule="auto"/>
        <w:ind w:right="1512"/>
        <w:jc w:val="both"/>
        <w:rPr>
          <w:rFonts w:ascii="Times New Roman" w:eastAsia="Times New Roman" w:hAnsi="Times New Roman"/>
          <w:noProof/>
          <w:sz w:val="24"/>
          <w:szCs w:val="24"/>
        </w:rPr>
      </w:pPr>
      <w:hyperlink r:id="rId15" w:history="1">
        <w:r w:rsidR="00872645">
          <w:rPr>
            <w:rStyle w:val="Hyperlink"/>
            <w:rFonts w:ascii="Times New Roman" w:hAnsi="Times New Roman"/>
            <w:noProof/>
            <w:sz w:val="24"/>
            <w:szCs w:val="24"/>
          </w:rPr>
          <w:t>https://eur-lex.europa.eu/budget/www/index-fr.htm</w:t>
        </w:r>
      </w:hyperlink>
    </w:p>
    <w:p w:rsidR="00EB2127" w:rsidRDefault="00EB2127">
      <w:pPr>
        <w:tabs>
          <w:tab w:val="left" w:pos="7560"/>
          <w:tab w:val="right" w:pos="9000"/>
        </w:tabs>
        <w:spacing w:after="0" w:line="240" w:lineRule="auto"/>
        <w:ind w:right="23"/>
        <w:jc w:val="right"/>
        <w:rPr>
          <w:rFonts w:ascii="Times New Roman" w:eastAsia="Times New Roman" w:hAnsi="Times New Roman"/>
          <w:noProof/>
          <w:lang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EB2127">
        <w:tc>
          <w:tcPr>
            <w:tcW w:w="11040" w:type="dxa"/>
            <w:shd w:val="clear" w:color="auto" w:fill="0000FF"/>
          </w:tcPr>
          <w:p w:rsidR="00EB2127" w:rsidRDefault="00EB2127">
            <w:pPr>
              <w:tabs>
                <w:tab w:val="left" w:pos="7560"/>
              </w:tabs>
              <w:spacing w:after="0" w:line="240" w:lineRule="auto"/>
              <w:jc w:val="both"/>
              <w:rPr>
                <w:rFonts w:ascii="Times New Roman" w:eastAsia="Times New Roman" w:hAnsi="Times New Roman"/>
                <w:noProof/>
                <w:sz w:val="32"/>
                <w:szCs w:val="32"/>
                <w:lang w:eastAsia="de-DE"/>
              </w:rPr>
            </w:pPr>
          </w:p>
          <w:p w:rsidR="00EB2127" w:rsidRDefault="00EB2127">
            <w:pPr>
              <w:tabs>
                <w:tab w:val="left" w:pos="7560"/>
              </w:tabs>
              <w:spacing w:after="0" w:line="240" w:lineRule="auto"/>
              <w:jc w:val="both"/>
              <w:rPr>
                <w:rFonts w:ascii="Times New Roman" w:eastAsia="Times New Roman" w:hAnsi="Times New Roman"/>
                <w:noProof/>
                <w:sz w:val="32"/>
                <w:szCs w:val="32"/>
                <w:lang w:eastAsia="de-DE"/>
              </w:rPr>
            </w:pPr>
          </w:p>
          <w:p w:rsidR="00EB2127" w:rsidRDefault="00EB2127">
            <w:pPr>
              <w:tabs>
                <w:tab w:val="left" w:pos="7560"/>
              </w:tabs>
              <w:spacing w:after="0" w:line="240" w:lineRule="auto"/>
              <w:jc w:val="both"/>
              <w:rPr>
                <w:rFonts w:ascii="Times New Roman" w:eastAsia="Times New Roman" w:hAnsi="Times New Roman"/>
                <w:noProof/>
                <w:sz w:val="32"/>
                <w:szCs w:val="32"/>
                <w:lang w:eastAsia="de-DE"/>
              </w:rPr>
            </w:pPr>
          </w:p>
          <w:p w:rsidR="00EB2127" w:rsidRDefault="00EB2127">
            <w:pPr>
              <w:tabs>
                <w:tab w:val="left" w:pos="7560"/>
              </w:tabs>
              <w:spacing w:after="0" w:line="240" w:lineRule="auto"/>
              <w:jc w:val="both"/>
              <w:rPr>
                <w:rFonts w:ascii="Times New Roman" w:eastAsia="Times New Roman" w:hAnsi="Times New Roman"/>
                <w:noProof/>
                <w:sz w:val="32"/>
                <w:szCs w:val="32"/>
                <w:lang w:eastAsia="de-DE"/>
              </w:rPr>
            </w:pPr>
          </w:p>
          <w:p w:rsidR="00EB2127" w:rsidRDefault="00EB2127">
            <w:pPr>
              <w:tabs>
                <w:tab w:val="left" w:pos="7560"/>
              </w:tabs>
              <w:spacing w:after="0" w:line="240" w:lineRule="auto"/>
              <w:jc w:val="both"/>
              <w:rPr>
                <w:rFonts w:ascii="Times New Roman" w:eastAsia="Times New Roman" w:hAnsi="Times New Roman"/>
                <w:noProof/>
                <w:sz w:val="32"/>
                <w:szCs w:val="32"/>
                <w:lang w:eastAsia="de-DE"/>
              </w:rPr>
            </w:pPr>
          </w:p>
        </w:tc>
      </w:tr>
    </w:tbl>
    <w:p w:rsidR="00EB2127" w:rsidRDefault="00EB2127">
      <w:pPr>
        <w:rPr>
          <w:noProof/>
        </w:rPr>
      </w:pPr>
    </w:p>
    <w:p w:rsidR="00EB2127" w:rsidRDefault="00872645">
      <w:pPr>
        <w:rPr>
          <w:noProof/>
        </w:rPr>
      </w:pPr>
      <w:r>
        <w:rPr>
          <w:noProof/>
        </w:rPr>
        <w:br w:type="page"/>
      </w:r>
    </w:p>
    <w:p w:rsidR="00EB2127" w:rsidRDefault="00872645">
      <w:pPr>
        <w:pStyle w:val="Prliminairetype"/>
        <w:rPr>
          <w:noProof/>
        </w:rPr>
      </w:pPr>
      <w:r>
        <w:rPr>
          <w:noProof/>
        </w:rPr>
        <w:lastRenderedPageBreak/>
        <w:t>DEUXIÈME PROJET DE BUDGET GÉNÉRAL 2021</w:t>
      </w:r>
    </w:p>
    <w:p w:rsidR="00EB2127" w:rsidRDefault="00872645">
      <w:pPr>
        <w:pStyle w:val="Prliminairetitre"/>
        <w:rPr>
          <w:noProof/>
        </w:rPr>
      </w:pPr>
      <w:bookmarkStart w:id="2" w:name="_Toc278112514"/>
      <w:r>
        <w:rPr>
          <w:noProof/>
        </w:rPr>
        <w:t>ÉTAT DES RECETTES ET DES DÉPENSES PAR SECTION</w:t>
      </w:r>
      <w:bookmarkEnd w:id="2"/>
      <w:r>
        <w:rPr>
          <w:noProof/>
        </w:rPr>
        <w:t xml:space="preserve"> </w:t>
      </w:r>
      <w:r>
        <w:rPr>
          <w:noProof/>
        </w:rPr>
        <w:br/>
      </w:r>
    </w:p>
    <w:p w:rsidR="00EB2127" w:rsidRDefault="00872645">
      <w:pPr>
        <w:spacing w:line="240" w:lineRule="auto"/>
        <w:rPr>
          <w:rFonts w:ascii="Times New Roman" w:hAnsi="Times New Roman"/>
          <w:noProof/>
          <w:sz w:val="24"/>
          <w:szCs w:val="24"/>
        </w:rPr>
      </w:pPr>
      <w:r>
        <w:rPr>
          <w:rFonts w:ascii="Times New Roman" w:hAnsi="Times New Roman"/>
          <w:noProof/>
          <w:sz w:val="24"/>
          <w:szCs w:val="24"/>
        </w:rPr>
        <w:t>Vu:</w:t>
      </w:r>
    </w:p>
    <w:p w:rsidR="00EB2127" w:rsidRDefault="00872645">
      <w:pPr>
        <w:pStyle w:val="Tiret0"/>
        <w:numPr>
          <w:ilvl w:val="0"/>
          <w:numId w:val="15"/>
        </w:numPr>
        <w:spacing w:before="120" w:after="120"/>
        <w:jc w:val="both"/>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rsidR="00EB2127" w:rsidRDefault="00872645">
      <w:pPr>
        <w:pStyle w:val="Tiret0"/>
        <w:numPr>
          <w:ilvl w:val="0"/>
          <w:numId w:val="15"/>
        </w:numPr>
        <w:spacing w:before="120" w:after="120"/>
        <w:jc w:val="both"/>
        <w:rPr>
          <w:noProof/>
        </w:rPr>
      </w:pPr>
      <w:r>
        <w:rPr>
          <w:noProof/>
        </w:rPr>
        <w:t>la proposition de la Commission du 2 mai 2018 relative à un règlement du Conseil fixant le cadre financier pluriannuel pour la période 2021-2027</w:t>
      </w:r>
      <w:r>
        <w:rPr>
          <w:rStyle w:val="FootnoteReference"/>
          <w:noProof/>
        </w:rPr>
        <w:footnoteReference w:id="1"/>
      </w:r>
      <w:r>
        <w:rPr>
          <w:noProof/>
        </w:rPr>
        <w:t xml:space="preserve"> et sa proposition modifiée du 28 mai 2020</w:t>
      </w:r>
      <w:r>
        <w:rPr>
          <w:rStyle w:val="FootnoteReference"/>
          <w:noProof/>
        </w:rPr>
        <w:footnoteReference w:id="2"/>
      </w:r>
      <w:r>
        <w:rPr>
          <w:noProof/>
        </w:rPr>
        <w:t>,</w:t>
      </w:r>
    </w:p>
    <w:p w:rsidR="00EB2127" w:rsidRDefault="00872645">
      <w:pPr>
        <w:pStyle w:val="Tiret0"/>
        <w:numPr>
          <w:ilvl w:val="0"/>
          <w:numId w:val="15"/>
        </w:numPr>
        <w:spacing w:before="120" w:after="120"/>
        <w:jc w:val="both"/>
        <w:rPr>
          <w:noProof/>
        </w:rPr>
      </w:pPr>
      <w:r>
        <w:rPr>
          <w:noProof/>
        </w:rPr>
        <w:t>les conclusions adoptées par le Conseil européen le 21 juillet 2020</w:t>
      </w:r>
      <w:r>
        <w:rPr>
          <w:rStyle w:val="FootnoteReference"/>
          <w:noProof/>
        </w:rPr>
        <w:footnoteReference w:id="3"/>
      </w:r>
      <w:r>
        <w:rPr>
          <w:noProof/>
        </w:rPr>
        <w:t xml:space="preserve"> à la suite de la réunion extraordinaire tenue du 17 au 21 juillet 2020,</w:t>
      </w:r>
    </w:p>
    <w:p w:rsidR="00EB2127" w:rsidRDefault="00872645">
      <w:pPr>
        <w:pStyle w:val="Tiret0"/>
        <w:numPr>
          <w:ilvl w:val="0"/>
          <w:numId w:val="15"/>
        </w:numPr>
        <w:spacing w:before="120" w:after="120"/>
        <w:jc w:val="both"/>
        <w:rPr>
          <w:noProof/>
        </w:rPr>
      </w:pPr>
      <w:r>
        <w:rPr>
          <w:noProof/>
        </w:rPr>
        <w:t>la proposition de la Commission du 2 mai 2018 relative à un accord interinstitutionnel sur la discipline budgétaire, la coopération en matière budgétaire et la bonne gestion financière</w:t>
      </w:r>
      <w:r>
        <w:rPr>
          <w:rStyle w:val="FootnoteReference"/>
          <w:noProof/>
        </w:rPr>
        <w:footnoteReference w:id="4"/>
      </w:r>
      <w:r>
        <w:rPr>
          <w:noProof/>
        </w:rPr>
        <w:t xml:space="preserve"> et sa proposition modifiée du 28 mai 2020</w:t>
      </w:r>
      <w:r>
        <w:rPr>
          <w:rStyle w:val="FootnoteReference"/>
          <w:noProof/>
        </w:rPr>
        <w:footnoteReference w:id="5"/>
      </w:r>
      <w:r>
        <w:rPr>
          <w:noProof/>
        </w:rPr>
        <w:t>,</w:t>
      </w:r>
    </w:p>
    <w:p w:rsidR="00EB2127" w:rsidRDefault="00872645">
      <w:pPr>
        <w:pStyle w:val="Tiret0"/>
        <w:numPr>
          <w:ilvl w:val="0"/>
          <w:numId w:val="14"/>
        </w:numPr>
        <w:spacing w:before="120" w:after="120"/>
        <w:jc w:val="both"/>
        <w:rPr>
          <w:noProof/>
          <w:szCs w:val="18"/>
        </w:rPr>
      </w:pPr>
      <w:r>
        <w:rPr>
          <w:noProof/>
        </w:rPr>
        <w:t>la proposition de la Commission du 2 mai 2018 concernant une décision du Conseil relative au système des ressources propres de l’Union européenne</w:t>
      </w:r>
      <w:r>
        <w:rPr>
          <w:rStyle w:val="FootnoteReference"/>
          <w:noProof/>
        </w:rPr>
        <w:footnoteReference w:id="6"/>
      </w:r>
      <w:r>
        <w:rPr>
          <w:noProof/>
        </w:rPr>
        <w:t xml:space="preserve"> et sa proposition modifiée du 28 mai 2020</w:t>
      </w:r>
      <w:r>
        <w:rPr>
          <w:rStyle w:val="FootnoteReference"/>
          <w:noProof/>
        </w:rPr>
        <w:footnoteReference w:id="7"/>
      </w:r>
      <w:r>
        <w:rPr>
          <w:noProof/>
        </w:rPr>
        <w:t>,</w:t>
      </w:r>
    </w:p>
    <w:p w:rsidR="00EB2127" w:rsidRDefault="00872645">
      <w:pPr>
        <w:pStyle w:val="Tiret0"/>
        <w:numPr>
          <w:ilvl w:val="0"/>
          <w:numId w:val="14"/>
        </w:numPr>
        <w:spacing w:before="120" w:after="120"/>
        <w:jc w:val="both"/>
        <w:rPr>
          <w:noProof/>
          <w:szCs w:val="18"/>
        </w:rPr>
      </w:pPr>
      <w:r>
        <w:rPr>
          <w:noProof/>
        </w:rPr>
        <w:t>la proposition de règlement du Conseil établissant un instrument de l’Union européenne pour la relance en vue de soutenir la reprise à l’issue de la pandémie de COVID-19</w:t>
      </w:r>
      <w:r>
        <w:rPr>
          <w:rStyle w:val="FootnoteReference"/>
          <w:noProof/>
          <w:szCs w:val="18"/>
        </w:rPr>
        <w:footnoteReference w:id="8"/>
      </w:r>
      <w:r>
        <w:rPr>
          <w:noProof/>
        </w:rPr>
        <w:t>,</w:t>
      </w:r>
    </w:p>
    <w:p w:rsidR="00EB2127" w:rsidRDefault="00872645">
      <w:pPr>
        <w:pStyle w:val="Tiret0"/>
        <w:numPr>
          <w:ilvl w:val="0"/>
          <w:numId w:val="15"/>
        </w:numPr>
        <w:spacing w:before="120" w:after="120"/>
        <w:jc w:val="both"/>
        <w:rPr>
          <w:noProof/>
          <w:szCs w:val="18"/>
        </w:rPr>
      </w:pPr>
      <w:r>
        <w:rPr>
          <w:noProof/>
        </w:rPr>
        <w:t>le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w:t>
      </w:r>
      <w:r>
        <w:rPr>
          <w:rStyle w:val="FootnoteReference"/>
          <w:noProof/>
        </w:rPr>
        <w:footnoteReference w:id="9"/>
      </w:r>
      <w:r>
        <w:rPr>
          <w:noProof/>
        </w:rPr>
        <w:t>,</w:t>
      </w:r>
    </w:p>
    <w:p w:rsidR="00EB2127" w:rsidRDefault="00872645">
      <w:pPr>
        <w:pStyle w:val="Tiret0"/>
        <w:numPr>
          <w:ilvl w:val="0"/>
          <w:numId w:val="15"/>
        </w:numPr>
        <w:spacing w:before="120" w:after="120"/>
        <w:jc w:val="both"/>
        <w:rPr>
          <w:noProof/>
        </w:rPr>
      </w:pPr>
      <w:r>
        <w:rPr>
          <w:noProof/>
        </w:rPr>
        <w:t>le projet initial de budget général de l’Union européenne pour l’exercice 2021, présenté par la Commission le 27 juillet 2020</w:t>
      </w:r>
      <w:r>
        <w:rPr>
          <w:rStyle w:val="FootnoteReference"/>
          <w:noProof/>
        </w:rPr>
        <w:footnoteReference w:id="10"/>
      </w:r>
      <w:r>
        <w:rPr>
          <w:noProof/>
        </w:rPr>
        <w:t>,</w:t>
      </w:r>
    </w:p>
    <w:p w:rsidR="00EB2127" w:rsidRDefault="00872645">
      <w:pPr>
        <w:pStyle w:val="Tiret0"/>
        <w:numPr>
          <w:ilvl w:val="0"/>
          <w:numId w:val="15"/>
        </w:numPr>
        <w:spacing w:before="120" w:after="120"/>
        <w:jc w:val="both"/>
        <w:rPr>
          <w:noProof/>
        </w:rPr>
      </w:pPr>
      <w:r>
        <w:rPr>
          <w:noProof/>
        </w:rPr>
        <w:t>la position du Conseil sur le projet initial de budget général de l’Union européenne pour l’exercice 2021, adoptée par le Conseil le 7 septembre 2020</w:t>
      </w:r>
      <w:r>
        <w:rPr>
          <w:rStyle w:val="FootnoteReference"/>
          <w:noProof/>
        </w:rPr>
        <w:footnoteReference w:id="11"/>
      </w:r>
      <w:r>
        <w:rPr>
          <w:noProof/>
        </w:rPr>
        <w:t>,</w:t>
      </w:r>
    </w:p>
    <w:p w:rsidR="00EB2127" w:rsidRDefault="00872645">
      <w:pPr>
        <w:pStyle w:val="Tiret0"/>
        <w:numPr>
          <w:ilvl w:val="0"/>
          <w:numId w:val="15"/>
        </w:numPr>
        <w:spacing w:before="120" w:after="120"/>
        <w:jc w:val="both"/>
        <w:rPr>
          <w:noProof/>
        </w:rPr>
      </w:pPr>
      <w:r>
        <w:rPr>
          <w:noProof/>
        </w:rPr>
        <w:lastRenderedPageBreak/>
        <w:t>les amendements du Parlement européen à la position du Conseil sur le projet initial de budget général de l’Union européenne pour l’exercice 2021, adoptés par le Parlement européen le 12 novembre 2020</w:t>
      </w:r>
      <w:r>
        <w:rPr>
          <w:rStyle w:val="FootnoteReference"/>
          <w:noProof/>
        </w:rPr>
        <w:footnoteReference w:id="12"/>
      </w:r>
      <w:r>
        <w:rPr>
          <w:noProof/>
        </w:rPr>
        <w:t>,</w:t>
      </w:r>
    </w:p>
    <w:p w:rsidR="00EB2127" w:rsidRDefault="00872645">
      <w:pPr>
        <w:pStyle w:val="Tiret0"/>
        <w:numPr>
          <w:ilvl w:val="0"/>
          <w:numId w:val="15"/>
        </w:numPr>
        <w:spacing w:before="120" w:after="120"/>
        <w:jc w:val="both"/>
        <w:rPr>
          <w:noProof/>
        </w:rPr>
      </w:pPr>
      <w:r>
        <w:rPr>
          <w:noProof/>
        </w:rPr>
        <w:t>la lettre rectificative nº 1/2021 au projet initial de budget général pour l’exercice 2021, présentée par la Commission le 13 novembre 2020</w:t>
      </w:r>
      <w:r>
        <w:rPr>
          <w:rStyle w:val="FootnoteReference"/>
          <w:noProof/>
        </w:rPr>
        <w:footnoteReference w:id="13"/>
      </w:r>
      <w:r>
        <w:rPr>
          <w:noProof/>
        </w:rPr>
        <w:t>,</w:t>
      </w:r>
    </w:p>
    <w:p w:rsidR="00EB2127" w:rsidRDefault="00872645">
      <w:pPr>
        <w:pStyle w:val="Tiret0"/>
        <w:numPr>
          <w:ilvl w:val="0"/>
          <w:numId w:val="15"/>
        </w:numPr>
        <w:spacing w:before="120" w:after="120"/>
        <w:jc w:val="both"/>
        <w:rPr>
          <w:noProof/>
        </w:rPr>
      </w:pPr>
      <w:r>
        <w:rPr>
          <w:noProof/>
        </w:rPr>
        <w:t>la compréhension commune sur le contenu du budget pour l’exercice 2021, fondée sur les projets d’éléments pour des conclusions communes nº 4 présentés par la Commission le 4 décembre 2020, dégagée par le comité de conciliation le 4 décembre 2020.</w:t>
      </w:r>
    </w:p>
    <w:p w:rsidR="00EB2127" w:rsidRDefault="00872645">
      <w:pPr>
        <w:spacing w:line="240" w:lineRule="auto"/>
        <w:jc w:val="both"/>
        <w:rPr>
          <w:rFonts w:ascii="Times New Roman" w:hAnsi="Times New Roman"/>
          <w:noProof/>
          <w:sz w:val="24"/>
          <w:szCs w:val="24"/>
        </w:rPr>
      </w:pPr>
      <w:r>
        <w:rPr>
          <w:rFonts w:ascii="Times New Roman" w:hAnsi="Times New Roman"/>
          <w:noProof/>
          <w:color w:val="000000"/>
          <w:sz w:val="24"/>
          <w:szCs w:val="24"/>
        </w:rPr>
        <w:t>la Commission européenne présente ci-après au Parlement européen et au Conseil l’introduction générale au deuxième projet de budget général pour l’exercice 2021</w:t>
      </w:r>
      <w:r>
        <w:rPr>
          <w:rFonts w:ascii="Times New Roman" w:hAnsi="Times New Roman"/>
          <w:noProof/>
          <w:sz w:val="24"/>
          <w:szCs w:val="24"/>
        </w:rPr>
        <w:t>.</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Parallèlement à cette introduction générale, les informations détaillées par section de ce deuxième projet de budget pour 2021 sont disponibles sur le site EUR-Lex (</w:t>
      </w:r>
      <w:hyperlink r:id="rId16" w:tooltip="blocked::http://eur-lex.europa.eu/budget/www/index-fr.htm" w:history="1">
        <w:r>
          <w:rPr>
            <w:rFonts w:ascii="Times New Roman" w:hAnsi="Times New Roman"/>
            <w:noProof/>
            <w:color w:val="0000FF"/>
            <w:sz w:val="24"/>
            <w:szCs w:val="24"/>
            <w:u w:val="single"/>
          </w:rPr>
          <w:t>http://eur-lex.europa.eu/budget/www/index-fr.htm</w:t>
        </w:r>
      </w:hyperlink>
      <w:r>
        <w:rPr>
          <w:rFonts w:ascii="Times New Roman" w:hAnsi="Times New Roman"/>
          <w:noProof/>
          <w:sz w:val="24"/>
          <w:szCs w:val="24"/>
        </w:rPr>
        <w:t>) dans toutes les versions linguistiques.</w:t>
      </w:r>
    </w:p>
    <w:p w:rsidR="00EB2127" w:rsidRDefault="00EB2127">
      <w:pPr>
        <w:spacing w:after="0" w:line="240" w:lineRule="auto"/>
        <w:rPr>
          <w:rFonts w:ascii="Times New Roman" w:hAnsi="Times New Roman"/>
          <w:noProof/>
          <w:sz w:val="28"/>
          <w:szCs w:val="28"/>
        </w:rPr>
      </w:pPr>
    </w:p>
    <w:p w:rsidR="00EB2127" w:rsidRDefault="00872645">
      <w:pPr>
        <w:spacing w:after="0" w:line="240" w:lineRule="auto"/>
        <w:rPr>
          <w:rFonts w:ascii="Times New Roman" w:hAnsi="Times New Roman"/>
          <w:noProof/>
          <w:sz w:val="28"/>
          <w:szCs w:val="28"/>
        </w:rPr>
      </w:pPr>
      <w:r>
        <w:rPr>
          <w:noProof/>
        </w:rPr>
        <w:br w:type="page"/>
      </w:r>
    </w:p>
    <w:p w:rsidR="00EB2127" w:rsidRDefault="00872645">
      <w:pPr>
        <w:spacing w:before="120" w:after="240" w:line="240" w:lineRule="auto"/>
        <w:jc w:val="center"/>
        <w:rPr>
          <w:rFonts w:ascii="Times New Roman" w:eastAsia="Times New Roman" w:hAnsi="Times New Roman"/>
          <w:b/>
          <w:noProof/>
          <w:sz w:val="28"/>
          <w:szCs w:val="24"/>
        </w:rPr>
      </w:pPr>
      <w:r>
        <w:rPr>
          <w:rFonts w:ascii="Times New Roman" w:hAnsi="Times New Roman"/>
          <w:b/>
          <w:noProof/>
          <w:sz w:val="28"/>
          <w:szCs w:val="24"/>
        </w:rPr>
        <w:lastRenderedPageBreak/>
        <w:t>TABLE DES MATIÈRES</w:t>
      </w:r>
    </w:p>
    <w:p w:rsidR="00EB2127" w:rsidRDefault="00872645">
      <w:pPr>
        <w:pStyle w:val="TOC1"/>
        <w:rPr>
          <w:rFonts w:eastAsiaTheme="minorEastAsia"/>
          <w:b w:val="0"/>
          <w:bCs w:val="0"/>
          <w:smallCaps w:val="0"/>
          <w:lang w:eastAsia="en-US"/>
        </w:rPr>
      </w:pPr>
      <w:r>
        <w:rPr>
          <w:rFonts w:eastAsia="Times New Roman"/>
          <w:sz w:val="20"/>
          <w:szCs w:val="20"/>
        </w:rPr>
        <w:fldChar w:fldCharType="begin"/>
      </w:r>
      <w:r>
        <w:rPr>
          <w:rFonts w:eastAsia="Times New Roman"/>
          <w:sz w:val="20"/>
          <w:szCs w:val="20"/>
        </w:rPr>
        <w:instrText xml:space="preserve"> TOC \o "1-3" \h \z \u </w:instrText>
      </w:r>
      <w:r>
        <w:rPr>
          <w:rFonts w:eastAsia="Times New Roman"/>
          <w:sz w:val="20"/>
          <w:szCs w:val="20"/>
        </w:rPr>
        <w:fldChar w:fldCharType="separate"/>
      </w:r>
      <w:hyperlink w:anchor="_Toc58506946" w:history="1">
        <w:r>
          <w:rPr>
            <w:rStyle w:val="Hyperlink"/>
          </w:rPr>
          <w:t>1.</w:t>
        </w:r>
        <w:r>
          <w:rPr>
            <w:rFonts w:eastAsiaTheme="minorEastAsia"/>
            <w:b w:val="0"/>
            <w:bCs w:val="0"/>
            <w:smallCaps w:val="0"/>
            <w:lang w:eastAsia="en-US"/>
          </w:rPr>
          <w:tab/>
        </w:r>
        <w:r>
          <w:rPr>
            <w:rStyle w:val="Hyperlink"/>
          </w:rPr>
          <w:t>Introduction</w:t>
        </w:r>
        <w:r>
          <w:rPr>
            <w:webHidden/>
          </w:rPr>
          <w:tab/>
        </w:r>
        <w:r>
          <w:rPr>
            <w:webHidden/>
          </w:rPr>
          <w:fldChar w:fldCharType="begin"/>
        </w:r>
        <w:r>
          <w:rPr>
            <w:webHidden/>
          </w:rPr>
          <w:instrText xml:space="preserve"> PAGEREF _Toc58506946 \h </w:instrText>
        </w:r>
        <w:r>
          <w:rPr>
            <w:webHidden/>
          </w:rPr>
        </w:r>
        <w:r>
          <w:rPr>
            <w:webHidden/>
          </w:rPr>
          <w:fldChar w:fldCharType="separate"/>
        </w:r>
        <w:r>
          <w:rPr>
            <w:webHidden/>
          </w:rPr>
          <w:t>5</w:t>
        </w:r>
        <w:r>
          <w:rPr>
            <w:webHidden/>
          </w:rPr>
          <w:fldChar w:fldCharType="end"/>
        </w:r>
      </w:hyperlink>
    </w:p>
    <w:p w:rsidR="00EB2127" w:rsidRDefault="00D1648E">
      <w:pPr>
        <w:pStyle w:val="TOC1"/>
        <w:rPr>
          <w:rFonts w:eastAsiaTheme="minorEastAsia"/>
          <w:b w:val="0"/>
          <w:bCs w:val="0"/>
          <w:smallCaps w:val="0"/>
          <w:lang w:eastAsia="en-US"/>
        </w:rPr>
      </w:pPr>
      <w:hyperlink w:anchor="_Toc58506947" w:history="1">
        <w:r w:rsidR="00872645">
          <w:rPr>
            <w:rStyle w:val="Hyperlink"/>
          </w:rPr>
          <w:t>2.</w:t>
        </w:r>
        <w:r w:rsidR="00872645">
          <w:rPr>
            <w:rFonts w:eastAsiaTheme="minorEastAsia"/>
            <w:b w:val="0"/>
            <w:bCs w:val="0"/>
            <w:smallCaps w:val="0"/>
            <w:lang w:eastAsia="en-US"/>
          </w:rPr>
          <w:tab/>
        </w:r>
        <w:r w:rsidR="00872645">
          <w:rPr>
            <w:rStyle w:val="Hyperlink"/>
          </w:rPr>
          <w:t>Le cadre financier pluriannuel et le deuxième projet de budget 2021</w:t>
        </w:r>
        <w:r w:rsidR="00872645">
          <w:rPr>
            <w:webHidden/>
          </w:rPr>
          <w:tab/>
        </w:r>
        <w:r w:rsidR="00872645">
          <w:rPr>
            <w:webHidden/>
          </w:rPr>
          <w:fldChar w:fldCharType="begin"/>
        </w:r>
        <w:r w:rsidR="00872645">
          <w:rPr>
            <w:webHidden/>
          </w:rPr>
          <w:instrText xml:space="preserve"> PAGEREF _Toc58506947 \h </w:instrText>
        </w:r>
        <w:r w:rsidR="00872645">
          <w:rPr>
            <w:webHidden/>
          </w:rPr>
        </w:r>
        <w:r w:rsidR="00872645">
          <w:rPr>
            <w:webHidden/>
          </w:rPr>
          <w:fldChar w:fldCharType="separate"/>
        </w:r>
        <w:r w:rsidR="00872645">
          <w:rPr>
            <w:webHidden/>
          </w:rPr>
          <w:t>6</w:t>
        </w:r>
        <w:r w:rsidR="00872645">
          <w:rPr>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6948" w:history="1">
        <w:r w:rsidR="00872645">
          <w:rPr>
            <w:rStyle w:val="Hyperlink"/>
            <w:rFonts w:ascii="Times New Roman" w:hAnsi="Times New Roman"/>
            <w:b/>
            <w:bCs/>
            <w:iCs/>
            <w:noProof/>
          </w:rPr>
          <w:t>2.1.</w:t>
        </w:r>
        <w:r w:rsidR="00872645">
          <w:rPr>
            <w:rFonts w:ascii="Times New Roman" w:eastAsiaTheme="minorEastAsia" w:hAnsi="Times New Roman"/>
            <w:noProof/>
          </w:rPr>
          <w:tab/>
        </w:r>
        <w:r w:rsidR="00872645">
          <w:rPr>
            <w:rStyle w:val="Hyperlink"/>
            <w:rFonts w:ascii="Times New Roman" w:hAnsi="Times New Roman"/>
            <w:b/>
            <w:bCs/>
            <w:iCs/>
            <w:noProof/>
          </w:rPr>
          <w:t>Plafonds du cadre financier pluriannuel pour le budget 2021</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_Toc58506948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6</w:t>
        </w:r>
        <w:r w:rsidR="00872645">
          <w:rPr>
            <w:rFonts w:ascii="Times New Roman" w:hAnsi="Times New Roman"/>
            <w:noProof/>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6949" w:history="1">
        <w:r w:rsidR="00872645">
          <w:rPr>
            <w:rStyle w:val="Hyperlink"/>
            <w:rFonts w:ascii="Times New Roman" w:hAnsi="Times New Roman"/>
            <w:b/>
            <w:bCs/>
            <w:iCs/>
            <w:noProof/>
          </w:rPr>
          <w:t>2.2.</w:t>
        </w:r>
        <w:r w:rsidR="00872645">
          <w:rPr>
            <w:rFonts w:ascii="Times New Roman" w:eastAsiaTheme="minorEastAsia" w:hAnsi="Times New Roman"/>
            <w:noProof/>
          </w:rPr>
          <w:tab/>
        </w:r>
        <w:r w:rsidR="00872645">
          <w:rPr>
            <w:rStyle w:val="Hyperlink"/>
            <w:rFonts w:ascii="Times New Roman" w:hAnsi="Times New Roman"/>
            <w:b/>
            <w:bCs/>
            <w:iCs/>
            <w:noProof/>
          </w:rPr>
          <w:t>Vue d’ensemble du deuxième projet de budget 2021</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_Toc58506949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6</w:t>
        </w:r>
        <w:r w:rsidR="00872645">
          <w:rPr>
            <w:rFonts w:ascii="Times New Roman" w:hAnsi="Times New Roman"/>
            <w:noProof/>
            <w:webHidden/>
          </w:rPr>
          <w:fldChar w:fldCharType="end"/>
        </w:r>
      </w:hyperlink>
    </w:p>
    <w:p w:rsidR="00EB2127" w:rsidRDefault="00D1648E">
      <w:pPr>
        <w:pStyle w:val="TOC1"/>
        <w:rPr>
          <w:rFonts w:eastAsiaTheme="minorEastAsia"/>
          <w:b w:val="0"/>
          <w:bCs w:val="0"/>
          <w:smallCaps w:val="0"/>
          <w:lang w:eastAsia="en-US"/>
        </w:rPr>
      </w:pPr>
      <w:hyperlink w:anchor="_Toc58506950" w:history="1">
        <w:r w:rsidR="00872645">
          <w:rPr>
            <w:rStyle w:val="Hyperlink"/>
          </w:rPr>
          <w:t>3.</w:t>
        </w:r>
        <w:r w:rsidR="00872645">
          <w:rPr>
            <w:rFonts w:eastAsiaTheme="minorEastAsia"/>
            <w:b w:val="0"/>
            <w:bCs w:val="0"/>
            <w:smallCaps w:val="0"/>
            <w:lang w:eastAsia="en-US"/>
          </w:rPr>
          <w:tab/>
        </w:r>
        <w:r w:rsidR="00872645">
          <w:rPr>
            <w:rStyle w:val="Hyperlink"/>
          </w:rPr>
          <w:t>Éléments clés de la deuxième proposition de projet de budget</w:t>
        </w:r>
        <w:r w:rsidR="00872645">
          <w:rPr>
            <w:webHidden/>
          </w:rPr>
          <w:tab/>
        </w:r>
        <w:r w:rsidR="00872645">
          <w:rPr>
            <w:webHidden/>
          </w:rPr>
          <w:fldChar w:fldCharType="begin"/>
        </w:r>
        <w:r w:rsidR="00872645">
          <w:rPr>
            <w:webHidden/>
          </w:rPr>
          <w:instrText xml:space="preserve"> PAGEREF _Toc58506950 \h </w:instrText>
        </w:r>
        <w:r w:rsidR="00872645">
          <w:rPr>
            <w:webHidden/>
          </w:rPr>
        </w:r>
        <w:r w:rsidR="00872645">
          <w:rPr>
            <w:webHidden/>
          </w:rPr>
          <w:fldChar w:fldCharType="separate"/>
        </w:r>
        <w:r w:rsidR="00872645">
          <w:rPr>
            <w:webHidden/>
          </w:rPr>
          <w:t>10</w:t>
        </w:r>
        <w:r w:rsidR="00872645">
          <w:rPr>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6951" w:history="1">
        <w:r w:rsidR="00872645">
          <w:rPr>
            <w:rStyle w:val="Hyperlink"/>
            <w:rFonts w:ascii="Times New Roman" w:hAnsi="Times New Roman"/>
            <w:b/>
            <w:bCs/>
            <w:iCs/>
            <w:noProof/>
          </w:rPr>
          <w:t>3.1.</w:t>
        </w:r>
        <w:r w:rsidR="00872645">
          <w:rPr>
            <w:rFonts w:ascii="Times New Roman" w:eastAsiaTheme="minorEastAsia" w:hAnsi="Times New Roman"/>
            <w:noProof/>
          </w:rPr>
          <w:tab/>
        </w:r>
        <w:r w:rsidR="00872645">
          <w:rPr>
            <w:rStyle w:val="Hyperlink"/>
            <w:rFonts w:ascii="Times New Roman" w:hAnsi="Times New Roman"/>
            <w:b/>
            <w:bCs/>
            <w:iCs/>
            <w:noProof/>
          </w:rPr>
          <w:t>Questions horizontales</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_Toc58506951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10</w:t>
        </w:r>
        <w:r w:rsidR="00872645">
          <w:rPr>
            <w:rFonts w:ascii="Times New Roman" w:hAnsi="Times New Roman"/>
            <w:noProof/>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6955" w:history="1">
        <w:r w:rsidR="00872645">
          <w:rPr>
            <w:rStyle w:val="Hyperlink"/>
            <w:rFonts w:ascii="Times New Roman" w:hAnsi="Times New Roman"/>
            <w:b/>
            <w:bCs/>
            <w:iCs/>
            <w:noProof/>
          </w:rPr>
          <w:t>3.2.</w:t>
        </w:r>
        <w:r w:rsidR="00872645">
          <w:rPr>
            <w:rFonts w:ascii="Times New Roman" w:eastAsiaTheme="minorEastAsia" w:hAnsi="Times New Roman"/>
            <w:noProof/>
          </w:rPr>
          <w:tab/>
        </w:r>
        <w:r w:rsidR="00872645">
          <w:rPr>
            <w:rStyle w:val="Hyperlink"/>
            <w:rFonts w:ascii="Times New Roman" w:hAnsi="Times New Roman"/>
            <w:b/>
            <w:bCs/>
            <w:iCs/>
            <w:noProof/>
          </w:rPr>
          <w:t>Approche globale en matière de crédits d’engagement</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_Toc58506955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12</w:t>
        </w:r>
        <w:r w:rsidR="00872645">
          <w:rPr>
            <w:rFonts w:ascii="Times New Roman" w:hAnsi="Times New Roman"/>
            <w:noProof/>
            <w:webHidden/>
          </w:rPr>
          <w:fldChar w:fldCharType="end"/>
        </w:r>
      </w:hyperlink>
    </w:p>
    <w:p w:rsidR="00EB2127" w:rsidRDefault="00D1648E">
      <w:pPr>
        <w:pStyle w:val="TOC3"/>
        <w:rPr>
          <w:rFonts w:eastAsiaTheme="minorEastAsia"/>
          <w:bCs w:val="0"/>
          <w:i w:val="0"/>
          <w:lang w:eastAsia="en-US"/>
        </w:rPr>
      </w:pPr>
      <w:hyperlink w:anchor="_Toc58506956" w:history="1">
        <w:r w:rsidR="00872645">
          <w:rPr>
            <w:rStyle w:val="Hyperlink"/>
            <w:i w:val="0"/>
          </w:rPr>
          <w:t>3.2.1.</w:t>
        </w:r>
        <w:r w:rsidR="00872645">
          <w:rPr>
            <w:rFonts w:eastAsiaTheme="minorEastAsia"/>
            <w:bCs w:val="0"/>
            <w:i w:val="0"/>
            <w:lang w:eastAsia="en-US"/>
          </w:rPr>
          <w:tab/>
        </w:r>
        <w:r w:rsidR="00872645">
          <w:rPr>
            <w:rStyle w:val="Hyperlink"/>
            <w:i w:val="0"/>
          </w:rPr>
          <w:t>Rubrique 1 - Marché unique, innovation et numérique</w:t>
        </w:r>
        <w:r w:rsidR="00872645">
          <w:rPr>
            <w:i w:val="0"/>
            <w:webHidden/>
          </w:rPr>
          <w:tab/>
        </w:r>
        <w:r w:rsidR="00872645">
          <w:rPr>
            <w:i w:val="0"/>
            <w:webHidden/>
          </w:rPr>
          <w:fldChar w:fldCharType="begin"/>
        </w:r>
        <w:r w:rsidR="00872645">
          <w:rPr>
            <w:i w:val="0"/>
            <w:webHidden/>
          </w:rPr>
          <w:instrText xml:space="preserve"> PAGEREF _Toc58506956 \h </w:instrText>
        </w:r>
        <w:r w:rsidR="00872645">
          <w:rPr>
            <w:i w:val="0"/>
            <w:webHidden/>
          </w:rPr>
        </w:r>
        <w:r w:rsidR="00872645">
          <w:rPr>
            <w:i w:val="0"/>
            <w:webHidden/>
          </w:rPr>
          <w:fldChar w:fldCharType="separate"/>
        </w:r>
        <w:r w:rsidR="00872645">
          <w:rPr>
            <w:i w:val="0"/>
            <w:webHidden/>
          </w:rPr>
          <w:t>12</w:t>
        </w:r>
        <w:r w:rsidR="00872645">
          <w:rPr>
            <w:i w:val="0"/>
            <w:webHidden/>
          </w:rPr>
          <w:fldChar w:fldCharType="end"/>
        </w:r>
      </w:hyperlink>
    </w:p>
    <w:p w:rsidR="00EB2127" w:rsidRDefault="00D1648E">
      <w:pPr>
        <w:pStyle w:val="TOC3"/>
        <w:rPr>
          <w:rFonts w:eastAsiaTheme="minorEastAsia"/>
          <w:bCs w:val="0"/>
          <w:i w:val="0"/>
          <w:lang w:eastAsia="en-US"/>
        </w:rPr>
      </w:pPr>
      <w:hyperlink w:anchor="_Toc58506977" w:history="1">
        <w:r w:rsidR="00872645">
          <w:rPr>
            <w:rStyle w:val="Hyperlink"/>
            <w:i w:val="0"/>
          </w:rPr>
          <w:t>3.2.2.</w:t>
        </w:r>
        <w:r w:rsidR="00872645">
          <w:rPr>
            <w:rFonts w:eastAsiaTheme="minorEastAsia"/>
            <w:bCs w:val="0"/>
            <w:i w:val="0"/>
            <w:lang w:eastAsia="en-US"/>
          </w:rPr>
          <w:tab/>
        </w:r>
        <w:r w:rsidR="00872645">
          <w:rPr>
            <w:rStyle w:val="Hyperlink"/>
            <w:i w:val="0"/>
          </w:rPr>
          <w:t>Rubrique 2a – Cohésion économique, sociale et territoriale</w:t>
        </w:r>
        <w:r w:rsidR="00872645">
          <w:rPr>
            <w:i w:val="0"/>
            <w:webHidden/>
          </w:rPr>
          <w:tab/>
        </w:r>
        <w:r w:rsidR="00872645">
          <w:rPr>
            <w:i w:val="0"/>
            <w:webHidden/>
          </w:rPr>
          <w:fldChar w:fldCharType="begin"/>
        </w:r>
        <w:r w:rsidR="00872645">
          <w:rPr>
            <w:i w:val="0"/>
            <w:webHidden/>
          </w:rPr>
          <w:instrText xml:space="preserve"> PAGEREF _Toc58506977 \h </w:instrText>
        </w:r>
        <w:r w:rsidR="00872645">
          <w:rPr>
            <w:i w:val="0"/>
            <w:webHidden/>
          </w:rPr>
        </w:r>
        <w:r w:rsidR="00872645">
          <w:rPr>
            <w:i w:val="0"/>
            <w:webHidden/>
          </w:rPr>
          <w:fldChar w:fldCharType="separate"/>
        </w:r>
        <w:r w:rsidR="00872645">
          <w:rPr>
            <w:i w:val="0"/>
            <w:webHidden/>
          </w:rPr>
          <w:t>12</w:t>
        </w:r>
        <w:r w:rsidR="00872645">
          <w:rPr>
            <w:i w:val="0"/>
            <w:webHidden/>
          </w:rPr>
          <w:fldChar w:fldCharType="end"/>
        </w:r>
      </w:hyperlink>
    </w:p>
    <w:p w:rsidR="00EB2127" w:rsidRDefault="00D1648E">
      <w:pPr>
        <w:pStyle w:val="TOC3"/>
        <w:rPr>
          <w:rFonts w:eastAsiaTheme="minorEastAsia"/>
          <w:bCs w:val="0"/>
          <w:i w:val="0"/>
          <w:lang w:eastAsia="en-US"/>
        </w:rPr>
      </w:pPr>
      <w:hyperlink w:anchor="_Toc58506978" w:history="1">
        <w:r w:rsidR="00872645">
          <w:rPr>
            <w:rStyle w:val="Hyperlink"/>
            <w:i w:val="0"/>
          </w:rPr>
          <w:t>3.2.3.</w:t>
        </w:r>
        <w:r w:rsidR="00872645">
          <w:rPr>
            <w:rFonts w:eastAsiaTheme="minorEastAsia"/>
            <w:bCs w:val="0"/>
            <w:i w:val="0"/>
            <w:lang w:eastAsia="en-US"/>
          </w:rPr>
          <w:tab/>
        </w:r>
        <w:r w:rsidR="00872645">
          <w:rPr>
            <w:rStyle w:val="Hyperlink"/>
            <w:i w:val="0"/>
          </w:rPr>
          <w:t>Rubrique 2b – Résilience et valeurs</w:t>
        </w:r>
        <w:r w:rsidR="00872645">
          <w:rPr>
            <w:i w:val="0"/>
            <w:webHidden/>
          </w:rPr>
          <w:tab/>
        </w:r>
        <w:r w:rsidR="00872645">
          <w:rPr>
            <w:i w:val="0"/>
            <w:webHidden/>
          </w:rPr>
          <w:fldChar w:fldCharType="begin"/>
        </w:r>
        <w:r w:rsidR="00872645">
          <w:rPr>
            <w:i w:val="0"/>
            <w:webHidden/>
          </w:rPr>
          <w:instrText xml:space="preserve"> PAGEREF _Toc58506978 \h </w:instrText>
        </w:r>
        <w:r w:rsidR="00872645">
          <w:rPr>
            <w:i w:val="0"/>
            <w:webHidden/>
          </w:rPr>
        </w:r>
        <w:r w:rsidR="00872645">
          <w:rPr>
            <w:i w:val="0"/>
            <w:webHidden/>
          </w:rPr>
          <w:fldChar w:fldCharType="separate"/>
        </w:r>
        <w:r w:rsidR="00872645">
          <w:rPr>
            <w:i w:val="0"/>
            <w:webHidden/>
          </w:rPr>
          <w:t>13</w:t>
        </w:r>
        <w:r w:rsidR="00872645">
          <w:rPr>
            <w:i w:val="0"/>
            <w:webHidden/>
          </w:rPr>
          <w:fldChar w:fldCharType="end"/>
        </w:r>
      </w:hyperlink>
    </w:p>
    <w:p w:rsidR="00EB2127" w:rsidRDefault="00D1648E">
      <w:pPr>
        <w:pStyle w:val="TOC3"/>
        <w:rPr>
          <w:rFonts w:eastAsiaTheme="minorEastAsia"/>
          <w:bCs w:val="0"/>
          <w:i w:val="0"/>
          <w:lang w:eastAsia="en-US"/>
        </w:rPr>
      </w:pPr>
      <w:hyperlink w:anchor="_Toc58507049" w:history="1">
        <w:r w:rsidR="00872645">
          <w:rPr>
            <w:rStyle w:val="Hyperlink"/>
            <w:i w:val="0"/>
          </w:rPr>
          <w:t>3.2.4.</w:t>
        </w:r>
        <w:r w:rsidR="00872645">
          <w:rPr>
            <w:rFonts w:eastAsiaTheme="minorEastAsia"/>
            <w:bCs w:val="0"/>
            <w:i w:val="0"/>
            <w:lang w:eastAsia="en-US"/>
          </w:rPr>
          <w:tab/>
        </w:r>
        <w:r w:rsidR="00872645">
          <w:rPr>
            <w:rStyle w:val="Hyperlink"/>
            <w:i w:val="0"/>
          </w:rPr>
          <w:t>Rubrique 3 – Ressources naturelles et environnement</w:t>
        </w:r>
        <w:r w:rsidR="00872645">
          <w:rPr>
            <w:i w:val="0"/>
            <w:webHidden/>
          </w:rPr>
          <w:tab/>
        </w:r>
        <w:r w:rsidR="00872645">
          <w:rPr>
            <w:i w:val="0"/>
            <w:webHidden/>
          </w:rPr>
          <w:fldChar w:fldCharType="begin"/>
        </w:r>
        <w:r w:rsidR="00872645">
          <w:rPr>
            <w:i w:val="0"/>
            <w:webHidden/>
          </w:rPr>
          <w:instrText xml:space="preserve"> PAGEREF _Toc58507049 \h </w:instrText>
        </w:r>
        <w:r w:rsidR="00872645">
          <w:rPr>
            <w:i w:val="0"/>
            <w:webHidden/>
          </w:rPr>
        </w:r>
        <w:r w:rsidR="00872645">
          <w:rPr>
            <w:i w:val="0"/>
            <w:webHidden/>
          </w:rPr>
          <w:fldChar w:fldCharType="separate"/>
        </w:r>
        <w:r w:rsidR="00872645">
          <w:rPr>
            <w:i w:val="0"/>
            <w:webHidden/>
          </w:rPr>
          <w:t>14</w:t>
        </w:r>
        <w:r w:rsidR="00872645">
          <w:rPr>
            <w:i w:val="0"/>
            <w:webHidden/>
          </w:rPr>
          <w:fldChar w:fldCharType="end"/>
        </w:r>
      </w:hyperlink>
    </w:p>
    <w:p w:rsidR="00EB2127" w:rsidRDefault="00D1648E">
      <w:pPr>
        <w:pStyle w:val="TOC3"/>
        <w:rPr>
          <w:rFonts w:eastAsiaTheme="minorEastAsia"/>
          <w:bCs w:val="0"/>
          <w:i w:val="0"/>
          <w:lang w:eastAsia="en-US"/>
        </w:rPr>
      </w:pPr>
      <w:hyperlink w:anchor="_Toc58507075" w:history="1">
        <w:r w:rsidR="00872645">
          <w:rPr>
            <w:rStyle w:val="Hyperlink"/>
            <w:i w:val="0"/>
          </w:rPr>
          <w:t>3.2.5.</w:t>
        </w:r>
        <w:r w:rsidR="00872645">
          <w:rPr>
            <w:rFonts w:eastAsiaTheme="minorEastAsia"/>
            <w:bCs w:val="0"/>
            <w:i w:val="0"/>
            <w:lang w:eastAsia="en-US"/>
          </w:rPr>
          <w:tab/>
        </w:r>
        <w:r w:rsidR="00872645">
          <w:rPr>
            <w:rStyle w:val="Hyperlink"/>
            <w:i w:val="0"/>
          </w:rPr>
          <w:t>Rubrique 4 – Migration et gestion des frontières</w:t>
        </w:r>
        <w:r w:rsidR="00872645">
          <w:rPr>
            <w:i w:val="0"/>
            <w:webHidden/>
          </w:rPr>
          <w:tab/>
        </w:r>
        <w:r w:rsidR="00872645">
          <w:rPr>
            <w:i w:val="0"/>
            <w:webHidden/>
          </w:rPr>
          <w:fldChar w:fldCharType="begin"/>
        </w:r>
        <w:r w:rsidR="00872645">
          <w:rPr>
            <w:i w:val="0"/>
            <w:webHidden/>
          </w:rPr>
          <w:instrText xml:space="preserve"> PAGEREF _Toc58507075 \h </w:instrText>
        </w:r>
        <w:r w:rsidR="00872645">
          <w:rPr>
            <w:i w:val="0"/>
            <w:webHidden/>
          </w:rPr>
        </w:r>
        <w:r w:rsidR="00872645">
          <w:rPr>
            <w:i w:val="0"/>
            <w:webHidden/>
          </w:rPr>
          <w:fldChar w:fldCharType="separate"/>
        </w:r>
        <w:r w:rsidR="00872645">
          <w:rPr>
            <w:i w:val="0"/>
            <w:webHidden/>
          </w:rPr>
          <w:t>14</w:t>
        </w:r>
        <w:r w:rsidR="00872645">
          <w:rPr>
            <w:i w:val="0"/>
            <w:webHidden/>
          </w:rPr>
          <w:fldChar w:fldCharType="end"/>
        </w:r>
      </w:hyperlink>
    </w:p>
    <w:p w:rsidR="00EB2127" w:rsidRDefault="00D1648E">
      <w:pPr>
        <w:pStyle w:val="TOC3"/>
        <w:rPr>
          <w:rFonts w:eastAsiaTheme="minorEastAsia"/>
          <w:bCs w:val="0"/>
          <w:i w:val="0"/>
          <w:lang w:eastAsia="en-US"/>
        </w:rPr>
      </w:pPr>
      <w:hyperlink w:anchor="_Toc58507088" w:history="1">
        <w:r w:rsidR="00872645">
          <w:rPr>
            <w:rStyle w:val="Hyperlink"/>
            <w:i w:val="0"/>
          </w:rPr>
          <w:t>3.2.6.</w:t>
        </w:r>
        <w:r w:rsidR="00872645">
          <w:rPr>
            <w:rFonts w:eastAsiaTheme="minorEastAsia"/>
            <w:bCs w:val="0"/>
            <w:i w:val="0"/>
            <w:lang w:eastAsia="en-US"/>
          </w:rPr>
          <w:tab/>
        </w:r>
        <w:r w:rsidR="00872645">
          <w:rPr>
            <w:rStyle w:val="Hyperlink"/>
            <w:i w:val="0"/>
          </w:rPr>
          <w:t>Rubrique 5 – Sécurité et défense</w:t>
        </w:r>
        <w:r w:rsidR="00872645">
          <w:rPr>
            <w:i w:val="0"/>
            <w:webHidden/>
          </w:rPr>
          <w:tab/>
        </w:r>
        <w:r w:rsidR="00872645">
          <w:rPr>
            <w:i w:val="0"/>
            <w:webHidden/>
          </w:rPr>
          <w:fldChar w:fldCharType="begin"/>
        </w:r>
        <w:r w:rsidR="00872645">
          <w:rPr>
            <w:i w:val="0"/>
            <w:webHidden/>
          </w:rPr>
          <w:instrText xml:space="preserve"> PAGEREF _Toc58507088 \h </w:instrText>
        </w:r>
        <w:r w:rsidR="00872645">
          <w:rPr>
            <w:i w:val="0"/>
            <w:webHidden/>
          </w:rPr>
        </w:r>
        <w:r w:rsidR="00872645">
          <w:rPr>
            <w:i w:val="0"/>
            <w:webHidden/>
          </w:rPr>
          <w:fldChar w:fldCharType="separate"/>
        </w:r>
        <w:r w:rsidR="00872645">
          <w:rPr>
            <w:i w:val="0"/>
            <w:webHidden/>
          </w:rPr>
          <w:t>15</w:t>
        </w:r>
        <w:r w:rsidR="00872645">
          <w:rPr>
            <w:i w:val="0"/>
            <w:webHidden/>
          </w:rPr>
          <w:fldChar w:fldCharType="end"/>
        </w:r>
      </w:hyperlink>
    </w:p>
    <w:p w:rsidR="00EB2127" w:rsidRDefault="00D1648E">
      <w:pPr>
        <w:pStyle w:val="TOC3"/>
        <w:rPr>
          <w:rFonts w:eastAsiaTheme="minorEastAsia"/>
          <w:bCs w:val="0"/>
          <w:i w:val="0"/>
          <w:lang w:eastAsia="en-US"/>
        </w:rPr>
      </w:pPr>
      <w:hyperlink w:anchor="_Toc58507089" w:history="1">
        <w:r w:rsidR="00872645">
          <w:rPr>
            <w:rStyle w:val="Hyperlink"/>
            <w:i w:val="0"/>
          </w:rPr>
          <w:t>3.2.7.</w:t>
        </w:r>
        <w:r w:rsidR="00872645">
          <w:rPr>
            <w:rFonts w:eastAsiaTheme="minorEastAsia"/>
            <w:bCs w:val="0"/>
            <w:i w:val="0"/>
            <w:lang w:eastAsia="en-US"/>
          </w:rPr>
          <w:tab/>
        </w:r>
        <w:r w:rsidR="00872645">
          <w:rPr>
            <w:rStyle w:val="Hyperlink"/>
            <w:i w:val="0"/>
          </w:rPr>
          <w:t>Rubrique 6 – Voisinage et le monde</w:t>
        </w:r>
        <w:r w:rsidR="00872645">
          <w:rPr>
            <w:i w:val="0"/>
            <w:webHidden/>
          </w:rPr>
          <w:tab/>
        </w:r>
        <w:r w:rsidR="00872645">
          <w:rPr>
            <w:i w:val="0"/>
            <w:webHidden/>
          </w:rPr>
          <w:fldChar w:fldCharType="begin"/>
        </w:r>
        <w:r w:rsidR="00872645">
          <w:rPr>
            <w:i w:val="0"/>
            <w:webHidden/>
          </w:rPr>
          <w:instrText xml:space="preserve"> PAGEREF _Toc58507089 \h </w:instrText>
        </w:r>
        <w:r w:rsidR="00872645">
          <w:rPr>
            <w:i w:val="0"/>
            <w:webHidden/>
          </w:rPr>
        </w:r>
        <w:r w:rsidR="00872645">
          <w:rPr>
            <w:i w:val="0"/>
            <w:webHidden/>
          </w:rPr>
          <w:fldChar w:fldCharType="separate"/>
        </w:r>
        <w:r w:rsidR="00872645">
          <w:rPr>
            <w:i w:val="0"/>
            <w:webHidden/>
          </w:rPr>
          <w:t>15</w:t>
        </w:r>
        <w:r w:rsidR="00872645">
          <w:rPr>
            <w:i w:val="0"/>
            <w:webHidden/>
          </w:rPr>
          <w:fldChar w:fldCharType="end"/>
        </w:r>
      </w:hyperlink>
    </w:p>
    <w:p w:rsidR="00EB2127" w:rsidRDefault="00D1648E">
      <w:pPr>
        <w:pStyle w:val="TOC3"/>
        <w:rPr>
          <w:rFonts w:eastAsiaTheme="minorEastAsia"/>
          <w:bCs w:val="0"/>
          <w:i w:val="0"/>
          <w:lang w:eastAsia="en-US"/>
        </w:rPr>
      </w:pPr>
      <w:hyperlink w:anchor="_Toc58507110" w:history="1">
        <w:r w:rsidR="00872645">
          <w:rPr>
            <w:rStyle w:val="Hyperlink"/>
            <w:i w:val="0"/>
          </w:rPr>
          <w:t>3.2.8.</w:t>
        </w:r>
        <w:r w:rsidR="00872645">
          <w:rPr>
            <w:rFonts w:eastAsiaTheme="minorEastAsia"/>
            <w:bCs w:val="0"/>
            <w:i w:val="0"/>
            <w:lang w:eastAsia="en-US"/>
          </w:rPr>
          <w:tab/>
        </w:r>
        <w:r w:rsidR="00872645">
          <w:rPr>
            <w:rStyle w:val="Hyperlink"/>
            <w:i w:val="0"/>
          </w:rPr>
          <w:t>Rubrique 7 – Administration publique européenne</w:t>
        </w:r>
        <w:r w:rsidR="00872645">
          <w:rPr>
            <w:i w:val="0"/>
            <w:webHidden/>
          </w:rPr>
          <w:tab/>
        </w:r>
        <w:r w:rsidR="00872645">
          <w:rPr>
            <w:i w:val="0"/>
            <w:webHidden/>
          </w:rPr>
          <w:fldChar w:fldCharType="begin"/>
        </w:r>
        <w:r w:rsidR="00872645">
          <w:rPr>
            <w:i w:val="0"/>
            <w:webHidden/>
          </w:rPr>
          <w:instrText xml:space="preserve"> PAGEREF _Toc58507110 \h </w:instrText>
        </w:r>
        <w:r w:rsidR="00872645">
          <w:rPr>
            <w:i w:val="0"/>
            <w:webHidden/>
          </w:rPr>
        </w:r>
        <w:r w:rsidR="00872645">
          <w:rPr>
            <w:i w:val="0"/>
            <w:webHidden/>
          </w:rPr>
          <w:fldChar w:fldCharType="separate"/>
        </w:r>
        <w:r w:rsidR="00872645">
          <w:rPr>
            <w:i w:val="0"/>
            <w:webHidden/>
          </w:rPr>
          <w:t>15</w:t>
        </w:r>
        <w:r w:rsidR="00872645">
          <w:rPr>
            <w:i w:val="0"/>
            <w:webHidden/>
          </w:rPr>
          <w:fldChar w:fldCharType="end"/>
        </w:r>
      </w:hyperlink>
    </w:p>
    <w:p w:rsidR="00EB2127" w:rsidRDefault="00D1648E">
      <w:pPr>
        <w:pStyle w:val="TOC3"/>
        <w:rPr>
          <w:rFonts w:eastAsiaTheme="minorEastAsia"/>
          <w:bCs w:val="0"/>
          <w:i w:val="0"/>
          <w:lang w:eastAsia="en-US"/>
        </w:rPr>
      </w:pPr>
      <w:hyperlink w:anchor="_Toc58507111" w:history="1">
        <w:r w:rsidR="00872645">
          <w:rPr>
            <w:rStyle w:val="Hyperlink"/>
            <w:i w:val="0"/>
          </w:rPr>
          <w:t>3.2.9.</w:t>
        </w:r>
        <w:r w:rsidR="00872645">
          <w:rPr>
            <w:rFonts w:eastAsiaTheme="minorEastAsia"/>
            <w:bCs w:val="0"/>
            <w:i w:val="0"/>
            <w:lang w:eastAsia="en-US"/>
          </w:rPr>
          <w:tab/>
        </w:r>
        <w:r w:rsidR="00872645">
          <w:rPr>
            <w:rStyle w:val="Hyperlink"/>
            <w:i w:val="0"/>
          </w:rPr>
          <w:t>Instruments spéciaux thématiques: FEM et réserve de solidarité et d'aide d'urgence</w:t>
        </w:r>
        <w:r w:rsidR="00872645">
          <w:rPr>
            <w:i w:val="0"/>
            <w:webHidden/>
          </w:rPr>
          <w:tab/>
        </w:r>
        <w:r w:rsidR="00872645">
          <w:rPr>
            <w:i w:val="0"/>
            <w:webHidden/>
          </w:rPr>
          <w:fldChar w:fldCharType="begin"/>
        </w:r>
        <w:r w:rsidR="00872645">
          <w:rPr>
            <w:i w:val="0"/>
            <w:webHidden/>
          </w:rPr>
          <w:instrText xml:space="preserve"> PAGEREF _Toc58507111 \h </w:instrText>
        </w:r>
        <w:r w:rsidR="00872645">
          <w:rPr>
            <w:i w:val="0"/>
            <w:webHidden/>
          </w:rPr>
        </w:r>
        <w:r w:rsidR="00872645">
          <w:rPr>
            <w:i w:val="0"/>
            <w:webHidden/>
          </w:rPr>
          <w:fldChar w:fldCharType="separate"/>
        </w:r>
        <w:r w:rsidR="00872645">
          <w:rPr>
            <w:i w:val="0"/>
            <w:webHidden/>
          </w:rPr>
          <w:t>19</w:t>
        </w:r>
        <w:r w:rsidR="00872645">
          <w:rPr>
            <w:i w:val="0"/>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7112" w:history="1">
        <w:r w:rsidR="00872645">
          <w:rPr>
            <w:rStyle w:val="Hyperlink"/>
            <w:rFonts w:ascii="Times New Roman" w:hAnsi="Times New Roman"/>
            <w:b/>
            <w:bCs/>
            <w:iCs/>
            <w:noProof/>
          </w:rPr>
          <w:t>3.3.</w:t>
        </w:r>
        <w:r w:rsidR="00872645">
          <w:rPr>
            <w:rFonts w:ascii="Times New Roman" w:eastAsiaTheme="minorEastAsia" w:hAnsi="Times New Roman"/>
            <w:noProof/>
          </w:rPr>
          <w:tab/>
        </w:r>
        <w:r w:rsidR="00872645">
          <w:rPr>
            <w:rStyle w:val="Hyperlink"/>
            <w:rFonts w:ascii="Times New Roman" w:hAnsi="Times New Roman"/>
            <w:b/>
            <w:bCs/>
            <w:iCs/>
            <w:noProof/>
          </w:rPr>
          <w:t>Approche globale en matière de crédits de paiement</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_Toc58507112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19</w:t>
        </w:r>
        <w:r w:rsidR="00872645">
          <w:rPr>
            <w:rFonts w:ascii="Times New Roman" w:hAnsi="Times New Roman"/>
            <w:noProof/>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7203" w:history="1">
        <w:r w:rsidR="00872645">
          <w:rPr>
            <w:rStyle w:val="Hyperlink"/>
            <w:rFonts w:ascii="Times New Roman" w:hAnsi="Times New Roman"/>
            <w:b/>
            <w:bCs/>
            <w:iCs/>
            <w:noProof/>
          </w:rPr>
          <w:t>3.4.</w:t>
        </w:r>
        <w:r w:rsidR="00872645">
          <w:rPr>
            <w:rFonts w:ascii="Times New Roman" w:eastAsiaTheme="minorEastAsia" w:hAnsi="Times New Roman"/>
            <w:noProof/>
          </w:rPr>
          <w:tab/>
        </w:r>
        <w:r w:rsidR="00872645">
          <w:rPr>
            <w:rStyle w:val="Hyperlink"/>
            <w:rFonts w:ascii="Times New Roman" w:hAnsi="Times New Roman"/>
            <w:b/>
            <w:bCs/>
            <w:iCs/>
            <w:noProof/>
          </w:rPr>
          <w:t>Réserves</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_Toc58507203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21</w:t>
        </w:r>
        <w:r w:rsidR="00872645">
          <w:rPr>
            <w:rFonts w:ascii="Times New Roman" w:hAnsi="Times New Roman"/>
            <w:noProof/>
            <w:webHidden/>
          </w:rPr>
          <w:fldChar w:fldCharType="end"/>
        </w:r>
      </w:hyperlink>
    </w:p>
    <w:p w:rsidR="00EB2127" w:rsidRDefault="00D1648E">
      <w:pPr>
        <w:pStyle w:val="TOC2"/>
        <w:tabs>
          <w:tab w:val="left" w:pos="960"/>
          <w:tab w:val="right" w:leader="dot" w:pos="9911"/>
        </w:tabs>
        <w:rPr>
          <w:rFonts w:ascii="Times New Roman" w:eastAsiaTheme="minorEastAsia" w:hAnsi="Times New Roman"/>
          <w:noProof/>
        </w:rPr>
      </w:pPr>
      <w:hyperlink w:anchor="_Toc58507204" w:history="1">
        <w:r w:rsidR="00872645">
          <w:rPr>
            <w:rStyle w:val="Hyperlink"/>
            <w:rFonts w:ascii="Times New Roman" w:hAnsi="Times New Roman"/>
            <w:b/>
            <w:bCs/>
            <w:iCs/>
            <w:noProof/>
          </w:rPr>
          <w:t>3.5.</w:t>
        </w:r>
        <w:r w:rsidR="00872645">
          <w:rPr>
            <w:rFonts w:ascii="Times New Roman" w:eastAsiaTheme="minorEastAsia" w:hAnsi="Times New Roman"/>
            <w:noProof/>
          </w:rPr>
          <w:tab/>
        </w:r>
        <w:r w:rsidR="00872645">
          <w:rPr>
            <w:rStyle w:val="Hyperlink"/>
            <w:rFonts w:ascii="Times New Roman" w:hAnsi="Times New Roman"/>
            <w:b/>
            <w:bCs/>
            <w:iCs/>
            <w:noProof/>
          </w:rPr>
          <w:t>Changements dans la nomenclature et les commentaires budgétaires</w:t>
        </w:r>
        <w:r w:rsidR="00872645">
          <w:rPr>
            <w:rFonts w:ascii="Times New Roman" w:hAnsi="Times New Roman"/>
            <w:noProof/>
            <w:webHidden/>
          </w:rPr>
          <w:tab/>
        </w:r>
        <w:r w:rsidR="00872645">
          <w:rPr>
            <w:rFonts w:ascii="Times New Roman" w:hAnsi="Times New Roman"/>
            <w:noProof/>
            <w:webHidden/>
          </w:rPr>
          <w:fldChar w:fldCharType="begin"/>
        </w:r>
        <w:r w:rsidR="00872645">
          <w:rPr>
            <w:rFonts w:ascii="Times New Roman" w:hAnsi="Times New Roman"/>
            <w:noProof/>
            <w:webHidden/>
          </w:rPr>
          <w:instrText xml:space="preserve"> PAGEREF _Toc58507204 \h </w:instrText>
        </w:r>
        <w:r w:rsidR="00872645">
          <w:rPr>
            <w:rFonts w:ascii="Times New Roman" w:hAnsi="Times New Roman"/>
            <w:noProof/>
            <w:webHidden/>
          </w:rPr>
        </w:r>
        <w:r w:rsidR="00872645">
          <w:rPr>
            <w:rFonts w:ascii="Times New Roman" w:hAnsi="Times New Roman"/>
            <w:noProof/>
            <w:webHidden/>
          </w:rPr>
          <w:fldChar w:fldCharType="separate"/>
        </w:r>
        <w:r w:rsidR="00872645">
          <w:rPr>
            <w:rFonts w:ascii="Times New Roman" w:hAnsi="Times New Roman"/>
            <w:noProof/>
            <w:webHidden/>
          </w:rPr>
          <w:t>21</w:t>
        </w:r>
        <w:r w:rsidR="00872645">
          <w:rPr>
            <w:rFonts w:ascii="Times New Roman" w:hAnsi="Times New Roman"/>
            <w:noProof/>
            <w:webHidden/>
          </w:rPr>
          <w:fldChar w:fldCharType="end"/>
        </w:r>
      </w:hyperlink>
    </w:p>
    <w:p w:rsidR="00EB2127" w:rsidRDefault="00D1648E">
      <w:pPr>
        <w:pStyle w:val="TOC3"/>
        <w:rPr>
          <w:rFonts w:eastAsiaTheme="minorEastAsia"/>
          <w:bCs w:val="0"/>
          <w:i w:val="0"/>
          <w:lang w:eastAsia="en-US"/>
        </w:rPr>
      </w:pPr>
      <w:hyperlink w:anchor="_Toc58507205" w:history="1">
        <w:r w:rsidR="00872645">
          <w:rPr>
            <w:rStyle w:val="Hyperlink"/>
          </w:rPr>
          <w:t>3.5.1.</w:t>
        </w:r>
        <w:r w:rsidR="00872645">
          <w:rPr>
            <w:rFonts w:eastAsiaTheme="minorEastAsia"/>
            <w:bCs w:val="0"/>
            <w:i w:val="0"/>
            <w:lang w:eastAsia="en-US"/>
          </w:rPr>
          <w:tab/>
        </w:r>
        <w:r w:rsidR="00872645">
          <w:rPr>
            <w:rStyle w:val="Hyperlink"/>
            <w:i w:val="0"/>
          </w:rPr>
          <w:t>Commentaires budgétaires</w:t>
        </w:r>
        <w:r w:rsidR="00872645">
          <w:rPr>
            <w:webHidden/>
          </w:rPr>
          <w:tab/>
        </w:r>
        <w:r w:rsidR="00872645">
          <w:rPr>
            <w:webHidden/>
          </w:rPr>
          <w:fldChar w:fldCharType="begin"/>
        </w:r>
        <w:r w:rsidR="00872645">
          <w:rPr>
            <w:webHidden/>
          </w:rPr>
          <w:instrText xml:space="preserve"> PAGEREF _Toc58507205 \h </w:instrText>
        </w:r>
        <w:r w:rsidR="00872645">
          <w:rPr>
            <w:webHidden/>
          </w:rPr>
        </w:r>
        <w:r w:rsidR="00872645">
          <w:rPr>
            <w:webHidden/>
          </w:rPr>
          <w:fldChar w:fldCharType="separate"/>
        </w:r>
        <w:r w:rsidR="00872645">
          <w:rPr>
            <w:webHidden/>
          </w:rPr>
          <w:t>21</w:t>
        </w:r>
        <w:r w:rsidR="00872645">
          <w:rPr>
            <w:webHidden/>
          </w:rPr>
          <w:fldChar w:fldCharType="end"/>
        </w:r>
      </w:hyperlink>
    </w:p>
    <w:p w:rsidR="00EB2127" w:rsidRDefault="00D1648E">
      <w:pPr>
        <w:pStyle w:val="TOC3"/>
        <w:rPr>
          <w:rFonts w:eastAsiaTheme="minorEastAsia"/>
          <w:bCs w:val="0"/>
          <w:i w:val="0"/>
          <w:lang w:eastAsia="en-US"/>
        </w:rPr>
      </w:pPr>
      <w:hyperlink w:anchor="_Toc58507206" w:history="1">
        <w:r w:rsidR="00872645">
          <w:rPr>
            <w:rStyle w:val="Hyperlink"/>
          </w:rPr>
          <w:t>3.5.2.</w:t>
        </w:r>
        <w:r w:rsidR="00872645">
          <w:rPr>
            <w:rFonts w:eastAsiaTheme="minorEastAsia"/>
            <w:bCs w:val="0"/>
            <w:i w:val="0"/>
            <w:lang w:eastAsia="en-US"/>
          </w:rPr>
          <w:tab/>
        </w:r>
        <w:r w:rsidR="00872645">
          <w:rPr>
            <w:rStyle w:val="Hyperlink"/>
            <w:i w:val="0"/>
          </w:rPr>
          <w:t>Nomenclature</w:t>
        </w:r>
        <w:r w:rsidR="00872645">
          <w:rPr>
            <w:webHidden/>
          </w:rPr>
          <w:tab/>
        </w:r>
        <w:r w:rsidR="00872645">
          <w:rPr>
            <w:webHidden/>
          </w:rPr>
          <w:fldChar w:fldCharType="begin"/>
        </w:r>
        <w:r w:rsidR="00872645">
          <w:rPr>
            <w:webHidden/>
          </w:rPr>
          <w:instrText xml:space="preserve"> PAGEREF _Toc58507206 \h </w:instrText>
        </w:r>
        <w:r w:rsidR="00872645">
          <w:rPr>
            <w:webHidden/>
          </w:rPr>
        </w:r>
        <w:r w:rsidR="00872645">
          <w:rPr>
            <w:webHidden/>
          </w:rPr>
          <w:fldChar w:fldCharType="separate"/>
        </w:r>
        <w:r w:rsidR="00872645">
          <w:rPr>
            <w:webHidden/>
          </w:rPr>
          <w:t>24</w:t>
        </w:r>
        <w:r w:rsidR="00872645">
          <w:rPr>
            <w:webHidden/>
          </w:rPr>
          <w:fldChar w:fldCharType="end"/>
        </w:r>
      </w:hyperlink>
    </w:p>
    <w:p w:rsidR="00EB2127" w:rsidRDefault="00D1648E">
      <w:pPr>
        <w:pStyle w:val="TOC1"/>
        <w:rPr>
          <w:rFonts w:eastAsiaTheme="minorEastAsia"/>
          <w:b w:val="0"/>
          <w:bCs w:val="0"/>
          <w:smallCaps w:val="0"/>
          <w:lang w:eastAsia="en-US"/>
        </w:rPr>
      </w:pPr>
      <w:hyperlink w:anchor="_Toc58507207" w:history="1">
        <w:r w:rsidR="00872645">
          <w:rPr>
            <w:rStyle w:val="Hyperlink"/>
          </w:rPr>
          <w:t>4.</w:t>
        </w:r>
        <w:r w:rsidR="00872645">
          <w:rPr>
            <w:rFonts w:eastAsiaTheme="minorEastAsia"/>
            <w:b w:val="0"/>
            <w:bCs w:val="0"/>
            <w:smallCaps w:val="0"/>
            <w:lang w:eastAsia="en-US"/>
          </w:rPr>
          <w:tab/>
        </w:r>
        <w:r w:rsidR="00872645">
          <w:rPr>
            <w:rStyle w:val="Hyperlink"/>
          </w:rPr>
          <w:t>Observations finales</w:t>
        </w:r>
        <w:r w:rsidR="00872645">
          <w:rPr>
            <w:webHidden/>
          </w:rPr>
          <w:tab/>
        </w:r>
        <w:r w:rsidR="00872645">
          <w:rPr>
            <w:webHidden/>
          </w:rPr>
          <w:fldChar w:fldCharType="begin"/>
        </w:r>
        <w:r w:rsidR="00872645">
          <w:rPr>
            <w:webHidden/>
          </w:rPr>
          <w:instrText xml:space="preserve"> PAGEREF _Toc58507207 \h </w:instrText>
        </w:r>
        <w:r w:rsidR="00872645">
          <w:rPr>
            <w:webHidden/>
          </w:rPr>
        </w:r>
        <w:r w:rsidR="00872645">
          <w:rPr>
            <w:webHidden/>
          </w:rPr>
          <w:fldChar w:fldCharType="separate"/>
        </w:r>
        <w:r w:rsidR="00872645">
          <w:rPr>
            <w:webHidden/>
          </w:rPr>
          <w:t>26</w:t>
        </w:r>
        <w:r w:rsidR="00872645">
          <w:rPr>
            <w:webHidden/>
          </w:rPr>
          <w:fldChar w:fldCharType="end"/>
        </w:r>
      </w:hyperlink>
    </w:p>
    <w:p w:rsidR="00EB2127" w:rsidRDefault="00D1648E">
      <w:pPr>
        <w:pStyle w:val="TOC1"/>
        <w:rPr>
          <w:rFonts w:asciiTheme="minorHAnsi" w:eastAsiaTheme="minorEastAsia" w:hAnsiTheme="minorHAnsi" w:cstheme="minorBidi"/>
          <w:b w:val="0"/>
          <w:bCs w:val="0"/>
          <w:smallCaps w:val="0"/>
          <w:lang w:eastAsia="en-US"/>
        </w:rPr>
      </w:pPr>
      <w:hyperlink w:anchor="_Toc58507208" w:history="1">
        <w:r w:rsidR="00872645">
          <w:rPr>
            <w:rStyle w:val="Hyperlink"/>
          </w:rPr>
          <w:t>5.</w:t>
        </w:r>
        <w:r w:rsidR="00872645">
          <w:rPr>
            <w:rFonts w:eastAsiaTheme="minorEastAsia"/>
            <w:b w:val="0"/>
            <w:bCs w:val="0"/>
            <w:smallCaps w:val="0"/>
            <w:lang w:eastAsia="en-US"/>
          </w:rPr>
          <w:tab/>
        </w:r>
        <w:r w:rsidR="00872645">
          <w:rPr>
            <w:rStyle w:val="Hyperlink"/>
          </w:rPr>
          <w:t>Deuxième projet de budget 2021 par rubrique du cadre financier et par grand programme</w:t>
        </w:r>
        <w:r w:rsidR="00872645">
          <w:rPr>
            <w:webHidden/>
          </w:rPr>
          <w:tab/>
        </w:r>
        <w:r w:rsidR="00872645">
          <w:rPr>
            <w:webHidden/>
          </w:rPr>
          <w:fldChar w:fldCharType="begin"/>
        </w:r>
        <w:r w:rsidR="00872645">
          <w:rPr>
            <w:webHidden/>
          </w:rPr>
          <w:instrText xml:space="preserve"> PAGEREF _Toc58507208 \h </w:instrText>
        </w:r>
        <w:r w:rsidR="00872645">
          <w:rPr>
            <w:webHidden/>
          </w:rPr>
        </w:r>
        <w:r w:rsidR="00872645">
          <w:rPr>
            <w:webHidden/>
          </w:rPr>
          <w:fldChar w:fldCharType="separate"/>
        </w:r>
        <w:r w:rsidR="00872645">
          <w:rPr>
            <w:webHidden/>
          </w:rPr>
          <w:t>27</w:t>
        </w:r>
        <w:r w:rsidR="00872645">
          <w:rPr>
            <w:webHidden/>
          </w:rPr>
          <w:fldChar w:fldCharType="end"/>
        </w:r>
      </w:hyperlink>
    </w:p>
    <w:p w:rsidR="00EB2127" w:rsidRDefault="00872645">
      <w:pPr>
        <w:rPr>
          <w:rFonts w:ascii="Times New Roman" w:hAnsi="Times New Roman"/>
          <w:noProof/>
          <w:sz w:val="28"/>
          <w:szCs w:val="28"/>
        </w:rPr>
      </w:pPr>
      <w:r>
        <w:rPr>
          <w:rFonts w:ascii="Times New Roman" w:hAnsi="Times New Roman"/>
          <w:b/>
          <w:bCs/>
          <w:caps/>
          <w:noProof/>
          <w:sz w:val="20"/>
          <w:szCs w:val="20"/>
        </w:rPr>
        <w:fldChar w:fldCharType="end"/>
      </w:r>
      <w:r>
        <w:rPr>
          <w:noProof/>
        </w:rPr>
        <w:br w:type="page"/>
      </w:r>
    </w:p>
    <w:p w:rsidR="00EB2127" w:rsidRDefault="00872645">
      <w:pPr>
        <w:pStyle w:val="ListParagraph"/>
        <w:keepNext/>
        <w:numPr>
          <w:ilvl w:val="0"/>
          <w:numId w:val="49"/>
        </w:numPr>
        <w:tabs>
          <w:tab w:val="num" w:pos="850"/>
        </w:tabs>
        <w:spacing w:before="360" w:after="240"/>
        <w:jc w:val="both"/>
        <w:outlineLvl w:val="0"/>
        <w:rPr>
          <w:b/>
          <w:bCs/>
          <w:smallCaps/>
          <w:noProof/>
          <w:szCs w:val="32"/>
        </w:rPr>
      </w:pPr>
      <w:bookmarkStart w:id="3" w:name="_Toc278112515"/>
      <w:bookmarkStart w:id="4" w:name="_Toc58506946"/>
      <w:r>
        <w:rPr>
          <w:b/>
          <w:bCs/>
          <w:smallCaps/>
          <w:noProof/>
          <w:szCs w:val="32"/>
        </w:rPr>
        <w:lastRenderedPageBreak/>
        <w:t>Introduction</w:t>
      </w:r>
      <w:bookmarkEnd w:id="3"/>
      <w:bookmarkEnd w:id="4"/>
    </w:p>
    <w:p w:rsidR="00EB2127" w:rsidRDefault="00872645">
      <w:pPr>
        <w:spacing w:line="240" w:lineRule="auto"/>
        <w:jc w:val="both"/>
        <w:rPr>
          <w:rFonts w:ascii="Times New Roman" w:hAnsi="Times New Roman"/>
          <w:noProof/>
          <w:sz w:val="24"/>
        </w:rPr>
      </w:pPr>
      <w:r>
        <w:rPr>
          <w:rFonts w:ascii="Times New Roman" w:hAnsi="Times New Roman"/>
          <w:noProof/>
          <w:sz w:val="24"/>
        </w:rPr>
        <w:t xml:space="preserve">Le 27 juillet 2020, la Commission a transmis le </w:t>
      </w:r>
      <w:r>
        <w:rPr>
          <w:rFonts w:ascii="Times New Roman" w:hAnsi="Times New Roman"/>
          <w:noProof/>
          <w:sz w:val="24"/>
          <w:szCs w:val="24"/>
        </w:rPr>
        <w:t>projet de budget</w:t>
      </w:r>
      <w:r>
        <w:rPr>
          <w:rFonts w:ascii="Times New Roman" w:hAnsi="Times New Roman"/>
          <w:noProof/>
          <w:sz w:val="24"/>
        </w:rPr>
        <w:t xml:space="preserve"> pour l’exercice 2021 dans toutes les langues officielles</w:t>
      </w:r>
      <w:r>
        <w:rPr>
          <w:rFonts w:ascii="Times New Roman" w:hAnsi="Times New Roman"/>
          <w:noProof/>
          <w:sz w:val="23"/>
          <w:vertAlign w:val="superscript"/>
        </w:rPr>
        <w:footnoteReference w:id="14"/>
      </w:r>
      <w:r>
        <w:rPr>
          <w:rFonts w:ascii="Times New Roman" w:hAnsi="Times New Roman"/>
          <w:noProof/>
          <w:sz w:val="24"/>
        </w:rPr>
        <w:t xml:space="preserve">. Le 7 septembre 2020, </w:t>
      </w:r>
      <w:r>
        <w:rPr>
          <w:rFonts w:ascii="Times New Roman" w:hAnsi="Times New Roman"/>
          <w:noProof/>
          <w:sz w:val="24"/>
          <w:szCs w:val="24"/>
        </w:rPr>
        <w:t xml:space="preserve">le </w:t>
      </w:r>
      <w:r>
        <w:rPr>
          <w:rFonts w:ascii="Times New Roman" w:hAnsi="Times New Roman"/>
          <w:noProof/>
          <w:sz w:val="24"/>
        </w:rPr>
        <w:t xml:space="preserve">Conseil a achevé sa lecture du </w:t>
      </w:r>
      <w:r>
        <w:rPr>
          <w:rFonts w:ascii="Times New Roman" w:hAnsi="Times New Roman"/>
          <w:noProof/>
          <w:sz w:val="24"/>
          <w:szCs w:val="24"/>
        </w:rPr>
        <w:t>projet de budget</w:t>
      </w:r>
      <w:r>
        <w:rPr>
          <w:rFonts w:ascii="Times New Roman" w:hAnsi="Times New Roman"/>
          <w:noProof/>
          <w:sz w:val="24"/>
        </w:rPr>
        <w:t xml:space="preserve"> et, le 12 novembre 2020, le Parlement européen a </w:t>
      </w:r>
      <w:r>
        <w:rPr>
          <w:rFonts w:ascii="Times New Roman" w:hAnsi="Times New Roman"/>
          <w:noProof/>
          <w:sz w:val="24"/>
          <w:szCs w:val="24"/>
        </w:rPr>
        <w:t>adopté</w:t>
      </w:r>
      <w:r>
        <w:rPr>
          <w:rFonts w:ascii="Times New Roman" w:hAnsi="Times New Roman"/>
          <w:noProof/>
          <w:sz w:val="24"/>
        </w:rPr>
        <w:t xml:space="preserve"> sa lecture. Le 13 novembre, la Commission a transmis la lettre rectificative nº 1/2021 contenant les estimations actualisées pour l’exercice 2021. Étant donné que le Parlement européen n’a pas accepté la lecture du Conseil et a adopté des amendements au </w:t>
      </w:r>
      <w:r>
        <w:rPr>
          <w:rFonts w:ascii="Times New Roman" w:hAnsi="Times New Roman"/>
          <w:noProof/>
          <w:sz w:val="24"/>
          <w:szCs w:val="24"/>
        </w:rPr>
        <w:t>projet de budget</w:t>
      </w:r>
      <w:r>
        <w:rPr>
          <w:rFonts w:ascii="Times New Roman" w:hAnsi="Times New Roman"/>
          <w:noProof/>
          <w:sz w:val="24"/>
        </w:rPr>
        <w:t xml:space="preserve"> qui n’ont pas pu être acceptés par le Conseil, le comité de conciliation a été convoqué, conformément aux dispositions de l’article 314, paragraphe 4, point c), du traité sur le fonctionnement de l’Union européenne (TFUE).</w:t>
      </w:r>
    </w:p>
    <w:p w:rsidR="00EB2127" w:rsidRDefault="00872645">
      <w:pPr>
        <w:spacing w:line="240" w:lineRule="auto"/>
        <w:jc w:val="both"/>
        <w:rPr>
          <w:rFonts w:ascii="Times New Roman" w:hAnsi="Times New Roman"/>
          <w:noProof/>
          <w:sz w:val="24"/>
        </w:rPr>
      </w:pPr>
      <w:r>
        <w:rPr>
          <w:rFonts w:ascii="Times New Roman" w:hAnsi="Times New Roman"/>
          <w:noProof/>
          <w:sz w:val="24"/>
        </w:rPr>
        <w:t>Le comité de conciliation s’est réuni pendant une période de vingt et un jours, entre le 17 novembre et le 7 décembre 2020. Bien qu’il ait dégagé une compréhension commune sur le contenu du budget pour 2021, fondée sur les projets d’éléments pour des conclusions communes nº 4 présentés par la Commission le 4 décembre 2020, compte tenu des circonstances relatives au cadre financier pluriannuel (CFP) pour la période 2021-2027 à ce moment-là, le comité de conciliation n’a pas été en mesure de parvenir à un accord sur un projet commun dans le délai de conciliation de 21 jours.</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En l’absence d’accord formel au sein du comité de conciliation, en vertu de l’article 314, paragraphe 8, du TFUE, la Commission présente ci-après un deuxième projet de budget pour 2021. Celui-ci repose sur la compréhension commune dégagée par le comité de conciliation le 4 décembre. </w:t>
      </w:r>
      <w:r>
        <w:rPr>
          <w:rFonts w:ascii="Times New Roman" w:hAnsi="Times New Roman"/>
          <w:noProof/>
          <w:sz w:val="24"/>
        </w:rPr>
        <w:t>Il fait suite, dans une large mesure, au projet de budget initial de la Commission, tel que modifié par la lettre rectificative nº 1/2021</w:t>
      </w:r>
      <w:r>
        <w:rPr>
          <w:rFonts w:ascii="Times New Roman" w:hAnsi="Times New Roman"/>
          <w:noProof/>
          <w:sz w:val="23"/>
          <w:vertAlign w:val="superscript"/>
        </w:rPr>
        <w:footnoteReference w:id="15"/>
      </w:r>
      <w:r>
        <w:rPr>
          <w:rFonts w:ascii="Times New Roman" w:hAnsi="Times New Roman"/>
          <w:noProof/>
          <w:sz w:val="24"/>
        </w:rPr>
        <w:t>, avec d’importants renforcements des crédits d’engagement en faveur de programmes clés et d’investissements contribuant à la transition écologique et numérique et à la croissance et à l’emploi [tels que le mécanisme pour l’interconnexion en Europe (MIE) - Transports, le programme pour une Europe numérique et LIFE] ainsi que quelques réductions et redéploiements, en particulier dans la rubrique 2b, à la suite des lectures du projet de budget initial au Conseil et au Parlement européen. Une augmentation ciblée en faveur d’Horizon Europe, d’un montant de 20 millions d’EUR, est proposée en application de l’article 15, paragraphe 3, du règlement financier. Le niveau global des paiements, à la suite des modifications intervenues dans les engagements et les redéploiements, est inférieur de 63,9 millions d’EUR à celui de la lettre rectificative nº 1/2021.</w:t>
      </w:r>
      <w:r>
        <w:rPr>
          <w:rFonts w:ascii="Times New Roman" w:hAnsi="Times New Roman"/>
          <w:noProof/>
          <w:sz w:val="24"/>
          <w:szCs w:val="24"/>
        </w:rPr>
        <w:t xml:space="preserve"> </w:t>
      </w:r>
    </w:p>
    <w:p w:rsidR="00EB2127" w:rsidRDefault="00872645">
      <w:pPr>
        <w:spacing w:line="240" w:lineRule="auto"/>
        <w:jc w:val="both"/>
        <w:rPr>
          <w:rFonts w:ascii="Times New Roman" w:hAnsi="Times New Roman"/>
          <w:noProof/>
          <w:sz w:val="24"/>
        </w:rPr>
      </w:pPr>
      <w:r>
        <w:rPr>
          <w:rFonts w:ascii="Times New Roman" w:hAnsi="Times New Roman"/>
          <w:noProof/>
          <w:sz w:val="24"/>
          <w:szCs w:val="24"/>
        </w:rPr>
        <w:t>Compte tenu des avancées vers l’adoption formelle du paquet CFP, ce deuxième projet de budget général est proposé en vue de son adoption conjointement au nouveau cadre financier pluriannuel 2021-2027 avant la fin de l’année.</w:t>
      </w:r>
    </w:p>
    <w:p w:rsidR="00EB2127" w:rsidRDefault="00872645">
      <w:pPr>
        <w:spacing w:after="0" w:line="240" w:lineRule="auto"/>
        <w:rPr>
          <w:rFonts w:ascii="Times New Roman" w:hAnsi="Times New Roman"/>
          <w:noProof/>
          <w:sz w:val="28"/>
          <w:szCs w:val="28"/>
        </w:rPr>
      </w:pPr>
      <w:r>
        <w:rPr>
          <w:noProof/>
        </w:rPr>
        <w:br w:type="page"/>
      </w:r>
    </w:p>
    <w:p w:rsidR="00EB2127" w:rsidRDefault="00872645">
      <w:pPr>
        <w:pStyle w:val="ListParagraph"/>
        <w:keepNext/>
        <w:numPr>
          <w:ilvl w:val="0"/>
          <w:numId w:val="49"/>
        </w:numPr>
        <w:tabs>
          <w:tab w:val="num" w:pos="850"/>
        </w:tabs>
        <w:spacing w:before="360" w:after="240"/>
        <w:jc w:val="both"/>
        <w:outlineLvl w:val="0"/>
        <w:rPr>
          <w:b/>
          <w:bCs/>
          <w:smallCaps/>
          <w:noProof/>
          <w:szCs w:val="32"/>
        </w:rPr>
      </w:pPr>
      <w:bookmarkStart w:id="5" w:name="_Toc58506947"/>
      <w:r>
        <w:rPr>
          <w:b/>
          <w:bCs/>
          <w:smallCaps/>
          <w:noProof/>
          <w:szCs w:val="32"/>
        </w:rPr>
        <w:t>Le cadre financier pluriannuel et le deuxième projet de budget 2021</w:t>
      </w:r>
      <w:bookmarkEnd w:id="5"/>
    </w:p>
    <w:p w:rsidR="00EB2127" w:rsidRDefault="00872645">
      <w:pPr>
        <w:pStyle w:val="ListParagraph"/>
        <w:keepNext/>
        <w:keepLines/>
        <w:numPr>
          <w:ilvl w:val="1"/>
          <w:numId w:val="49"/>
        </w:numPr>
        <w:spacing w:before="240" w:after="120"/>
        <w:jc w:val="both"/>
        <w:outlineLvl w:val="1"/>
        <w:rPr>
          <w:b/>
          <w:bCs/>
          <w:iCs/>
          <w:noProof/>
          <w:szCs w:val="28"/>
        </w:rPr>
      </w:pPr>
      <w:bookmarkStart w:id="6" w:name="_Toc322520753"/>
      <w:bookmarkStart w:id="7" w:name="_Toc323061077"/>
      <w:bookmarkStart w:id="8" w:name="_Toc58506948"/>
      <w:r>
        <w:rPr>
          <w:b/>
          <w:bCs/>
          <w:iCs/>
          <w:noProof/>
          <w:szCs w:val="28"/>
        </w:rPr>
        <w:t>Plafonds du cadre financier pluriannuel pour le budget 2021</w:t>
      </w:r>
      <w:bookmarkEnd w:id="6"/>
      <w:bookmarkEnd w:id="7"/>
      <w:bookmarkEnd w:id="8"/>
    </w:p>
    <w:p w:rsidR="00EB2127" w:rsidRDefault="00872645">
      <w:pPr>
        <w:spacing w:line="240" w:lineRule="auto"/>
        <w:rPr>
          <w:rFonts w:ascii="Times New Roman" w:hAnsi="Times New Roman"/>
          <w:noProof/>
          <w:sz w:val="24"/>
          <w:szCs w:val="24"/>
        </w:rPr>
      </w:pPr>
      <w:bookmarkStart w:id="9" w:name="_Toc278112518"/>
      <w:r>
        <w:rPr>
          <w:rFonts w:ascii="Times New Roman" w:hAnsi="Times New Roman"/>
          <w:noProof/>
          <w:sz w:val="24"/>
          <w:szCs w:val="24"/>
        </w:rPr>
        <w:t>Le tableau ci-dessous présente les plafonds des crédits d’engagement et des crédits de paiement dans le cadre financier pluriannuel (CFP)</w:t>
      </w:r>
      <w:r>
        <w:rPr>
          <w:rFonts w:ascii="Times New Roman" w:hAnsi="Times New Roman"/>
          <w:noProof/>
          <w:sz w:val="24"/>
          <w:szCs w:val="24"/>
          <w:vertAlign w:val="superscript"/>
        </w:rPr>
        <w:footnoteReference w:id="16"/>
      </w:r>
      <w:r>
        <w:rPr>
          <w:rFonts w:ascii="Times New Roman" w:hAnsi="Times New Roman"/>
          <w:noProof/>
          <w:sz w:val="24"/>
          <w:szCs w:val="24"/>
        </w:rPr>
        <w:t xml:space="preserve"> pour l’établissement du deuxième projet de budget 2021:</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rsidR="00EB2127">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EB2127" w:rsidRDefault="00872645">
            <w:pPr>
              <w:pStyle w:val="NormalCentered"/>
              <w:spacing w:before="30" w:after="30"/>
              <w:rPr>
                <w:noProof/>
                <w:sz w:val="16"/>
                <w:szCs w:val="16"/>
              </w:rPr>
            </w:pPr>
            <w:r>
              <w:rPr>
                <w:b/>
                <w:bCs/>
                <w:noProof/>
                <w:sz w:val="16"/>
                <w:szCs w:val="16"/>
              </w:rPr>
              <w:t>Rubrique</w:t>
            </w:r>
          </w:p>
        </w:tc>
        <w:tc>
          <w:tcPr>
            <w:tcW w:w="1559" w:type="dxa"/>
            <w:tcBorders>
              <w:top w:val="single" w:sz="4" w:space="0" w:color="auto"/>
              <w:left w:val="nil"/>
              <w:bottom w:val="single" w:sz="4" w:space="0" w:color="auto"/>
              <w:right w:val="single" w:sz="4" w:space="0" w:color="auto"/>
            </w:tcBorders>
            <w:shd w:val="clear" w:color="auto" w:fill="BFBFBF"/>
            <w:vAlign w:val="center"/>
          </w:tcPr>
          <w:p w:rsidR="00EB2127" w:rsidRDefault="00872645">
            <w:pPr>
              <w:spacing w:before="30" w:after="30" w:line="240" w:lineRule="auto"/>
              <w:jc w:val="center"/>
              <w:rPr>
                <w:rFonts w:ascii="Times New Roman" w:eastAsia="Times New Roman" w:hAnsi="Times New Roman"/>
                <w:noProof/>
                <w:sz w:val="16"/>
                <w:szCs w:val="16"/>
              </w:rPr>
            </w:pPr>
            <w:r>
              <w:rPr>
                <w:rFonts w:ascii="Times New Roman" w:hAnsi="Times New Roman"/>
                <w:b/>
                <w:bCs/>
                <w:noProof/>
                <w:sz w:val="16"/>
                <w:szCs w:val="16"/>
              </w:rPr>
              <w:t>Plafonds CFP 2021</w:t>
            </w:r>
          </w:p>
          <w:p w:rsidR="00EB2127" w:rsidRDefault="00872645">
            <w:pPr>
              <w:pStyle w:val="NormalCentered"/>
              <w:spacing w:before="30" w:after="30"/>
              <w:rPr>
                <w:noProof/>
                <w:sz w:val="16"/>
                <w:szCs w:val="16"/>
              </w:rPr>
            </w:pPr>
            <w:r>
              <w:rPr>
                <w:b/>
                <w:bCs/>
                <w:noProof/>
                <w:sz w:val="16"/>
                <w:szCs w:val="16"/>
              </w:rPr>
              <w:t>en Mio EUR, aux prix courants</w:t>
            </w:r>
          </w:p>
        </w:tc>
      </w:tr>
      <w:tr w:rsidR="00EB2127">
        <w:trPr>
          <w:jc w:val="center"/>
        </w:trPr>
        <w:tc>
          <w:tcPr>
            <w:tcW w:w="440" w:type="dxa"/>
            <w:tcBorders>
              <w:top w:val="nil"/>
              <w:left w:val="single" w:sz="4" w:space="0" w:color="auto"/>
              <w:bottom w:val="single" w:sz="4" w:space="0" w:color="auto"/>
              <w:right w:val="nil"/>
            </w:tcBorders>
          </w:tcPr>
          <w:p w:rsidR="00EB2127" w:rsidRDefault="00EB2127">
            <w:pPr>
              <w:spacing w:before="30" w:after="30"/>
              <w:rPr>
                <w:noProof/>
                <w:sz w:val="16"/>
                <w:szCs w:val="16"/>
              </w:rPr>
            </w:pPr>
          </w:p>
        </w:tc>
        <w:tc>
          <w:tcPr>
            <w:tcW w:w="4420" w:type="dxa"/>
            <w:tcBorders>
              <w:top w:val="nil"/>
              <w:left w:val="nil"/>
              <w:bottom w:val="single" w:sz="4" w:space="0" w:color="auto"/>
              <w:right w:val="nil"/>
            </w:tcBorders>
          </w:tcPr>
          <w:p w:rsidR="00EB2127" w:rsidRDefault="00EB2127">
            <w:pPr>
              <w:spacing w:before="30" w:after="30"/>
              <w:rPr>
                <w:noProof/>
                <w:sz w:val="16"/>
                <w:szCs w:val="16"/>
              </w:rPr>
            </w:pPr>
          </w:p>
        </w:tc>
        <w:tc>
          <w:tcPr>
            <w:tcW w:w="1559" w:type="dxa"/>
            <w:tcBorders>
              <w:top w:val="nil"/>
              <w:left w:val="nil"/>
              <w:bottom w:val="single" w:sz="4" w:space="0" w:color="auto"/>
              <w:right w:val="nil"/>
            </w:tcBorders>
          </w:tcPr>
          <w:p w:rsidR="00EB2127" w:rsidRDefault="00EB2127">
            <w:pPr>
              <w:spacing w:before="30" w:after="30"/>
              <w:rPr>
                <w:noProof/>
                <w:sz w:val="16"/>
                <w:szCs w:val="16"/>
              </w:rPr>
            </w:pP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Marché unique, innovation et numérique</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20 919</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Cohésion, résilience et valeurs</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52 786</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2a.</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Cohésion économique, sociale et territoriale</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noProof/>
                <w:sz w:val="16"/>
                <w:szCs w:val="16"/>
              </w:rPr>
              <w:t>48 191</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2b.</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Résilience et valeurs</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noProof/>
                <w:sz w:val="16"/>
                <w:szCs w:val="16"/>
              </w:rPr>
              <w:t>4 595</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Ressources naturelles et environnement</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58 624</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EB2127">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dont: dépenses relatives au marché et paiements directs</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noProof/>
                <w:sz w:val="16"/>
                <w:szCs w:val="16"/>
              </w:rPr>
              <w:t>40 925</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Migration et gestion des frontières</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2 467</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Sécurité et défense</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1 805</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Voisinage et le monde</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16 247</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b/>
                <w:bCs/>
                <w:noProof/>
                <w:sz w:val="16"/>
                <w:szCs w:val="16"/>
              </w:rPr>
              <w:t>Administration publique européenne</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b/>
                <w:bCs/>
                <w:noProof/>
                <w:sz w:val="16"/>
                <w:szCs w:val="16"/>
              </w:rPr>
              <w:t>10 635</w:t>
            </w:r>
          </w:p>
        </w:tc>
      </w:tr>
      <w:tr w:rsidR="00EB2127">
        <w:trPr>
          <w:jc w:val="center"/>
        </w:trPr>
        <w:tc>
          <w:tcPr>
            <w:tcW w:w="440" w:type="dxa"/>
            <w:tcBorders>
              <w:top w:val="nil"/>
              <w:left w:val="single" w:sz="4" w:space="0" w:color="auto"/>
              <w:bottom w:val="single" w:sz="4" w:space="0" w:color="auto"/>
              <w:right w:val="single" w:sz="4" w:space="0" w:color="auto"/>
            </w:tcBorders>
            <w:vAlign w:val="center"/>
          </w:tcPr>
          <w:p w:rsidR="00EB2127" w:rsidRDefault="00EB2127">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EB2127" w:rsidRDefault="00872645">
            <w:pPr>
              <w:pStyle w:val="NormalLeft"/>
              <w:spacing w:before="30" w:after="30"/>
              <w:rPr>
                <w:noProof/>
                <w:sz w:val="16"/>
                <w:szCs w:val="16"/>
              </w:rPr>
            </w:pPr>
            <w:r>
              <w:rPr>
                <w:noProof/>
                <w:sz w:val="16"/>
                <w:szCs w:val="16"/>
              </w:rPr>
              <w:t>dont: dépenses administratives des institutions</w:t>
            </w:r>
          </w:p>
        </w:tc>
        <w:tc>
          <w:tcPr>
            <w:tcW w:w="1559" w:type="dxa"/>
            <w:tcBorders>
              <w:top w:val="nil"/>
              <w:left w:val="nil"/>
              <w:bottom w:val="single" w:sz="4" w:space="0" w:color="auto"/>
              <w:right w:val="single" w:sz="4" w:space="0" w:color="auto"/>
            </w:tcBorders>
            <w:vAlign w:val="center"/>
          </w:tcPr>
          <w:p w:rsidR="00EB2127" w:rsidRDefault="00872645">
            <w:pPr>
              <w:pStyle w:val="NormalRight"/>
              <w:spacing w:before="30" w:after="30"/>
              <w:rPr>
                <w:noProof/>
                <w:sz w:val="16"/>
                <w:szCs w:val="16"/>
              </w:rPr>
            </w:pPr>
            <w:r>
              <w:rPr>
                <w:noProof/>
                <w:sz w:val="16"/>
                <w:szCs w:val="16"/>
              </w:rPr>
              <w:t>8 216</w:t>
            </w:r>
          </w:p>
        </w:tc>
      </w:tr>
      <w:tr w:rsidR="00EB2127">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EB2127" w:rsidRDefault="00872645">
            <w:pPr>
              <w:pStyle w:val="NormalRight"/>
              <w:spacing w:before="30" w:after="30"/>
              <w:rPr>
                <w:noProof/>
                <w:sz w:val="16"/>
                <w:szCs w:val="16"/>
              </w:rPr>
            </w:pPr>
            <w:r>
              <w:rPr>
                <w:b/>
                <w:bCs/>
                <w:noProof/>
                <w:sz w:val="16"/>
                <w:szCs w:val="16"/>
              </w:rPr>
              <w:t>TOTAL DES ENGAGEMENTS</w:t>
            </w:r>
          </w:p>
        </w:tc>
        <w:tc>
          <w:tcPr>
            <w:tcW w:w="1559" w:type="dxa"/>
            <w:tcBorders>
              <w:top w:val="nil"/>
              <w:left w:val="nil"/>
              <w:bottom w:val="single" w:sz="4" w:space="0" w:color="auto"/>
              <w:right w:val="single" w:sz="4" w:space="0" w:color="auto"/>
            </w:tcBorders>
            <w:shd w:val="clear" w:color="auto" w:fill="D9D9D9"/>
            <w:vAlign w:val="center"/>
          </w:tcPr>
          <w:p w:rsidR="00EB2127" w:rsidRDefault="00872645">
            <w:pPr>
              <w:pStyle w:val="NormalRight"/>
              <w:spacing w:before="30" w:after="30"/>
              <w:rPr>
                <w:noProof/>
                <w:sz w:val="16"/>
                <w:szCs w:val="16"/>
              </w:rPr>
            </w:pPr>
            <w:r>
              <w:rPr>
                <w:b/>
                <w:bCs/>
                <w:noProof/>
                <w:sz w:val="16"/>
                <w:szCs w:val="16"/>
              </w:rPr>
              <w:t>163 483</w:t>
            </w:r>
          </w:p>
        </w:tc>
      </w:tr>
      <w:tr w:rsidR="00EB2127">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EB2127" w:rsidRDefault="00872645">
            <w:pPr>
              <w:pStyle w:val="NormalRight"/>
              <w:spacing w:before="30" w:after="30"/>
              <w:rPr>
                <w:noProof/>
                <w:sz w:val="16"/>
                <w:szCs w:val="16"/>
              </w:rPr>
            </w:pPr>
            <w:r>
              <w:rPr>
                <w:b/>
                <w:bCs/>
                <w:noProof/>
                <w:sz w:val="16"/>
                <w:szCs w:val="16"/>
              </w:rPr>
              <w:t>TOTAL DES PAIEMENTS</w:t>
            </w:r>
          </w:p>
        </w:tc>
        <w:tc>
          <w:tcPr>
            <w:tcW w:w="1559" w:type="dxa"/>
            <w:tcBorders>
              <w:top w:val="nil"/>
              <w:left w:val="nil"/>
              <w:bottom w:val="single" w:sz="4" w:space="0" w:color="auto"/>
              <w:right w:val="single" w:sz="4" w:space="0" w:color="auto"/>
            </w:tcBorders>
            <w:shd w:val="clear" w:color="auto" w:fill="D9D9D9"/>
            <w:vAlign w:val="center"/>
          </w:tcPr>
          <w:p w:rsidR="00EB2127" w:rsidRDefault="00872645">
            <w:pPr>
              <w:pStyle w:val="NormalRight"/>
              <w:spacing w:before="30" w:after="30"/>
              <w:rPr>
                <w:noProof/>
                <w:sz w:val="16"/>
                <w:szCs w:val="16"/>
              </w:rPr>
            </w:pPr>
            <w:r>
              <w:rPr>
                <w:b/>
                <w:bCs/>
                <w:noProof/>
                <w:sz w:val="16"/>
                <w:szCs w:val="16"/>
              </w:rPr>
              <w:t>166 140</w:t>
            </w:r>
          </w:p>
        </w:tc>
      </w:tr>
    </w:tbl>
    <w:p w:rsidR="00EB2127" w:rsidRDefault="00872645">
      <w:pPr>
        <w:spacing w:before="240" w:line="240" w:lineRule="auto"/>
        <w:jc w:val="both"/>
        <w:rPr>
          <w:rFonts w:ascii="Times New Roman" w:hAnsi="Times New Roman"/>
          <w:noProof/>
          <w:sz w:val="24"/>
          <w:szCs w:val="24"/>
        </w:rPr>
      </w:pPr>
      <w:r>
        <w:rPr>
          <w:rFonts w:ascii="Times New Roman" w:hAnsi="Times New Roman"/>
          <w:noProof/>
          <w:sz w:val="24"/>
          <w:szCs w:val="24"/>
        </w:rPr>
        <w:t>Dans le CFP, le plafond global des crédits d’engagement est fixé à 163 483 millions d’EUR, ce qui représente 1,17 % du revenu national brut (RNB) de l’UE</w:t>
      </w:r>
      <w:r>
        <w:rPr>
          <w:rStyle w:val="FootnoteReference"/>
          <w:rFonts w:ascii="Times New Roman" w:hAnsi="Times New Roman"/>
          <w:noProof/>
          <w:sz w:val="24"/>
          <w:szCs w:val="24"/>
        </w:rPr>
        <w:footnoteReference w:id="17"/>
      </w:r>
      <w:r>
        <w:rPr>
          <w:rFonts w:ascii="Times New Roman" w:hAnsi="Times New Roman"/>
          <w:noProof/>
          <w:sz w:val="24"/>
          <w:szCs w:val="24"/>
        </w:rPr>
        <w:t>. Le plafond des crédits de paiement s’établit à 166 140 millions d’EUR, soit à 1,19 % du RNB.</w:t>
      </w:r>
    </w:p>
    <w:p w:rsidR="00EB2127" w:rsidRDefault="00872645">
      <w:pPr>
        <w:pStyle w:val="ListParagraph"/>
        <w:keepNext/>
        <w:keepLines/>
        <w:numPr>
          <w:ilvl w:val="1"/>
          <w:numId w:val="49"/>
        </w:numPr>
        <w:spacing w:before="240" w:after="120"/>
        <w:jc w:val="both"/>
        <w:outlineLvl w:val="1"/>
        <w:rPr>
          <w:b/>
          <w:bCs/>
          <w:iCs/>
          <w:noProof/>
          <w:szCs w:val="28"/>
        </w:rPr>
      </w:pPr>
      <w:bookmarkStart w:id="10" w:name="_Toc58506949"/>
      <w:r>
        <w:rPr>
          <w:b/>
          <w:bCs/>
          <w:iCs/>
          <w:noProof/>
          <w:szCs w:val="28"/>
        </w:rPr>
        <w:t xml:space="preserve">Vue d’ensemble du deuxième </w:t>
      </w:r>
      <w:bookmarkEnd w:id="9"/>
      <w:r>
        <w:rPr>
          <w:b/>
          <w:bCs/>
          <w:iCs/>
          <w:noProof/>
          <w:szCs w:val="28"/>
        </w:rPr>
        <w:t>projet de budget 2021</w:t>
      </w:r>
      <w:bookmarkEnd w:id="10"/>
    </w:p>
    <w:p w:rsidR="00EB2127" w:rsidRDefault="00872645">
      <w:pPr>
        <w:spacing w:before="240" w:after="0" w:line="240" w:lineRule="auto"/>
        <w:jc w:val="right"/>
        <w:rPr>
          <w:rFonts w:ascii="Times New Roman" w:hAnsi="Times New Roman"/>
          <w:i/>
          <w:noProof/>
          <w:sz w:val="16"/>
          <w:szCs w:val="16"/>
        </w:rPr>
      </w:pPr>
      <w:r>
        <w:rPr>
          <w:rFonts w:ascii="Times New Roman" w:hAnsi="Times New Roman"/>
          <w:i/>
          <w:noProof/>
          <w:sz w:val="16"/>
          <w:szCs w:val="16"/>
        </w:rPr>
        <w:t>en Mio EUR, aux prix courants</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rsidR="00EB2127">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Rubriques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(A)</w:t>
            </w:r>
          </w:p>
        </w:tc>
        <w:tc>
          <w:tcPr>
            <w:tcW w:w="1701" w:type="dxa"/>
            <w:gridSpan w:val="2"/>
            <w:tcBorders>
              <w:top w:val="single" w:sz="8" w:space="0" w:color="000000"/>
              <w:left w:val="nil"/>
              <w:bottom w:val="single" w:sz="4" w:space="0" w:color="000000"/>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 – A)</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 / A)</w:t>
            </w:r>
          </w:p>
        </w:tc>
      </w:tr>
      <w:tr w:rsidR="00EB2127">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EB2127" w:rsidRDefault="00EB2127">
            <w:pPr>
              <w:spacing w:after="0" w:line="240" w:lineRule="auto"/>
              <w:rPr>
                <w:rFonts w:ascii="Times New Roman" w:eastAsia="Times New Roman" w:hAnsi="Times New Roman"/>
                <w:b/>
                <w:bCs/>
                <w:noProof/>
                <w:sz w:val="16"/>
                <w:szCs w:val="16"/>
                <w:lang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 xml:space="preserve">Budget 2020 </w:t>
            </w:r>
            <w:r>
              <w:rPr>
                <w:noProof/>
              </w:rPr>
              <w:t xml:space="preserve"> </w:t>
            </w:r>
            <w:r>
              <w:rPr>
                <w:noProof/>
              </w:rPr>
              <w:br/>
            </w:r>
            <w:r>
              <w:rPr>
                <w:rFonts w:ascii="Times New Roman" w:hAnsi="Times New Roman"/>
                <w:b/>
                <w:bCs/>
                <w:noProof/>
                <w:sz w:val="16"/>
                <w:szCs w:val="16"/>
              </w:rPr>
              <w:t>(1)</w:t>
            </w:r>
          </w:p>
        </w:tc>
        <w:tc>
          <w:tcPr>
            <w:tcW w:w="1701" w:type="dxa"/>
            <w:gridSpan w:val="2"/>
            <w:tcBorders>
              <w:top w:val="single" w:sz="4" w:space="0" w:color="000000"/>
              <w:left w:val="nil"/>
              <w:bottom w:val="nil"/>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Deuxième projet de budget 2021</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Différence 2021 – 2020</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Différence</w:t>
            </w:r>
          </w:p>
        </w:tc>
      </w:tr>
      <w:tr w:rsidR="00EB2127">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EB2127" w:rsidRDefault="00EB2127">
            <w:pPr>
              <w:spacing w:after="0" w:line="240" w:lineRule="auto"/>
              <w:rPr>
                <w:rFonts w:ascii="Times New Roman" w:eastAsia="Times New Roman" w:hAnsi="Times New Roman"/>
                <w:b/>
                <w:bCs/>
                <w:noProof/>
                <w:sz w:val="16"/>
                <w:szCs w:val="16"/>
                <w:lang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nil"/>
              <w:left w:val="nil"/>
              <w:bottom w:val="single" w:sz="8"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r>
      <w:tr w:rsidR="00EB2127">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2693"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MARCHÉ UNIQUE, INNOVATION ET NUMÉRIQUE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51"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auto"/>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COHÉSION, RÉSILIENCE ET VALEURS</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Cohésion économique, sociale et territoriale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Résilience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RESSOURCES NATURELLES ET ENVIRONNEMENT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52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Fonds européen agricole de garantie (FEAGA) — Dépenses relatives au marché et paiements directs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Transfert net entre le FEAGA et le Feader</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Marge FEAGA</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2693"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MIGRATION ET GESTION DES FRONTIÈRES</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51"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SÉCURITÉ ET DÉFENSE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VOISINAGE ET LE MONDE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ADMINISTRATION PUBLIQUE EUROPÉENNE</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Écoles européennes et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rsidR="00EB2127">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double" w:sz="6"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CRÉDITS POUR LES RUBRIQUES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8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uble" w:sz="6"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single" w:sz="4" w:space="0" w:color="auto"/>
              <w:right w:val="single" w:sz="8"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Instruments spéciaux thématiques (3)</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51"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rsidR="00EB2127">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Hors CFP</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rsidR="00EB2127">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double" w:sz="6"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TOTAL DES CRÉDITS</w:t>
            </w:r>
          </w:p>
        </w:tc>
        <w:tc>
          <w:tcPr>
            <w:tcW w:w="850" w:type="dxa"/>
            <w:tcBorders>
              <w:top w:val="double" w:sz="6" w:space="0" w:color="000000"/>
              <w:left w:val="single" w:sz="8" w:space="0" w:color="000000"/>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5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5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nil"/>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rsidR="00EB2127">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8"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90"/>
        </w:trPr>
        <w:tc>
          <w:tcPr>
            <w:tcW w:w="9913" w:type="dxa"/>
            <w:gridSpan w:val="10"/>
            <w:tcBorders>
              <w:top w:val="nil"/>
              <w:left w:val="nil"/>
              <w:bottom w:val="nil"/>
              <w:right w:val="nil"/>
            </w:tcBorders>
            <w:shd w:val="clear" w:color="auto" w:fill="auto"/>
            <w:vAlign w:val="bottom"/>
            <w:hideMark/>
          </w:tcPr>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(1) Le budget 2020 inclut les budgets rectificatifs nº 1 à nº 8 et le projet de budget rectificatif nº 10.</w:t>
            </w:r>
          </w:p>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(2) Le deuxième projet de budget 2021 est fondé sur les prévisions du RNB telles qu’elles ont été présentées dans les prévisions économiques du printemps publiées le 6 mai 2020.</w:t>
            </w:r>
          </w:p>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(3) Les instruments spéciaux thématiques englobent la «réserve de solidarité et d’aide d’urgence», le «Fonds européen d’ajustement à la mondialisation (FEM)», le «Fonds de solidarité de l’Union européenne (FSUE)» et la réserve d’ajustement au Brexit.</w:t>
            </w:r>
          </w:p>
        </w:tc>
      </w:tr>
      <w:tr w:rsidR="00EB2127">
        <w:trPr>
          <w:trHeight w:val="260"/>
        </w:trPr>
        <w:tc>
          <w:tcPr>
            <w:tcW w:w="416"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color w:val="000000"/>
                <w:sz w:val="16"/>
                <w:szCs w:val="16"/>
                <w:lang w:eastAsia="en-GB"/>
              </w:rPr>
            </w:pPr>
          </w:p>
        </w:tc>
        <w:tc>
          <w:tcPr>
            <w:tcW w:w="2693"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EB2127" w:rsidRDefault="00EB2127">
            <w:pPr>
              <w:spacing w:after="0" w:line="240" w:lineRule="auto"/>
              <w:rPr>
                <w:rFonts w:ascii="Times New Roman" w:eastAsia="Times New Roman" w:hAnsi="Times New Roman"/>
                <w:noProof/>
                <w:sz w:val="16"/>
                <w:szCs w:val="16"/>
                <w:lang w:eastAsia="en-GB"/>
              </w:rPr>
            </w:pPr>
          </w:p>
        </w:tc>
      </w:tr>
    </w:tbl>
    <w:p w:rsidR="00EB2127" w:rsidRDefault="00872645">
      <w:pPr>
        <w:spacing w:before="240" w:line="240" w:lineRule="auto"/>
        <w:jc w:val="both"/>
        <w:rPr>
          <w:rFonts w:ascii="Times New Roman" w:hAnsi="Times New Roman"/>
          <w:noProof/>
          <w:sz w:val="24"/>
          <w:szCs w:val="24"/>
        </w:rPr>
      </w:pPr>
      <w:r>
        <w:rPr>
          <w:rFonts w:ascii="Times New Roman" w:hAnsi="Times New Roman"/>
          <w:noProof/>
          <w:sz w:val="24"/>
          <w:szCs w:val="24"/>
        </w:rPr>
        <w:t xml:space="preserve">En ce qui concerne les </w:t>
      </w:r>
      <w:r>
        <w:rPr>
          <w:rFonts w:ascii="Times New Roman" w:hAnsi="Times New Roman"/>
          <w:b/>
          <w:noProof/>
          <w:sz w:val="24"/>
          <w:szCs w:val="24"/>
        </w:rPr>
        <w:t>crédits d’</w:t>
      </w:r>
      <w:r>
        <w:rPr>
          <w:rFonts w:ascii="Times New Roman" w:hAnsi="Times New Roman"/>
          <w:b/>
          <w:i/>
          <w:iCs/>
          <w:noProof/>
          <w:sz w:val="24"/>
          <w:szCs w:val="24"/>
        </w:rPr>
        <w:t>engagement</w:t>
      </w:r>
      <w:r>
        <w:rPr>
          <w:rFonts w:ascii="Times New Roman" w:hAnsi="Times New Roman"/>
          <w:noProof/>
          <w:sz w:val="24"/>
          <w:szCs w:val="24"/>
        </w:rPr>
        <w:t xml:space="preserve"> (instruments spéciaux thématiques compris), le total des dépenses proposées dans le deuxième projet de budget (PB) 2021 est fixé à 164 251,5 millions d’EUR. Globalement, il subsiste ainsi une marge de 778,8 millions d’EUR en crédits d’engagement sous les plafonds du CFP pour 2021.</w:t>
      </w:r>
    </w:p>
    <w:p w:rsidR="00EB2127" w:rsidRDefault="00872645">
      <w:pPr>
        <w:spacing w:before="240" w:line="240" w:lineRule="auto"/>
        <w:jc w:val="both"/>
        <w:rPr>
          <w:rFonts w:ascii="Times New Roman" w:hAnsi="Times New Roman"/>
          <w:noProof/>
          <w:sz w:val="24"/>
          <w:szCs w:val="24"/>
        </w:rPr>
      </w:pPr>
      <w:r>
        <w:rPr>
          <w:rFonts w:ascii="Times New Roman" w:hAnsi="Times New Roman"/>
          <w:noProof/>
          <w:sz w:val="24"/>
          <w:szCs w:val="24"/>
        </w:rPr>
        <w:t xml:space="preserve">S’agissant des </w:t>
      </w:r>
      <w:r>
        <w:rPr>
          <w:rFonts w:ascii="Times New Roman" w:hAnsi="Times New Roman"/>
          <w:b/>
          <w:noProof/>
          <w:sz w:val="24"/>
          <w:szCs w:val="24"/>
        </w:rPr>
        <w:t xml:space="preserve">crédits de </w:t>
      </w:r>
      <w:r>
        <w:rPr>
          <w:rFonts w:ascii="Times New Roman" w:hAnsi="Times New Roman"/>
          <w:b/>
          <w:i/>
          <w:iCs/>
          <w:noProof/>
          <w:sz w:val="24"/>
          <w:szCs w:val="24"/>
        </w:rPr>
        <w:t>paiement</w:t>
      </w:r>
      <w:r>
        <w:rPr>
          <w:rFonts w:ascii="Times New Roman" w:hAnsi="Times New Roman"/>
          <w:noProof/>
          <w:sz w:val="24"/>
          <w:szCs w:val="24"/>
        </w:rPr>
        <w:t xml:space="preserve"> (instruments spéciaux thématiques compris), le montant total demandé pour les dépenses s’élève à 166 060,5 millions d’EUR. De ce fait, il subsiste globalement une marge de 2 001,4 millions d’EUR en crédits de paiement sous les plafonds du CFP pour 2021.</w:t>
      </w:r>
    </w:p>
    <w:p w:rsidR="00EB2127" w:rsidRDefault="00872645">
      <w:pPr>
        <w:spacing w:before="240" w:line="240" w:lineRule="auto"/>
        <w:jc w:val="both"/>
        <w:rPr>
          <w:rFonts w:ascii="Times New Roman" w:hAnsi="Times New Roman"/>
          <w:noProof/>
          <w:sz w:val="24"/>
          <w:szCs w:val="24"/>
        </w:rPr>
      </w:pPr>
      <w:r>
        <w:rPr>
          <w:rFonts w:ascii="Times New Roman" w:hAnsi="Times New Roman"/>
          <w:noProof/>
          <w:sz w:val="24"/>
          <w:szCs w:val="24"/>
        </w:rPr>
        <w:t>L’</w:t>
      </w:r>
      <w:r>
        <w:rPr>
          <w:rFonts w:ascii="Times New Roman" w:hAnsi="Times New Roman"/>
          <w:b/>
          <w:noProof/>
          <w:sz w:val="24"/>
          <w:szCs w:val="24"/>
        </w:rPr>
        <w:t>instrument de flexibilité</w:t>
      </w:r>
      <w:r>
        <w:rPr>
          <w:rFonts w:ascii="Times New Roman" w:hAnsi="Times New Roman"/>
          <w:noProof/>
          <w:sz w:val="24"/>
          <w:szCs w:val="24"/>
        </w:rPr>
        <w:t xml:space="preserve"> pour 2021 est mobilisé, en crédits d’engagement, pour un montant de 76,4 millions d’EUR en faveur de la rubrique 2b «Résilience et valeurs».</w:t>
      </w:r>
    </w:p>
    <w:p w:rsidR="00EB2127" w:rsidRDefault="00872645">
      <w:pPr>
        <w:spacing w:before="240" w:line="240" w:lineRule="auto"/>
        <w:jc w:val="both"/>
        <w:rPr>
          <w:rFonts w:ascii="Times New Roman" w:hAnsi="Times New Roman"/>
          <w:noProof/>
          <w:sz w:val="23"/>
        </w:rPr>
      </w:pPr>
      <w:r>
        <w:rPr>
          <w:rFonts w:ascii="Times New Roman" w:hAnsi="Times New Roman"/>
          <w:noProof/>
          <w:sz w:val="24"/>
          <w:szCs w:val="24"/>
        </w:rPr>
        <w:t>La Commission estime à 628,5 millions d’EUR les crédits de paiement pour 2021 liés à la mobilisation de l’instrument de flexibilité en 2018, 2019, 2020 et 2021. L’échéancier de paiement estimé relatif aux montants correspondants dus pour ces exercices est exposé dans le tableau suivant:</w:t>
      </w:r>
    </w:p>
    <w:tbl>
      <w:tblPr>
        <w:tblW w:w="8123" w:type="dxa"/>
        <w:tblLook w:val="04A0" w:firstRow="1" w:lastRow="0" w:firstColumn="1" w:lastColumn="0" w:noHBand="0" w:noVBand="1"/>
      </w:tblPr>
      <w:tblGrid>
        <w:gridCol w:w="2223"/>
        <w:gridCol w:w="1146"/>
        <w:gridCol w:w="1206"/>
        <w:gridCol w:w="1206"/>
        <w:gridCol w:w="1131"/>
        <w:gridCol w:w="1211"/>
      </w:tblGrid>
      <w:tr w:rsidR="00EB2127">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center"/>
              <w:rPr>
                <w:rFonts w:ascii="Times New Roman" w:eastAsia="Times New Roman" w:hAnsi="Times New Roman"/>
                <w:i/>
                <w:iCs/>
                <w:noProof/>
                <w:sz w:val="20"/>
                <w:szCs w:val="20"/>
              </w:rPr>
            </w:pPr>
            <w:r>
              <w:rPr>
                <w:rFonts w:ascii="Times New Roman" w:hAnsi="Times New Roman"/>
                <w:i/>
                <w:iCs/>
                <w:noProof/>
                <w:sz w:val="20"/>
                <w:szCs w:val="20"/>
              </w:rPr>
              <w:t>Instrument de flexibilité - profil de paiement</w:t>
            </w:r>
          </w:p>
        </w:tc>
      </w:tr>
      <w:tr w:rsidR="00EB2127">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rPr>
                <w:rFonts w:ascii="Times New Roman" w:eastAsia="Times New Roman" w:hAnsi="Times New Roman"/>
                <w:i/>
                <w:iCs/>
                <w:noProof/>
              </w:rPr>
            </w:pPr>
            <w:r>
              <w:rPr>
                <w:rFonts w:ascii="Times New Roman" w:hAnsi="Times New Roman"/>
                <w:i/>
                <w:iCs/>
                <w:noProof/>
              </w:rPr>
              <w:t>Exercice de la mobilisation</w:t>
            </w:r>
          </w:p>
        </w:tc>
        <w:tc>
          <w:tcPr>
            <w:tcW w:w="114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2021</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2022</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2023</w:t>
            </w:r>
          </w:p>
        </w:tc>
        <w:tc>
          <w:tcPr>
            <w:tcW w:w="1131"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2024</w:t>
            </w:r>
          </w:p>
        </w:tc>
        <w:tc>
          <w:tcPr>
            <w:tcW w:w="1210"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Total</w:t>
            </w:r>
          </w:p>
        </w:tc>
      </w:tr>
      <w:tr w:rsidR="00EB2127">
        <w:trPr>
          <w:trHeight w:val="288"/>
        </w:trPr>
        <w:tc>
          <w:tcPr>
            <w:tcW w:w="2223" w:type="dxa"/>
            <w:tcBorders>
              <w:top w:val="nil"/>
              <w:left w:val="single" w:sz="4" w:space="0" w:color="auto"/>
              <w:bottom w:val="nil"/>
              <w:right w:val="nil"/>
            </w:tcBorders>
            <w:shd w:val="clear" w:color="auto" w:fill="auto"/>
            <w:noWrap/>
            <w:vAlign w:val="bottom"/>
            <w:hideMark/>
          </w:tcPr>
          <w:p w:rsidR="00EB2127" w:rsidRDefault="00872645">
            <w:pPr>
              <w:spacing w:after="0" w:line="240" w:lineRule="auto"/>
              <w:rPr>
                <w:rFonts w:ascii="Times New Roman" w:eastAsia="Times New Roman" w:hAnsi="Times New Roman"/>
                <w:noProof/>
                <w:color w:val="000000"/>
              </w:rPr>
            </w:pPr>
            <w:r>
              <w:rPr>
                <w:rFonts w:ascii="Times New Roman" w:hAnsi="Times New Roman"/>
                <w:noProof/>
                <w:color w:val="000000"/>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34,2</w:t>
            </w:r>
          </w:p>
        </w:tc>
        <w:tc>
          <w:tcPr>
            <w:tcW w:w="1206" w:type="dxa"/>
            <w:tcBorders>
              <w:top w:val="single" w:sz="4" w:space="0" w:color="auto"/>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06" w:type="dxa"/>
            <w:tcBorders>
              <w:top w:val="single" w:sz="4" w:space="0" w:color="auto"/>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131" w:type="dxa"/>
            <w:tcBorders>
              <w:top w:val="single" w:sz="4" w:space="0" w:color="auto"/>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single" w:sz="4" w:space="0" w:color="auto"/>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34,2</w:t>
            </w:r>
          </w:p>
        </w:tc>
      </w:tr>
      <w:tr w:rsidR="00EB2127">
        <w:trPr>
          <w:trHeight w:val="288"/>
        </w:trPr>
        <w:tc>
          <w:tcPr>
            <w:tcW w:w="2223" w:type="dxa"/>
            <w:tcBorders>
              <w:top w:val="nil"/>
              <w:left w:val="single" w:sz="4" w:space="0" w:color="auto"/>
              <w:bottom w:val="nil"/>
              <w:right w:val="nil"/>
            </w:tcBorders>
            <w:shd w:val="clear" w:color="auto" w:fill="auto"/>
            <w:noWrap/>
            <w:vAlign w:val="bottom"/>
            <w:hideMark/>
          </w:tcPr>
          <w:p w:rsidR="00EB2127" w:rsidRDefault="00872645">
            <w:pPr>
              <w:spacing w:after="0" w:line="240" w:lineRule="auto"/>
              <w:rPr>
                <w:rFonts w:ascii="Times New Roman" w:eastAsia="Times New Roman" w:hAnsi="Times New Roman"/>
                <w:noProof/>
                <w:color w:val="000000"/>
              </w:rPr>
            </w:pPr>
            <w:r>
              <w:rPr>
                <w:rFonts w:ascii="Times New Roman" w:hAnsi="Times New Roman"/>
                <w:noProof/>
                <w:color w:val="000000"/>
              </w:rPr>
              <w:t>2019</w:t>
            </w:r>
          </w:p>
        </w:tc>
        <w:tc>
          <w:tcPr>
            <w:tcW w:w="1146" w:type="dxa"/>
            <w:tcBorders>
              <w:top w:val="nil"/>
              <w:left w:val="single" w:sz="4" w:space="0" w:color="auto"/>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135,2</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140,9</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82,2</w:t>
            </w:r>
          </w:p>
        </w:tc>
        <w:tc>
          <w:tcPr>
            <w:tcW w:w="1131"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358,4</w:t>
            </w:r>
          </w:p>
        </w:tc>
      </w:tr>
      <w:tr w:rsidR="00EB2127">
        <w:trPr>
          <w:trHeight w:val="288"/>
        </w:trPr>
        <w:tc>
          <w:tcPr>
            <w:tcW w:w="2223" w:type="dxa"/>
            <w:tcBorders>
              <w:top w:val="nil"/>
              <w:left w:val="single" w:sz="4" w:space="0" w:color="auto"/>
              <w:bottom w:val="nil"/>
              <w:right w:val="nil"/>
            </w:tcBorders>
            <w:shd w:val="clear" w:color="auto" w:fill="auto"/>
            <w:noWrap/>
            <w:vAlign w:val="bottom"/>
            <w:hideMark/>
          </w:tcPr>
          <w:p w:rsidR="00EB2127" w:rsidRDefault="00872645">
            <w:pPr>
              <w:spacing w:after="0" w:line="240" w:lineRule="auto"/>
              <w:rPr>
                <w:rFonts w:ascii="Times New Roman" w:eastAsia="Times New Roman" w:hAnsi="Times New Roman"/>
                <w:noProof/>
                <w:color w:val="000000"/>
              </w:rPr>
            </w:pPr>
            <w:r>
              <w:rPr>
                <w:rFonts w:ascii="Times New Roman" w:hAnsi="Times New Roman"/>
                <w:noProof/>
                <w:color w:val="000000"/>
              </w:rPr>
              <w:t>2020</w:t>
            </w:r>
          </w:p>
        </w:tc>
        <w:tc>
          <w:tcPr>
            <w:tcW w:w="1146" w:type="dxa"/>
            <w:tcBorders>
              <w:top w:val="nil"/>
              <w:left w:val="single" w:sz="4" w:space="0" w:color="auto"/>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413,7</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66,2</w:t>
            </w:r>
          </w:p>
        </w:tc>
        <w:tc>
          <w:tcPr>
            <w:tcW w:w="1206"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39,9</w:t>
            </w:r>
          </w:p>
        </w:tc>
        <w:tc>
          <w:tcPr>
            <w:tcW w:w="1131"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519,8</w:t>
            </w:r>
          </w:p>
        </w:tc>
      </w:tr>
      <w:tr w:rsidR="00EB2127">
        <w:trPr>
          <w:trHeight w:val="288"/>
        </w:trPr>
        <w:tc>
          <w:tcPr>
            <w:tcW w:w="2223" w:type="dxa"/>
            <w:tcBorders>
              <w:top w:val="nil"/>
              <w:left w:val="single" w:sz="4" w:space="0" w:color="auto"/>
              <w:bottom w:val="nil"/>
              <w:right w:val="nil"/>
            </w:tcBorders>
            <w:shd w:val="clear" w:color="auto" w:fill="auto"/>
            <w:noWrap/>
            <w:vAlign w:val="bottom"/>
            <w:hideMark/>
          </w:tcPr>
          <w:p w:rsidR="00EB2127" w:rsidRDefault="00872645">
            <w:pPr>
              <w:spacing w:after="0" w:line="240" w:lineRule="auto"/>
              <w:rPr>
                <w:rFonts w:ascii="Times New Roman" w:eastAsia="Times New Roman" w:hAnsi="Times New Roman"/>
                <w:noProof/>
                <w:color w:val="000000"/>
              </w:rPr>
            </w:pPr>
            <w:r>
              <w:rPr>
                <w:rFonts w:ascii="Times New Roman" w:hAnsi="Times New Roman"/>
                <w:noProof/>
                <w:color w:val="000000"/>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noProof/>
                <w:color w:val="000000"/>
              </w:rPr>
            </w:pPr>
            <w:r>
              <w:rPr>
                <w:rFonts w:ascii="Times New Roman" w:hAnsi="Times New Roman"/>
                <w:noProof/>
                <w:color w:val="000000"/>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76,4</w:t>
            </w:r>
          </w:p>
        </w:tc>
      </w:tr>
      <w:tr w:rsidR="00EB2127">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127" w:rsidRDefault="00872645">
            <w:pPr>
              <w:spacing w:after="0" w:line="240" w:lineRule="auto"/>
              <w:rPr>
                <w:rFonts w:ascii="Times New Roman" w:eastAsia="Times New Roman" w:hAnsi="Times New Roman"/>
                <w:b/>
                <w:bCs/>
                <w:noProof/>
                <w:color w:val="000000"/>
              </w:rPr>
            </w:pPr>
            <w:r>
              <w:rPr>
                <w:rFonts w:ascii="Times New Roman" w:hAnsi="Times New Roman"/>
                <w:b/>
                <w:bCs/>
                <w:noProof/>
                <w:color w:val="000000"/>
              </w:rPr>
              <w:t>Total</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EB2127" w:rsidRDefault="00872645">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988,7</w:t>
            </w:r>
          </w:p>
        </w:tc>
      </w:tr>
    </w:tbl>
    <w:p w:rsidR="00EB2127" w:rsidRDefault="00EB2127">
      <w:pPr>
        <w:spacing w:line="240" w:lineRule="auto"/>
        <w:jc w:val="both"/>
        <w:rPr>
          <w:rFonts w:ascii="Times New Roman" w:hAnsi="Times New Roman"/>
          <w:noProof/>
          <w:sz w:val="23"/>
        </w:rPr>
      </w:pP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Marché unique, innovation et numérique</w:t>
      </w:r>
      <w:r>
        <w:rPr>
          <w:rFonts w:ascii="Times New Roman" w:hAnsi="Times New Roman"/>
          <w:noProof/>
          <w:sz w:val="24"/>
          <w:szCs w:val="24"/>
        </w:rPr>
        <w:t xml:space="preserve"> sont fixés à 20 816,6 millions d’EUR, ce qui laisse une marge de 102,4 millions d’EUR sous le plafond des dépenses de la </w:t>
      </w:r>
      <w:r>
        <w:rPr>
          <w:rFonts w:ascii="Times New Roman" w:hAnsi="Times New Roman"/>
          <w:b/>
          <w:noProof/>
          <w:sz w:val="24"/>
          <w:szCs w:val="24"/>
        </w:rPr>
        <w:t>rubrique 1</w:t>
      </w:r>
      <w:r>
        <w:rPr>
          <w:rFonts w:ascii="Times New Roman" w:hAnsi="Times New Roman"/>
          <w:noProof/>
          <w:sz w:val="24"/>
          <w:szCs w:val="24"/>
        </w:rPr>
        <w:t>. Les crédits de paiement s’établissent à 17 191,6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2a</w:t>
      </w:r>
      <w:r>
        <w:rPr>
          <w:rFonts w:ascii="Times New Roman" w:hAnsi="Times New Roman"/>
          <w:noProof/>
          <w:sz w:val="24"/>
          <w:szCs w:val="24"/>
        </w:rPr>
        <w:t xml:space="preserve">, </w:t>
      </w:r>
      <w:r>
        <w:rPr>
          <w:rFonts w:ascii="Times New Roman" w:hAnsi="Times New Roman"/>
          <w:b/>
          <w:noProof/>
          <w:sz w:val="24"/>
          <w:szCs w:val="24"/>
        </w:rPr>
        <w:t>Cohésion économique, sociale et territoriale</w:t>
      </w:r>
      <w:r>
        <w:rPr>
          <w:rFonts w:ascii="Times New Roman" w:hAnsi="Times New Roman"/>
          <w:noProof/>
          <w:sz w:val="24"/>
          <w:szCs w:val="24"/>
        </w:rPr>
        <w:t>, les crédits d’engagement sont fixés à 48 190,5 millions d’EUR, ce qui laisse une marge de 0,5 million d’EUR sous le plafond des dépenses de la rubrique. Les crédits de paiement s’élèvent à 48 190,5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2b</w:t>
      </w:r>
      <w:r>
        <w:rPr>
          <w:rFonts w:ascii="Times New Roman" w:hAnsi="Times New Roman"/>
          <w:noProof/>
          <w:sz w:val="24"/>
          <w:szCs w:val="24"/>
        </w:rPr>
        <w:t xml:space="preserve">, </w:t>
      </w:r>
      <w:r>
        <w:rPr>
          <w:rFonts w:ascii="Times New Roman" w:hAnsi="Times New Roman"/>
          <w:b/>
          <w:noProof/>
          <w:sz w:val="24"/>
          <w:szCs w:val="24"/>
        </w:rPr>
        <w:t>Résilience et valeurs</w:t>
      </w:r>
      <w:r>
        <w:rPr>
          <w:rFonts w:ascii="Times New Roman" w:hAnsi="Times New Roman"/>
          <w:noProof/>
          <w:sz w:val="24"/>
          <w:szCs w:val="24"/>
        </w:rPr>
        <w:t>, les crédits d’engagement sont fixés à 4 671,4 millions d’EUR, sans qu’il subsiste de marge sous le plafond des dépenses de cette rubrique et compte tenu de la mobilisation de l’instrument de flexibilité à hauteur de 76,4 millions d’EUR. Les crédits de paiement s’établissent à 4 285,9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Sous la </w:t>
      </w:r>
      <w:r>
        <w:rPr>
          <w:rFonts w:ascii="Times New Roman" w:hAnsi="Times New Roman"/>
          <w:b/>
          <w:noProof/>
          <w:sz w:val="24"/>
          <w:szCs w:val="24"/>
        </w:rPr>
        <w:t>rubrique 3</w:t>
      </w:r>
      <w:r>
        <w:rPr>
          <w:rFonts w:ascii="Times New Roman" w:hAnsi="Times New Roman"/>
          <w:noProof/>
          <w:sz w:val="24"/>
          <w:szCs w:val="24"/>
        </w:rPr>
        <w:t xml:space="preserve">, </w:t>
      </w:r>
      <w:r>
        <w:rPr>
          <w:rFonts w:ascii="Times New Roman" w:hAnsi="Times New Roman"/>
          <w:b/>
          <w:noProof/>
          <w:sz w:val="24"/>
          <w:szCs w:val="24"/>
        </w:rPr>
        <w:t>Ressources naturelles et environnement</w:t>
      </w:r>
      <w:r>
        <w:rPr>
          <w:rFonts w:ascii="Times New Roman" w:hAnsi="Times New Roman"/>
          <w:noProof/>
          <w:sz w:val="24"/>
          <w:szCs w:val="24"/>
        </w:rPr>
        <w:t>, le niveau des crédits d’engagement est fixé à 58 568,6 millions d’EUR, laissant une marge de 55,4 millions d’EUR sous le plafond des dépenses de cette rubrique. Les crédits de paiement s’élèvent à 56 804,2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Migration et gestion des frontières</w:t>
      </w:r>
      <w:r>
        <w:rPr>
          <w:rFonts w:ascii="Times New Roman" w:hAnsi="Times New Roman"/>
          <w:noProof/>
          <w:sz w:val="24"/>
          <w:szCs w:val="24"/>
        </w:rPr>
        <w:t xml:space="preserve"> sont fixés à 2 278,8 millions d’EUR, ce qui laisse une marge de 188,2 millions d’EUR sous le plafond des dépenses de la </w:t>
      </w:r>
      <w:r>
        <w:rPr>
          <w:rFonts w:ascii="Times New Roman" w:hAnsi="Times New Roman"/>
          <w:b/>
          <w:noProof/>
          <w:sz w:val="24"/>
          <w:szCs w:val="24"/>
        </w:rPr>
        <w:t>rubrique 4</w:t>
      </w:r>
      <w:r>
        <w:rPr>
          <w:rFonts w:ascii="Times New Roman" w:hAnsi="Times New Roman"/>
          <w:noProof/>
          <w:sz w:val="24"/>
          <w:szCs w:val="24"/>
        </w:rPr>
        <w:t>. Les crédits de paiement s’élèvent à 2 686,2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5</w:t>
      </w:r>
      <w:r>
        <w:rPr>
          <w:rFonts w:ascii="Times New Roman" w:hAnsi="Times New Roman"/>
          <w:noProof/>
          <w:sz w:val="24"/>
          <w:szCs w:val="24"/>
        </w:rPr>
        <w:t xml:space="preserve">, </w:t>
      </w:r>
      <w:r>
        <w:rPr>
          <w:rFonts w:ascii="Times New Roman" w:hAnsi="Times New Roman"/>
          <w:b/>
          <w:noProof/>
          <w:sz w:val="24"/>
          <w:szCs w:val="24"/>
        </w:rPr>
        <w:t>Sécurité et défense</w:t>
      </w:r>
      <w:r>
        <w:rPr>
          <w:rFonts w:ascii="Times New Roman" w:hAnsi="Times New Roman"/>
          <w:noProof/>
          <w:sz w:val="24"/>
          <w:szCs w:val="24"/>
        </w:rPr>
        <w:t>, les crédits d’engagement sont fixés à 1 709,3 millions d’EUR, ce qui laisse une marge de 95,7 millions d’EUR sous le plafond des dépenses de cette rubrique. Les crédits de paiement s’établissent à 670,6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Voisinage et le monde</w:t>
      </w:r>
      <w:r>
        <w:rPr>
          <w:rFonts w:ascii="Times New Roman" w:hAnsi="Times New Roman"/>
          <w:noProof/>
          <w:sz w:val="24"/>
          <w:szCs w:val="24"/>
        </w:rPr>
        <w:t xml:space="preserve"> sont fixés à 16 097,2 millions d’EUR, ce qui laisse une marge de 149,8 millions d’EUR sous le plafond des dépenses de la </w:t>
      </w:r>
      <w:r>
        <w:rPr>
          <w:rFonts w:ascii="Times New Roman" w:hAnsi="Times New Roman"/>
          <w:b/>
          <w:noProof/>
          <w:sz w:val="24"/>
          <w:szCs w:val="24"/>
        </w:rPr>
        <w:t>rubrique 6</w:t>
      </w:r>
      <w:r>
        <w:rPr>
          <w:rFonts w:ascii="Times New Roman" w:hAnsi="Times New Roman"/>
          <w:noProof/>
          <w:sz w:val="24"/>
          <w:szCs w:val="24"/>
        </w:rPr>
        <w:t>. Les crédits de paiement s’élèvent à 10 811,0 millions d’EUR.</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Toutes institutions confondues, et en incluant les pensions et les écoles européennes, les crédits d’engagement et les crédits de paiement pour l’</w:t>
      </w:r>
      <w:r>
        <w:rPr>
          <w:rFonts w:ascii="Times New Roman" w:hAnsi="Times New Roman"/>
          <w:b/>
          <w:noProof/>
          <w:sz w:val="24"/>
          <w:szCs w:val="24"/>
        </w:rPr>
        <w:t>Administration</w:t>
      </w:r>
      <w:r>
        <w:rPr>
          <w:rFonts w:ascii="Times New Roman" w:hAnsi="Times New Roman"/>
          <w:noProof/>
          <w:sz w:val="24"/>
          <w:szCs w:val="24"/>
        </w:rPr>
        <w:t xml:space="preserve"> (</w:t>
      </w:r>
      <w:r>
        <w:rPr>
          <w:rFonts w:ascii="Times New Roman" w:hAnsi="Times New Roman"/>
          <w:b/>
          <w:noProof/>
          <w:sz w:val="24"/>
          <w:szCs w:val="24"/>
        </w:rPr>
        <w:t>rubrique 7</w:t>
      </w:r>
      <w:r>
        <w:rPr>
          <w:rFonts w:ascii="Times New Roman" w:hAnsi="Times New Roman"/>
          <w:noProof/>
          <w:sz w:val="24"/>
          <w:szCs w:val="24"/>
        </w:rPr>
        <w:t>) sont fixés respectivement à 10 448,3 et 10 449,6 millions d’EUR. Il en résulte une marge non allouée de 186,7 millions d’EUR.</w:t>
      </w:r>
    </w:p>
    <w:p w:rsidR="00EB2127" w:rsidRDefault="00872645">
      <w:pPr>
        <w:spacing w:after="0" w:line="240" w:lineRule="auto"/>
        <w:rPr>
          <w:rFonts w:ascii="Times New Roman" w:hAnsi="Times New Roman"/>
          <w:noProof/>
          <w:sz w:val="24"/>
          <w:szCs w:val="24"/>
        </w:rPr>
      </w:pPr>
      <w:r>
        <w:rPr>
          <w:noProof/>
        </w:rPr>
        <w:br w:type="page"/>
      </w:r>
    </w:p>
    <w:p w:rsidR="00EB2127" w:rsidRDefault="00872645">
      <w:pPr>
        <w:pStyle w:val="ListParagraph"/>
        <w:keepNext/>
        <w:numPr>
          <w:ilvl w:val="0"/>
          <w:numId w:val="49"/>
        </w:numPr>
        <w:tabs>
          <w:tab w:val="num" w:pos="850"/>
        </w:tabs>
        <w:spacing w:before="360" w:after="240"/>
        <w:jc w:val="both"/>
        <w:outlineLvl w:val="0"/>
        <w:rPr>
          <w:b/>
          <w:bCs/>
          <w:smallCaps/>
          <w:noProof/>
          <w:szCs w:val="32"/>
        </w:rPr>
      </w:pPr>
      <w:bookmarkStart w:id="11" w:name="_Toc278112519"/>
      <w:bookmarkStart w:id="12" w:name="_Toc58506950"/>
      <w:r>
        <w:rPr>
          <w:b/>
          <w:bCs/>
          <w:smallCaps/>
          <w:noProof/>
          <w:szCs w:val="32"/>
        </w:rPr>
        <w:t>Éléments clés de la deuxième proposition de projet de budget</w:t>
      </w:r>
      <w:bookmarkEnd w:id="11"/>
      <w:bookmarkEnd w:id="12"/>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Globalement, ce deuxième projet de budget s’appuie sur la compréhension commune dégagée par le comité de conciliation le 4 décembre. Les changements qu’il est proposé d’apporter au projet de budget initial, tel que modifié par la lettre rectificative nº 1/2021, sont exposés ci-après de manière détaillée.</w:t>
      </w:r>
    </w:p>
    <w:p w:rsidR="00EB2127" w:rsidRDefault="00872645">
      <w:pPr>
        <w:pStyle w:val="ListParagraph"/>
        <w:keepNext/>
        <w:keepLines/>
        <w:numPr>
          <w:ilvl w:val="1"/>
          <w:numId w:val="49"/>
        </w:numPr>
        <w:spacing w:before="240" w:after="120"/>
        <w:jc w:val="both"/>
        <w:outlineLvl w:val="1"/>
        <w:rPr>
          <w:b/>
          <w:bCs/>
          <w:iCs/>
          <w:noProof/>
          <w:szCs w:val="28"/>
        </w:rPr>
      </w:pPr>
      <w:bookmarkStart w:id="13" w:name="_Toc58506951"/>
      <w:r>
        <w:rPr>
          <w:b/>
          <w:bCs/>
          <w:iCs/>
          <w:noProof/>
          <w:szCs w:val="28"/>
        </w:rPr>
        <w:t>Questions horizontales</w:t>
      </w:r>
      <w:bookmarkEnd w:id="13"/>
    </w:p>
    <w:p w:rsidR="00EB2127" w:rsidRDefault="00872645">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4" w:name="_Toc58250897"/>
      <w:bookmarkStart w:id="15" w:name="_Toc58506952"/>
      <w:r>
        <w:rPr>
          <w:rFonts w:ascii="Times New Roman" w:hAnsi="Times New Roman"/>
          <w:bCs/>
          <w:i/>
          <w:noProof/>
          <w:sz w:val="24"/>
          <w:szCs w:val="24"/>
        </w:rPr>
        <w:t>Organismes décentralisés</w:t>
      </w:r>
      <w:bookmarkEnd w:id="14"/>
      <w:bookmarkEnd w:id="15"/>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Pour les organismes décentralisés, il est proposé d’établir la contribution de l’UE (en crédits d’engagement et en crédits de paiement) et les effectifs au niveau du projet de budget initial, tel que modifié par la lettre rectificative nº 1/2021, avec les changements suivants:</w:t>
      </w:r>
    </w:p>
    <w:p w:rsidR="00EB2127" w:rsidRDefault="00872645">
      <w:pPr>
        <w:numPr>
          <w:ilvl w:val="0"/>
          <w:numId w:val="9"/>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Sous la rubrique 1b:</w:t>
      </w:r>
    </w:p>
    <w:p w:rsidR="00EB2127" w:rsidRDefault="00872645">
      <w:pPr>
        <w:pStyle w:val="ListParagraph"/>
        <w:numPr>
          <w:ilvl w:val="1"/>
          <w:numId w:val="9"/>
        </w:numPr>
        <w:spacing w:before="120" w:after="120"/>
        <w:jc w:val="both"/>
        <w:rPr>
          <w:noProof/>
        </w:rPr>
      </w:pPr>
      <w:r>
        <w:rPr>
          <w:noProof/>
        </w:rPr>
        <w:t>pour l’Agence des droits fondamentaux de l’Union européenne (FRA, article 07 10 04), le niveau des crédits d’engagement et de paiement est augmenté de 638 178 EUR;</w:t>
      </w:r>
    </w:p>
    <w:p w:rsidR="00EB2127" w:rsidRDefault="00872645">
      <w:pPr>
        <w:pStyle w:val="ListParagraph"/>
        <w:numPr>
          <w:ilvl w:val="1"/>
          <w:numId w:val="9"/>
        </w:numPr>
        <w:spacing w:before="120" w:after="120"/>
        <w:jc w:val="both"/>
        <w:rPr>
          <w:noProof/>
        </w:rPr>
      </w:pPr>
      <w:r>
        <w:rPr>
          <w:noProof/>
        </w:rPr>
        <w:t>pour l’Institut européen pour l’égalité entre les hommes et les femmes (EIGE, article 07 10 05), le niveau des crédits d’engagement et de paiement est relevé de 971 628 EUR;</w:t>
      </w:r>
    </w:p>
    <w:p w:rsidR="00EB2127" w:rsidRDefault="00872645">
      <w:pPr>
        <w:pStyle w:val="ListParagraph"/>
        <w:numPr>
          <w:ilvl w:val="1"/>
          <w:numId w:val="9"/>
        </w:numPr>
        <w:spacing w:before="120" w:after="120"/>
        <w:jc w:val="both"/>
        <w:rPr>
          <w:noProof/>
        </w:rPr>
      </w:pPr>
      <w:r>
        <w:rPr>
          <w:noProof/>
        </w:rPr>
        <w:t>pour l’Agence de l’Union européenne pour la coopération judiciaire en matière pénale (Eurojust, article 07 10 07), le niveau des crédits d’engagement et de paiement est augmenté relevé de 500 000 EUR;</w:t>
      </w:r>
    </w:p>
    <w:p w:rsidR="00EB2127" w:rsidRDefault="00872645">
      <w:pPr>
        <w:pStyle w:val="ListParagraph"/>
        <w:numPr>
          <w:ilvl w:val="1"/>
          <w:numId w:val="9"/>
        </w:numPr>
        <w:spacing w:before="120" w:after="120"/>
        <w:jc w:val="both"/>
        <w:rPr>
          <w:noProof/>
        </w:rPr>
      </w:pPr>
      <w:r>
        <w:rPr>
          <w:noProof/>
        </w:rPr>
        <w:t>pour le Parquet européen (article 07 10 08), auquel sont alloués 8 emplois supplémentaires (ce qui anticipe le renforcement prévu en 2022), le niveau des crédits d’engagement et de paiement est relevé de 7 252 790 EUR.</w:t>
      </w:r>
    </w:p>
    <w:p w:rsidR="00EB2127" w:rsidRDefault="00872645">
      <w:pPr>
        <w:numPr>
          <w:ilvl w:val="0"/>
          <w:numId w:val="9"/>
        </w:numPr>
        <w:spacing w:before="120" w:after="120" w:line="240" w:lineRule="auto"/>
        <w:jc w:val="both"/>
        <w:rPr>
          <w:rFonts w:ascii="Times New Roman" w:eastAsia="Times New Roman" w:hAnsi="Times New Roman"/>
          <w:noProof/>
          <w:sz w:val="23"/>
          <w:szCs w:val="23"/>
        </w:rPr>
      </w:pPr>
      <w:r>
        <w:rPr>
          <w:rFonts w:ascii="Times New Roman" w:hAnsi="Times New Roman"/>
          <w:noProof/>
          <w:sz w:val="23"/>
          <w:szCs w:val="23"/>
        </w:rPr>
        <w:t>Sous la rubrique 4:</w:t>
      </w:r>
    </w:p>
    <w:p w:rsidR="00EB2127" w:rsidRDefault="00872645">
      <w:pPr>
        <w:pStyle w:val="ListParagraph"/>
        <w:numPr>
          <w:ilvl w:val="1"/>
          <w:numId w:val="9"/>
        </w:numPr>
        <w:spacing w:before="120" w:after="120"/>
        <w:jc w:val="both"/>
        <w:rPr>
          <w:noProof/>
        </w:rPr>
      </w:pPr>
      <w:r>
        <w:rPr>
          <w:noProof/>
        </w:rPr>
        <w:t>pour l’Agence européenne de garde-frontières et de garde-côtes (Frontex, article 11 10 01), le niveau des crédits d’engagement et de paiement est réduit de 61 000 000 EUR;</w:t>
      </w:r>
    </w:p>
    <w:p w:rsidR="00EB2127" w:rsidRDefault="00872645">
      <w:pPr>
        <w:pStyle w:val="ListParagraph"/>
        <w:numPr>
          <w:ilvl w:val="1"/>
          <w:numId w:val="9"/>
        </w:numPr>
        <w:spacing w:before="120" w:after="120"/>
        <w:jc w:val="both"/>
        <w:rPr>
          <w:noProof/>
        </w:rPr>
      </w:pPr>
      <w:r>
        <w:rPr>
          <w:noProof/>
        </w:rPr>
        <w:t>pour l’Agence de l’Union européenne pour la gestion opérationnelle des systèmes d’information à grande échelle au sein de l’espace de liberté, de sécurité et de justice («eu-LISA», article 11 10 02), le niveau des crédits d’engagement et de paiement est relevé de 500 000 EUR.</w:t>
      </w:r>
    </w:p>
    <w:p w:rsidR="00EB2127" w:rsidRDefault="00872645">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6" w:name="_Toc58250898"/>
      <w:bookmarkStart w:id="17" w:name="_Toc58506953"/>
      <w:r>
        <w:rPr>
          <w:rFonts w:ascii="Times New Roman" w:hAnsi="Times New Roman"/>
          <w:bCs/>
          <w:i/>
          <w:noProof/>
          <w:sz w:val="24"/>
          <w:szCs w:val="24"/>
        </w:rPr>
        <w:t>Agences exécutives</w:t>
      </w:r>
      <w:bookmarkEnd w:id="16"/>
      <w:bookmarkEnd w:id="17"/>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Pour les agences exécutives, il est proposé d’établir la contribution de l’UE (en crédits d’engagement et en crédits de paiement) et les effectifs au niveau du projet de budget initial, tel que modifié par la lettre rectificative nº 1/2021.</w:t>
      </w:r>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La Commission présentera en 2021 un projet de budget rectificatif afin d’adapter la structure et les crédits à la nouvelle série d’agences exécutives une fois qu’elles auront été formellement mises en place. La décision d’exécution de la Commission instituant chaque nouvelle agence exécutive et les décisions de la Commission leur déléguant des compétences devraient être adoptées au début de l’année 2021.</w:t>
      </w:r>
    </w:p>
    <w:p w:rsidR="00EB2127" w:rsidRDefault="00872645">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8" w:name="_Toc58250899"/>
      <w:bookmarkStart w:id="19" w:name="_Toc58506954"/>
      <w:r>
        <w:rPr>
          <w:rFonts w:ascii="Times New Roman" w:hAnsi="Times New Roman"/>
          <w:bCs/>
          <w:i/>
          <w:noProof/>
          <w:sz w:val="24"/>
          <w:szCs w:val="24"/>
        </w:rPr>
        <w:t>Projets pilotes et actions préparatoires</w:t>
      </w:r>
      <w:bookmarkEnd w:id="18"/>
      <w:bookmarkEnd w:id="19"/>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Ce deuxième projet de budget comprend un ensemble complet de 59 projets pilotes et actions préparatoires, pour un montant total de 71,8 millions d’EUR en crédits d’engagement, ce qui reflète la lecture du projet de budget initial par le Parlement européen.</w:t>
      </w:r>
    </w:p>
    <w:p w:rsidR="00EB2127" w:rsidRDefault="00872645">
      <w:pPr>
        <w:spacing w:after="0" w:line="240" w:lineRule="auto"/>
        <w:rPr>
          <w:rFonts w:ascii="Times New Roman" w:hAnsi="Times New Roman"/>
          <w:noProof/>
          <w:sz w:val="28"/>
          <w:szCs w:val="28"/>
        </w:rPr>
      </w:pPr>
      <w:r>
        <w:rPr>
          <w:noProof/>
        </w:rPr>
        <w:br w:type="page"/>
      </w:r>
    </w:p>
    <w:p w:rsidR="00EB2127" w:rsidRDefault="00872645">
      <w:pPr>
        <w:pStyle w:val="ListParagraph"/>
        <w:keepNext/>
        <w:keepLines/>
        <w:numPr>
          <w:ilvl w:val="1"/>
          <w:numId w:val="49"/>
        </w:numPr>
        <w:spacing w:before="240" w:after="120"/>
        <w:jc w:val="both"/>
        <w:outlineLvl w:val="1"/>
        <w:rPr>
          <w:b/>
          <w:bCs/>
          <w:iCs/>
          <w:noProof/>
          <w:szCs w:val="28"/>
        </w:rPr>
      </w:pPr>
      <w:bookmarkStart w:id="20" w:name="_Toc58506955"/>
      <w:r>
        <w:rPr>
          <w:b/>
          <w:bCs/>
          <w:iCs/>
          <w:noProof/>
          <w:szCs w:val="28"/>
        </w:rPr>
        <w:t>Approche globale en matière de crédits d’engagement</w:t>
      </w:r>
      <w:bookmarkEnd w:id="20"/>
    </w:p>
    <w:p w:rsidR="00EB2127" w:rsidRDefault="00872645">
      <w:pPr>
        <w:pStyle w:val="ListParagraph"/>
        <w:keepNext/>
        <w:numPr>
          <w:ilvl w:val="2"/>
          <w:numId w:val="49"/>
        </w:numPr>
        <w:tabs>
          <w:tab w:val="num" w:pos="850"/>
        </w:tabs>
        <w:spacing w:before="120" w:after="120"/>
        <w:jc w:val="both"/>
        <w:outlineLvl w:val="2"/>
        <w:rPr>
          <w:noProof/>
        </w:rPr>
      </w:pPr>
      <w:bookmarkStart w:id="21" w:name="_Toc530586716"/>
      <w:bookmarkStart w:id="22" w:name="_Toc58506956"/>
      <w:bookmarkEnd w:id="21"/>
      <w:r>
        <w:rPr>
          <w:noProof/>
        </w:rPr>
        <w:t>Rubrique 1 - Marché unique, innovation et numérique</w:t>
      </w:r>
      <w:bookmarkEnd w:id="22"/>
    </w:p>
    <w:p w:rsidR="00EB2127" w:rsidRDefault="00872645">
      <w:pPr>
        <w:spacing w:before="120" w:after="240" w:line="240" w:lineRule="auto"/>
        <w:jc w:val="both"/>
        <w:rPr>
          <w:rFonts w:ascii="Times New Roman" w:hAnsi="Times New Roman"/>
          <w:noProof/>
          <w:sz w:val="23"/>
        </w:rPr>
      </w:pPr>
      <w:r>
        <w:rPr>
          <w:rFonts w:ascii="Times New Roman" w:hAnsi="Times New Roman"/>
          <w:noProof/>
          <w:sz w:val="23"/>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520"/>
        <w:gridCol w:w="3578"/>
        <w:gridCol w:w="1560"/>
        <w:gridCol w:w="1559"/>
        <w:gridCol w:w="1559"/>
      </w:tblGrid>
      <w:tr w:rsidR="00EB2127">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rsidR="00EB2127">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MIE-Transports</w:t>
            </w:r>
          </w:p>
        </w:tc>
        <w:tc>
          <w:tcPr>
            <w:tcW w:w="1560"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60 335 458</w:t>
            </w:r>
          </w:p>
        </w:tc>
      </w:tr>
      <w:tr w:rsidR="00EB2127">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3" w:name="_Toc58191121"/>
            <w:bookmarkStart w:id="24" w:name="_Toc58250902"/>
            <w:bookmarkStart w:id="25" w:name="_Toc58506957"/>
            <w:r>
              <w:rPr>
                <w:rFonts w:ascii="Times New Roman" w:hAnsi="Times New Roman"/>
                <w:noProof/>
                <w:sz w:val="16"/>
                <w:szCs w:val="16"/>
              </w:rPr>
              <w:t>02 03 01</w:t>
            </w:r>
            <w:bookmarkEnd w:id="23"/>
            <w:bookmarkEnd w:id="24"/>
            <w:bookmarkEnd w:id="25"/>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6" w:name="_Toc58191122"/>
            <w:bookmarkStart w:id="27" w:name="_Toc58250903"/>
            <w:bookmarkStart w:id="28" w:name="_Toc58506958"/>
            <w:r>
              <w:rPr>
                <w:rFonts w:ascii="Times New Roman" w:hAnsi="Times New Roman"/>
                <w:noProof/>
                <w:sz w:val="20"/>
                <w:szCs w:val="20"/>
              </w:rPr>
              <w:t>Mécanisme pour l’interconnexion en Europe (MIE) –– Transports</w:t>
            </w:r>
            <w:bookmarkEnd w:id="26"/>
            <w:bookmarkEnd w:id="27"/>
            <w:bookmarkEnd w:id="28"/>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9" w:name="_Toc58191123"/>
            <w:bookmarkStart w:id="30" w:name="_Toc58250904"/>
            <w:bookmarkStart w:id="31" w:name="_Toc58506959"/>
            <w:r>
              <w:rPr>
                <w:rFonts w:ascii="Times New Roman" w:hAnsi="Times New Roman"/>
                <w:noProof/>
                <w:sz w:val="20"/>
                <w:szCs w:val="20"/>
              </w:rPr>
              <w:t>1 711 996 420</w:t>
            </w:r>
            <w:bookmarkEnd w:id="29"/>
            <w:bookmarkEnd w:id="30"/>
            <w:bookmarkEnd w:id="3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2" w:name="_Toc58191124"/>
            <w:bookmarkStart w:id="33" w:name="_Toc58250905"/>
            <w:bookmarkStart w:id="34" w:name="_Toc58506960"/>
            <w:r>
              <w:rPr>
                <w:rFonts w:ascii="Times New Roman" w:hAnsi="Times New Roman"/>
                <w:noProof/>
                <w:sz w:val="20"/>
                <w:szCs w:val="20"/>
              </w:rPr>
              <w:t>1 772 331 878</w:t>
            </w:r>
            <w:bookmarkEnd w:id="32"/>
            <w:bookmarkEnd w:id="33"/>
            <w:bookmarkEnd w:id="34"/>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5" w:name="_Toc58191125"/>
            <w:bookmarkStart w:id="36" w:name="_Toc58250906"/>
            <w:bookmarkStart w:id="37" w:name="_Toc58506961"/>
            <w:r>
              <w:rPr>
                <w:rFonts w:ascii="Times New Roman" w:hAnsi="Times New Roman"/>
                <w:noProof/>
                <w:sz w:val="20"/>
                <w:szCs w:val="20"/>
              </w:rPr>
              <w:t>60 335 458</w:t>
            </w:r>
            <w:bookmarkEnd w:id="35"/>
            <w:bookmarkEnd w:id="36"/>
            <w:bookmarkEnd w:id="37"/>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c>
          <w:tcPr>
            <w:tcW w:w="1560"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1 103 848 000</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1 129 576 962</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25 728 962</w:t>
            </w:r>
          </w:p>
        </w:tc>
      </w:tr>
      <w:tr w:rsidR="00EB2127">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8" w:name="_Toc58191126"/>
            <w:bookmarkStart w:id="39" w:name="_Toc58250907"/>
            <w:bookmarkStart w:id="40" w:name="_Toc58506962"/>
            <w:r>
              <w:rPr>
                <w:rFonts w:ascii="Times New Roman" w:hAnsi="Times New Roman"/>
                <w:noProof/>
                <w:sz w:val="16"/>
                <w:szCs w:val="16"/>
              </w:rPr>
              <w:t>02 04 03</w:t>
            </w:r>
            <w:bookmarkEnd w:id="38"/>
            <w:bookmarkEnd w:id="39"/>
            <w:bookmarkEnd w:id="40"/>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1" w:name="_Toc58191127"/>
            <w:bookmarkStart w:id="42" w:name="_Toc58250908"/>
            <w:bookmarkStart w:id="43" w:name="_Toc58506963"/>
            <w:r>
              <w:rPr>
                <w:rFonts w:ascii="Times New Roman" w:hAnsi="Times New Roman"/>
                <w:noProof/>
                <w:sz w:val="20"/>
                <w:szCs w:val="20"/>
              </w:rPr>
              <w:t>Intelligence artificielle</w:t>
            </w:r>
            <w:bookmarkEnd w:id="41"/>
            <w:bookmarkEnd w:id="42"/>
            <w:bookmarkEnd w:id="43"/>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4" w:name="_Toc58191128"/>
            <w:bookmarkStart w:id="45" w:name="_Toc58250909"/>
            <w:bookmarkStart w:id="46" w:name="_Toc58506964"/>
            <w:r>
              <w:rPr>
                <w:rFonts w:ascii="Times New Roman" w:hAnsi="Times New Roman"/>
                <w:noProof/>
                <w:sz w:val="20"/>
                <w:szCs w:val="20"/>
              </w:rPr>
              <w:t>293 895 160</w:t>
            </w:r>
            <w:bookmarkEnd w:id="44"/>
            <w:bookmarkEnd w:id="45"/>
            <w:bookmarkEnd w:id="4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7" w:name="_Toc58191129"/>
            <w:bookmarkStart w:id="48" w:name="_Toc58250910"/>
            <w:bookmarkStart w:id="49" w:name="_Toc58506965"/>
            <w:r>
              <w:rPr>
                <w:rFonts w:ascii="Times New Roman" w:hAnsi="Times New Roman"/>
                <w:noProof/>
                <w:sz w:val="20"/>
                <w:szCs w:val="20"/>
              </w:rPr>
              <w:t>318 323 274</w:t>
            </w:r>
            <w:bookmarkEnd w:id="47"/>
            <w:bookmarkEnd w:id="48"/>
            <w:bookmarkEnd w:id="49"/>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0" w:name="_Toc58191130"/>
            <w:bookmarkStart w:id="51" w:name="_Toc58250911"/>
            <w:bookmarkStart w:id="52" w:name="_Toc58506966"/>
            <w:r>
              <w:rPr>
                <w:rFonts w:ascii="Times New Roman" w:hAnsi="Times New Roman"/>
                <w:noProof/>
                <w:sz w:val="20"/>
                <w:szCs w:val="20"/>
              </w:rPr>
              <w:t>24 428 114</w:t>
            </w:r>
            <w:bookmarkEnd w:id="50"/>
            <w:bookmarkEnd w:id="51"/>
            <w:bookmarkEnd w:id="52"/>
          </w:p>
        </w:tc>
      </w:tr>
      <w:tr w:rsidR="00EB2127">
        <w:trPr>
          <w:trHeight w:val="420"/>
        </w:trPr>
        <w:tc>
          <w:tcPr>
            <w:tcW w:w="152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3" w:name="_Toc58191131"/>
            <w:bookmarkStart w:id="54" w:name="_Toc58250912"/>
            <w:bookmarkStart w:id="55" w:name="_Toc58506967"/>
            <w:r>
              <w:rPr>
                <w:rFonts w:ascii="Times New Roman" w:hAnsi="Times New Roman"/>
                <w:noProof/>
                <w:sz w:val="16"/>
                <w:szCs w:val="16"/>
              </w:rPr>
              <w:t>02 04 04</w:t>
            </w:r>
            <w:bookmarkEnd w:id="53"/>
            <w:bookmarkEnd w:id="54"/>
            <w:bookmarkEnd w:id="55"/>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6" w:name="_Toc58191132"/>
            <w:bookmarkStart w:id="57" w:name="_Toc58250913"/>
            <w:bookmarkStart w:id="58" w:name="_Toc58506968"/>
            <w:r>
              <w:rPr>
                <w:rFonts w:ascii="Times New Roman" w:hAnsi="Times New Roman"/>
                <w:noProof/>
                <w:sz w:val="20"/>
                <w:szCs w:val="20"/>
              </w:rPr>
              <w:t>Compétences</w:t>
            </w:r>
            <w:bookmarkEnd w:id="56"/>
            <w:bookmarkEnd w:id="57"/>
            <w:bookmarkEnd w:id="58"/>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9" w:name="_Toc58191133"/>
            <w:bookmarkStart w:id="60" w:name="_Toc58250914"/>
            <w:bookmarkStart w:id="61" w:name="_Toc58506969"/>
            <w:r>
              <w:rPr>
                <w:rFonts w:ascii="Times New Roman" w:hAnsi="Times New Roman"/>
                <w:noProof/>
                <w:sz w:val="20"/>
                <w:szCs w:val="20"/>
              </w:rPr>
              <w:t>82 290 594</w:t>
            </w:r>
            <w:bookmarkEnd w:id="59"/>
            <w:bookmarkEnd w:id="60"/>
            <w:bookmarkEnd w:id="6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2" w:name="_Toc58191134"/>
            <w:bookmarkStart w:id="63" w:name="_Toc58250915"/>
            <w:bookmarkStart w:id="64" w:name="_Toc58506970"/>
            <w:r>
              <w:rPr>
                <w:rFonts w:ascii="Times New Roman" w:hAnsi="Times New Roman"/>
                <w:noProof/>
                <w:sz w:val="20"/>
                <w:szCs w:val="20"/>
              </w:rPr>
              <w:t>83 591 442</w:t>
            </w:r>
            <w:bookmarkEnd w:id="62"/>
            <w:bookmarkEnd w:id="63"/>
            <w:bookmarkEnd w:id="64"/>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5" w:name="_Toc58191135"/>
            <w:bookmarkStart w:id="66" w:name="_Toc58250916"/>
            <w:bookmarkStart w:id="67" w:name="_Toc58506971"/>
            <w:r>
              <w:rPr>
                <w:rFonts w:ascii="Times New Roman" w:hAnsi="Times New Roman"/>
                <w:noProof/>
                <w:sz w:val="20"/>
                <w:szCs w:val="20"/>
              </w:rPr>
              <w:t>1 300 848</w:t>
            </w:r>
            <w:bookmarkEnd w:id="65"/>
            <w:bookmarkEnd w:id="66"/>
            <w:bookmarkEnd w:id="67"/>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noProof/>
                <w:sz w:val="16"/>
                <w:szCs w:val="16"/>
              </w:rPr>
            </w:pPr>
            <w:bookmarkStart w:id="68" w:name="_Toc58191136"/>
            <w:bookmarkStart w:id="69" w:name="_Toc58250917"/>
            <w:bookmarkStart w:id="70" w:name="_Toc58506972"/>
            <w:r>
              <w:rPr>
                <w:rFonts w:ascii="Times New Roman" w:hAnsi="Times New Roman"/>
                <w:noProof/>
                <w:sz w:val="16"/>
                <w:szCs w:val="16"/>
              </w:rPr>
              <w:t>PPPA</w:t>
            </w:r>
            <w:bookmarkEnd w:id="68"/>
            <w:bookmarkEnd w:id="69"/>
            <w:bookmarkEnd w:id="70"/>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noProof/>
                <w:sz w:val="20"/>
                <w:szCs w:val="20"/>
              </w:rPr>
            </w:pPr>
            <w:bookmarkStart w:id="71" w:name="_Toc58191137"/>
            <w:bookmarkStart w:id="72" w:name="_Toc58250918"/>
            <w:bookmarkStart w:id="73" w:name="_Toc58506973"/>
            <w:r>
              <w:rPr>
                <w:rFonts w:ascii="Times New Roman" w:hAnsi="Times New Roman"/>
                <w:noProof/>
                <w:sz w:val="20"/>
                <w:szCs w:val="20"/>
              </w:rPr>
              <w:t>Projets pilotes et actions préparatoires</w:t>
            </w:r>
            <w:bookmarkEnd w:id="71"/>
            <w:bookmarkEnd w:id="72"/>
            <w:bookmarkEnd w:id="73"/>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noProof/>
                <w:sz w:val="20"/>
                <w:szCs w:val="20"/>
              </w:rPr>
            </w:pPr>
            <w:bookmarkStart w:id="74" w:name="_Toc58191138"/>
            <w:bookmarkStart w:id="75" w:name="_Toc58250919"/>
            <w:bookmarkStart w:id="76" w:name="_Toc58506974"/>
            <w:r>
              <w:rPr>
                <w:rFonts w:ascii="Times New Roman" w:hAnsi="Times New Roman"/>
                <w:noProof/>
                <w:sz w:val="20"/>
                <w:szCs w:val="20"/>
              </w:rPr>
              <w:t>35 965 000</w:t>
            </w:r>
            <w:bookmarkEnd w:id="74"/>
            <w:bookmarkEnd w:id="75"/>
            <w:bookmarkEnd w:id="76"/>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b/>
                <w:bCs/>
                <w:noProof/>
                <w:sz w:val="20"/>
                <w:szCs w:val="20"/>
              </w:rPr>
            </w:pPr>
            <w:bookmarkStart w:id="77" w:name="_Toc58191139"/>
            <w:bookmarkStart w:id="78" w:name="_Toc58250920"/>
            <w:bookmarkStart w:id="79" w:name="_Toc58506975"/>
            <w:r>
              <w:rPr>
                <w:rFonts w:ascii="Times New Roman" w:hAnsi="Times New Roman"/>
                <w:b/>
                <w:bCs/>
                <w:noProof/>
                <w:sz w:val="20"/>
                <w:szCs w:val="20"/>
              </w:rPr>
              <w:t>Total</w:t>
            </w:r>
            <w:bookmarkEnd w:id="77"/>
            <w:bookmarkEnd w:id="78"/>
            <w:bookmarkEnd w:id="79"/>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b/>
                <w:bCs/>
                <w:noProof/>
                <w:sz w:val="20"/>
                <w:szCs w:val="20"/>
              </w:rPr>
            </w:pPr>
            <w:bookmarkStart w:id="80" w:name="_Toc58191140"/>
            <w:bookmarkStart w:id="81" w:name="_Toc58250921"/>
            <w:bookmarkStart w:id="82" w:name="_Toc58506976"/>
            <w:r>
              <w:rPr>
                <w:rFonts w:ascii="Times New Roman" w:hAnsi="Times New Roman"/>
                <w:b/>
                <w:bCs/>
                <w:noProof/>
                <w:sz w:val="20"/>
                <w:szCs w:val="20"/>
              </w:rPr>
              <w:t>122 029 420</w:t>
            </w:r>
            <w:bookmarkEnd w:id="80"/>
            <w:bookmarkEnd w:id="81"/>
            <w:bookmarkEnd w:id="82"/>
          </w:p>
        </w:tc>
      </w:tr>
    </w:tbl>
    <w:p w:rsidR="00EB2127" w:rsidRDefault="00872645">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20 816,6 millions d’EUR, ce qui laisse une marge de 102,4 millions d’EUR sous le plafond des dépenses de la rubrique 1.</w:t>
      </w:r>
    </w:p>
    <w:p w:rsidR="00EB2127" w:rsidRDefault="00872645">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En application de l’article 15, paragraphe 3, du règlement financier</w:t>
      </w:r>
      <w:r>
        <w:rPr>
          <w:rFonts w:ascii="Times New Roman" w:eastAsia="Times New Roman" w:hAnsi="Times New Roman"/>
          <w:noProof/>
          <w:sz w:val="24"/>
          <w:szCs w:val="24"/>
          <w:vertAlign w:val="superscript"/>
          <w:lang w:eastAsia="en-GB"/>
        </w:rPr>
        <w:footnoteReference w:id="18"/>
      </w:r>
      <w:r>
        <w:rPr>
          <w:rFonts w:ascii="Times New Roman" w:hAnsi="Times New Roman"/>
          <w:noProof/>
          <w:sz w:val="24"/>
          <w:szCs w:val="24"/>
        </w:rPr>
        <w:t>, les crédits d’engagement sont reconstitués sur les lignes budgétaires consacrées à la recherche pour un montant total de 20 millions d’EUR en crédits d’engagement. Les lignes budgétaires suivantes sont renforcées comme suit:</w:t>
      </w:r>
    </w:p>
    <w:tbl>
      <w:tblPr>
        <w:tblW w:w="9782" w:type="dxa"/>
        <w:tblInd w:w="108" w:type="dxa"/>
        <w:tblLook w:val="04A0" w:firstRow="1" w:lastRow="0" w:firstColumn="1" w:lastColumn="0" w:noHBand="0" w:noVBand="1"/>
      </w:tblPr>
      <w:tblGrid>
        <w:gridCol w:w="1440"/>
        <w:gridCol w:w="6720"/>
        <w:gridCol w:w="1622"/>
      </w:tblGrid>
      <w:tr w:rsidR="00EB2127">
        <w:trPr>
          <w:trHeight w:val="260"/>
        </w:trPr>
        <w:tc>
          <w:tcPr>
            <w:tcW w:w="1440" w:type="dxa"/>
            <w:tcBorders>
              <w:top w:val="nil"/>
              <w:left w:val="nil"/>
              <w:bottom w:val="single" w:sz="4" w:space="0" w:color="auto"/>
              <w:right w:val="nil"/>
            </w:tcBorders>
            <w:shd w:val="clear" w:color="auto" w:fill="auto"/>
            <w:vAlign w:val="center"/>
            <w:hideMark/>
          </w:tcPr>
          <w:p w:rsidR="00EB2127" w:rsidRDefault="00EB2127">
            <w:pPr>
              <w:spacing w:after="0" w:line="240" w:lineRule="auto"/>
              <w:rPr>
                <w:rFonts w:ascii="Times New Roman" w:eastAsia="Times New Roman" w:hAnsi="Times New Roman"/>
                <w:noProof/>
                <w:sz w:val="20"/>
                <w:szCs w:val="20"/>
              </w:rPr>
            </w:pPr>
          </w:p>
        </w:tc>
        <w:tc>
          <w:tcPr>
            <w:tcW w:w="6720" w:type="dxa"/>
            <w:tcBorders>
              <w:top w:val="nil"/>
              <w:left w:val="nil"/>
              <w:bottom w:val="single" w:sz="4" w:space="0" w:color="auto"/>
              <w:right w:val="nil"/>
            </w:tcBorders>
            <w:shd w:val="clear" w:color="auto" w:fill="auto"/>
            <w:vAlign w:val="center"/>
            <w:hideMark/>
          </w:tcPr>
          <w:p w:rsidR="00EB2127" w:rsidRDefault="00EB2127">
            <w:pPr>
              <w:spacing w:after="0" w:line="240" w:lineRule="auto"/>
              <w:rPr>
                <w:rFonts w:ascii="Times New Roman" w:eastAsia="Times New Roman" w:hAnsi="Times New Roman"/>
                <w:noProof/>
                <w:sz w:val="20"/>
                <w:szCs w:val="20"/>
              </w:rPr>
            </w:pPr>
          </w:p>
        </w:tc>
        <w:tc>
          <w:tcPr>
            <w:tcW w:w="1622" w:type="dxa"/>
            <w:tcBorders>
              <w:top w:val="nil"/>
              <w:left w:val="nil"/>
              <w:bottom w:val="single" w:sz="4" w:space="0" w:color="auto"/>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color w:val="000000"/>
                <w:sz w:val="20"/>
                <w:szCs w:val="20"/>
              </w:rPr>
            </w:pPr>
            <w:r>
              <w:rPr>
                <w:rFonts w:ascii="Times New Roman" w:hAnsi="Times New Roman"/>
                <w:i/>
                <w:iCs/>
                <w:noProof/>
                <w:color w:val="000000"/>
                <w:sz w:val="20"/>
                <w:szCs w:val="20"/>
              </w:rPr>
              <w:t>(en EUR)</w:t>
            </w:r>
          </w:p>
        </w:tc>
      </w:tr>
      <w:tr w:rsidR="00EB2127">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Crédits d’engagement</w:t>
            </w:r>
          </w:p>
        </w:tc>
      </w:tr>
      <w:tr w:rsidR="00EB2127">
        <w:trPr>
          <w:cantSplit/>
          <w:trHeight w:val="260"/>
        </w:trPr>
        <w:tc>
          <w:tcPr>
            <w:tcW w:w="1440" w:type="dxa"/>
            <w:tcBorders>
              <w:top w:val="nil"/>
              <w:left w:val="single" w:sz="4" w:space="0" w:color="auto"/>
              <w:bottom w:val="nil"/>
              <w:right w:val="nil"/>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01 02 02 10</w:t>
            </w:r>
          </w:p>
        </w:tc>
        <w:tc>
          <w:tcPr>
            <w:tcW w:w="6720"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«Santé»</w:t>
            </w:r>
          </w:p>
        </w:tc>
        <w:tc>
          <w:tcPr>
            <w:tcW w:w="1622"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rsidR="00EB2127">
        <w:trPr>
          <w:cantSplit/>
          <w:trHeight w:val="260"/>
        </w:trPr>
        <w:tc>
          <w:tcPr>
            <w:tcW w:w="1440" w:type="dxa"/>
            <w:tcBorders>
              <w:top w:val="nil"/>
              <w:left w:val="single" w:sz="4" w:space="0" w:color="auto"/>
              <w:bottom w:val="nil"/>
              <w:right w:val="nil"/>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01 02 02 40</w:t>
            </w:r>
          </w:p>
        </w:tc>
        <w:tc>
          <w:tcPr>
            <w:tcW w:w="6720"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«Numérique, industrie et espace»</w:t>
            </w:r>
          </w:p>
        </w:tc>
        <w:tc>
          <w:tcPr>
            <w:tcW w:w="1622"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rsidR="00EB2127">
        <w:trPr>
          <w:cantSplit/>
          <w:trHeight w:val="260"/>
        </w:trPr>
        <w:tc>
          <w:tcPr>
            <w:tcW w:w="1440" w:type="dxa"/>
            <w:tcBorders>
              <w:top w:val="nil"/>
              <w:left w:val="single" w:sz="4" w:space="0" w:color="auto"/>
              <w:bottom w:val="nil"/>
              <w:right w:val="nil"/>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01 02 02 50</w:t>
            </w:r>
          </w:p>
        </w:tc>
        <w:tc>
          <w:tcPr>
            <w:tcW w:w="6720"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«Climat, énergie et mobilité»</w:t>
            </w:r>
          </w:p>
        </w:tc>
        <w:tc>
          <w:tcPr>
            <w:tcW w:w="1622"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rsidR="00EB2127">
        <w:trPr>
          <w:trHeight w:val="260"/>
        </w:trPr>
        <w:tc>
          <w:tcPr>
            <w:tcW w:w="1440" w:type="dxa"/>
            <w:tcBorders>
              <w:top w:val="nil"/>
              <w:left w:val="single" w:sz="4" w:space="0" w:color="auto"/>
              <w:bottom w:val="nil"/>
              <w:right w:val="nil"/>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01 02 02 60</w:t>
            </w:r>
          </w:p>
        </w:tc>
        <w:tc>
          <w:tcPr>
            <w:tcW w:w="6720"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«Alimentation, bioéconomie, ressources naturelles, agriculture et environnement»</w:t>
            </w:r>
          </w:p>
        </w:tc>
        <w:tc>
          <w:tcPr>
            <w:tcW w:w="1622" w:type="dxa"/>
            <w:tcBorders>
              <w:top w:val="nil"/>
              <w:left w:val="nil"/>
              <w:bottom w:val="nil"/>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rsidR="00EB2127">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EB2127" w:rsidRDefault="00872645">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EB2127" w:rsidRDefault="00872645">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EB2127" w:rsidRDefault="00872645">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20 000 000</w:t>
            </w:r>
          </w:p>
        </w:tc>
      </w:tr>
    </w:tbl>
    <w:p w:rsidR="00EB2127" w:rsidRDefault="00872645">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Ces crédits font partie du montant global pouvant atteindre 0,5 milliard d’EUR (aux prix de 2018) pour la période 2021-2027 retenu dans la «déclaration commune» adoptée le 10 novembre 2020, ce qui laisse un montant maximal de 481,2 millions d’EUR aux prix de 2018 qui est disponible pour la période 2022-2027.</w:t>
      </w:r>
    </w:p>
    <w:p w:rsidR="00EB2127" w:rsidRDefault="00872645">
      <w:pPr>
        <w:pStyle w:val="ListParagraph"/>
        <w:keepNext/>
        <w:numPr>
          <w:ilvl w:val="2"/>
          <w:numId w:val="49"/>
        </w:numPr>
        <w:tabs>
          <w:tab w:val="num" w:pos="850"/>
        </w:tabs>
        <w:spacing w:before="120" w:after="120"/>
        <w:jc w:val="both"/>
        <w:outlineLvl w:val="2"/>
        <w:rPr>
          <w:noProof/>
        </w:rPr>
      </w:pPr>
      <w:bookmarkStart w:id="83" w:name="_Toc58506977"/>
      <w:r>
        <w:rPr>
          <w:noProof/>
        </w:rPr>
        <w:t>Rubrique 2a – Cohésion économique, sociale et territoriale</w:t>
      </w:r>
      <w:bookmarkEnd w:id="83"/>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w:t>
      </w:r>
    </w:p>
    <w:p w:rsidR="00EB2127" w:rsidRDefault="00872645">
      <w:pPr>
        <w:pStyle w:val="ListParagraph"/>
        <w:keepNext/>
        <w:numPr>
          <w:ilvl w:val="2"/>
          <w:numId w:val="49"/>
        </w:numPr>
        <w:tabs>
          <w:tab w:val="num" w:pos="850"/>
        </w:tabs>
        <w:spacing w:before="120" w:after="120"/>
        <w:jc w:val="both"/>
        <w:outlineLvl w:val="2"/>
        <w:rPr>
          <w:noProof/>
        </w:rPr>
      </w:pPr>
      <w:bookmarkStart w:id="84" w:name="_Toc58506978"/>
      <w:r>
        <w:rPr>
          <w:noProof/>
        </w:rPr>
        <w:t>Rubrique 2b – Résilience et valeurs</w:t>
      </w:r>
      <w:bookmarkEnd w:id="84"/>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481"/>
        <w:gridCol w:w="3759"/>
        <w:gridCol w:w="1559"/>
        <w:gridCol w:w="1418"/>
        <w:gridCol w:w="1559"/>
      </w:tblGrid>
      <w:tr w:rsidR="00EB2127">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rsidR="00EB2127">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59"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418"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nil"/>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2.2.23</w:t>
            </w:r>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Coût du financement de l’instrument de l’Union européenne pour la relance (EURI)</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111 461 000</w:t>
            </w:r>
          </w:p>
        </w:tc>
        <w:tc>
          <w:tcPr>
            <w:tcW w:w="1418"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39 591 000</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-71 870 000</w:t>
            </w:r>
          </w:p>
        </w:tc>
      </w:tr>
      <w:tr w:rsidR="00EB2127">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85" w:name="_Toc58191143"/>
            <w:bookmarkStart w:id="86" w:name="_Toc58250924"/>
            <w:bookmarkStart w:id="87" w:name="_Toc58506979"/>
            <w:r>
              <w:rPr>
                <w:rFonts w:ascii="Times New Roman" w:hAnsi="Times New Roman"/>
                <w:noProof/>
                <w:sz w:val="16"/>
                <w:szCs w:val="16"/>
              </w:rPr>
              <w:t>06 04 01</w:t>
            </w:r>
            <w:bookmarkEnd w:id="85"/>
            <w:bookmarkEnd w:id="86"/>
            <w:bookmarkEnd w:id="8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88" w:name="_Toc58191144"/>
            <w:bookmarkStart w:id="89" w:name="_Toc58250925"/>
            <w:bookmarkStart w:id="90" w:name="_Toc58506980"/>
            <w:r>
              <w:rPr>
                <w:rFonts w:ascii="Times New Roman" w:hAnsi="Times New Roman"/>
                <w:noProof/>
                <w:sz w:val="20"/>
                <w:szCs w:val="20"/>
              </w:rPr>
              <w:t>Instrument de l’Union européenne pour la relance (EURI) – Versement du coupon périodique et remboursement à terme</w:t>
            </w:r>
            <w:bookmarkEnd w:id="88"/>
            <w:bookmarkEnd w:id="89"/>
            <w:bookmarkEnd w:id="9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91" w:name="_Toc58191145"/>
            <w:bookmarkStart w:id="92" w:name="_Toc58250926"/>
            <w:bookmarkStart w:id="93" w:name="_Toc58506981"/>
            <w:r>
              <w:rPr>
                <w:rFonts w:ascii="Times New Roman" w:hAnsi="Times New Roman"/>
                <w:noProof/>
                <w:sz w:val="20"/>
                <w:szCs w:val="20"/>
              </w:rPr>
              <w:t>106 461 000</w:t>
            </w:r>
            <w:bookmarkEnd w:id="91"/>
            <w:bookmarkEnd w:id="92"/>
            <w:bookmarkEnd w:id="9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94" w:name="_Toc58191146"/>
            <w:bookmarkStart w:id="95" w:name="_Toc58250927"/>
            <w:bookmarkStart w:id="96" w:name="_Toc58506982"/>
            <w:r>
              <w:rPr>
                <w:rFonts w:ascii="Times New Roman" w:hAnsi="Times New Roman"/>
                <w:noProof/>
                <w:sz w:val="20"/>
                <w:szCs w:val="20"/>
              </w:rPr>
              <w:t>34 591 000</w:t>
            </w:r>
            <w:bookmarkEnd w:id="94"/>
            <w:bookmarkEnd w:id="95"/>
            <w:bookmarkEnd w:id="9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97" w:name="_Toc58191147"/>
            <w:bookmarkStart w:id="98" w:name="_Toc58250928"/>
            <w:bookmarkStart w:id="99" w:name="_Toc58506983"/>
            <w:r>
              <w:rPr>
                <w:rFonts w:ascii="Times New Roman" w:hAnsi="Times New Roman"/>
                <w:noProof/>
                <w:sz w:val="20"/>
                <w:szCs w:val="20"/>
              </w:rPr>
              <w:t>-71 870 000</w:t>
            </w:r>
            <w:bookmarkEnd w:id="97"/>
            <w:bookmarkEnd w:id="98"/>
            <w:bookmarkEnd w:id="99"/>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07 03 01</w:t>
            </w:r>
          </w:p>
        </w:tc>
        <w:tc>
          <w:tcPr>
            <w:tcW w:w="3759" w:type="dxa"/>
            <w:tcBorders>
              <w:top w:val="nil"/>
              <w:left w:val="nil"/>
              <w:bottom w:val="single" w:sz="4" w:space="0" w:color="auto"/>
              <w:right w:val="single" w:sz="4" w:space="0" w:color="auto"/>
            </w:tcBorders>
            <w:shd w:val="clear" w:color="000000" w:fill="F2F2F2"/>
            <w:noWrap/>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w:t>
            </w:r>
          </w:p>
        </w:tc>
        <w:tc>
          <w:tcPr>
            <w:tcW w:w="1559" w:type="dxa"/>
            <w:tcBorders>
              <w:top w:val="nil"/>
              <w:left w:val="nil"/>
              <w:bottom w:val="single" w:sz="4" w:space="0" w:color="auto"/>
              <w:right w:val="single" w:sz="4" w:space="0" w:color="auto"/>
            </w:tcBorders>
            <w:shd w:val="clear" w:color="000000" w:fill="F2F2F2"/>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c>
          <w:tcPr>
            <w:tcW w:w="1418" w:type="dxa"/>
            <w:tcBorders>
              <w:top w:val="nil"/>
              <w:left w:val="nil"/>
              <w:bottom w:val="single" w:sz="4" w:space="0" w:color="auto"/>
              <w:right w:val="single" w:sz="4" w:space="0" w:color="auto"/>
            </w:tcBorders>
            <w:shd w:val="clear" w:color="000000" w:fill="F2F2F2"/>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559" w:type="dxa"/>
            <w:tcBorders>
              <w:top w:val="nil"/>
              <w:left w:val="nil"/>
              <w:bottom w:val="single" w:sz="4" w:space="0" w:color="auto"/>
              <w:right w:val="single" w:sz="4" w:space="0" w:color="auto"/>
            </w:tcBorders>
            <w:shd w:val="clear" w:color="000000" w:fill="F2F2F2"/>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r>
      <w:tr w:rsidR="00EB2127">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indirecte</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r>
      <w:tr w:rsidR="00EB2127">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directe</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Justice</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43 696 000</w:t>
            </w:r>
          </w:p>
        </w:tc>
        <w:tc>
          <w:tcPr>
            <w:tcW w:w="1418"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46 392 538</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2 696 538</w:t>
            </w:r>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00" w:name="_Toc58191148"/>
            <w:bookmarkStart w:id="101" w:name="_Toc58250929"/>
            <w:bookmarkStart w:id="102" w:name="_Toc58506984"/>
            <w:r>
              <w:rPr>
                <w:rFonts w:ascii="Times New Roman" w:hAnsi="Times New Roman"/>
                <w:noProof/>
                <w:sz w:val="16"/>
                <w:szCs w:val="16"/>
              </w:rPr>
              <w:t>07 07 01</w:t>
            </w:r>
            <w:bookmarkEnd w:id="100"/>
            <w:bookmarkEnd w:id="101"/>
            <w:bookmarkEnd w:id="10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03" w:name="_Toc58191149"/>
            <w:bookmarkStart w:id="104" w:name="_Toc58250930"/>
            <w:bookmarkStart w:id="105" w:name="_Toc58506985"/>
            <w:r>
              <w:rPr>
                <w:rFonts w:ascii="Times New Roman" w:hAnsi="Times New Roman"/>
                <w:noProof/>
                <w:sz w:val="20"/>
                <w:szCs w:val="20"/>
              </w:rPr>
              <w:t>Promouvoir la coopération judiciaire</w:t>
            </w:r>
            <w:bookmarkEnd w:id="103"/>
            <w:bookmarkEnd w:id="104"/>
            <w:bookmarkEnd w:id="10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06" w:name="_Toc58191150"/>
            <w:bookmarkStart w:id="107" w:name="_Toc58250931"/>
            <w:bookmarkStart w:id="108" w:name="_Toc58506986"/>
            <w:r>
              <w:rPr>
                <w:rFonts w:ascii="Times New Roman" w:hAnsi="Times New Roman"/>
                <w:noProof/>
                <w:sz w:val="20"/>
                <w:szCs w:val="20"/>
              </w:rPr>
              <w:t>10 646 000</w:t>
            </w:r>
            <w:bookmarkEnd w:id="106"/>
            <w:bookmarkEnd w:id="107"/>
            <w:bookmarkEnd w:id="10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09" w:name="_Toc58191151"/>
            <w:bookmarkStart w:id="110" w:name="_Toc58250932"/>
            <w:bookmarkStart w:id="111" w:name="_Toc58506987"/>
            <w:r>
              <w:rPr>
                <w:rFonts w:ascii="Times New Roman" w:hAnsi="Times New Roman"/>
                <w:noProof/>
                <w:sz w:val="20"/>
                <w:szCs w:val="20"/>
              </w:rPr>
              <w:t>11 319 945</w:t>
            </w:r>
            <w:bookmarkEnd w:id="109"/>
            <w:bookmarkEnd w:id="110"/>
            <w:bookmarkEnd w:id="11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12" w:name="_Toc58191152"/>
            <w:bookmarkStart w:id="113" w:name="_Toc58250933"/>
            <w:bookmarkStart w:id="114" w:name="_Toc58506988"/>
            <w:r>
              <w:rPr>
                <w:rFonts w:ascii="Times New Roman" w:hAnsi="Times New Roman"/>
                <w:noProof/>
                <w:sz w:val="20"/>
                <w:szCs w:val="20"/>
              </w:rPr>
              <w:t>673 945</w:t>
            </w:r>
            <w:bookmarkEnd w:id="112"/>
            <w:bookmarkEnd w:id="113"/>
            <w:bookmarkEnd w:id="114"/>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15" w:name="_Toc58191153"/>
            <w:bookmarkStart w:id="116" w:name="_Toc58250934"/>
            <w:bookmarkStart w:id="117" w:name="_Toc58506989"/>
            <w:r>
              <w:rPr>
                <w:rFonts w:ascii="Times New Roman" w:hAnsi="Times New Roman"/>
                <w:noProof/>
                <w:sz w:val="16"/>
                <w:szCs w:val="16"/>
              </w:rPr>
              <w:t>07 07 02</w:t>
            </w:r>
            <w:bookmarkEnd w:id="115"/>
            <w:bookmarkEnd w:id="116"/>
            <w:bookmarkEnd w:id="11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18" w:name="_Toc58191154"/>
            <w:bookmarkStart w:id="119" w:name="_Toc58250935"/>
            <w:bookmarkStart w:id="120" w:name="_Toc58506990"/>
            <w:r>
              <w:rPr>
                <w:rFonts w:ascii="Times New Roman" w:hAnsi="Times New Roman"/>
                <w:noProof/>
                <w:sz w:val="20"/>
                <w:szCs w:val="20"/>
              </w:rPr>
              <w:t>Soutenir la formation judiciaire</w:t>
            </w:r>
            <w:bookmarkEnd w:id="118"/>
            <w:bookmarkEnd w:id="119"/>
            <w:bookmarkEnd w:id="12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21" w:name="_Toc58191155"/>
            <w:bookmarkStart w:id="122" w:name="_Toc58250936"/>
            <w:bookmarkStart w:id="123" w:name="_Toc58506991"/>
            <w:r>
              <w:rPr>
                <w:rFonts w:ascii="Times New Roman" w:hAnsi="Times New Roman"/>
                <w:noProof/>
                <w:sz w:val="20"/>
                <w:szCs w:val="20"/>
              </w:rPr>
              <w:t>17 570 000</w:t>
            </w:r>
            <w:bookmarkEnd w:id="121"/>
            <w:bookmarkEnd w:id="122"/>
            <w:bookmarkEnd w:id="12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24" w:name="_Toc58191156"/>
            <w:bookmarkStart w:id="125" w:name="_Toc58250937"/>
            <w:bookmarkStart w:id="126" w:name="_Toc58506992"/>
            <w:r>
              <w:rPr>
                <w:rFonts w:ascii="Times New Roman" w:hAnsi="Times New Roman"/>
                <w:noProof/>
                <w:sz w:val="20"/>
                <w:szCs w:val="20"/>
              </w:rPr>
              <w:t>18 682 268</w:t>
            </w:r>
            <w:bookmarkEnd w:id="124"/>
            <w:bookmarkEnd w:id="125"/>
            <w:bookmarkEnd w:id="12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27" w:name="_Toc58191157"/>
            <w:bookmarkStart w:id="128" w:name="_Toc58250938"/>
            <w:bookmarkStart w:id="129" w:name="_Toc58506993"/>
            <w:r>
              <w:rPr>
                <w:rFonts w:ascii="Times New Roman" w:hAnsi="Times New Roman"/>
                <w:noProof/>
                <w:sz w:val="20"/>
                <w:szCs w:val="20"/>
              </w:rPr>
              <w:t>1 112 268</w:t>
            </w:r>
            <w:bookmarkEnd w:id="127"/>
            <w:bookmarkEnd w:id="128"/>
            <w:bookmarkEnd w:id="129"/>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30" w:name="_Toc58191158"/>
            <w:bookmarkStart w:id="131" w:name="_Toc58250939"/>
            <w:bookmarkStart w:id="132" w:name="_Toc58506994"/>
            <w:r>
              <w:rPr>
                <w:rFonts w:ascii="Times New Roman" w:hAnsi="Times New Roman"/>
                <w:noProof/>
                <w:sz w:val="16"/>
                <w:szCs w:val="16"/>
              </w:rPr>
              <w:t>07 07 03</w:t>
            </w:r>
            <w:bookmarkEnd w:id="130"/>
            <w:bookmarkEnd w:id="131"/>
            <w:bookmarkEnd w:id="13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33" w:name="_Toc58191159"/>
            <w:bookmarkStart w:id="134" w:name="_Toc58250940"/>
            <w:bookmarkStart w:id="135" w:name="_Toc58506995"/>
            <w:r>
              <w:rPr>
                <w:rFonts w:ascii="Times New Roman" w:hAnsi="Times New Roman"/>
                <w:noProof/>
                <w:sz w:val="20"/>
                <w:szCs w:val="20"/>
              </w:rPr>
              <w:t>Promouvoir l’accès effectif à la justice</w:t>
            </w:r>
            <w:bookmarkEnd w:id="133"/>
            <w:bookmarkEnd w:id="134"/>
            <w:bookmarkEnd w:id="13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36" w:name="_Toc58191160"/>
            <w:bookmarkStart w:id="137" w:name="_Toc58250941"/>
            <w:bookmarkStart w:id="138" w:name="_Toc58506996"/>
            <w:r>
              <w:rPr>
                <w:rFonts w:ascii="Times New Roman" w:hAnsi="Times New Roman"/>
                <w:noProof/>
                <w:sz w:val="20"/>
                <w:szCs w:val="20"/>
              </w:rPr>
              <w:t>14 380 000</w:t>
            </w:r>
            <w:bookmarkEnd w:id="136"/>
            <w:bookmarkEnd w:id="137"/>
            <w:bookmarkEnd w:id="13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39" w:name="_Toc58191161"/>
            <w:bookmarkStart w:id="140" w:name="_Toc58250942"/>
            <w:bookmarkStart w:id="141" w:name="_Toc58506997"/>
            <w:r>
              <w:rPr>
                <w:rFonts w:ascii="Times New Roman" w:hAnsi="Times New Roman"/>
                <w:noProof/>
                <w:sz w:val="20"/>
                <w:szCs w:val="20"/>
              </w:rPr>
              <w:t>15 290 325</w:t>
            </w:r>
            <w:bookmarkEnd w:id="139"/>
            <w:bookmarkEnd w:id="140"/>
            <w:bookmarkEnd w:id="14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42" w:name="_Toc58191162"/>
            <w:bookmarkStart w:id="143" w:name="_Toc58250943"/>
            <w:bookmarkStart w:id="144" w:name="_Toc58506998"/>
            <w:r>
              <w:rPr>
                <w:rFonts w:ascii="Times New Roman" w:hAnsi="Times New Roman"/>
                <w:noProof/>
                <w:sz w:val="20"/>
                <w:szCs w:val="20"/>
              </w:rPr>
              <w:t>910 325</w:t>
            </w:r>
            <w:bookmarkEnd w:id="142"/>
            <w:bookmarkEnd w:id="143"/>
            <w:bookmarkEnd w:id="144"/>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Droits et valeurs</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90 624 000</w:t>
            </w:r>
          </w:p>
        </w:tc>
        <w:tc>
          <w:tcPr>
            <w:tcW w:w="1418"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97 179 152</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6 555 152</w:t>
            </w:r>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45" w:name="_Toc58191163"/>
            <w:bookmarkStart w:id="146" w:name="_Toc58250944"/>
            <w:bookmarkStart w:id="147" w:name="_Toc58506999"/>
            <w:r>
              <w:rPr>
                <w:rFonts w:ascii="Times New Roman" w:hAnsi="Times New Roman"/>
                <w:noProof/>
                <w:sz w:val="16"/>
                <w:szCs w:val="16"/>
              </w:rPr>
              <w:t>07 06 02</w:t>
            </w:r>
            <w:bookmarkEnd w:id="145"/>
            <w:bookmarkEnd w:id="146"/>
            <w:bookmarkEnd w:id="14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48" w:name="_Toc58191164"/>
            <w:bookmarkStart w:id="149" w:name="_Toc58250945"/>
            <w:bookmarkStart w:id="150" w:name="_Toc58507000"/>
            <w:r>
              <w:rPr>
                <w:rFonts w:ascii="Times New Roman" w:hAnsi="Times New Roman"/>
                <w:noProof/>
                <w:sz w:val="20"/>
                <w:szCs w:val="20"/>
              </w:rPr>
              <w:t>Promotion de l’engagement et de la participation des citoyens à la vie démocratique de l’Union</w:t>
            </w:r>
            <w:bookmarkEnd w:id="148"/>
            <w:bookmarkEnd w:id="149"/>
            <w:bookmarkEnd w:id="15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51" w:name="_Toc58191165"/>
            <w:bookmarkStart w:id="152" w:name="_Toc58250946"/>
            <w:bookmarkStart w:id="153" w:name="_Toc58507001"/>
            <w:r>
              <w:rPr>
                <w:rFonts w:ascii="Times New Roman" w:hAnsi="Times New Roman"/>
                <w:noProof/>
                <w:sz w:val="20"/>
                <w:szCs w:val="20"/>
              </w:rPr>
              <w:t>34 938 000</w:t>
            </w:r>
            <w:bookmarkEnd w:id="151"/>
            <w:bookmarkEnd w:id="152"/>
            <w:bookmarkEnd w:id="15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54" w:name="_Toc58191166"/>
            <w:bookmarkStart w:id="155" w:name="_Toc58250947"/>
            <w:bookmarkStart w:id="156" w:name="_Toc58507002"/>
            <w:r>
              <w:rPr>
                <w:rFonts w:ascii="Times New Roman" w:hAnsi="Times New Roman"/>
                <w:noProof/>
                <w:sz w:val="20"/>
                <w:szCs w:val="20"/>
              </w:rPr>
              <w:t>36 238 848</w:t>
            </w:r>
            <w:bookmarkEnd w:id="154"/>
            <w:bookmarkEnd w:id="155"/>
            <w:bookmarkEnd w:id="15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57" w:name="_Toc58191167"/>
            <w:bookmarkStart w:id="158" w:name="_Toc58250948"/>
            <w:bookmarkStart w:id="159" w:name="_Toc58507003"/>
            <w:r>
              <w:rPr>
                <w:rFonts w:ascii="Times New Roman" w:hAnsi="Times New Roman"/>
                <w:noProof/>
                <w:sz w:val="20"/>
                <w:szCs w:val="20"/>
              </w:rPr>
              <w:t>1 300 848</w:t>
            </w:r>
            <w:bookmarkEnd w:id="157"/>
            <w:bookmarkEnd w:id="158"/>
            <w:bookmarkEnd w:id="159"/>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60" w:name="_Toc58191168"/>
            <w:bookmarkStart w:id="161" w:name="_Toc58250949"/>
            <w:bookmarkStart w:id="162" w:name="_Toc58507004"/>
            <w:r>
              <w:rPr>
                <w:rFonts w:ascii="Times New Roman" w:hAnsi="Times New Roman"/>
                <w:noProof/>
                <w:sz w:val="16"/>
                <w:szCs w:val="16"/>
              </w:rPr>
              <w:t>07 06 03</w:t>
            </w:r>
            <w:bookmarkEnd w:id="160"/>
            <w:bookmarkEnd w:id="161"/>
            <w:bookmarkEnd w:id="16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63" w:name="_Toc58191169"/>
            <w:bookmarkStart w:id="164" w:name="_Toc58250950"/>
            <w:bookmarkStart w:id="165" w:name="_Toc58507005"/>
            <w:r>
              <w:rPr>
                <w:rFonts w:ascii="Times New Roman" w:hAnsi="Times New Roman"/>
                <w:noProof/>
                <w:sz w:val="20"/>
                <w:szCs w:val="20"/>
              </w:rPr>
              <w:t>Daphné</w:t>
            </w:r>
            <w:bookmarkEnd w:id="163"/>
            <w:bookmarkEnd w:id="164"/>
            <w:bookmarkEnd w:id="16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66" w:name="_Toc58191170"/>
            <w:bookmarkStart w:id="167" w:name="_Toc58250951"/>
            <w:bookmarkStart w:id="168" w:name="_Toc58507006"/>
            <w:r>
              <w:rPr>
                <w:rFonts w:ascii="Times New Roman" w:hAnsi="Times New Roman"/>
                <w:noProof/>
                <w:sz w:val="20"/>
                <w:szCs w:val="20"/>
              </w:rPr>
              <w:t>15 690 000</w:t>
            </w:r>
            <w:bookmarkEnd w:id="166"/>
            <w:bookmarkEnd w:id="167"/>
            <w:bookmarkEnd w:id="16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69" w:name="_Toc58191171"/>
            <w:bookmarkStart w:id="170" w:name="_Toc58250952"/>
            <w:bookmarkStart w:id="171" w:name="_Toc58507007"/>
            <w:r>
              <w:rPr>
                <w:rFonts w:ascii="Times New Roman" w:hAnsi="Times New Roman"/>
                <w:noProof/>
                <w:sz w:val="20"/>
                <w:szCs w:val="20"/>
              </w:rPr>
              <w:t>20 444 304</w:t>
            </w:r>
            <w:bookmarkEnd w:id="169"/>
            <w:bookmarkEnd w:id="170"/>
            <w:bookmarkEnd w:id="17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72" w:name="_Toc58191172"/>
            <w:bookmarkStart w:id="173" w:name="_Toc58250953"/>
            <w:bookmarkStart w:id="174" w:name="_Toc58507008"/>
            <w:r>
              <w:rPr>
                <w:rFonts w:ascii="Times New Roman" w:hAnsi="Times New Roman"/>
                <w:noProof/>
                <w:sz w:val="20"/>
                <w:szCs w:val="20"/>
              </w:rPr>
              <w:t>4 754 304</w:t>
            </w:r>
            <w:bookmarkEnd w:id="172"/>
            <w:bookmarkEnd w:id="173"/>
            <w:bookmarkEnd w:id="174"/>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75" w:name="_Toc58191173"/>
            <w:bookmarkStart w:id="176" w:name="_Toc58250954"/>
            <w:bookmarkStart w:id="177" w:name="_Toc58507009"/>
            <w:r>
              <w:rPr>
                <w:rFonts w:ascii="Times New Roman" w:hAnsi="Times New Roman"/>
                <w:noProof/>
                <w:sz w:val="16"/>
                <w:szCs w:val="16"/>
              </w:rPr>
              <w:t>07 06 04</w:t>
            </w:r>
            <w:bookmarkEnd w:id="175"/>
            <w:bookmarkEnd w:id="176"/>
            <w:bookmarkEnd w:id="17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78" w:name="_Toc58191174"/>
            <w:bookmarkStart w:id="179" w:name="_Toc58250955"/>
            <w:bookmarkStart w:id="180" w:name="_Toc58507010"/>
            <w:r>
              <w:rPr>
                <w:rFonts w:ascii="Times New Roman" w:hAnsi="Times New Roman"/>
                <w:noProof/>
                <w:sz w:val="20"/>
                <w:szCs w:val="20"/>
              </w:rPr>
              <w:t>Protéger et promouvoir les valeurs de l’Union</w:t>
            </w:r>
            <w:bookmarkEnd w:id="178"/>
            <w:bookmarkEnd w:id="179"/>
            <w:bookmarkEnd w:id="18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81" w:name="_Toc58191175"/>
            <w:bookmarkStart w:id="182" w:name="_Toc58250956"/>
            <w:bookmarkStart w:id="183" w:name="_Toc58507011"/>
            <w:r>
              <w:rPr>
                <w:rFonts w:ascii="Times New Roman" w:hAnsi="Times New Roman"/>
                <w:noProof/>
                <w:sz w:val="20"/>
                <w:szCs w:val="20"/>
              </w:rPr>
              <w:t>0</w:t>
            </w:r>
            <w:bookmarkEnd w:id="181"/>
            <w:bookmarkEnd w:id="182"/>
            <w:bookmarkEnd w:id="18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84" w:name="_Toc58191176"/>
            <w:bookmarkStart w:id="185" w:name="_Toc58250957"/>
            <w:bookmarkStart w:id="186" w:name="_Toc58507012"/>
            <w:r>
              <w:rPr>
                <w:rFonts w:ascii="Times New Roman" w:hAnsi="Times New Roman"/>
                <w:noProof/>
                <w:sz w:val="20"/>
                <w:szCs w:val="20"/>
              </w:rPr>
              <w:t>500 000</w:t>
            </w:r>
            <w:bookmarkEnd w:id="184"/>
            <w:bookmarkEnd w:id="185"/>
            <w:bookmarkEnd w:id="18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87" w:name="_Toc58191177"/>
            <w:bookmarkStart w:id="188" w:name="_Toc58250958"/>
            <w:bookmarkStart w:id="189" w:name="_Toc58507013"/>
            <w:r>
              <w:rPr>
                <w:rFonts w:ascii="Times New Roman" w:hAnsi="Times New Roman"/>
                <w:noProof/>
                <w:sz w:val="20"/>
                <w:szCs w:val="20"/>
              </w:rPr>
              <w:t>500 000</w:t>
            </w:r>
            <w:bookmarkEnd w:id="187"/>
            <w:bookmarkEnd w:id="188"/>
            <w:bookmarkEnd w:id="189"/>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2.2.3DAG</w:t>
            </w:r>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Organismes décentralisés</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211 135 699</w:t>
            </w:r>
          </w:p>
        </w:tc>
        <w:tc>
          <w:tcPr>
            <w:tcW w:w="1418"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220 498 295</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9 362 596</w:t>
            </w:r>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190" w:name="_Toc58191178"/>
            <w:bookmarkStart w:id="191" w:name="_Toc58250959"/>
            <w:bookmarkStart w:id="192" w:name="_Toc58507014"/>
            <w:r>
              <w:rPr>
                <w:rFonts w:ascii="Times New Roman" w:hAnsi="Times New Roman"/>
                <w:noProof/>
                <w:sz w:val="16"/>
                <w:szCs w:val="16"/>
              </w:rPr>
              <w:t>07 10 04</w:t>
            </w:r>
            <w:bookmarkEnd w:id="190"/>
            <w:bookmarkEnd w:id="191"/>
            <w:bookmarkEnd w:id="19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193" w:name="_Toc58191179"/>
            <w:bookmarkStart w:id="194" w:name="_Toc58250960"/>
            <w:bookmarkStart w:id="195" w:name="_Toc58507015"/>
            <w:r>
              <w:rPr>
                <w:rFonts w:ascii="Times New Roman" w:hAnsi="Times New Roman"/>
                <w:noProof/>
                <w:sz w:val="20"/>
                <w:szCs w:val="20"/>
              </w:rPr>
              <w:t>Agence des droits fondamentaux de l’Union européenne (FRA)</w:t>
            </w:r>
            <w:bookmarkEnd w:id="193"/>
            <w:bookmarkEnd w:id="194"/>
            <w:bookmarkEnd w:id="19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96" w:name="_Toc58191180"/>
            <w:bookmarkStart w:id="197" w:name="_Toc58250961"/>
            <w:bookmarkStart w:id="198" w:name="_Toc58507016"/>
            <w:r>
              <w:rPr>
                <w:rFonts w:ascii="Times New Roman" w:hAnsi="Times New Roman"/>
                <w:noProof/>
                <w:sz w:val="20"/>
                <w:szCs w:val="20"/>
              </w:rPr>
              <w:t>23 111 517</w:t>
            </w:r>
            <w:bookmarkEnd w:id="196"/>
            <w:bookmarkEnd w:id="197"/>
            <w:bookmarkEnd w:id="19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199" w:name="_Toc58191181"/>
            <w:bookmarkStart w:id="200" w:name="_Toc58250962"/>
            <w:bookmarkStart w:id="201" w:name="_Toc58507017"/>
            <w:r>
              <w:rPr>
                <w:rFonts w:ascii="Times New Roman" w:hAnsi="Times New Roman"/>
                <w:noProof/>
                <w:sz w:val="20"/>
                <w:szCs w:val="20"/>
              </w:rPr>
              <w:t>23 749 695</w:t>
            </w:r>
            <w:bookmarkEnd w:id="199"/>
            <w:bookmarkEnd w:id="200"/>
            <w:bookmarkEnd w:id="20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02" w:name="_Toc58191182"/>
            <w:bookmarkStart w:id="203" w:name="_Toc58250963"/>
            <w:bookmarkStart w:id="204" w:name="_Toc58507018"/>
            <w:r>
              <w:rPr>
                <w:rFonts w:ascii="Times New Roman" w:hAnsi="Times New Roman"/>
                <w:noProof/>
                <w:sz w:val="20"/>
                <w:szCs w:val="20"/>
              </w:rPr>
              <w:t>638 178</w:t>
            </w:r>
            <w:bookmarkEnd w:id="202"/>
            <w:bookmarkEnd w:id="203"/>
            <w:bookmarkEnd w:id="204"/>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05" w:name="_Toc58191183"/>
            <w:bookmarkStart w:id="206" w:name="_Toc58250964"/>
            <w:bookmarkStart w:id="207" w:name="_Toc58507019"/>
            <w:r>
              <w:rPr>
                <w:rFonts w:ascii="Times New Roman" w:hAnsi="Times New Roman"/>
                <w:noProof/>
                <w:sz w:val="16"/>
                <w:szCs w:val="16"/>
              </w:rPr>
              <w:t>07 10 05</w:t>
            </w:r>
            <w:bookmarkEnd w:id="205"/>
            <w:bookmarkEnd w:id="206"/>
            <w:bookmarkEnd w:id="20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08" w:name="_Toc58191184"/>
            <w:bookmarkStart w:id="209" w:name="_Toc58250965"/>
            <w:bookmarkStart w:id="210" w:name="_Toc58507020"/>
            <w:r>
              <w:rPr>
                <w:rFonts w:ascii="Times New Roman" w:hAnsi="Times New Roman"/>
                <w:noProof/>
                <w:sz w:val="20"/>
                <w:szCs w:val="20"/>
              </w:rPr>
              <w:t>Institut européen pour l’égalité entre les hommes et les femmes (EIGE)</w:t>
            </w:r>
            <w:bookmarkEnd w:id="208"/>
            <w:bookmarkEnd w:id="209"/>
            <w:bookmarkEnd w:id="21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11" w:name="_Toc58191185"/>
            <w:bookmarkStart w:id="212" w:name="_Toc58250966"/>
            <w:bookmarkStart w:id="213" w:name="_Toc58507021"/>
            <w:r>
              <w:rPr>
                <w:rFonts w:ascii="Times New Roman" w:hAnsi="Times New Roman"/>
                <w:noProof/>
                <w:sz w:val="20"/>
                <w:szCs w:val="20"/>
              </w:rPr>
              <w:t>7 955 000</w:t>
            </w:r>
            <w:bookmarkEnd w:id="211"/>
            <w:bookmarkEnd w:id="212"/>
            <w:bookmarkEnd w:id="21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14" w:name="_Toc58191186"/>
            <w:bookmarkStart w:id="215" w:name="_Toc58250967"/>
            <w:bookmarkStart w:id="216" w:name="_Toc58507022"/>
            <w:r>
              <w:rPr>
                <w:rFonts w:ascii="Times New Roman" w:hAnsi="Times New Roman"/>
                <w:noProof/>
                <w:sz w:val="20"/>
                <w:szCs w:val="20"/>
              </w:rPr>
              <w:t>8 926 628</w:t>
            </w:r>
            <w:bookmarkEnd w:id="214"/>
            <w:bookmarkEnd w:id="215"/>
            <w:bookmarkEnd w:id="21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17" w:name="_Toc58191187"/>
            <w:bookmarkStart w:id="218" w:name="_Toc58250968"/>
            <w:bookmarkStart w:id="219" w:name="_Toc58507023"/>
            <w:r>
              <w:rPr>
                <w:rFonts w:ascii="Times New Roman" w:hAnsi="Times New Roman"/>
                <w:noProof/>
                <w:sz w:val="20"/>
                <w:szCs w:val="20"/>
              </w:rPr>
              <w:t>971 628</w:t>
            </w:r>
            <w:bookmarkEnd w:id="217"/>
            <w:bookmarkEnd w:id="218"/>
            <w:bookmarkEnd w:id="219"/>
          </w:p>
        </w:tc>
      </w:tr>
      <w:tr w:rsidR="00EB2127">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20" w:name="_Toc58191188"/>
            <w:bookmarkStart w:id="221" w:name="_Toc58250969"/>
            <w:bookmarkStart w:id="222" w:name="_Toc58507024"/>
            <w:r>
              <w:rPr>
                <w:rFonts w:ascii="Times New Roman" w:hAnsi="Times New Roman"/>
                <w:noProof/>
                <w:sz w:val="16"/>
                <w:szCs w:val="16"/>
              </w:rPr>
              <w:t>07 10 07</w:t>
            </w:r>
            <w:bookmarkEnd w:id="220"/>
            <w:bookmarkEnd w:id="221"/>
            <w:bookmarkEnd w:id="22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23" w:name="_Toc58191189"/>
            <w:bookmarkStart w:id="224" w:name="_Toc58250970"/>
            <w:bookmarkStart w:id="225" w:name="_Toc58507025"/>
            <w:r>
              <w:rPr>
                <w:rFonts w:ascii="Times New Roman" w:hAnsi="Times New Roman"/>
                <w:noProof/>
                <w:sz w:val="20"/>
                <w:szCs w:val="20"/>
              </w:rPr>
              <w:t>Agence de l’Union européenne pour la coopération judiciaire en matière pénale (Eurojust)</w:t>
            </w:r>
            <w:bookmarkEnd w:id="223"/>
            <w:bookmarkEnd w:id="224"/>
            <w:bookmarkEnd w:id="22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26" w:name="_Toc58191190"/>
            <w:bookmarkStart w:id="227" w:name="_Toc58250971"/>
            <w:bookmarkStart w:id="228" w:name="_Toc58507026"/>
            <w:r>
              <w:rPr>
                <w:rFonts w:ascii="Times New Roman" w:hAnsi="Times New Roman"/>
                <w:noProof/>
                <w:sz w:val="20"/>
                <w:szCs w:val="20"/>
              </w:rPr>
              <w:t>42 345 006</w:t>
            </w:r>
            <w:bookmarkEnd w:id="226"/>
            <w:bookmarkEnd w:id="227"/>
            <w:bookmarkEnd w:id="22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29" w:name="_Toc58191191"/>
            <w:bookmarkStart w:id="230" w:name="_Toc58250972"/>
            <w:bookmarkStart w:id="231" w:name="_Toc58507027"/>
            <w:r>
              <w:rPr>
                <w:rFonts w:ascii="Times New Roman" w:hAnsi="Times New Roman"/>
                <w:noProof/>
                <w:sz w:val="20"/>
                <w:szCs w:val="20"/>
              </w:rPr>
              <w:t>42 845 006</w:t>
            </w:r>
            <w:bookmarkEnd w:id="229"/>
            <w:bookmarkEnd w:id="230"/>
            <w:bookmarkEnd w:id="23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32" w:name="_Toc58191192"/>
            <w:bookmarkStart w:id="233" w:name="_Toc58250973"/>
            <w:bookmarkStart w:id="234" w:name="_Toc58507028"/>
            <w:r>
              <w:rPr>
                <w:rFonts w:ascii="Times New Roman" w:hAnsi="Times New Roman"/>
                <w:noProof/>
                <w:sz w:val="20"/>
                <w:szCs w:val="20"/>
              </w:rPr>
              <w:t>500 000</w:t>
            </w:r>
            <w:bookmarkEnd w:id="232"/>
            <w:bookmarkEnd w:id="233"/>
            <w:bookmarkEnd w:id="234"/>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35" w:name="_Toc58191193"/>
            <w:bookmarkStart w:id="236" w:name="_Toc58250974"/>
            <w:bookmarkStart w:id="237" w:name="_Toc58507029"/>
            <w:r>
              <w:rPr>
                <w:rFonts w:ascii="Times New Roman" w:hAnsi="Times New Roman"/>
                <w:noProof/>
                <w:sz w:val="16"/>
                <w:szCs w:val="16"/>
              </w:rPr>
              <w:t>07 10 08</w:t>
            </w:r>
            <w:bookmarkEnd w:id="235"/>
            <w:bookmarkEnd w:id="236"/>
            <w:bookmarkEnd w:id="23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38" w:name="_Toc58191194"/>
            <w:bookmarkStart w:id="239" w:name="_Toc58250975"/>
            <w:bookmarkStart w:id="240" w:name="_Toc58507030"/>
            <w:r>
              <w:rPr>
                <w:rFonts w:ascii="Times New Roman" w:hAnsi="Times New Roman"/>
                <w:noProof/>
                <w:sz w:val="20"/>
                <w:szCs w:val="20"/>
              </w:rPr>
              <w:t>Parquet européen</w:t>
            </w:r>
            <w:bookmarkEnd w:id="238"/>
            <w:bookmarkEnd w:id="239"/>
            <w:bookmarkEnd w:id="24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41" w:name="_Toc58191195"/>
            <w:bookmarkStart w:id="242" w:name="_Toc58250976"/>
            <w:bookmarkStart w:id="243" w:name="_Toc58507031"/>
            <w:r>
              <w:rPr>
                <w:rFonts w:ascii="Times New Roman" w:hAnsi="Times New Roman"/>
                <w:noProof/>
                <w:sz w:val="20"/>
                <w:szCs w:val="20"/>
              </w:rPr>
              <w:t>37 700 000</w:t>
            </w:r>
            <w:bookmarkEnd w:id="241"/>
            <w:bookmarkEnd w:id="242"/>
            <w:bookmarkEnd w:id="24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44" w:name="_Toc58191196"/>
            <w:bookmarkStart w:id="245" w:name="_Toc58250977"/>
            <w:bookmarkStart w:id="246" w:name="_Toc58507032"/>
            <w:r>
              <w:rPr>
                <w:rFonts w:ascii="Times New Roman" w:hAnsi="Times New Roman"/>
                <w:noProof/>
                <w:sz w:val="20"/>
                <w:szCs w:val="20"/>
              </w:rPr>
              <w:t>44 952 790</w:t>
            </w:r>
            <w:bookmarkEnd w:id="244"/>
            <w:bookmarkEnd w:id="245"/>
            <w:bookmarkEnd w:id="24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47" w:name="_Toc58191197"/>
            <w:bookmarkStart w:id="248" w:name="_Toc58250978"/>
            <w:bookmarkStart w:id="249" w:name="_Toc58507033"/>
            <w:r>
              <w:rPr>
                <w:rFonts w:ascii="Times New Roman" w:hAnsi="Times New Roman"/>
                <w:noProof/>
                <w:sz w:val="20"/>
                <w:szCs w:val="20"/>
              </w:rPr>
              <w:t>7 252 790</w:t>
            </w:r>
            <w:bookmarkEnd w:id="247"/>
            <w:bookmarkEnd w:id="248"/>
            <w:bookmarkEnd w:id="249"/>
          </w:p>
        </w:tc>
      </w:tr>
      <w:tr w:rsidR="00EB2127">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50" w:name="_Toc58191198"/>
            <w:bookmarkStart w:id="251" w:name="_Toc58250979"/>
            <w:bookmarkStart w:id="252" w:name="_Toc58507034"/>
            <w:r>
              <w:rPr>
                <w:rFonts w:ascii="Times New Roman" w:hAnsi="Times New Roman"/>
                <w:noProof/>
                <w:sz w:val="16"/>
                <w:szCs w:val="16"/>
              </w:rPr>
              <w:t>07 20 04 06</w:t>
            </w:r>
            <w:bookmarkEnd w:id="250"/>
            <w:bookmarkEnd w:id="251"/>
            <w:bookmarkEnd w:id="252"/>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53" w:name="_Toc58191199"/>
            <w:bookmarkStart w:id="254" w:name="_Toc58250980"/>
            <w:bookmarkStart w:id="255" w:name="_Toc58507035"/>
            <w:r>
              <w:rPr>
                <w:rFonts w:ascii="Times New Roman" w:hAnsi="Times New Roman"/>
                <w:noProof/>
                <w:sz w:val="20"/>
                <w:szCs w:val="20"/>
              </w:rPr>
              <w:t>Compétences spécifiques dans le domaine de la politique sociale, y compris dialogue social</w:t>
            </w:r>
            <w:bookmarkEnd w:id="253"/>
            <w:bookmarkEnd w:id="254"/>
            <w:bookmarkEnd w:id="25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56" w:name="_Toc58191200"/>
            <w:bookmarkStart w:id="257" w:name="_Toc58250981"/>
            <w:bookmarkStart w:id="258" w:name="_Toc58507036"/>
            <w:r>
              <w:rPr>
                <w:rFonts w:ascii="Times New Roman" w:hAnsi="Times New Roman"/>
                <w:noProof/>
                <w:sz w:val="20"/>
                <w:szCs w:val="20"/>
              </w:rPr>
              <w:t>49 380 381</w:t>
            </w:r>
            <w:bookmarkEnd w:id="256"/>
            <w:bookmarkEnd w:id="257"/>
            <w:bookmarkEnd w:id="258"/>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59" w:name="_Toc58191201"/>
            <w:bookmarkStart w:id="260" w:name="_Toc58250982"/>
            <w:bookmarkStart w:id="261" w:name="_Toc58507037"/>
            <w:r>
              <w:rPr>
                <w:rFonts w:ascii="Times New Roman" w:hAnsi="Times New Roman"/>
                <w:noProof/>
                <w:sz w:val="20"/>
                <w:szCs w:val="20"/>
              </w:rPr>
              <w:t>28 326 381</w:t>
            </w:r>
            <w:bookmarkEnd w:id="259"/>
            <w:bookmarkEnd w:id="260"/>
            <w:bookmarkEnd w:id="261"/>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62" w:name="_Toc58191202"/>
            <w:bookmarkStart w:id="263" w:name="_Toc58250983"/>
            <w:bookmarkStart w:id="264" w:name="_Toc58507038"/>
            <w:r>
              <w:rPr>
                <w:rFonts w:ascii="Times New Roman" w:hAnsi="Times New Roman"/>
                <w:noProof/>
                <w:sz w:val="20"/>
                <w:szCs w:val="20"/>
              </w:rPr>
              <w:t>-21 054 000</w:t>
            </w:r>
            <w:bookmarkEnd w:id="262"/>
            <w:bookmarkEnd w:id="263"/>
            <w:bookmarkEnd w:id="264"/>
          </w:p>
        </w:tc>
      </w:tr>
      <w:tr w:rsidR="00EB2127">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65" w:name="_Toc58191203"/>
            <w:bookmarkStart w:id="266" w:name="_Toc58250984"/>
            <w:bookmarkStart w:id="267" w:name="_Toc58507039"/>
            <w:r>
              <w:rPr>
                <w:rFonts w:ascii="Times New Roman" w:hAnsi="Times New Roman"/>
                <w:noProof/>
                <w:sz w:val="16"/>
                <w:szCs w:val="16"/>
              </w:rPr>
              <w:t>07 20 04 09</w:t>
            </w:r>
            <w:bookmarkEnd w:id="265"/>
            <w:bookmarkEnd w:id="266"/>
            <w:bookmarkEnd w:id="267"/>
          </w:p>
        </w:tc>
        <w:tc>
          <w:tcPr>
            <w:tcW w:w="37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68" w:name="_Toc58191204"/>
            <w:bookmarkStart w:id="269" w:name="_Toc58250985"/>
            <w:bookmarkStart w:id="270" w:name="_Toc58507040"/>
            <w:r>
              <w:rPr>
                <w:rFonts w:ascii="Times New Roman" w:hAnsi="Times New Roman"/>
                <w:noProof/>
                <w:sz w:val="20"/>
                <w:szCs w:val="20"/>
              </w:rPr>
              <w:t>Actions de formation et d’information en faveur des organisations de travailleurs</w:t>
            </w:r>
            <w:bookmarkEnd w:id="268"/>
            <w:bookmarkEnd w:id="269"/>
            <w:bookmarkEnd w:id="27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71" w:name="_Toc58191205"/>
            <w:bookmarkStart w:id="272" w:name="_Toc58250986"/>
            <w:bookmarkStart w:id="273" w:name="_Toc58507041"/>
            <w:r>
              <w:rPr>
                <w:rFonts w:ascii="Times New Roman" w:hAnsi="Times New Roman"/>
                <w:noProof/>
                <w:sz w:val="20"/>
                <w:szCs w:val="20"/>
              </w:rPr>
              <w:t>0</w:t>
            </w:r>
            <w:bookmarkEnd w:id="271"/>
            <w:bookmarkEnd w:id="272"/>
            <w:bookmarkEnd w:id="273"/>
          </w:p>
        </w:tc>
        <w:tc>
          <w:tcPr>
            <w:tcW w:w="141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74" w:name="_Toc58191206"/>
            <w:bookmarkStart w:id="275" w:name="_Toc58250987"/>
            <w:bookmarkStart w:id="276" w:name="_Toc58507042"/>
            <w:r>
              <w:rPr>
                <w:rFonts w:ascii="Times New Roman" w:hAnsi="Times New Roman"/>
                <w:noProof/>
                <w:sz w:val="20"/>
                <w:szCs w:val="20"/>
              </w:rPr>
              <w:t>21 054 000</w:t>
            </w:r>
            <w:bookmarkEnd w:id="274"/>
            <w:bookmarkEnd w:id="275"/>
            <w:bookmarkEnd w:id="276"/>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277" w:name="_Toc58191207"/>
            <w:bookmarkStart w:id="278" w:name="_Toc58250988"/>
            <w:bookmarkStart w:id="279" w:name="_Toc58507043"/>
            <w:r>
              <w:rPr>
                <w:rFonts w:ascii="Times New Roman" w:hAnsi="Times New Roman"/>
                <w:noProof/>
                <w:sz w:val="20"/>
                <w:szCs w:val="20"/>
              </w:rPr>
              <w:t>21 054 000</w:t>
            </w:r>
            <w:bookmarkEnd w:id="277"/>
            <w:bookmarkEnd w:id="278"/>
            <w:bookmarkEnd w:id="279"/>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noProof/>
                <w:sz w:val="16"/>
                <w:szCs w:val="16"/>
              </w:rPr>
            </w:pPr>
            <w:bookmarkStart w:id="280" w:name="_Toc58191208"/>
            <w:bookmarkStart w:id="281" w:name="_Toc58250989"/>
            <w:bookmarkStart w:id="282" w:name="_Toc58507044"/>
            <w:r>
              <w:rPr>
                <w:rFonts w:ascii="Times New Roman" w:hAnsi="Times New Roman"/>
                <w:noProof/>
                <w:sz w:val="16"/>
                <w:szCs w:val="16"/>
              </w:rPr>
              <w:t>PPPA</w:t>
            </w:r>
            <w:bookmarkEnd w:id="280"/>
            <w:bookmarkEnd w:id="281"/>
            <w:bookmarkEnd w:id="282"/>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noProof/>
                <w:sz w:val="20"/>
                <w:szCs w:val="20"/>
              </w:rPr>
            </w:pPr>
            <w:bookmarkStart w:id="283" w:name="_Toc58191209"/>
            <w:bookmarkStart w:id="284" w:name="_Toc58250990"/>
            <w:bookmarkStart w:id="285" w:name="_Toc58507045"/>
            <w:r>
              <w:rPr>
                <w:rFonts w:ascii="Times New Roman" w:hAnsi="Times New Roman"/>
                <w:noProof/>
                <w:sz w:val="20"/>
                <w:szCs w:val="20"/>
              </w:rPr>
              <w:t>Projets pilotes et actions préparatoires</w:t>
            </w:r>
            <w:bookmarkEnd w:id="283"/>
            <w:bookmarkEnd w:id="284"/>
            <w:bookmarkEnd w:id="285"/>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418"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noProof/>
                <w:sz w:val="20"/>
                <w:szCs w:val="20"/>
              </w:rPr>
            </w:pPr>
            <w:bookmarkStart w:id="286" w:name="_Toc58191210"/>
            <w:bookmarkStart w:id="287" w:name="_Toc58250991"/>
            <w:bookmarkStart w:id="288" w:name="_Toc58507046"/>
            <w:r>
              <w:rPr>
                <w:rFonts w:ascii="Times New Roman" w:hAnsi="Times New Roman"/>
                <w:noProof/>
                <w:sz w:val="20"/>
                <w:szCs w:val="20"/>
              </w:rPr>
              <w:t>31 870 000</w:t>
            </w:r>
            <w:bookmarkEnd w:id="286"/>
            <w:bookmarkEnd w:id="287"/>
            <w:bookmarkEnd w:id="288"/>
          </w:p>
        </w:tc>
      </w:tr>
      <w:tr w:rsidR="00EB2127">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759"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b/>
                <w:bCs/>
                <w:noProof/>
                <w:sz w:val="20"/>
                <w:szCs w:val="20"/>
              </w:rPr>
            </w:pPr>
            <w:bookmarkStart w:id="289" w:name="_Toc58191211"/>
            <w:bookmarkStart w:id="290" w:name="_Toc58250992"/>
            <w:bookmarkStart w:id="291" w:name="_Toc58507047"/>
            <w:r>
              <w:rPr>
                <w:rFonts w:ascii="Times New Roman" w:hAnsi="Times New Roman"/>
                <w:b/>
                <w:bCs/>
                <w:noProof/>
                <w:sz w:val="20"/>
                <w:szCs w:val="20"/>
              </w:rPr>
              <w:t>Total</w:t>
            </w:r>
            <w:bookmarkEnd w:id="289"/>
            <w:bookmarkEnd w:id="290"/>
            <w:bookmarkEnd w:id="291"/>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418"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b/>
                <w:bCs/>
                <w:noProof/>
                <w:sz w:val="20"/>
                <w:szCs w:val="20"/>
              </w:rPr>
            </w:pPr>
            <w:bookmarkStart w:id="292" w:name="_Toc58191212"/>
            <w:bookmarkStart w:id="293" w:name="_Toc58250993"/>
            <w:bookmarkStart w:id="294" w:name="_Toc58507048"/>
            <w:r>
              <w:rPr>
                <w:rFonts w:ascii="Times New Roman" w:hAnsi="Times New Roman"/>
                <w:b/>
                <w:bCs/>
                <w:noProof/>
                <w:sz w:val="20"/>
                <w:szCs w:val="20"/>
              </w:rPr>
              <w:t>-21 385 714</w:t>
            </w:r>
            <w:bookmarkEnd w:id="292"/>
            <w:bookmarkEnd w:id="293"/>
            <w:bookmarkEnd w:id="294"/>
          </w:p>
        </w:tc>
      </w:tr>
    </w:tbl>
    <w:p w:rsidR="00EB2127" w:rsidRDefault="00872645">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En conséquence, le niveau des crédits d’engagement est fixé à 4 671,4 millions d’EUR, sans qu’il subsiste de marge sous le plafond des dépenses de la rubrique 2b et compte tenu de la mobilisation de l’instrument de flexibilité à hauteur de 76,4 millions d’EUR.</w:t>
      </w:r>
    </w:p>
    <w:p w:rsidR="00EB2127" w:rsidRDefault="00872645">
      <w:pPr>
        <w:pStyle w:val="ListParagraph"/>
        <w:keepNext/>
        <w:numPr>
          <w:ilvl w:val="2"/>
          <w:numId w:val="49"/>
        </w:numPr>
        <w:tabs>
          <w:tab w:val="num" w:pos="850"/>
        </w:tabs>
        <w:spacing w:before="120" w:after="120"/>
        <w:jc w:val="both"/>
        <w:outlineLvl w:val="2"/>
        <w:rPr>
          <w:noProof/>
        </w:rPr>
      </w:pPr>
      <w:bookmarkStart w:id="295" w:name="_Toc58507049"/>
      <w:r>
        <w:rPr>
          <w:noProof/>
        </w:rPr>
        <w:t>Rubrique 3 – Ressources naturelles et environnement</w:t>
      </w:r>
      <w:bookmarkEnd w:id="295"/>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520"/>
        <w:gridCol w:w="3578"/>
        <w:gridCol w:w="1560"/>
        <w:gridCol w:w="1559"/>
        <w:gridCol w:w="1559"/>
      </w:tblGrid>
      <w:tr w:rsidR="00EB2127">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rsidR="00EB2127">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nil"/>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l’environnement et l’action pour le climat (LIFE)</w:t>
            </w:r>
          </w:p>
        </w:tc>
        <w:tc>
          <w:tcPr>
            <w:tcW w:w="1560"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696 491 000</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738 505 372</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42 014 372</w:t>
            </w:r>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296" w:name="_Toc58191214"/>
            <w:bookmarkStart w:id="297" w:name="_Toc58250995"/>
            <w:bookmarkStart w:id="298" w:name="_Toc58507050"/>
            <w:r>
              <w:rPr>
                <w:rFonts w:ascii="Times New Roman" w:hAnsi="Times New Roman"/>
                <w:noProof/>
                <w:sz w:val="16"/>
                <w:szCs w:val="16"/>
              </w:rPr>
              <w:t>09 02 01</w:t>
            </w:r>
            <w:bookmarkEnd w:id="296"/>
            <w:bookmarkEnd w:id="297"/>
            <w:bookmarkEnd w:id="298"/>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299" w:name="_Toc58191215"/>
            <w:bookmarkStart w:id="300" w:name="_Toc58250996"/>
            <w:bookmarkStart w:id="301" w:name="_Toc58507051"/>
            <w:r>
              <w:rPr>
                <w:rFonts w:ascii="Times New Roman" w:hAnsi="Times New Roman"/>
                <w:noProof/>
                <w:sz w:val="20"/>
                <w:szCs w:val="20"/>
              </w:rPr>
              <w:t>Nature et biodiversité</w:t>
            </w:r>
            <w:bookmarkEnd w:id="299"/>
            <w:bookmarkEnd w:id="300"/>
            <w:bookmarkEnd w:id="301"/>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02" w:name="_Toc58191216"/>
            <w:bookmarkStart w:id="303" w:name="_Toc58250997"/>
            <w:bookmarkStart w:id="304" w:name="_Toc58507052"/>
            <w:r>
              <w:rPr>
                <w:rFonts w:ascii="Times New Roman" w:hAnsi="Times New Roman"/>
                <w:noProof/>
                <w:sz w:val="20"/>
                <w:szCs w:val="20"/>
              </w:rPr>
              <w:t>258 642 156</w:t>
            </w:r>
            <w:bookmarkEnd w:id="302"/>
            <w:bookmarkEnd w:id="303"/>
            <w:bookmarkEnd w:id="304"/>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05" w:name="_Toc58191217"/>
            <w:bookmarkStart w:id="306" w:name="_Toc58250998"/>
            <w:bookmarkStart w:id="307" w:name="_Toc58507053"/>
            <w:r>
              <w:rPr>
                <w:rFonts w:ascii="Times New Roman" w:hAnsi="Times New Roman"/>
                <w:noProof/>
                <w:sz w:val="20"/>
                <w:szCs w:val="20"/>
              </w:rPr>
              <w:t>274 720 400</w:t>
            </w:r>
            <w:bookmarkEnd w:id="305"/>
            <w:bookmarkEnd w:id="306"/>
            <w:bookmarkEnd w:id="307"/>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08" w:name="_Toc58191218"/>
            <w:bookmarkStart w:id="309" w:name="_Toc58250999"/>
            <w:bookmarkStart w:id="310" w:name="_Toc58507054"/>
            <w:r>
              <w:rPr>
                <w:rFonts w:ascii="Times New Roman" w:hAnsi="Times New Roman"/>
                <w:noProof/>
                <w:sz w:val="20"/>
                <w:szCs w:val="20"/>
              </w:rPr>
              <w:t>16 078 244</w:t>
            </w:r>
            <w:bookmarkEnd w:id="308"/>
            <w:bookmarkEnd w:id="309"/>
            <w:bookmarkEnd w:id="310"/>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11" w:name="_Toc58191219"/>
            <w:bookmarkStart w:id="312" w:name="_Toc58251000"/>
            <w:bookmarkStart w:id="313" w:name="_Toc58507055"/>
            <w:r>
              <w:rPr>
                <w:rFonts w:ascii="Times New Roman" w:hAnsi="Times New Roman"/>
                <w:noProof/>
                <w:sz w:val="16"/>
                <w:szCs w:val="16"/>
              </w:rPr>
              <w:t>09 02 02</w:t>
            </w:r>
            <w:bookmarkEnd w:id="311"/>
            <w:bookmarkEnd w:id="312"/>
            <w:bookmarkEnd w:id="313"/>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314" w:name="_Toc58191220"/>
            <w:bookmarkStart w:id="315" w:name="_Toc58251001"/>
            <w:bookmarkStart w:id="316" w:name="_Toc58507056"/>
            <w:r>
              <w:rPr>
                <w:rFonts w:ascii="Times New Roman" w:hAnsi="Times New Roman"/>
                <w:noProof/>
                <w:sz w:val="20"/>
                <w:szCs w:val="20"/>
              </w:rPr>
              <w:t>Économie circulaire et qualité de vie</w:t>
            </w:r>
            <w:bookmarkEnd w:id="314"/>
            <w:bookmarkEnd w:id="315"/>
            <w:bookmarkEnd w:id="316"/>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17" w:name="_Toc58191221"/>
            <w:bookmarkStart w:id="318" w:name="_Toc58251002"/>
            <w:bookmarkStart w:id="319" w:name="_Toc58507057"/>
            <w:r>
              <w:rPr>
                <w:rFonts w:ascii="Times New Roman" w:hAnsi="Times New Roman"/>
                <w:noProof/>
                <w:sz w:val="20"/>
                <w:szCs w:val="20"/>
              </w:rPr>
              <w:t>168 461 328</w:t>
            </w:r>
            <w:bookmarkEnd w:id="317"/>
            <w:bookmarkEnd w:id="318"/>
            <w:bookmarkEnd w:id="319"/>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20" w:name="_Toc58191222"/>
            <w:bookmarkStart w:id="321" w:name="_Toc58251003"/>
            <w:bookmarkStart w:id="322" w:name="_Toc58507058"/>
            <w:r>
              <w:rPr>
                <w:rFonts w:ascii="Times New Roman" w:hAnsi="Times New Roman"/>
                <w:noProof/>
                <w:sz w:val="20"/>
                <w:szCs w:val="20"/>
              </w:rPr>
              <w:t>178 933 566</w:t>
            </w:r>
            <w:bookmarkEnd w:id="320"/>
            <w:bookmarkEnd w:id="321"/>
            <w:bookmarkEnd w:id="322"/>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23" w:name="_Toc58191223"/>
            <w:bookmarkStart w:id="324" w:name="_Toc58251004"/>
            <w:bookmarkStart w:id="325" w:name="_Toc58507059"/>
            <w:r>
              <w:rPr>
                <w:rFonts w:ascii="Times New Roman" w:hAnsi="Times New Roman"/>
                <w:noProof/>
                <w:sz w:val="20"/>
                <w:szCs w:val="20"/>
              </w:rPr>
              <w:t>10 472 238</w:t>
            </w:r>
            <w:bookmarkEnd w:id="323"/>
            <w:bookmarkEnd w:id="324"/>
            <w:bookmarkEnd w:id="325"/>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26" w:name="_Toc58191224"/>
            <w:bookmarkStart w:id="327" w:name="_Toc58251005"/>
            <w:bookmarkStart w:id="328" w:name="_Toc58507060"/>
            <w:r>
              <w:rPr>
                <w:rFonts w:ascii="Times New Roman" w:hAnsi="Times New Roman"/>
                <w:noProof/>
                <w:sz w:val="16"/>
                <w:szCs w:val="16"/>
              </w:rPr>
              <w:t>09 02 03</w:t>
            </w:r>
            <w:bookmarkEnd w:id="326"/>
            <w:bookmarkEnd w:id="327"/>
            <w:bookmarkEnd w:id="328"/>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329" w:name="_Toc58191225"/>
            <w:bookmarkStart w:id="330" w:name="_Toc58251006"/>
            <w:bookmarkStart w:id="331" w:name="_Toc58507061"/>
            <w:r>
              <w:rPr>
                <w:rFonts w:ascii="Times New Roman" w:hAnsi="Times New Roman"/>
                <w:noProof/>
                <w:sz w:val="20"/>
                <w:szCs w:val="20"/>
              </w:rPr>
              <w:t>Atténuation du changement climatique et adaptation à celui-ci</w:t>
            </w:r>
            <w:bookmarkEnd w:id="329"/>
            <w:bookmarkEnd w:id="330"/>
            <w:bookmarkEnd w:id="331"/>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32" w:name="_Toc58191226"/>
            <w:bookmarkStart w:id="333" w:name="_Toc58251007"/>
            <w:bookmarkStart w:id="334" w:name="_Toc58507062"/>
            <w:r>
              <w:rPr>
                <w:rFonts w:ascii="Times New Roman" w:hAnsi="Times New Roman"/>
                <w:noProof/>
                <w:sz w:val="20"/>
                <w:szCs w:val="20"/>
              </w:rPr>
              <w:t>121 426 944</w:t>
            </w:r>
            <w:bookmarkEnd w:id="332"/>
            <w:bookmarkEnd w:id="333"/>
            <w:bookmarkEnd w:id="334"/>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35" w:name="_Toc58191227"/>
            <w:bookmarkStart w:id="336" w:name="_Toc58251008"/>
            <w:bookmarkStart w:id="337" w:name="_Toc58507063"/>
            <w:r>
              <w:rPr>
                <w:rFonts w:ascii="Times New Roman" w:hAnsi="Times New Roman"/>
                <w:noProof/>
                <w:sz w:val="20"/>
                <w:szCs w:val="20"/>
              </w:rPr>
              <w:t>128 975 334</w:t>
            </w:r>
            <w:bookmarkEnd w:id="335"/>
            <w:bookmarkEnd w:id="336"/>
            <w:bookmarkEnd w:id="337"/>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38" w:name="_Toc58191228"/>
            <w:bookmarkStart w:id="339" w:name="_Toc58251009"/>
            <w:bookmarkStart w:id="340" w:name="_Toc58507064"/>
            <w:r>
              <w:rPr>
                <w:rFonts w:ascii="Times New Roman" w:hAnsi="Times New Roman"/>
                <w:noProof/>
                <w:sz w:val="20"/>
                <w:szCs w:val="20"/>
              </w:rPr>
              <w:t>7 548 390</w:t>
            </w:r>
            <w:bookmarkEnd w:id="338"/>
            <w:bookmarkEnd w:id="339"/>
            <w:bookmarkEnd w:id="340"/>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41" w:name="_Toc58191229"/>
            <w:bookmarkStart w:id="342" w:name="_Toc58251010"/>
            <w:bookmarkStart w:id="343" w:name="_Toc58507065"/>
            <w:r>
              <w:rPr>
                <w:rFonts w:ascii="Times New Roman" w:hAnsi="Times New Roman"/>
                <w:noProof/>
                <w:sz w:val="16"/>
                <w:szCs w:val="16"/>
              </w:rPr>
              <w:t>09 02 04</w:t>
            </w:r>
            <w:bookmarkEnd w:id="341"/>
            <w:bookmarkEnd w:id="342"/>
            <w:bookmarkEnd w:id="343"/>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344" w:name="_Toc58191230"/>
            <w:bookmarkStart w:id="345" w:name="_Toc58251011"/>
            <w:bookmarkStart w:id="346" w:name="_Toc58507066"/>
            <w:r>
              <w:rPr>
                <w:rFonts w:ascii="Times New Roman" w:hAnsi="Times New Roman"/>
                <w:noProof/>
                <w:sz w:val="20"/>
                <w:szCs w:val="20"/>
              </w:rPr>
              <w:t>Transition vers l’énergie propre</w:t>
            </w:r>
            <w:bookmarkEnd w:id="344"/>
            <w:bookmarkEnd w:id="345"/>
            <w:bookmarkEnd w:id="346"/>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47" w:name="_Toc58191231"/>
            <w:bookmarkStart w:id="348" w:name="_Toc58251012"/>
            <w:bookmarkStart w:id="349" w:name="_Toc58507067"/>
            <w:r>
              <w:rPr>
                <w:rFonts w:ascii="Times New Roman" w:hAnsi="Times New Roman"/>
                <w:noProof/>
                <w:sz w:val="20"/>
                <w:szCs w:val="20"/>
              </w:rPr>
              <w:t>127 332 437</w:t>
            </w:r>
            <w:bookmarkEnd w:id="347"/>
            <w:bookmarkEnd w:id="348"/>
            <w:bookmarkEnd w:id="349"/>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50" w:name="_Toc58191232"/>
            <w:bookmarkStart w:id="351" w:name="_Toc58251013"/>
            <w:bookmarkStart w:id="352" w:name="_Toc58507068"/>
            <w:r>
              <w:rPr>
                <w:rFonts w:ascii="Times New Roman" w:hAnsi="Times New Roman"/>
                <w:noProof/>
                <w:sz w:val="20"/>
                <w:szCs w:val="20"/>
              </w:rPr>
              <w:t>135 247 937</w:t>
            </w:r>
            <w:bookmarkEnd w:id="350"/>
            <w:bookmarkEnd w:id="351"/>
            <w:bookmarkEnd w:id="352"/>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53" w:name="_Toc58191233"/>
            <w:bookmarkStart w:id="354" w:name="_Toc58251014"/>
            <w:bookmarkStart w:id="355" w:name="_Toc58507069"/>
            <w:r>
              <w:rPr>
                <w:rFonts w:ascii="Times New Roman" w:hAnsi="Times New Roman"/>
                <w:noProof/>
                <w:sz w:val="20"/>
                <w:szCs w:val="20"/>
              </w:rPr>
              <w:t>7 915 500</w:t>
            </w:r>
            <w:bookmarkEnd w:id="353"/>
            <w:bookmarkEnd w:id="354"/>
            <w:bookmarkEnd w:id="355"/>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noProof/>
                <w:sz w:val="16"/>
                <w:szCs w:val="16"/>
              </w:rPr>
            </w:pPr>
            <w:bookmarkStart w:id="356" w:name="_Toc58191234"/>
            <w:bookmarkStart w:id="357" w:name="_Toc58251015"/>
            <w:bookmarkStart w:id="358" w:name="_Toc58507070"/>
            <w:r>
              <w:rPr>
                <w:rFonts w:ascii="Times New Roman" w:hAnsi="Times New Roman"/>
                <w:noProof/>
                <w:sz w:val="16"/>
                <w:szCs w:val="16"/>
              </w:rPr>
              <w:t>PPPA</w:t>
            </w:r>
            <w:bookmarkEnd w:id="356"/>
            <w:bookmarkEnd w:id="357"/>
            <w:bookmarkEnd w:id="358"/>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noProof/>
                <w:sz w:val="20"/>
                <w:szCs w:val="20"/>
              </w:rPr>
            </w:pPr>
            <w:bookmarkStart w:id="359" w:name="_Toc58191235"/>
            <w:bookmarkStart w:id="360" w:name="_Toc58251016"/>
            <w:bookmarkStart w:id="361" w:name="_Toc58507071"/>
            <w:r>
              <w:rPr>
                <w:rFonts w:ascii="Times New Roman" w:hAnsi="Times New Roman"/>
                <w:noProof/>
                <w:sz w:val="20"/>
                <w:szCs w:val="20"/>
              </w:rPr>
              <w:t>Projets pilotes et actions préparatoires</w:t>
            </w:r>
            <w:bookmarkEnd w:id="359"/>
            <w:bookmarkEnd w:id="360"/>
            <w:bookmarkEnd w:id="361"/>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noProof/>
                <w:sz w:val="20"/>
                <w:szCs w:val="20"/>
              </w:rPr>
            </w:pPr>
            <w:bookmarkStart w:id="362" w:name="_Toc58191236"/>
            <w:bookmarkStart w:id="363" w:name="_Toc58251017"/>
            <w:bookmarkStart w:id="364" w:name="_Toc58507072"/>
            <w:r>
              <w:rPr>
                <w:rFonts w:ascii="Times New Roman" w:hAnsi="Times New Roman"/>
                <w:noProof/>
                <w:sz w:val="20"/>
                <w:szCs w:val="20"/>
              </w:rPr>
              <w:t>3 740 000</w:t>
            </w:r>
            <w:bookmarkEnd w:id="362"/>
            <w:bookmarkEnd w:id="363"/>
            <w:bookmarkEnd w:id="364"/>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b/>
                <w:bCs/>
                <w:noProof/>
                <w:sz w:val="20"/>
                <w:szCs w:val="20"/>
              </w:rPr>
            </w:pPr>
            <w:bookmarkStart w:id="365" w:name="_Toc58191237"/>
            <w:bookmarkStart w:id="366" w:name="_Toc58251018"/>
            <w:bookmarkStart w:id="367" w:name="_Toc58507073"/>
            <w:r>
              <w:rPr>
                <w:rFonts w:ascii="Times New Roman" w:hAnsi="Times New Roman"/>
                <w:b/>
                <w:bCs/>
                <w:noProof/>
                <w:sz w:val="20"/>
                <w:szCs w:val="20"/>
              </w:rPr>
              <w:t>Total</w:t>
            </w:r>
            <w:bookmarkEnd w:id="365"/>
            <w:bookmarkEnd w:id="366"/>
            <w:bookmarkEnd w:id="367"/>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b/>
                <w:bCs/>
                <w:noProof/>
                <w:sz w:val="20"/>
                <w:szCs w:val="20"/>
              </w:rPr>
            </w:pPr>
            <w:bookmarkStart w:id="368" w:name="_Toc58191238"/>
            <w:bookmarkStart w:id="369" w:name="_Toc58251019"/>
            <w:bookmarkStart w:id="370" w:name="_Toc58507074"/>
            <w:r>
              <w:rPr>
                <w:rFonts w:ascii="Times New Roman" w:hAnsi="Times New Roman"/>
                <w:b/>
                <w:bCs/>
                <w:noProof/>
                <w:sz w:val="20"/>
                <w:szCs w:val="20"/>
              </w:rPr>
              <w:t>45 754 372</w:t>
            </w:r>
            <w:bookmarkEnd w:id="368"/>
            <w:bookmarkEnd w:id="369"/>
            <w:bookmarkEnd w:id="370"/>
          </w:p>
        </w:tc>
      </w:tr>
    </w:tbl>
    <w:p w:rsidR="00EB2127" w:rsidRDefault="00872645">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58 568,6 millions d'EUR, ce qui laisse une marge de 55,4 millions d'EUR sous le plafond des dépenses de la rubrique 3.</w:t>
      </w:r>
    </w:p>
    <w:p w:rsidR="00EB2127" w:rsidRDefault="00872645">
      <w:pPr>
        <w:pStyle w:val="ListParagraph"/>
        <w:keepNext/>
        <w:numPr>
          <w:ilvl w:val="2"/>
          <w:numId w:val="49"/>
        </w:numPr>
        <w:tabs>
          <w:tab w:val="num" w:pos="850"/>
        </w:tabs>
        <w:spacing w:before="120" w:after="120"/>
        <w:jc w:val="both"/>
        <w:outlineLvl w:val="2"/>
        <w:rPr>
          <w:noProof/>
        </w:rPr>
      </w:pPr>
      <w:bookmarkStart w:id="371" w:name="_Toc58507075"/>
      <w:r>
        <w:rPr>
          <w:noProof/>
        </w:rPr>
        <w:t>Rubrique 4 – Migration et gestion des frontières</w:t>
      </w:r>
      <w:bookmarkEnd w:id="371"/>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détaillés dans le tableau suivant:</w:t>
      </w:r>
    </w:p>
    <w:tbl>
      <w:tblPr>
        <w:tblW w:w="9776" w:type="dxa"/>
        <w:tblInd w:w="113" w:type="dxa"/>
        <w:tblLook w:val="04A0" w:firstRow="1" w:lastRow="0" w:firstColumn="1" w:lastColumn="0" w:noHBand="0" w:noVBand="1"/>
      </w:tblPr>
      <w:tblGrid>
        <w:gridCol w:w="1520"/>
        <w:gridCol w:w="3578"/>
        <w:gridCol w:w="1560"/>
        <w:gridCol w:w="1559"/>
        <w:gridCol w:w="1559"/>
      </w:tblGrid>
      <w:tr w:rsidR="00EB2127">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rsidR="00EB2127">
        <w:trPr>
          <w:trHeight w:val="530"/>
        </w:trPr>
        <w:tc>
          <w:tcPr>
            <w:tcW w:w="1520" w:type="dxa"/>
            <w:vMerge/>
            <w:tcBorders>
              <w:top w:val="nil"/>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nil"/>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Organismes décentralisés</w:t>
            </w:r>
          </w:p>
        </w:tc>
        <w:tc>
          <w:tcPr>
            <w:tcW w:w="1560"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-60 500 000</w:t>
            </w:r>
          </w:p>
        </w:tc>
      </w:tr>
      <w:tr w:rsidR="00EB2127">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72" w:name="_Toc58191240"/>
            <w:bookmarkStart w:id="373" w:name="_Toc58251021"/>
            <w:bookmarkStart w:id="374" w:name="_Toc58507076"/>
            <w:r>
              <w:rPr>
                <w:rFonts w:ascii="Times New Roman" w:hAnsi="Times New Roman"/>
                <w:noProof/>
                <w:sz w:val="16"/>
                <w:szCs w:val="16"/>
              </w:rPr>
              <w:t>11 10 01</w:t>
            </w:r>
            <w:bookmarkEnd w:id="372"/>
            <w:bookmarkEnd w:id="373"/>
            <w:bookmarkEnd w:id="374"/>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375" w:name="_Toc58191241"/>
            <w:bookmarkStart w:id="376" w:name="_Toc58251022"/>
            <w:bookmarkStart w:id="377" w:name="_Toc58507077"/>
            <w:r>
              <w:rPr>
                <w:rFonts w:ascii="Times New Roman" w:hAnsi="Times New Roman"/>
                <w:noProof/>
                <w:sz w:val="20"/>
                <w:szCs w:val="20"/>
              </w:rPr>
              <w:t>Agence européenne de garde-frontières et de garde-côtes (Frontex)</w:t>
            </w:r>
            <w:bookmarkEnd w:id="375"/>
            <w:bookmarkEnd w:id="376"/>
            <w:bookmarkEnd w:id="377"/>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78" w:name="_Toc58191242"/>
            <w:bookmarkStart w:id="379" w:name="_Toc58251023"/>
            <w:bookmarkStart w:id="380" w:name="_Toc58507078"/>
            <w:r>
              <w:rPr>
                <w:rFonts w:ascii="Times New Roman" w:hAnsi="Times New Roman"/>
                <w:noProof/>
                <w:sz w:val="20"/>
                <w:szCs w:val="20"/>
              </w:rPr>
              <w:t>566 949 620</w:t>
            </w:r>
            <w:bookmarkEnd w:id="378"/>
            <w:bookmarkEnd w:id="379"/>
            <w:bookmarkEnd w:id="380"/>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81" w:name="_Toc58191243"/>
            <w:bookmarkStart w:id="382" w:name="_Toc58251024"/>
            <w:bookmarkStart w:id="383" w:name="_Toc58507079"/>
            <w:r>
              <w:rPr>
                <w:rFonts w:ascii="Times New Roman" w:hAnsi="Times New Roman"/>
                <w:noProof/>
                <w:sz w:val="20"/>
                <w:szCs w:val="20"/>
              </w:rPr>
              <w:t>505 949 620</w:t>
            </w:r>
            <w:bookmarkEnd w:id="381"/>
            <w:bookmarkEnd w:id="382"/>
            <w:bookmarkEnd w:id="383"/>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84" w:name="_Toc58191244"/>
            <w:bookmarkStart w:id="385" w:name="_Toc58251025"/>
            <w:bookmarkStart w:id="386" w:name="_Toc58507080"/>
            <w:r>
              <w:rPr>
                <w:rFonts w:ascii="Times New Roman" w:hAnsi="Times New Roman"/>
                <w:noProof/>
                <w:sz w:val="20"/>
                <w:szCs w:val="20"/>
              </w:rPr>
              <w:t>-61 000 000</w:t>
            </w:r>
            <w:bookmarkEnd w:id="384"/>
            <w:bookmarkEnd w:id="385"/>
            <w:bookmarkEnd w:id="386"/>
          </w:p>
        </w:tc>
      </w:tr>
      <w:tr w:rsidR="00EB2127">
        <w:trPr>
          <w:trHeight w:val="780"/>
        </w:trPr>
        <w:tc>
          <w:tcPr>
            <w:tcW w:w="152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387" w:name="_Toc58191245"/>
            <w:bookmarkStart w:id="388" w:name="_Toc58251026"/>
            <w:bookmarkStart w:id="389" w:name="_Toc58507081"/>
            <w:r>
              <w:rPr>
                <w:rFonts w:ascii="Times New Roman" w:hAnsi="Times New Roman"/>
                <w:noProof/>
                <w:sz w:val="16"/>
                <w:szCs w:val="16"/>
              </w:rPr>
              <w:t>11 10 02</w:t>
            </w:r>
            <w:bookmarkEnd w:id="387"/>
            <w:bookmarkEnd w:id="388"/>
            <w:bookmarkEnd w:id="389"/>
          </w:p>
        </w:tc>
        <w:tc>
          <w:tcPr>
            <w:tcW w:w="3578"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390" w:name="_Toc58191246"/>
            <w:bookmarkStart w:id="391" w:name="_Toc58251027"/>
            <w:bookmarkStart w:id="392" w:name="_Toc58507082"/>
            <w:r>
              <w:rPr>
                <w:rFonts w:ascii="Times New Roman" w:hAnsi="Times New Roman"/>
                <w:noProof/>
                <w:sz w:val="20"/>
                <w:szCs w:val="20"/>
              </w:rPr>
              <w:t>Agence européenne pour la gestion opérationnelle des systèmes d’information à grande échelle au sein de l’espace de liberté, de sécurité et de justice (eu-LISA)</w:t>
            </w:r>
            <w:bookmarkEnd w:id="390"/>
            <w:bookmarkEnd w:id="391"/>
            <w:bookmarkEnd w:id="392"/>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93" w:name="_Toc58191247"/>
            <w:bookmarkStart w:id="394" w:name="_Toc58251028"/>
            <w:bookmarkStart w:id="395" w:name="_Toc58507083"/>
            <w:r>
              <w:rPr>
                <w:rFonts w:ascii="Times New Roman" w:hAnsi="Times New Roman"/>
                <w:noProof/>
                <w:sz w:val="20"/>
                <w:szCs w:val="20"/>
              </w:rPr>
              <w:t>227 820 425</w:t>
            </w:r>
            <w:bookmarkEnd w:id="393"/>
            <w:bookmarkEnd w:id="394"/>
            <w:bookmarkEnd w:id="395"/>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96" w:name="_Toc58191248"/>
            <w:bookmarkStart w:id="397" w:name="_Toc58251029"/>
            <w:bookmarkStart w:id="398" w:name="_Toc58507084"/>
            <w:r>
              <w:rPr>
                <w:rFonts w:ascii="Times New Roman" w:hAnsi="Times New Roman"/>
                <w:noProof/>
                <w:sz w:val="20"/>
                <w:szCs w:val="20"/>
              </w:rPr>
              <w:t>228 320 425</w:t>
            </w:r>
            <w:bookmarkEnd w:id="396"/>
            <w:bookmarkEnd w:id="397"/>
            <w:bookmarkEnd w:id="398"/>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399" w:name="_Toc58191249"/>
            <w:bookmarkStart w:id="400" w:name="_Toc58251030"/>
            <w:bookmarkStart w:id="401" w:name="_Toc58507085"/>
            <w:r>
              <w:rPr>
                <w:rFonts w:ascii="Times New Roman" w:hAnsi="Times New Roman"/>
                <w:noProof/>
                <w:sz w:val="20"/>
                <w:szCs w:val="20"/>
              </w:rPr>
              <w:t>500 000</w:t>
            </w:r>
            <w:bookmarkEnd w:id="399"/>
            <w:bookmarkEnd w:id="400"/>
            <w:bookmarkEnd w:id="401"/>
          </w:p>
        </w:tc>
      </w:tr>
      <w:tr w:rsidR="00EB2127">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b/>
                <w:bCs/>
                <w:noProof/>
                <w:sz w:val="20"/>
                <w:szCs w:val="20"/>
              </w:rPr>
            </w:pPr>
            <w:bookmarkStart w:id="402" w:name="_Toc58191250"/>
            <w:bookmarkStart w:id="403" w:name="_Toc58251031"/>
            <w:bookmarkStart w:id="404" w:name="_Toc58507086"/>
            <w:r>
              <w:rPr>
                <w:rFonts w:ascii="Times New Roman" w:hAnsi="Times New Roman"/>
                <w:b/>
                <w:bCs/>
                <w:noProof/>
                <w:sz w:val="20"/>
                <w:szCs w:val="20"/>
              </w:rPr>
              <w:t>Total</w:t>
            </w:r>
            <w:bookmarkEnd w:id="402"/>
            <w:bookmarkEnd w:id="403"/>
            <w:bookmarkEnd w:id="404"/>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b/>
                <w:bCs/>
                <w:noProof/>
                <w:sz w:val="20"/>
                <w:szCs w:val="20"/>
              </w:rPr>
            </w:pPr>
            <w:bookmarkStart w:id="405" w:name="_Toc58191251"/>
            <w:bookmarkStart w:id="406" w:name="_Toc58251032"/>
            <w:bookmarkStart w:id="407" w:name="_Toc58507087"/>
            <w:r>
              <w:rPr>
                <w:rFonts w:ascii="Times New Roman" w:hAnsi="Times New Roman"/>
                <w:b/>
                <w:bCs/>
                <w:noProof/>
                <w:sz w:val="20"/>
                <w:szCs w:val="20"/>
              </w:rPr>
              <w:t>-60 500 000</w:t>
            </w:r>
            <w:bookmarkEnd w:id="405"/>
            <w:bookmarkEnd w:id="406"/>
            <w:bookmarkEnd w:id="407"/>
          </w:p>
        </w:tc>
      </w:tr>
    </w:tbl>
    <w:p w:rsidR="00EB2127" w:rsidRDefault="00872645">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À la suite du récent accord politique intervenu, le 10 novembre 2020, entre le Parlement européen et le Conseil concernant le CFP 2021-2027 et dans l’attente de l’approbation des textes pertinents, la réduction relative à l’Agence européenne de garde-frontières et de garde-côtes (Frontex) en 2021 n’affecte pas le complément global de 0,5 milliard d’EUR (aux prix de 2018) convenu au niveau politique dans ce contexte. La réduction proposée en 2021 sera compensée au cours des années suivantes conformément à l’accord sur le CFP, dans le respect des principes de bonne gestion financière.</w:t>
      </w:r>
    </w:p>
    <w:p w:rsidR="00EB2127" w:rsidRDefault="00872645">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2 278,8 millions d'EUR, ce qui laisse une marge de 188,2 millions d'EUR sous le plafond des dépenses de la rubrique.</w:t>
      </w:r>
    </w:p>
    <w:p w:rsidR="00EB2127" w:rsidRDefault="00872645">
      <w:pPr>
        <w:pStyle w:val="ListParagraph"/>
        <w:keepNext/>
        <w:numPr>
          <w:ilvl w:val="2"/>
          <w:numId w:val="49"/>
        </w:numPr>
        <w:tabs>
          <w:tab w:val="num" w:pos="850"/>
        </w:tabs>
        <w:spacing w:before="120" w:after="120"/>
        <w:jc w:val="both"/>
        <w:outlineLvl w:val="2"/>
        <w:rPr>
          <w:noProof/>
        </w:rPr>
      </w:pPr>
      <w:bookmarkStart w:id="408" w:name="_Toc58507088"/>
      <w:r>
        <w:rPr>
          <w:noProof/>
        </w:rPr>
        <w:t>Rubrique 5 – Sécurité et défense</w:t>
      </w:r>
      <w:bookmarkEnd w:id="408"/>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w:t>
      </w:r>
    </w:p>
    <w:p w:rsidR="00EB2127" w:rsidRDefault="00872645">
      <w:pPr>
        <w:pStyle w:val="ListParagraph"/>
        <w:keepNext/>
        <w:numPr>
          <w:ilvl w:val="2"/>
          <w:numId w:val="49"/>
        </w:numPr>
        <w:tabs>
          <w:tab w:val="num" w:pos="850"/>
        </w:tabs>
        <w:spacing w:before="120" w:after="120"/>
        <w:jc w:val="both"/>
        <w:outlineLvl w:val="2"/>
        <w:rPr>
          <w:noProof/>
        </w:rPr>
      </w:pPr>
      <w:bookmarkStart w:id="409" w:name="_Toc58507089"/>
      <w:r>
        <w:rPr>
          <w:noProof/>
        </w:rPr>
        <w:t>Rubrique 6 – Voisinage et le monde</w:t>
      </w:r>
      <w:bookmarkEnd w:id="409"/>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13" w:type="dxa"/>
        <w:tblInd w:w="113" w:type="dxa"/>
        <w:tblLook w:val="04A0" w:firstRow="1" w:lastRow="0" w:firstColumn="1" w:lastColumn="0" w:noHBand="0" w:noVBand="1"/>
      </w:tblPr>
      <w:tblGrid>
        <w:gridCol w:w="1555"/>
        <w:gridCol w:w="3543"/>
        <w:gridCol w:w="1560"/>
        <w:gridCol w:w="1559"/>
        <w:gridCol w:w="1496"/>
      </w:tblGrid>
      <w:tr w:rsidR="00EB2127">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rsidR="00EB2127">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Instrument de voisinage, de coopération au développement et de coopération internationale (IVCDCI)</w:t>
            </w:r>
          </w:p>
        </w:tc>
        <w:tc>
          <w:tcPr>
            <w:tcW w:w="1560"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410" w:name="_Toc58191254"/>
            <w:bookmarkStart w:id="411" w:name="_Toc58251035"/>
            <w:bookmarkStart w:id="412" w:name="_Toc58507090"/>
            <w:r>
              <w:rPr>
                <w:rFonts w:ascii="Times New Roman" w:hAnsi="Times New Roman"/>
                <w:noProof/>
                <w:sz w:val="16"/>
                <w:szCs w:val="16"/>
              </w:rPr>
              <w:t>15 02 01 10</w:t>
            </w:r>
            <w:bookmarkEnd w:id="410"/>
            <w:bookmarkEnd w:id="411"/>
            <w:bookmarkEnd w:id="41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13" w:name="_Toc58191255"/>
            <w:bookmarkStart w:id="414" w:name="_Toc58251036"/>
            <w:bookmarkStart w:id="415" w:name="_Toc58507091"/>
            <w:r>
              <w:rPr>
                <w:rFonts w:ascii="Times New Roman" w:hAnsi="Times New Roman"/>
                <w:noProof/>
                <w:sz w:val="20"/>
                <w:szCs w:val="20"/>
              </w:rPr>
              <w:t>Voisinage méridional</w:t>
            </w:r>
            <w:bookmarkEnd w:id="413"/>
            <w:bookmarkEnd w:id="414"/>
            <w:bookmarkEnd w:id="41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16" w:name="_Toc58191256"/>
            <w:bookmarkStart w:id="417" w:name="_Toc58251037"/>
            <w:bookmarkStart w:id="418" w:name="_Toc58507092"/>
            <w:r>
              <w:rPr>
                <w:rFonts w:ascii="Times New Roman" w:hAnsi="Times New Roman"/>
                <w:noProof/>
                <w:sz w:val="20"/>
                <w:szCs w:val="20"/>
              </w:rPr>
              <w:t>1 460 009 385</w:t>
            </w:r>
            <w:bookmarkEnd w:id="416"/>
            <w:bookmarkEnd w:id="417"/>
            <w:bookmarkEnd w:id="418"/>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19" w:name="_Toc58191257"/>
            <w:bookmarkStart w:id="420" w:name="_Toc58251038"/>
            <w:bookmarkStart w:id="421" w:name="_Toc58507093"/>
            <w:r>
              <w:rPr>
                <w:rFonts w:ascii="Times New Roman" w:hAnsi="Times New Roman"/>
                <w:noProof/>
                <w:sz w:val="20"/>
                <w:szCs w:val="20"/>
              </w:rPr>
              <w:t>1 470 187 766</w:t>
            </w:r>
            <w:bookmarkEnd w:id="419"/>
            <w:bookmarkEnd w:id="420"/>
            <w:bookmarkEnd w:id="421"/>
          </w:p>
        </w:tc>
        <w:tc>
          <w:tcPr>
            <w:tcW w:w="1496"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22" w:name="_Toc58191258"/>
            <w:bookmarkStart w:id="423" w:name="_Toc58251039"/>
            <w:bookmarkStart w:id="424" w:name="_Toc58507094"/>
            <w:r>
              <w:rPr>
                <w:rFonts w:ascii="Times New Roman" w:hAnsi="Times New Roman"/>
                <w:noProof/>
                <w:sz w:val="20"/>
                <w:szCs w:val="20"/>
              </w:rPr>
              <w:t>10 178 381</w:t>
            </w:r>
            <w:bookmarkEnd w:id="422"/>
            <w:bookmarkEnd w:id="423"/>
            <w:bookmarkEnd w:id="424"/>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Aide humanitaire (HUMA)</w:t>
            </w:r>
          </w:p>
        </w:tc>
        <w:tc>
          <w:tcPr>
            <w:tcW w:w="1560"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1 478 000 000</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1 503 000 000</w:t>
            </w:r>
          </w:p>
        </w:tc>
        <w:tc>
          <w:tcPr>
            <w:tcW w:w="1496"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25 000 000</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425" w:name="_Toc58191259"/>
            <w:bookmarkStart w:id="426" w:name="_Toc58251040"/>
            <w:bookmarkStart w:id="427" w:name="_Toc58507095"/>
            <w:r>
              <w:rPr>
                <w:rFonts w:ascii="Times New Roman" w:hAnsi="Times New Roman"/>
                <w:noProof/>
                <w:sz w:val="16"/>
                <w:szCs w:val="16"/>
              </w:rPr>
              <w:t>15 03 01</w:t>
            </w:r>
            <w:bookmarkEnd w:id="425"/>
            <w:bookmarkEnd w:id="426"/>
            <w:bookmarkEnd w:id="42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28" w:name="_Toc58191260"/>
            <w:bookmarkStart w:id="429" w:name="_Toc58251041"/>
            <w:bookmarkStart w:id="430" w:name="_Toc58507096"/>
            <w:r>
              <w:rPr>
                <w:rFonts w:ascii="Times New Roman" w:hAnsi="Times New Roman"/>
                <w:noProof/>
                <w:sz w:val="20"/>
                <w:szCs w:val="20"/>
              </w:rPr>
              <w:t>Aide humanitaire</w:t>
            </w:r>
            <w:bookmarkEnd w:id="428"/>
            <w:bookmarkEnd w:id="429"/>
            <w:bookmarkEnd w:id="43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31" w:name="_Toc58191261"/>
            <w:bookmarkStart w:id="432" w:name="_Toc58251042"/>
            <w:bookmarkStart w:id="433" w:name="_Toc58507097"/>
            <w:r>
              <w:rPr>
                <w:rFonts w:ascii="Times New Roman" w:hAnsi="Times New Roman"/>
                <w:noProof/>
                <w:sz w:val="20"/>
                <w:szCs w:val="20"/>
              </w:rPr>
              <w:t>1 391 512 450</w:t>
            </w:r>
            <w:bookmarkEnd w:id="431"/>
            <w:bookmarkEnd w:id="432"/>
            <w:bookmarkEnd w:id="433"/>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34" w:name="_Toc58191262"/>
            <w:bookmarkStart w:id="435" w:name="_Toc58251043"/>
            <w:bookmarkStart w:id="436" w:name="_Toc58507098"/>
            <w:r>
              <w:rPr>
                <w:rFonts w:ascii="Times New Roman" w:hAnsi="Times New Roman"/>
                <w:noProof/>
                <w:sz w:val="20"/>
                <w:szCs w:val="20"/>
              </w:rPr>
              <w:t>1 416 512 450</w:t>
            </w:r>
            <w:bookmarkEnd w:id="434"/>
            <w:bookmarkEnd w:id="435"/>
            <w:bookmarkEnd w:id="436"/>
          </w:p>
        </w:tc>
        <w:tc>
          <w:tcPr>
            <w:tcW w:w="1496"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37" w:name="_Toc58191263"/>
            <w:bookmarkStart w:id="438" w:name="_Toc58251044"/>
            <w:bookmarkStart w:id="439" w:name="_Toc58507099"/>
            <w:r>
              <w:rPr>
                <w:rFonts w:ascii="Times New Roman" w:hAnsi="Times New Roman"/>
                <w:noProof/>
                <w:sz w:val="20"/>
                <w:szCs w:val="20"/>
              </w:rPr>
              <w:t>25 000 000</w:t>
            </w:r>
            <w:bookmarkEnd w:id="437"/>
            <w:bookmarkEnd w:id="438"/>
            <w:bookmarkEnd w:id="43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91 394 973</w:t>
            </w:r>
          </w:p>
        </w:tc>
        <w:tc>
          <w:tcPr>
            <w:tcW w:w="155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93 023 514</w:t>
            </w:r>
          </w:p>
        </w:tc>
        <w:tc>
          <w:tcPr>
            <w:tcW w:w="1496"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1 628 541</w:t>
            </w:r>
          </w:p>
        </w:tc>
      </w:tr>
      <w:tr w:rsidR="00EB2127">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440" w:name="_Toc58191264"/>
            <w:bookmarkStart w:id="441" w:name="_Toc58251045"/>
            <w:bookmarkStart w:id="442" w:name="_Toc58507100"/>
            <w:r>
              <w:rPr>
                <w:rFonts w:ascii="Times New Roman" w:hAnsi="Times New Roman"/>
                <w:noProof/>
                <w:sz w:val="16"/>
                <w:szCs w:val="16"/>
              </w:rPr>
              <w:t>15 20 04 03</w:t>
            </w:r>
            <w:bookmarkEnd w:id="440"/>
            <w:bookmarkEnd w:id="441"/>
            <w:bookmarkEnd w:id="44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43" w:name="_Toc58191265"/>
            <w:bookmarkStart w:id="444" w:name="_Toc58251046"/>
            <w:bookmarkStart w:id="445" w:name="_Toc58507101"/>
            <w:r>
              <w:rPr>
                <w:rFonts w:ascii="Times New Roman" w:hAnsi="Times New Roman"/>
                <w:noProof/>
                <w:sz w:val="20"/>
                <w:szCs w:val="20"/>
              </w:rPr>
              <w:t>Politique d’information et communication stratégique pour l’action extérieure</w:t>
            </w:r>
            <w:bookmarkEnd w:id="443"/>
            <w:bookmarkEnd w:id="444"/>
            <w:bookmarkEnd w:id="44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46" w:name="_Toc58191266"/>
            <w:bookmarkStart w:id="447" w:name="_Toc58251047"/>
            <w:bookmarkStart w:id="448" w:name="_Toc58507102"/>
            <w:r>
              <w:rPr>
                <w:rFonts w:ascii="Times New Roman" w:hAnsi="Times New Roman"/>
                <w:noProof/>
                <w:sz w:val="20"/>
                <w:szCs w:val="20"/>
              </w:rPr>
              <w:t>41 756 023</w:t>
            </w:r>
            <w:bookmarkEnd w:id="446"/>
            <w:bookmarkEnd w:id="447"/>
            <w:bookmarkEnd w:id="448"/>
          </w:p>
        </w:tc>
        <w:tc>
          <w:tcPr>
            <w:tcW w:w="155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49" w:name="_Toc58191267"/>
            <w:bookmarkStart w:id="450" w:name="_Toc58251048"/>
            <w:bookmarkStart w:id="451" w:name="_Toc58507103"/>
            <w:r>
              <w:rPr>
                <w:rFonts w:ascii="Times New Roman" w:hAnsi="Times New Roman"/>
                <w:noProof/>
                <w:sz w:val="20"/>
                <w:szCs w:val="20"/>
              </w:rPr>
              <w:t>43 384 564</w:t>
            </w:r>
            <w:bookmarkEnd w:id="449"/>
            <w:bookmarkEnd w:id="450"/>
            <w:bookmarkEnd w:id="451"/>
          </w:p>
        </w:tc>
        <w:tc>
          <w:tcPr>
            <w:tcW w:w="1496"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52" w:name="_Toc58191268"/>
            <w:bookmarkStart w:id="453" w:name="_Toc58251049"/>
            <w:bookmarkStart w:id="454" w:name="_Toc58507104"/>
            <w:r>
              <w:rPr>
                <w:rFonts w:ascii="Times New Roman" w:hAnsi="Times New Roman"/>
                <w:noProof/>
                <w:sz w:val="20"/>
                <w:szCs w:val="20"/>
              </w:rPr>
              <w:t>1 628 541</w:t>
            </w:r>
            <w:bookmarkEnd w:id="452"/>
            <w:bookmarkEnd w:id="453"/>
            <w:bookmarkEnd w:id="454"/>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noProof/>
                <w:sz w:val="16"/>
                <w:szCs w:val="16"/>
              </w:rPr>
            </w:pPr>
            <w:bookmarkStart w:id="455" w:name="_Toc58191269"/>
            <w:bookmarkStart w:id="456" w:name="_Toc58251050"/>
            <w:bookmarkStart w:id="457" w:name="_Toc58507105"/>
            <w:r>
              <w:rPr>
                <w:rFonts w:ascii="Times New Roman" w:hAnsi="Times New Roman"/>
                <w:noProof/>
                <w:sz w:val="16"/>
                <w:szCs w:val="16"/>
              </w:rPr>
              <w:t>PPPA</w:t>
            </w:r>
            <w:bookmarkEnd w:id="455"/>
            <w:bookmarkEnd w:id="456"/>
            <w:bookmarkEnd w:id="457"/>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noProof/>
                <w:sz w:val="20"/>
                <w:szCs w:val="20"/>
              </w:rPr>
            </w:pPr>
            <w:bookmarkStart w:id="458" w:name="_Toc58191270"/>
            <w:bookmarkStart w:id="459" w:name="_Toc58251051"/>
            <w:bookmarkStart w:id="460" w:name="_Toc58507106"/>
            <w:r>
              <w:rPr>
                <w:rFonts w:ascii="Times New Roman" w:hAnsi="Times New Roman"/>
                <w:noProof/>
                <w:sz w:val="20"/>
                <w:szCs w:val="20"/>
              </w:rPr>
              <w:t>Projets pilotes et actions préparatoires</w:t>
            </w:r>
            <w:bookmarkEnd w:id="458"/>
            <w:bookmarkEnd w:id="459"/>
            <w:bookmarkEnd w:id="460"/>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496"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noProof/>
                <w:sz w:val="20"/>
                <w:szCs w:val="20"/>
              </w:rPr>
            </w:pPr>
            <w:bookmarkStart w:id="461" w:name="_Toc58191271"/>
            <w:bookmarkStart w:id="462" w:name="_Toc58251052"/>
            <w:bookmarkStart w:id="463" w:name="_Toc58507107"/>
            <w:r>
              <w:rPr>
                <w:rFonts w:ascii="Times New Roman" w:hAnsi="Times New Roman"/>
                <w:noProof/>
                <w:sz w:val="20"/>
                <w:szCs w:val="20"/>
              </w:rPr>
              <w:t>175 000</w:t>
            </w:r>
            <w:bookmarkEnd w:id="461"/>
            <w:bookmarkEnd w:id="462"/>
            <w:bookmarkEnd w:id="463"/>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outlineLvl w:val="1"/>
              <w:rPr>
                <w:rFonts w:ascii="Times New Roman" w:eastAsia="Times New Roman" w:hAnsi="Times New Roman"/>
                <w:b/>
                <w:bCs/>
                <w:noProof/>
                <w:sz w:val="20"/>
                <w:szCs w:val="20"/>
              </w:rPr>
            </w:pPr>
            <w:bookmarkStart w:id="464" w:name="_Toc58191272"/>
            <w:bookmarkStart w:id="465" w:name="_Toc58251053"/>
            <w:bookmarkStart w:id="466" w:name="_Toc58507108"/>
            <w:r>
              <w:rPr>
                <w:rFonts w:ascii="Times New Roman" w:hAnsi="Times New Roman"/>
                <w:b/>
                <w:bCs/>
                <w:noProof/>
                <w:sz w:val="20"/>
                <w:szCs w:val="20"/>
              </w:rPr>
              <w:t>Total</w:t>
            </w:r>
            <w:bookmarkEnd w:id="464"/>
            <w:bookmarkEnd w:id="465"/>
            <w:bookmarkEnd w:id="466"/>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rsidR="00EB2127" w:rsidRDefault="00872645">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496"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outlineLvl w:val="1"/>
              <w:rPr>
                <w:rFonts w:ascii="Times New Roman" w:eastAsia="Times New Roman" w:hAnsi="Times New Roman"/>
                <w:b/>
                <w:bCs/>
                <w:noProof/>
                <w:sz w:val="20"/>
                <w:szCs w:val="20"/>
              </w:rPr>
            </w:pPr>
            <w:bookmarkStart w:id="467" w:name="_Toc58191273"/>
            <w:bookmarkStart w:id="468" w:name="_Toc58251054"/>
            <w:bookmarkStart w:id="469" w:name="_Toc58507109"/>
            <w:r>
              <w:rPr>
                <w:rFonts w:ascii="Times New Roman" w:hAnsi="Times New Roman"/>
                <w:b/>
                <w:bCs/>
                <w:noProof/>
                <w:sz w:val="20"/>
                <w:szCs w:val="20"/>
              </w:rPr>
              <w:t>36 981 922</w:t>
            </w:r>
            <w:bookmarkEnd w:id="467"/>
            <w:bookmarkEnd w:id="468"/>
            <w:bookmarkEnd w:id="469"/>
          </w:p>
        </w:tc>
      </w:tr>
    </w:tbl>
    <w:p w:rsidR="00EB2127" w:rsidRDefault="00872645">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À la suite du récent accord politique intervenu, le 10 novembre 2020, entre le Parlement européen et le Conseil concernant le CFP 2021-2027 et dans l’attente de l’approbation des textes pertinents, le renforcement de l’aide humanitaire fait partie du complément global de 0,5 milliard d’EUR (aux prix de 2018) convenu au niveau politique dans ce contexte, ce qui laisse un montant de 476,4 millions d’EUR aux prix de 2018 disponibles pour la période 2022-2027.</w:t>
      </w:r>
    </w:p>
    <w:p w:rsidR="00EB2127" w:rsidRDefault="00872645">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16 097,2 millions d'EUR, ce qui laisse une marge de 149,8 millions d'EUR sous le plafond des dépenses de la rubrique.</w:t>
      </w:r>
    </w:p>
    <w:p w:rsidR="00EB2127" w:rsidRDefault="00872645">
      <w:pPr>
        <w:pStyle w:val="ListParagraph"/>
        <w:keepNext/>
        <w:numPr>
          <w:ilvl w:val="2"/>
          <w:numId w:val="49"/>
        </w:numPr>
        <w:tabs>
          <w:tab w:val="num" w:pos="850"/>
        </w:tabs>
        <w:spacing w:before="120" w:after="120"/>
        <w:jc w:val="both"/>
        <w:outlineLvl w:val="2"/>
        <w:rPr>
          <w:noProof/>
        </w:rPr>
      </w:pPr>
      <w:bookmarkStart w:id="470" w:name="_Toc58507110"/>
      <w:r>
        <w:rPr>
          <w:noProof/>
        </w:rPr>
        <w:t>Rubrique 7 – Administration publique européenne</w:t>
      </w:r>
      <w:bookmarkEnd w:id="470"/>
    </w:p>
    <w:p w:rsidR="00EB2127" w:rsidRDefault="00872645">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Pour la rubrique 7, il est proposé de fixer le nombre d'emplois dans les tableaux des effectifs des institutions et les crédits au niveau du projet de budget initial, tel que modifié par la lettre rectificative nº 1/2021, sauf en ce qui concerne les aspects suivants:</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«Parlement», pour laquelle la lecture par ce dernier est approuvée et ajustée pour inclure i) l’incidence de l’actualisation révisée des rémunérations conformément à la lettre rectificative nº 1/2021 et ii) le transfert de deux emplois inscrits au tableau des effectifs du Parlement européen (PE) à la Commission européenne en vue de soutenir les activités de la CERT-UE conformément à la lettre rectificative nº 1/2021;</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«Conseil», pour laquelle la lecture par ce dernier est approuvée et ajustée pour inclure l’incidence de l’actualisation révisée des rémunérations conformément à la lettre rectificative nº 1/2021;</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«Cour des comptes», pour laquelle une mise à jour technique a été convenue, compte tenu de la modification des tableaux des effectifs faisant suite au recours à l’article 53, paragraphe 1, du règlement financier. Cette opération a entraîné la transformation d’un emploi permanent AST 11, d’un emploi permanent AST 8, d’un emploi permanent AST 7, de deux emplois permanents AST 5, d’un emploi permanent AST 4 et d’un emploi temporaire AST/SC 3 en, respectivement, trois emplois permanents AD 7 et quatre emplois permanents AD 5, sans incidence sur le niveau des crédits;</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«Comité économique et social», pour laquelle le niveau des crédits d’engagement et de paiement est relevé de 590 854 EUR;</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«Comité des régions», pour laquelle le niveau des crédits d’engagement et de paiement est relevé de 564 796 EUR;</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«Contrôleur européen de la protection des données», pour laquelle une mise à jour technique a été convenue, compte tenu de la modification des tableaux des effectifs faisant suite au recours à l’article 53, paragraphe 1, du règlement financier. Cette opération a entraîné la transformation d’un emploi AST 5 permanent en un emploi AST/SC 6 permanent, sans incidence sur le niveau des crédits;</w:t>
      </w:r>
    </w:p>
    <w:p w:rsidR="00EB2127" w:rsidRDefault="00872645">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«Service européen pour l’action extérieure», pour laquelle le niveau des crédits d’engagement et de paiement est relevé de 1,0 million d’EUR pour la «capacité de communication stratégique».</w:t>
      </w:r>
    </w:p>
    <w:p w:rsidR="00EB2127" w:rsidRDefault="00872645">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outre, à la suite de la pandémie de COVID-19, le niveau des crédits d’engagement et de paiement liés aux missions de toutes les institutions, à l’exception du Parlement européen, est réduit de 10 %.</w:t>
      </w:r>
    </w:p>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Ces ajustements combinés, qui se traduisent par une diminution globale de 8,8 millions d’EUR de la rubrique 7, sont détaillés par section dans les tableaux suivants:</w:t>
      </w:r>
    </w:p>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1 – Parlement européen</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Autres agents — Secrétariat général et groupes politiques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1 202 000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Autres agents — Sécurité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2 0 0 0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Loyers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Sécurité et surveillance des immeubles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réception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13 000</w:t>
            </w:r>
          </w:p>
        </w:tc>
      </w:tr>
      <w:tr w:rsidR="00EB2127">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Réunions, congrès, conférences et délégations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2 780 000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77 000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Acquisition d’expertise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862 000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Mobilier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Réserve pour imprévus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-2 154 000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2 – Conseil européen et Conseil</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du secrétariat général du Conseil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-360 000</w:t>
            </w:r>
          </w:p>
        </w:tc>
      </w:tr>
      <w:tr w:rsidR="00EB2127">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des membres du personnel dans le cadre du Conseil européen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-165 000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des délégations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-1 723 000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divers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Information et manifestations publiques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-509 500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-2 814 500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3 – Commission</w:t>
      </w:r>
    </w:p>
    <w:tbl>
      <w:tblPr>
        <w:tblW w:w="9634" w:type="dxa"/>
        <w:tblInd w:w="113" w:type="dxa"/>
        <w:tblLook w:val="04A0" w:firstRow="1" w:lastRow="0" w:firstColumn="1" w:lastColumn="0" w:noHBand="0" w:noVBand="1"/>
      </w:tblPr>
      <w:tblGrid>
        <w:gridCol w:w="1435"/>
        <w:gridCol w:w="3663"/>
        <w:gridCol w:w="1560"/>
        <w:gridCol w:w="1464"/>
        <w:gridCol w:w="1512"/>
      </w:tblGrid>
      <w:tr w:rsidR="00EB2127">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435"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464"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12"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53 230 000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-5 915 000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-608 000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des publications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européen de sélection du personnel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de gestion et de liquidation des droits individuels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02 - O4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Infrastructures et Logistique — Bruxelles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Infrastructures et Logistique — Luxembourg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Office européen de lutte antifraude (OLAF)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-146 000</w:t>
            </w:r>
          </w:p>
        </w:tc>
      </w:tr>
      <w:tr w:rsidR="00EB2127">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-6 772 000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4 – Cour de justice de l'Union européenne</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-45 000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5 – Cour des comptes européenne</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3 320 000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-332 000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-332 000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6 – Comité économique et social européen</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-42 108</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Interprétation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iCs/>
                <w:noProof/>
                <w:sz w:val="20"/>
                <w:szCs w:val="20"/>
              </w:rPr>
            </w:pPr>
            <w:r>
              <w:rPr>
                <w:rFonts w:ascii="Times New Roman" w:hAnsi="Times New Roman"/>
                <w:noProof/>
                <w:sz w:val="20"/>
                <w:szCs w:val="20"/>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590 854</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548 746</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7 – Comité européen des régions</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-31 146</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Matériel et installations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164 796</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Tiers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Activités de communication des groupes politiques du CdR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533 650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8 – Médiateur européen</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déplacement entre les trois lieux de travail du personnel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-15 000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9 – Contrôleur européen de la protection des données</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de déplacement et autres dépenses accessoires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de déplacement et autres dépenses accessoires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Dépenses de la présidence et des vice-présidents du Comité européen de la protection des données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-26 400</w:t>
            </w:r>
          </w:p>
        </w:tc>
      </w:tr>
    </w:tbl>
    <w:p w:rsidR="00EB2127" w:rsidRDefault="00872645">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10 – Service européen pour l’action extérieure</w:t>
      </w:r>
    </w:p>
    <w:tbl>
      <w:tblPr>
        <w:tblW w:w="9640" w:type="dxa"/>
        <w:tblInd w:w="113" w:type="dxa"/>
        <w:tblLook w:val="04A0" w:firstRow="1" w:lastRow="0" w:firstColumn="1" w:lastColumn="0" w:noHBand="0" w:noVBand="1"/>
      </w:tblPr>
      <w:tblGrid>
        <w:gridCol w:w="1500"/>
        <w:gridCol w:w="3580"/>
        <w:gridCol w:w="1560"/>
        <w:gridCol w:w="1560"/>
        <w:gridCol w:w="1440"/>
      </w:tblGrid>
      <w:tr w:rsidR="00EB2127">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rsidR="00EB2127">
        <w:trPr>
          <w:trHeight w:val="519"/>
        </w:trPr>
        <w:tc>
          <w:tcPr>
            <w:tcW w:w="1500" w:type="dxa"/>
            <w:vMerge/>
            <w:tcBorders>
              <w:top w:val="single" w:sz="4" w:space="0" w:color="auto"/>
              <w:left w:val="single" w:sz="4" w:space="0" w:color="auto"/>
              <w:bottom w:val="single" w:sz="4" w:space="0" w:color="000000"/>
              <w:right w:val="nil"/>
            </w:tcBorders>
            <w:vAlign w:val="center"/>
            <w:hideMark/>
          </w:tcPr>
          <w:p w:rsidR="00EB2127" w:rsidRDefault="00EB2127">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rsidR="00EB2127">
        <w:trPr>
          <w:trHeight w:val="24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1 4 0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9 132 050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-902 405</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2 2 1 4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Capacité de communication stratégique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EB2127">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EB2127">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97 595</w:t>
            </w:r>
          </w:p>
        </w:tc>
      </w:tr>
    </w:tbl>
    <w:p w:rsidR="00EB2127" w:rsidRDefault="00872645">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10 448,3 millions d'EUR, ce qui laisse une marge de 186,7 millions d'EUR sous le plafond des dépenses de la rubrique 7.</w:t>
      </w:r>
    </w:p>
    <w:p w:rsidR="00EB2127" w:rsidRDefault="00872645">
      <w:pPr>
        <w:pStyle w:val="ListParagraph"/>
        <w:keepNext/>
        <w:numPr>
          <w:ilvl w:val="2"/>
          <w:numId w:val="49"/>
        </w:numPr>
        <w:tabs>
          <w:tab w:val="num" w:pos="850"/>
        </w:tabs>
        <w:spacing w:before="120" w:after="120"/>
        <w:jc w:val="both"/>
        <w:outlineLvl w:val="2"/>
        <w:rPr>
          <w:bCs/>
          <w:noProof/>
          <w:szCs w:val="26"/>
        </w:rPr>
      </w:pPr>
      <w:bookmarkStart w:id="471" w:name="_Toc58507111"/>
      <w:r>
        <w:rPr>
          <w:noProof/>
        </w:rPr>
        <w:t>Instruments spéciaux thématiques: FEM et réserve de solidarité et d'aide d'urgence</w:t>
      </w:r>
      <w:bookmarkEnd w:id="471"/>
    </w:p>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pour le Fonds européen d’ajustement à la mondialisation (FEM) et la réserve de solidarité et d’aide d’urgence sont fixés au niveau proposé par la Commission dans le projet de budget, tel que modifié par la lettre rectificative nº 1/2021.</w:t>
      </w:r>
    </w:p>
    <w:p w:rsidR="00EB2127" w:rsidRDefault="00872645">
      <w:pPr>
        <w:pStyle w:val="ListParagraph"/>
        <w:keepNext/>
        <w:keepLines/>
        <w:numPr>
          <w:ilvl w:val="1"/>
          <w:numId w:val="49"/>
        </w:numPr>
        <w:spacing w:before="240" w:after="240"/>
        <w:jc w:val="both"/>
        <w:outlineLvl w:val="1"/>
        <w:rPr>
          <w:b/>
          <w:bCs/>
          <w:iCs/>
          <w:noProof/>
          <w:szCs w:val="28"/>
        </w:rPr>
      </w:pPr>
      <w:bookmarkStart w:id="472" w:name="_Toc530586728"/>
      <w:bookmarkStart w:id="473" w:name="_Toc278112520"/>
      <w:bookmarkStart w:id="474" w:name="_Toc58507112"/>
      <w:bookmarkEnd w:id="472"/>
      <w:r>
        <w:rPr>
          <w:b/>
          <w:bCs/>
          <w:iCs/>
          <w:noProof/>
          <w:szCs w:val="28"/>
        </w:rPr>
        <w:t>Approche globale en matière de crédits de paiement</w:t>
      </w:r>
      <w:bookmarkEnd w:id="473"/>
      <w:bookmarkEnd w:id="474"/>
    </w:p>
    <w:p w:rsidR="00EB2127" w:rsidRDefault="00872645">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est proposé de fixer le montant global des crédits de paiement au niveau du projet de budget initial, tel que modifié par la lettre rectificative nº 1/2020, avec les changements suivants:</w:t>
      </w:r>
    </w:p>
    <w:p w:rsidR="00EB2127" w:rsidRDefault="00872645">
      <w:pPr>
        <w:numPr>
          <w:ilvl w:val="0"/>
          <w:numId w:val="5"/>
        </w:num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tout d’abord, il est tenu compte du niveau proposé des crédits d’engagement pour les dépenses non dissociées, pour lesquelles le niveau proposé des crédits de paiement est égal à celui des crédits d’engagement. Cela inclut la réduction de -71,9 millions d’EUR du coût de financement de l’instrument de l'Union européenne pour la relance (EURI) et l’ajustement de la contribution de l’Union aux organismes décentralisés. L’effet combiné est une diminution de 123,0 millions d’EUR; </w:t>
      </w:r>
    </w:p>
    <w:p w:rsidR="00EB2127" w:rsidRDefault="00872645">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ajustements combinés au titre de la rubrique 7, qui se traduisent par une diminution globale de 8,8 millions d’EUR;</w:t>
      </w:r>
    </w:p>
    <w:p w:rsidR="00EB2127" w:rsidRDefault="00872645">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crédits de paiement pour tous les </w:t>
      </w:r>
      <w:r>
        <w:rPr>
          <w:rFonts w:ascii="Times New Roman" w:hAnsi="Times New Roman"/>
          <w:i/>
          <w:noProof/>
          <w:sz w:val="24"/>
          <w:szCs w:val="24"/>
        </w:rPr>
        <w:t>nouveaux</w:t>
      </w:r>
      <w:r>
        <w:rPr>
          <w:rFonts w:ascii="Times New Roman" w:hAnsi="Times New Roman"/>
          <w:noProof/>
          <w:sz w:val="24"/>
          <w:szCs w:val="24"/>
        </w:rPr>
        <w:t xml:space="preserve"> projets pilotes et toutes les </w:t>
      </w:r>
      <w:r>
        <w:rPr>
          <w:rFonts w:ascii="Times New Roman" w:hAnsi="Times New Roman"/>
          <w:i/>
          <w:noProof/>
          <w:sz w:val="24"/>
          <w:szCs w:val="24"/>
        </w:rPr>
        <w:t>nouvelles</w:t>
      </w:r>
      <w:r>
        <w:rPr>
          <w:rFonts w:ascii="Times New Roman" w:hAnsi="Times New Roman"/>
          <w:noProof/>
          <w:sz w:val="24"/>
          <w:szCs w:val="24"/>
        </w:rPr>
        <w:t xml:space="preserve"> actions préparatoires figurant dans le deuxième projet de budget sont fixés à 25 % des crédits d’engagement correspondants ou au niveau proposé par le Parlement européen, si ce niveau est inférieur. En cas d'extension de projets pilotes et d'actions préparatoires </w:t>
      </w:r>
      <w:r>
        <w:rPr>
          <w:rFonts w:ascii="Times New Roman" w:hAnsi="Times New Roman"/>
          <w:i/>
          <w:noProof/>
          <w:sz w:val="24"/>
          <w:szCs w:val="24"/>
        </w:rPr>
        <w:t>existants</w:t>
      </w:r>
      <w:r>
        <w:rPr>
          <w:rFonts w:ascii="Times New Roman" w:hAnsi="Times New Roman"/>
          <w:noProof/>
          <w:sz w:val="24"/>
          <w:szCs w:val="24"/>
        </w:rPr>
        <w:t>, le niveau des crédits de paiement est celui défini dans le projet de budget, majoré de 25 % des nouveaux crédits d'engagement correspondants ou celui proposé par le Parlement européen, s'il est inférieur. L’effet combiné est une augmentation de 17,9 millions d’EUR;</w:t>
      </w:r>
    </w:p>
    <w:p w:rsidR="00EB2127" w:rsidRDefault="00872645">
      <w:pPr>
        <w:numPr>
          <w:ilvl w:val="0"/>
          <w:numId w:val="5"/>
        </w:num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ajustements sont proposés sur les lignes budgétaires suivantes à la suite de l’évolution des crédits d’engagement pour les dépenses dissociées:</w:t>
      </w:r>
    </w:p>
    <w:tbl>
      <w:tblPr>
        <w:tblW w:w="9776" w:type="dxa"/>
        <w:tblInd w:w="113" w:type="dxa"/>
        <w:tblLook w:val="04A0" w:firstRow="1" w:lastRow="0" w:firstColumn="1" w:lastColumn="0" w:noHBand="0" w:noVBand="1"/>
      </w:tblPr>
      <w:tblGrid>
        <w:gridCol w:w="1555"/>
        <w:gridCol w:w="3543"/>
        <w:gridCol w:w="1560"/>
        <w:gridCol w:w="1389"/>
        <w:gridCol w:w="1729"/>
      </w:tblGrid>
      <w:tr w:rsidR="00EB2127">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 paiement (en EUR)</w:t>
            </w:r>
          </w:p>
        </w:tc>
      </w:tr>
      <w:tr w:rsidR="00EB2127">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PB 2021 (y compris LR 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color w:val="000000"/>
                <w:sz w:val="20"/>
                <w:szCs w:val="20"/>
              </w:rPr>
              <w:t>Deuxième projet de budget 2021</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Différence</w:t>
            </w:r>
          </w:p>
        </w:tc>
      </w:tr>
      <w:tr w:rsidR="00EB2127">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MIE-Transports</w:t>
            </w:r>
          </w:p>
        </w:tc>
        <w:tc>
          <w:tcPr>
            <w:tcW w:w="1560" w:type="dxa"/>
            <w:tcBorders>
              <w:top w:val="single" w:sz="4" w:space="0" w:color="auto"/>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single" w:sz="4" w:space="0" w:color="auto"/>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single" w:sz="4" w:space="0" w:color="auto"/>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12 067 092</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475" w:name="_Toc58191277"/>
            <w:bookmarkStart w:id="476" w:name="_Toc58251058"/>
            <w:bookmarkStart w:id="477" w:name="_Toc58507113"/>
            <w:r>
              <w:rPr>
                <w:rFonts w:ascii="Times New Roman" w:hAnsi="Times New Roman"/>
                <w:noProof/>
                <w:sz w:val="16"/>
                <w:szCs w:val="16"/>
              </w:rPr>
              <w:t>02 03 01</w:t>
            </w:r>
            <w:bookmarkEnd w:id="475"/>
            <w:bookmarkEnd w:id="476"/>
            <w:bookmarkEnd w:id="47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78" w:name="_Toc58191278"/>
            <w:bookmarkStart w:id="479" w:name="_Toc58251059"/>
            <w:bookmarkStart w:id="480" w:name="_Toc58507114"/>
            <w:r>
              <w:rPr>
                <w:rFonts w:ascii="Times New Roman" w:hAnsi="Times New Roman"/>
                <w:noProof/>
                <w:sz w:val="20"/>
                <w:szCs w:val="20"/>
              </w:rPr>
              <w:t>Mécanisme pour l’interconnexion en Europe (MIE) –– Transports</w:t>
            </w:r>
            <w:bookmarkEnd w:id="478"/>
            <w:bookmarkEnd w:id="479"/>
            <w:bookmarkEnd w:id="48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81" w:name="_Toc58191279"/>
            <w:bookmarkStart w:id="482" w:name="_Toc58251060"/>
            <w:bookmarkStart w:id="483" w:name="_Toc58507115"/>
            <w:r>
              <w:rPr>
                <w:rFonts w:ascii="Times New Roman" w:hAnsi="Times New Roman"/>
                <w:noProof/>
                <w:sz w:val="20"/>
                <w:szCs w:val="20"/>
              </w:rPr>
              <w:t>33 691 420</w:t>
            </w:r>
            <w:bookmarkEnd w:id="481"/>
            <w:bookmarkEnd w:id="482"/>
            <w:bookmarkEnd w:id="48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84" w:name="_Toc58191280"/>
            <w:bookmarkStart w:id="485" w:name="_Toc58251061"/>
            <w:bookmarkStart w:id="486" w:name="_Toc58507116"/>
            <w:r>
              <w:rPr>
                <w:rFonts w:ascii="Times New Roman" w:hAnsi="Times New Roman"/>
                <w:noProof/>
                <w:sz w:val="20"/>
                <w:szCs w:val="20"/>
              </w:rPr>
              <w:t>45 758 512</w:t>
            </w:r>
            <w:bookmarkEnd w:id="484"/>
            <w:bookmarkEnd w:id="485"/>
            <w:bookmarkEnd w:id="48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87" w:name="_Toc58191281"/>
            <w:bookmarkStart w:id="488" w:name="_Toc58251062"/>
            <w:bookmarkStart w:id="489" w:name="_Toc58507117"/>
            <w:r>
              <w:rPr>
                <w:rFonts w:ascii="Times New Roman" w:hAnsi="Times New Roman"/>
                <w:noProof/>
                <w:sz w:val="20"/>
                <w:szCs w:val="20"/>
              </w:rPr>
              <w:t>12 067 092</w:t>
            </w:r>
            <w:bookmarkEnd w:id="487"/>
            <w:bookmarkEnd w:id="488"/>
            <w:bookmarkEnd w:id="48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1 916 490</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490" w:name="_Toc58191282"/>
            <w:bookmarkStart w:id="491" w:name="_Toc58251063"/>
            <w:bookmarkStart w:id="492" w:name="_Toc58507118"/>
            <w:r>
              <w:rPr>
                <w:rFonts w:ascii="Times New Roman" w:hAnsi="Times New Roman"/>
                <w:noProof/>
                <w:sz w:val="16"/>
                <w:szCs w:val="16"/>
              </w:rPr>
              <w:t>02 04 03</w:t>
            </w:r>
            <w:bookmarkEnd w:id="490"/>
            <w:bookmarkEnd w:id="491"/>
            <w:bookmarkEnd w:id="49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493" w:name="_Toc58191283"/>
            <w:bookmarkStart w:id="494" w:name="_Toc58251064"/>
            <w:bookmarkStart w:id="495" w:name="_Toc58507119"/>
            <w:r>
              <w:rPr>
                <w:rFonts w:ascii="Times New Roman" w:hAnsi="Times New Roman"/>
                <w:noProof/>
                <w:sz w:val="20"/>
                <w:szCs w:val="20"/>
              </w:rPr>
              <w:t>Intelligence artificielle</w:t>
            </w:r>
            <w:bookmarkEnd w:id="493"/>
            <w:bookmarkEnd w:id="494"/>
            <w:bookmarkEnd w:id="49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96" w:name="_Toc58191284"/>
            <w:bookmarkStart w:id="497" w:name="_Toc58251065"/>
            <w:bookmarkStart w:id="498" w:name="_Toc58507120"/>
            <w:r>
              <w:rPr>
                <w:rFonts w:ascii="Times New Roman" w:hAnsi="Times New Roman"/>
                <w:noProof/>
                <w:sz w:val="20"/>
                <w:szCs w:val="20"/>
              </w:rPr>
              <w:t>21 891 450</w:t>
            </w:r>
            <w:bookmarkEnd w:id="496"/>
            <w:bookmarkEnd w:id="497"/>
            <w:bookmarkEnd w:id="49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499" w:name="_Toc58191285"/>
            <w:bookmarkStart w:id="500" w:name="_Toc58251066"/>
            <w:bookmarkStart w:id="501" w:name="_Toc58507121"/>
            <w:r>
              <w:rPr>
                <w:rFonts w:ascii="Times New Roman" w:hAnsi="Times New Roman"/>
                <w:noProof/>
                <w:sz w:val="20"/>
                <w:szCs w:val="20"/>
              </w:rPr>
              <w:t>23 711 034</w:t>
            </w:r>
            <w:bookmarkEnd w:id="499"/>
            <w:bookmarkEnd w:id="500"/>
            <w:bookmarkEnd w:id="50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02" w:name="_Toc58191286"/>
            <w:bookmarkStart w:id="503" w:name="_Toc58251067"/>
            <w:bookmarkStart w:id="504" w:name="_Toc58507122"/>
            <w:r>
              <w:rPr>
                <w:rFonts w:ascii="Times New Roman" w:hAnsi="Times New Roman"/>
                <w:noProof/>
                <w:sz w:val="20"/>
                <w:szCs w:val="20"/>
              </w:rPr>
              <w:t>1 819 584</w:t>
            </w:r>
            <w:bookmarkEnd w:id="502"/>
            <w:bookmarkEnd w:id="503"/>
            <w:bookmarkEnd w:id="504"/>
          </w:p>
        </w:tc>
      </w:tr>
      <w:tr w:rsidR="00EB2127">
        <w:trPr>
          <w:trHeight w:val="42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05" w:name="_Toc58191287"/>
            <w:bookmarkStart w:id="506" w:name="_Toc58251068"/>
            <w:bookmarkStart w:id="507" w:name="_Toc58507123"/>
            <w:r>
              <w:rPr>
                <w:rFonts w:ascii="Times New Roman" w:hAnsi="Times New Roman"/>
                <w:noProof/>
                <w:sz w:val="16"/>
                <w:szCs w:val="16"/>
              </w:rPr>
              <w:t>02 04 04</w:t>
            </w:r>
            <w:bookmarkEnd w:id="505"/>
            <w:bookmarkEnd w:id="506"/>
            <w:bookmarkEnd w:id="50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08" w:name="_Toc58191288"/>
            <w:bookmarkStart w:id="509" w:name="_Toc58251069"/>
            <w:bookmarkStart w:id="510" w:name="_Toc58507124"/>
            <w:r>
              <w:rPr>
                <w:rFonts w:ascii="Times New Roman" w:hAnsi="Times New Roman"/>
                <w:noProof/>
                <w:sz w:val="20"/>
                <w:szCs w:val="20"/>
              </w:rPr>
              <w:t>Compétences</w:t>
            </w:r>
            <w:bookmarkEnd w:id="508"/>
            <w:bookmarkEnd w:id="509"/>
            <w:bookmarkEnd w:id="51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11" w:name="_Toc58191289"/>
            <w:bookmarkStart w:id="512" w:name="_Toc58251070"/>
            <w:bookmarkStart w:id="513" w:name="_Toc58507125"/>
            <w:r>
              <w:rPr>
                <w:rFonts w:ascii="Times New Roman" w:hAnsi="Times New Roman"/>
                <w:noProof/>
                <w:sz w:val="20"/>
                <w:szCs w:val="20"/>
              </w:rPr>
              <w:t>6 130 200</w:t>
            </w:r>
            <w:bookmarkEnd w:id="511"/>
            <w:bookmarkEnd w:id="512"/>
            <w:bookmarkEnd w:id="51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14" w:name="_Toc58191290"/>
            <w:bookmarkStart w:id="515" w:name="_Toc58251071"/>
            <w:bookmarkStart w:id="516" w:name="_Toc58507126"/>
            <w:r>
              <w:rPr>
                <w:rFonts w:ascii="Times New Roman" w:hAnsi="Times New Roman"/>
                <w:noProof/>
                <w:sz w:val="20"/>
                <w:szCs w:val="20"/>
              </w:rPr>
              <w:t>6 227 106</w:t>
            </w:r>
            <w:bookmarkEnd w:id="514"/>
            <w:bookmarkEnd w:id="515"/>
            <w:bookmarkEnd w:id="51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17" w:name="_Toc58191291"/>
            <w:bookmarkStart w:id="518" w:name="_Toc58251072"/>
            <w:bookmarkStart w:id="519" w:name="_Toc58507127"/>
            <w:r>
              <w:rPr>
                <w:rFonts w:ascii="Times New Roman" w:hAnsi="Times New Roman"/>
                <w:noProof/>
                <w:sz w:val="20"/>
                <w:szCs w:val="20"/>
              </w:rPr>
              <w:t>96 906</w:t>
            </w:r>
            <w:bookmarkEnd w:id="517"/>
            <w:bookmarkEnd w:id="518"/>
            <w:bookmarkEnd w:id="51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Justice</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1 078 615</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20" w:name="_Toc58191292"/>
            <w:bookmarkStart w:id="521" w:name="_Toc58251073"/>
            <w:bookmarkStart w:id="522" w:name="_Toc58507128"/>
            <w:r>
              <w:rPr>
                <w:rFonts w:ascii="Times New Roman" w:hAnsi="Times New Roman"/>
                <w:noProof/>
                <w:sz w:val="16"/>
                <w:szCs w:val="16"/>
              </w:rPr>
              <w:t>07 07 01</w:t>
            </w:r>
            <w:bookmarkEnd w:id="520"/>
            <w:bookmarkEnd w:id="521"/>
            <w:bookmarkEnd w:id="52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23" w:name="_Toc58191293"/>
            <w:bookmarkStart w:id="524" w:name="_Toc58251074"/>
            <w:bookmarkStart w:id="525" w:name="_Toc58507129"/>
            <w:r>
              <w:rPr>
                <w:rFonts w:ascii="Times New Roman" w:hAnsi="Times New Roman"/>
                <w:noProof/>
                <w:sz w:val="20"/>
                <w:szCs w:val="20"/>
              </w:rPr>
              <w:t>Promouvoir la coopération judiciaire</w:t>
            </w:r>
            <w:bookmarkEnd w:id="523"/>
            <w:bookmarkEnd w:id="524"/>
            <w:bookmarkEnd w:id="52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26" w:name="_Toc58191294"/>
            <w:bookmarkStart w:id="527" w:name="_Toc58251075"/>
            <w:bookmarkStart w:id="528" w:name="_Toc58507130"/>
            <w:r>
              <w:rPr>
                <w:rFonts w:ascii="Times New Roman" w:hAnsi="Times New Roman"/>
                <w:noProof/>
                <w:sz w:val="20"/>
                <w:szCs w:val="20"/>
              </w:rPr>
              <w:t>4 258 400</w:t>
            </w:r>
            <w:bookmarkEnd w:id="526"/>
            <w:bookmarkEnd w:id="527"/>
            <w:bookmarkEnd w:id="52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29" w:name="_Toc58191295"/>
            <w:bookmarkStart w:id="530" w:name="_Toc58251076"/>
            <w:bookmarkStart w:id="531" w:name="_Toc58507131"/>
            <w:r>
              <w:rPr>
                <w:rFonts w:ascii="Times New Roman" w:hAnsi="Times New Roman"/>
                <w:noProof/>
                <w:sz w:val="20"/>
                <w:szCs w:val="20"/>
              </w:rPr>
              <w:t>4 527 978</w:t>
            </w:r>
            <w:bookmarkEnd w:id="529"/>
            <w:bookmarkEnd w:id="530"/>
            <w:bookmarkEnd w:id="53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32" w:name="_Toc58191296"/>
            <w:bookmarkStart w:id="533" w:name="_Toc58251077"/>
            <w:bookmarkStart w:id="534" w:name="_Toc58507132"/>
            <w:r>
              <w:rPr>
                <w:rFonts w:ascii="Times New Roman" w:hAnsi="Times New Roman"/>
                <w:noProof/>
                <w:sz w:val="20"/>
                <w:szCs w:val="20"/>
              </w:rPr>
              <w:t>269 578</w:t>
            </w:r>
            <w:bookmarkEnd w:id="532"/>
            <w:bookmarkEnd w:id="533"/>
            <w:bookmarkEnd w:id="534"/>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35" w:name="_Toc58191297"/>
            <w:bookmarkStart w:id="536" w:name="_Toc58251078"/>
            <w:bookmarkStart w:id="537" w:name="_Toc58507133"/>
            <w:r>
              <w:rPr>
                <w:rFonts w:ascii="Times New Roman" w:hAnsi="Times New Roman"/>
                <w:noProof/>
                <w:sz w:val="16"/>
                <w:szCs w:val="16"/>
              </w:rPr>
              <w:t>07 07 02</w:t>
            </w:r>
            <w:bookmarkEnd w:id="535"/>
            <w:bookmarkEnd w:id="536"/>
            <w:bookmarkEnd w:id="53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38" w:name="_Toc58191298"/>
            <w:bookmarkStart w:id="539" w:name="_Toc58251079"/>
            <w:bookmarkStart w:id="540" w:name="_Toc58507134"/>
            <w:r>
              <w:rPr>
                <w:rFonts w:ascii="Times New Roman" w:hAnsi="Times New Roman"/>
                <w:noProof/>
                <w:sz w:val="20"/>
                <w:szCs w:val="20"/>
              </w:rPr>
              <w:t>Soutenir la formation judiciaire</w:t>
            </w:r>
            <w:bookmarkEnd w:id="538"/>
            <w:bookmarkEnd w:id="539"/>
            <w:bookmarkEnd w:id="54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41" w:name="_Toc58191299"/>
            <w:bookmarkStart w:id="542" w:name="_Toc58251080"/>
            <w:bookmarkStart w:id="543" w:name="_Toc58507135"/>
            <w:r>
              <w:rPr>
                <w:rFonts w:ascii="Times New Roman" w:hAnsi="Times New Roman"/>
                <w:noProof/>
                <w:sz w:val="20"/>
                <w:szCs w:val="20"/>
              </w:rPr>
              <w:t>7 028 000</w:t>
            </w:r>
            <w:bookmarkEnd w:id="541"/>
            <w:bookmarkEnd w:id="542"/>
            <w:bookmarkEnd w:id="54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44" w:name="_Toc58191300"/>
            <w:bookmarkStart w:id="545" w:name="_Toc58251081"/>
            <w:bookmarkStart w:id="546" w:name="_Toc58507136"/>
            <w:r>
              <w:rPr>
                <w:rFonts w:ascii="Times New Roman" w:hAnsi="Times New Roman"/>
                <w:noProof/>
                <w:sz w:val="20"/>
                <w:szCs w:val="20"/>
              </w:rPr>
              <w:t>7 472 907</w:t>
            </w:r>
            <w:bookmarkEnd w:id="544"/>
            <w:bookmarkEnd w:id="545"/>
            <w:bookmarkEnd w:id="54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47" w:name="_Toc58191301"/>
            <w:bookmarkStart w:id="548" w:name="_Toc58251082"/>
            <w:bookmarkStart w:id="549" w:name="_Toc58507137"/>
            <w:r>
              <w:rPr>
                <w:rFonts w:ascii="Times New Roman" w:hAnsi="Times New Roman"/>
                <w:noProof/>
                <w:sz w:val="20"/>
                <w:szCs w:val="20"/>
              </w:rPr>
              <w:t>444 907</w:t>
            </w:r>
            <w:bookmarkEnd w:id="547"/>
            <w:bookmarkEnd w:id="548"/>
            <w:bookmarkEnd w:id="549"/>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50" w:name="_Toc58191302"/>
            <w:bookmarkStart w:id="551" w:name="_Toc58251083"/>
            <w:bookmarkStart w:id="552" w:name="_Toc58507138"/>
            <w:r>
              <w:rPr>
                <w:rFonts w:ascii="Times New Roman" w:hAnsi="Times New Roman"/>
                <w:noProof/>
                <w:sz w:val="16"/>
                <w:szCs w:val="16"/>
              </w:rPr>
              <w:t>07 07 03</w:t>
            </w:r>
            <w:bookmarkEnd w:id="550"/>
            <w:bookmarkEnd w:id="551"/>
            <w:bookmarkEnd w:id="55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53" w:name="_Toc58191303"/>
            <w:bookmarkStart w:id="554" w:name="_Toc58251084"/>
            <w:bookmarkStart w:id="555" w:name="_Toc58507139"/>
            <w:r>
              <w:rPr>
                <w:rFonts w:ascii="Times New Roman" w:hAnsi="Times New Roman"/>
                <w:noProof/>
                <w:sz w:val="20"/>
                <w:szCs w:val="20"/>
              </w:rPr>
              <w:t>Promouvoir l’accès effectif à la justice</w:t>
            </w:r>
            <w:bookmarkEnd w:id="553"/>
            <w:bookmarkEnd w:id="554"/>
            <w:bookmarkEnd w:id="55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56" w:name="_Toc58191304"/>
            <w:bookmarkStart w:id="557" w:name="_Toc58251085"/>
            <w:bookmarkStart w:id="558" w:name="_Toc58507140"/>
            <w:r>
              <w:rPr>
                <w:rFonts w:ascii="Times New Roman" w:hAnsi="Times New Roman"/>
                <w:noProof/>
                <w:sz w:val="20"/>
                <w:szCs w:val="20"/>
              </w:rPr>
              <w:t>5 752 000</w:t>
            </w:r>
            <w:bookmarkEnd w:id="556"/>
            <w:bookmarkEnd w:id="557"/>
            <w:bookmarkEnd w:id="55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59" w:name="_Toc58191305"/>
            <w:bookmarkStart w:id="560" w:name="_Toc58251086"/>
            <w:bookmarkStart w:id="561" w:name="_Toc58507141"/>
            <w:r>
              <w:rPr>
                <w:rFonts w:ascii="Times New Roman" w:hAnsi="Times New Roman"/>
                <w:noProof/>
                <w:sz w:val="20"/>
                <w:szCs w:val="20"/>
              </w:rPr>
              <w:t>6 116 130</w:t>
            </w:r>
            <w:bookmarkEnd w:id="559"/>
            <w:bookmarkEnd w:id="560"/>
            <w:bookmarkEnd w:id="56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62" w:name="_Toc58191306"/>
            <w:bookmarkStart w:id="563" w:name="_Toc58251087"/>
            <w:bookmarkStart w:id="564" w:name="_Toc58507142"/>
            <w:r>
              <w:rPr>
                <w:rFonts w:ascii="Times New Roman" w:hAnsi="Times New Roman"/>
                <w:noProof/>
                <w:sz w:val="20"/>
                <w:szCs w:val="20"/>
              </w:rPr>
              <w:t>364 130</w:t>
            </w:r>
            <w:bookmarkEnd w:id="562"/>
            <w:bookmarkEnd w:id="563"/>
            <w:bookmarkEnd w:id="564"/>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Droits et valeurs</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2 089 154</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65" w:name="_Toc58191307"/>
            <w:bookmarkStart w:id="566" w:name="_Toc58251088"/>
            <w:bookmarkStart w:id="567" w:name="_Toc58507143"/>
            <w:r>
              <w:rPr>
                <w:rFonts w:ascii="Times New Roman" w:hAnsi="Times New Roman"/>
                <w:noProof/>
                <w:sz w:val="16"/>
                <w:szCs w:val="16"/>
              </w:rPr>
              <w:t>07 06 02</w:t>
            </w:r>
            <w:bookmarkEnd w:id="565"/>
            <w:bookmarkEnd w:id="566"/>
            <w:bookmarkEnd w:id="56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68" w:name="_Toc58191308"/>
            <w:bookmarkStart w:id="569" w:name="_Toc58251089"/>
            <w:bookmarkStart w:id="570" w:name="_Toc58507144"/>
            <w:r>
              <w:rPr>
                <w:rFonts w:ascii="Times New Roman" w:hAnsi="Times New Roman"/>
                <w:noProof/>
                <w:sz w:val="20"/>
                <w:szCs w:val="20"/>
              </w:rPr>
              <w:t>Promotion de l’engagement et de la participation des citoyens à la vie démocratique de l’Union</w:t>
            </w:r>
            <w:bookmarkEnd w:id="568"/>
            <w:bookmarkEnd w:id="569"/>
            <w:bookmarkEnd w:id="57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71" w:name="_Toc58191309"/>
            <w:bookmarkStart w:id="572" w:name="_Toc58251090"/>
            <w:bookmarkStart w:id="573" w:name="_Toc58507145"/>
            <w:r>
              <w:rPr>
                <w:rFonts w:ascii="Times New Roman" w:hAnsi="Times New Roman"/>
                <w:noProof/>
                <w:sz w:val="20"/>
                <w:szCs w:val="20"/>
              </w:rPr>
              <w:t>12 489 000</w:t>
            </w:r>
            <w:bookmarkEnd w:id="571"/>
            <w:bookmarkEnd w:id="572"/>
            <w:bookmarkEnd w:id="57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74" w:name="_Toc58191310"/>
            <w:bookmarkStart w:id="575" w:name="_Toc58251091"/>
            <w:bookmarkStart w:id="576" w:name="_Toc58507146"/>
            <w:r>
              <w:rPr>
                <w:rFonts w:ascii="Times New Roman" w:hAnsi="Times New Roman"/>
                <w:noProof/>
                <w:sz w:val="20"/>
                <w:szCs w:val="20"/>
              </w:rPr>
              <w:t>12 879 258</w:t>
            </w:r>
            <w:bookmarkEnd w:id="574"/>
            <w:bookmarkEnd w:id="575"/>
            <w:bookmarkEnd w:id="57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77" w:name="_Toc58191311"/>
            <w:bookmarkStart w:id="578" w:name="_Toc58251092"/>
            <w:bookmarkStart w:id="579" w:name="_Toc58507147"/>
            <w:r>
              <w:rPr>
                <w:rFonts w:ascii="Times New Roman" w:hAnsi="Times New Roman"/>
                <w:noProof/>
                <w:sz w:val="20"/>
                <w:szCs w:val="20"/>
              </w:rPr>
              <w:t>390 258</w:t>
            </w:r>
            <w:bookmarkEnd w:id="577"/>
            <w:bookmarkEnd w:id="578"/>
            <w:bookmarkEnd w:id="579"/>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80" w:name="_Toc58191312"/>
            <w:bookmarkStart w:id="581" w:name="_Toc58251093"/>
            <w:bookmarkStart w:id="582" w:name="_Toc58507148"/>
            <w:r>
              <w:rPr>
                <w:rFonts w:ascii="Times New Roman" w:hAnsi="Times New Roman"/>
                <w:noProof/>
                <w:sz w:val="16"/>
                <w:szCs w:val="16"/>
              </w:rPr>
              <w:t>07 06 03</w:t>
            </w:r>
            <w:bookmarkEnd w:id="580"/>
            <w:bookmarkEnd w:id="581"/>
            <w:bookmarkEnd w:id="58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83" w:name="_Toc58191313"/>
            <w:bookmarkStart w:id="584" w:name="_Toc58251094"/>
            <w:bookmarkStart w:id="585" w:name="_Toc58507149"/>
            <w:r>
              <w:rPr>
                <w:rFonts w:ascii="Times New Roman" w:hAnsi="Times New Roman"/>
                <w:noProof/>
                <w:sz w:val="20"/>
                <w:szCs w:val="20"/>
              </w:rPr>
              <w:t>Daphné</w:t>
            </w:r>
            <w:bookmarkEnd w:id="583"/>
            <w:bookmarkEnd w:id="584"/>
            <w:bookmarkEnd w:id="58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86" w:name="_Toc58191314"/>
            <w:bookmarkStart w:id="587" w:name="_Toc58251095"/>
            <w:bookmarkStart w:id="588" w:name="_Toc58507150"/>
            <w:r>
              <w:rPr>
                <w:rFonts w:ascii="Times New Roman" w:hAnsi="Times New Roman"/>
                <w:noProof/>
                <w:sz w:val="20"/>
                <w:szCs w:val="20"/>
              </w:rPr>
              <w:t>4 706 910</w:t>
            </w:r>
            <w:bookmarkEnd w:id="586"/>
            <w:bookmarkEnd w:id="587"/>
            <w:bookmarkEnd w:id="58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89" w:name="_Toc58191315"/>
            <w:bookmarkStart w:id="590" w:name="_Toc58251096"/>
            <w:bookmarkStart w:id="591" w:name="_Toc58507151"/>
            <w:r>
              <w:rPr>
                <w:rFonts w:ascii="Times New Roman" w:hAnsi="Times New Roman"/>
                <w:noProof/>
                <w:sz w:val="20"/>
                <w:szCs w:val="20"/>
              </w:rPr>
              <w:t>6 244 139</w:t>
            </w:r>
            <w:bookmarkEnd w:id="589"/>
            <w:bookmarkEnd w:id="590"/>
            <w:bookmarkEnd w:id="59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592" w:name="_Toc58191316"/>
            <w:bookmarkStart w:id="593" w:name="_Toc58251097"/>
            <w:bookmarkStart w:id="594" w:name="_Toc58507152"/>
            <w:r>
              <w:rPr>
                <w:rFonts w:ascii="Times New Roman" w:hAnsi="Times New Roman"/>
                <w:noProof/>
                <w:sz w:val="20"/>
                <w:szCs w:val="20"/>
              </w:rPr>
              <w:t>1 537 229</w:t>
            </w:r>
            <w:bookmarkEnd w:id="592"/>
            <w:bookmarkEnd w:id="593"/>
            <w:bookmarkEnd w:id="594"/>
          </w:p>
        </w:tc>
      </w:tr>
      <w:tr w:rsidR="00EB2127">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595" w:name="_Toc58191317"/>
            <w:bookmarkStart w:id="596" w:name="_Toc58251098"/>
            <w:bookmarkStart w:id="597" w:name="_Toc58507153"/>
            <w:r>
              <w:rPr>
                <w:rFonts w:ascii="Times New Roman" w:hAnsi="Times New Roman"/>
                <w:noProof/>
                <w:sz w:val="16"/>
                <w:szCs w:val="16"/>
              </w:rPr>
              <w:t>07 06 04</w:t>
            </w:r>
            <w:bookmarkEnd w:id="595"/>
            <w:bookmarkEnd w:id="596"/>
            <w:bookmarkEnd w:id="597"/>
          </w:p>
        </w:tc>
        <w:tc>
          <w:tcPr>
            <w:tcW w:w="3543" w:type="dxa"/>
            <w:tcBorders>
              <w:top w:val="single" w:sz="4" w:space="0" w:color="auto"/>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598" w:name="_Toc58191318"/>
            <w:bookmarkStart w:id="599" w:name="_Toc58251099"/>
            <w:bookmarkStart w:id="600" w:name="_Toc58507154"/>
            <w:r>
              <w:rPr>
                <w:rFonts w:ascii="Times New Roman" w:hAnsi="Times New Roman"/>
                <w:noProof/>
                <w:sz w:val="20"/>
                <w:szCs w:val="20"/>
              </w:rPr>
              <w:t>Protéger et promouvoir les valeurs de l’Union</w:t>
            </w:r>
            <w:bookmarkEnd w:id="598"/>
            <w:bookmarkEnd w:id="599"/>
            <w:bookmarkEnd w:id="600"/>
          </w:p>
        </w:tc>
        <w:tc>
          <w:tcPr>
            <w:tcW w:w="156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01" w:name="_Toc58191319"/>
            <w:bookmarkStart w:id="602" w:name="_Toc58251100"/>
            <w:bookmarkStart w:id="603" w:name="_Toc58507155"/>
            <w:r>
              <w:rPr>
                <w:rFonts w:ascii="Times New Roman" w:hAnsi="Times New Roman"/>
                <w:noProof/>
                <w:sz w:val="20"/>
                <w:szCs w:val="20"/>
              </w:rPr>
              <w:t>0</w:t>
            </w:r>
            <w:bookmarkEnd w:id="601"/>
            <w:bookmarkEnd w:id="602"/>
            <w:bookmarkEnd w:id="60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04" w:name="_Toc58191320"/>
            <w:bookmarkStart w:id="605" w:name="_Toc58251101"/>
            <w:bookmarkStart w:id="606" w:name="_Toc58507156"/>
            <w:r>
              <w:rPr>
                <w:rFonts w:ascii="Times New Roman" w:hAnsi="Times New Roman"/>
                <w:noProof/>
                <w:sz w:val="20"/>
                <w:szCs w:val="20"/>
              </w:rPr>
              <w:t>161 667</w:t>
            </w:r>
            <w:bookmarkEnd w:id="604"/>
            <w:bookmarkEnd w:id="605"/>
            <w:bookmarkEnd w:id="60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07" w:name="_Toc58191321"/>
            <w:bookmarkStart w:id="608" w:name="_Toc58251102"/>
            <w:bookmarkStart w:id="609" w:name="_Toc58507157"/>
            <w:r>
              <w:rPr>
                <w:rFonts w:ascii="Times New Roman" w:hAnsi="Times New Roman"/>
                <w:noProof/>
                <w:sz w:val="20"/>
                <w:szCs w:val="20"/>
              </w:rPr>
              <w:t>161 667</w:t>
            </w:r>
            <w:bookmarkEnd w:id="607"/>
            <w:bookmarkEnd w:id="608"/>
            <w:bookmarkEnd w:id="60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2.2.3SPEC</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r>
      <w:tr w:rsidR="00EB2127">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10" w:name="_Toc58191322"/>
            <w:bookmarkStart w:id="611" w:name="_Toc58251103"/>
            <w:bookmarkStart w:id="612" w:name="_Toc58507158"/>
            <w:r>
              <w:rPr>
                <w:rFonts w:ascii="Times New Roman" w:hAnsi="Times New Roman"/>
                <w:noProof/>
                <w:sz w:val="16"/>
                <w:szCs w:val="16"/>
              </w:rPr>
              <w:t>07 20 04 06</w:t>
            </w:r>
            <w:bookmarkEnd w:id="610"/>
            <w:bookmarkEnd w:id="611"/>
            <w:bookmarkEnd w:id="61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13" w:name="_Toc58191323"/>
            <w:bookmarkStart w:id="614" w:name="_Toc58251104"/>
            <w:bookmarkStart w:id="615" w:name="_Toc58507159"/>
            <w:r>
              <w:rPr>
                <w:rFonts w:ascii="Times New Roman" w:hAnsi="Times New Roman"/>
                <w:noProof/>
                <w:sz w:val="20"/>
                <w:szCs w:val="20"/>
              </w:rPr>
              <w:t>Compétences spécifiques dans le domaine de la politique sociale, y compris dialogue social</w:t>
            </w:r>
            <w:bookmarkEnd w:id="613"/>
            <w:bookmarkEnd w:id="614"/>
            <w:bookmarkEnd w:id="61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16" w:name="_Toc58191324"/>
            <w:bookmarkStart w:id="617" w:name="_Toc58251105"/>
            <w:bookmarkStart w:id="618" w:name="_Toc58507160"/>
            <w:r>
              <w:rPr>
                <w:rFonts w:ascii="Times New Roman" w:hAnsi="Times New Roman"/>
                <w:noProof/>
                <w:sz w:val="20"/>
                <w:szCs w:val="20"/>
              </w:rPr>
              <w:t>42 886 000</w:t>
            </w:r>
            <w:bookmarkEnd w:id="616"/>
            <w:bookmarkEnd w:id="617"/>
            <w:bookmarkEnd w:id="61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19" w:name="_Toc58191325"/>
            <w:bookmarkStart w:id="620" w:name="_Toc58251106"/>
            <w:bookmarkStart w:id="621" w:name="_Toc58507161"/>
            <w:r>
              <w:rPr>
                <w:rFonts w:ascii="Times New Roman" w:hAnsi="Times New Roman"/>
                <w:noProof/>
                <w:sz w:val="20"/>
                <w:szCs w:val="20"/>
              </w:rPr>
              <w:t>23 234 000</w:t>
            </w:r>
            <w:bookmarkEnd w:id="619"/>
            <w:bookmarkEnd w:id="620"/>
            <w:bookmarkEnd w:id="62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22" w:name="_Toc58191326"/>
            <w:bookmarkStart w:id="623" w:name="_Toc58251107"/>
            <w:bookmarkStart w:id="624" w:name="_Toc58507162"/>
            <w:r>
              <w:rPr>
                <w:rFonts w:ascii="Times New Roman" w:hAnsi="Times New Roman"/>
                <w:noProof/>
                <w:sz w:val="20"/>
                <w:szCs w:val="20"/>
              </w:rPr>
              <w:t>-19 652 000</w:t>
            </w:r>
            <w:bookmarkEnd w:id="622"/>
            <w:bookmarkEnd w:id="623"/>
            <w:bookmarkEnd w:id="624"/>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25" w:name="_Toc58191327"/>
            <w:bookmarkStart w:id="626" w:name="_Toc58251108"/>
            <w:bookmarkStart w:id="627" w:name="_Toc58507163"/>
            <w:r>
              <w:rPr>
                <w:rFonts w:ascii="Times New Roman" w:hAnsi="Times New Roman"/>
                <w:noProof/>
                <w:sz w:val="16"/>
                <w:szCs w:val="16"/>
              </w:rPr>
              <w:t>07 20 04 09</w:t>
            </w:r>
            <w:bookmarkEnd w:id="625"/>
            <w:bookmarkEnd w:id="626"/>
            <w:bookmarkEnd w:id="627"/>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28" w:name="_Toc58191328"/>
            <w:bookmarkStart w:id="629" w:name="_Toc58251109"/>
            <w:bookmarkStart w:id="630" w:name="_Toc58507164"/>
            <w:r>
              <w:rPr>
                <w:rFonts w:ascii="Times New Roman" w:hAnsi="Times New Roman"/>
                <w:noProof/>
                <w:sz w:val="20"/>
                <w:szCs w:val="20"/>
              </w:rPr>
              <w:t>Actions de formation et d’information en faveur des organisations de travailleurs</w:t>
            </w:r>
            <w:bookmarkEnd w:id="628"/>
            <w:bookmarkEnd w:id="629"/>
            <w:bookmarkEnd w:id="630"/>
          </w:p>
        </w:tc>
        <w:tc>
          <w:tcPr>
            <w:tcW w:w="1560"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31" w:name="_Toc58191329"/>
            <w:bookmarkStart w:id="632" w:name="_Toc58251110"/>
            <w:bookmarkStart w:id="633" w:name="_Toc58507165"/>
            <w:r>
              <w:rPr>
                <w:rFonts w:ascii="Times New Roman" w:hAnsi="Times New Roman"/>
                <w:noProof/>
                <w:sz w:val="20"/>
                <w:szCs w:val="20"/>
              </w:rPr>
              <w:t>0</w:t>
            </w:r>
            <w:bookmarkEnd w:id="631"/>
            <w:bookmarkEnd w:id="632"/>
            <w:bookmarkEnd w:id="63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34" w:name="_Toc58191330"/>
            <w:bookmarkStart w:id="635" w:name="_Toc58251111"/>
            <w:bookmarkStart w:id="636" w:name="_Toc58507166"/>
            <w:r>
              <w:rPr>
                <w:rFonts w:ascii="Times New Roman" w:hAnsi="Times New Roman"/>
                <w:noProof/>
                <w:sz w:val="20"/>
                <w:szCs w:val="20"/>
              </w:rPr>
              <w:t>19 652 000</w:t>
            </w:r>
            <w:bookmarkEnd w:id="634"/>
            <w:bookmarkEnd w:id="635"/>
            <w:bookmarkEnd w:id="63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37" w:name="_Toc58191331"/>
            <w:bookmarkStart w:id="638" w:name="_Toc58251112"/>
            <w:bookmarkStart w:id="639" w:name="_Toc58507167"/>
            <w:r>
              <w:rPr>
                <w:rFonts w:ascii="Times New Roman" w:hAnsi="Times New Roman"/>
                <w:noProof/>
                <w:sz w:val="20"/>
                <w:szCs w:val="20"/>
              </w:rPr>
              <w:t>19 652 000</w:t>
            </w:r>
            <w:bookmarkEnd w:id="637"/>
            <w:bookmarkEnd w:id="638"/>
            <w:bookmarkEnd w:id="63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l’environnement et l’action pour le climat (LIFE)</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1 336 954</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40" w:name="_Toc58191332"/>
            <w:bookmarkStart w:id="641" w:name="_Toc58251113"/>
            <w:bookmarkStart w:id="642" w:name="_Toc58507168"/>
            <w:r>
              <w:rPr>
                <w:rFonts w:ascii="Times New Roman" w:hAnsi="Times New Roman"/>
                <w:noProof/>
                <w:sz w:val="16"/>
                <w:szCs w:val="16"/>
              </w:rPr>
              <w:t>09 02 01</w:t>
            </w:r>
            <w:bookmarkEnd w:id="640"/>
            <w:bookmarkEnd w:id="641"/>
            <w:bookmarkEnd w:id="64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43" w:name="_Toc58191333"/>
            <w:bookmarkStart w:id="644" w:name="_Toc58251114"/>
            <w:bookmarkStart w:id="645" w:name="_Toc58507169"/>
            <w:r>
              <w:rPr>
                <w:rFonts w:ascii="Times New Roman" w:hAnsi="Times New Roman"/>
                <w:noProof/>
                <w:sz w:val="20"/>
                <w:szCs w:val="20"/>
              </w:rPr>
              <w:t>Nature et biodiversité</w:t>
            </w:r>
            <w:bookmarkEnd w:id="643"/>
            <w:bookmarkEnd w:id="644"/>
            <w:bookmarkEnd w:id="64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46" w:name="_Toc58191334"/>
            <w:bookmarkStart w:id="647" w:name="_Toc58251115"/>
            <w:bookmarkStart w:id="648" w:name="_Toc58507170"/>
            <w:r>
              <w:rPr>
                <w:rFonts w:ascii="Times New Roman" w:hAnsi="Times New Roman"/>
                <w:noProof/>
                <w:sz w:val="20"/>
                <w:szCs w:val="20"/>
              </w:rPr>
              <w:t>6 870 000</w:t>
            </w:r>
            <w:bookmarkEnd w:id="646"/>
            <w:bookmarkEnd w:id="647"/>
            <w:bookmarkEnd w:id="64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49" w:name="_Toc58191335"/>
            <w:bookmarkStart w:id="650" w:name="_Toc58251116"/>
            <w:bookmarkStart w:id="651" w:name="_Toc58507171"/>
            <w:r>
              <w:rPr>
                <w:rFonts w:ascii="Times New Roman" w:hAnsi="Times New Roman"/>
                <w:noProof/>
                <w:sz w:val="20"/>
                <w:szCs w:val="20"/>
              </w:rPr>
              <w:t>7 297 067</w:t>
            </w:r>
            <w:bookmarkEnd w:id="649"/>
            <w:bookmarkEnd w:id="650"/>
            <w:bookmarkEnd w:id="65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52" w:name="_Toc58191336"/>
            <w:bookmarkStart w:id="653" w:name="_Toc58251117"/>
            <w:bookmarkStart w:id="654" w:name="_Toc58507172"/>
            <w:r>
              <w:rPr>
                <w:rFonts w:ascii="Times New Roman" w:hAnsi="Times New Roman"/>
                <w:noProof/>
                <w:sz w:val="20"/>
                <w:szCs w:val="20"/>
              </w:rPr>
              <w:t>427 067</w:t>
            </w:r>
            <w:bookmarkEnd w:id="652"/>
            <w:bookmarkEnd w:id="653"/>
            <w:bookmarkEnd w:id="654"/>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55" w:name="_Toc58191337"/>
            <w:bookmarkStart w:id="656" w:name="_Toc58251118"/>
            <w:bookmarkStart w:id="657" w:name="_Toc58507173"/>
            <w:r>
              <w:rPr>
                <w:rFonts w:ascii="Times New Roman" w:hAnsi="Times New Roman"/>
                <w:noProof/>
                <w:sz w:val="16"/>
                <w:szCs w:val="16"/>
              </w:rPr>
              <w:t>09 02 02</w:t>
            </w:r>
            <w:bookmarkEnd w:id="655"/>
            <w:bookmarkEnd w:id="656"/>
            <w:bookmarkEnd w:id="65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58" w:name="_Toc58191338"/>
            <w:bookmarkStart w:id="659" w:name="_Toc58251119"/>
            <w:bookmarkStart w:id="660" w:name="_Toc58507174"/>
            <w:r>
              <w:rPr>
                <w:rFonts w:ascii="Times New Roman" w:hAnsi="Times New Roman"/>
                <w:noProof/>
                <w:sz w:val="20"/>
                <w:szCs w:val="20"/>
              </w:rPr>
              <w:t>Économie circulaire et qualité de vie</w:t>
            </w:r>
            <w:bookmarkEnd w:id="658"/>
            <w:bookmarkEnd w:id="659"/>
            <w:bookmarkEnd w:id="66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61" w:name="_Toc58191339"/>
            <w:bookmarkStart w:id="662" w:name="_Toc58251120"/>
            <w:bookmarkStart w:id="663" w:name="_Toc58507175"/>
            <w:r>
              <w:rPr>
                <w:rFonts w:ascii="Times New Roman" w:hAnsi="Times New Roman"/>
                <w:noProof/>
                <w:sz w:val="20"/>
                <w:szCs w:val="20"/>
              </w:rPr>
              <w:t>10 394 052</w:t>
            </w:r>
            <w:bookmarkEnd w:id="661"/>
            <w:bookmarkEnd w:id="662"/>
            <w:bookmarkEnd w:id="66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64" w:name="_Toc58191340"/>
            <w:bookmarkStart w:id="665" w:name="_Toc58251121"/>
            <w:bookmarkStart w:id="666" w:name="_Toc58507176"/>
            <w:r>
              <w:rPr>
                <w:rFonts w:ascii="Times New Roman" w:hAnsi="Times New Roman"/>
                <w:noProof/>
                <w:sz w:val="20"/>
                <w:szCs w:val="20"/>
              </w:rPr>
              <w:t>11 040 188</w:t>
            </w:r>
            <w:bookmarkEnd w:id="664"/>
            <w:bookmarkEnd w:id="665"/>
            <w:bookmarkEnd w:id="66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67" w:name="_Toc58191341"/>
            <w:bookmarkStart w:id="668" w:name="_Toc58251122"/>
            <w:bookmarkStart w:id="669" w:name="_Toc58507177"/>
            <w:r>
              <w:rPr>
                <w:rFonts w:ascii="Times New Roman" w:hAnsi="Times New Roman"/>
                <w:noProof/>
                <w:sz w:val="20"/>
                <w:szCs w:val="20"/>
              </w:rPr>
              <w:t>646 136</w:t>
            </w:r>
            <w:bookmarkEnd w:id="667"/>
            <w:bookmarkEnd w:id="668"/>
            <w:bookmarkEnd w:id="669"/>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70" w:name="_Toc58191342"/>
            <w:bookmarkStart w:id="671" w:name="_Toc58251123"/>
            <w:bookmarkStart w:id="672" w:name="_Toc58507178"/>
            <w:r>
              <w:rPr>
                <w:rFonts w:ascii="Times New Roman" w:hAnsi="Times New Roman"/>
                <w:noProof/>
                <w:sz w:val="16"/>
                <w:szCs w:val="16"/>
              </w:rPr>
              <w:t>09 02 03</w:t>
            </w:r>
            <w:bookmarkEnd w:id="670"/>
            <w:bookmarkEnd w:id="671"/>
            <w:bookmarkEnd w:id="67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73" w:name="_Toc58191343"/>
            <w:bookmarkStart w:id="674" w:name="_Toc58251124"/>
            <w:bookmarkStart w:id="675" w:name="_Toc58507179"/>
            <w:r>
              <w:rPr>
                <w:rFonts w:ascii="Times New Roman" w:hAnsi="Times New Roman"/>
                <w:noProof/>
                <w:sz w:val="20"/>
                <w:szCs w:val="20"/>
              </w:rPr>
              <w:t>Atténuation du changement climatique et adaptation à celui-ci</w:t>
            </w:r>
            <w:bookmarkEnd w:id="673"/>
            <w:bookmarkEnd w:id="674"/>
            <w:bookmarkEnd w:id="67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76" w:name="_Toc58191344"/>
            <w:bookmarkStart w:id="677" w:name="_Toc58251125"/>
            <w:bookmarkStart w:id="678" w:name="_Toc58507180"/>
            <w:r>
              <w:rPr>
                <w:rFonts w:ascii="Times New Roman" w:hAnsi="Times New Roman"/>
                <w:noProof/>
                <w:sz w:val="20"/>
                <w:szCs w:val="20"/>
              </w:rPr>
              <w:t>2 295 581</w:t>
            </w:r>
            <w:bookmarkEnd w:id="676"/>
            <w:bookmarkEnd w:id="677"/>
            <w:bookmarkEnd w:id="67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79" w:name="_Toc58191345"/>
            <w:bookmarkStart w:id="680" w:name="_Toc58251126"/>
            <w:bookmarkStart w:id="681" w:name="_Toc58507181"/>
            <w:r>
              <w:rPr>
                <w:rFonts w:ascii="Times New Roman" w:hAnsi="Times New Roman"/>
                <w:noProof/>
                <w:sz w:val="20"/>
                <w:szCs w:val="20"/>
              </w:rPr>
              <w:t>2 438 284</w:t>
            </w:r>
            <w:bookmarkEnd w:id="679"/>
            <w:bookmarkEnd w:id="680"/>
            <w:bookmarkEnd w:id="68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82" w:name="_Toc58191346"/>
            <w:bookmarkStart w:id="683" w:name="_Toc58251127"/>
            <w:bookmarkStart w:id="684" w:name="_Toc58507182"/>
            <w:r>
              <w:rPr>
                <w:rFonts w:ascii="Times New Roman" w:hAnsi="Times New Roman"/>
                <w:noProof/>
                <w:sz w:val="20"/>
                <w:szCs w:val="20"/>
              </w:rPr>
              <w:t>142 703</w:t>
            </w:r>
            <w:bookmarkEnd w:id="682"/>
            <w:bookmarkEnd w:id="683"/>
            <w:bookmarkEnd w:id="684"/>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685" w:name="_Toc58191347"/>
            <w:bookmarkStart w:id="686" w:name="_Toc58251128"/>
            <w:bookmarkStart w:id="687" w:name="_Toc58507183"/>
            <w:r>
              <w:rPr>
                <w:rFonts w:ascii="Times New Roman" w:hAnsi="Times New Roman"/>
                <w:noProof/>
                <w:sz w:val="16"/>
                <w:szCs w:val="16"/>
              </w:rPr>
              <w:t>09 02 04</w:t>
            </w:r>
            <w:bookmarkEnd w:id="685"/>
            <w:bookmarkEnd w:id="686"/>
            <w:bookmarkEnd w:id="68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688" w:name="_Toc58191348"/>
            <w:bookmarkStart w:id="689" w:name="_Toc58251129"/>
            <w:bookmarkStart w:id="690" w:name="_Toc58507184"/>
            <w:r>
              <w:rPr>
                <w:rFonts w:ascii="Times New Roman" w:hAnsi="Times New Roman"/>
                <w:noProof/>
                <w:sz w:val="20"/>
                <w:szCs w:val="20"/>
              </w:rPr>
              <w:t>Transition vers l’énergie propre</w:t>
            </w:r>
            <w:bookmarkEnd w:id="688"/>
            <w:bookmarkEnd w:id="689"/>
            <w:bookmarkEnd w:id="69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91" w:name="_Toc58191349"/>
            <w:bookmarkStart w:id="692" w:name="_Toc58251130"/>
            <w:bookmarkStart w:id="693" w:name="_Toc58507185"/>
            <w:r>
              <w:rPr>
                <w:rFonts w:ascii="Times New Roman" w:hAnsi="Times New Roman"/>
                <w:noProof/>
                <w:sz w:val="20"/>
                <w:szCs w:val="20"/>
              </w:rPr>
              <w:t>1 947 232</w:t>
            </w:r>
            <w:bookmarkEnd w:id="691"/>
            <w:bookmarkEnd w:id="692"/>
            <w:bookmarkEnd w:id="69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94" w:name="_Toc58191350"/>
            <w:bookmarkStart w:id="695" w:name="_Toc58251131"/>
            <w:bookmarkStart w:id="696" w:name="_Toc58507186"/>
            <w:r>
              <w:rPr>
                <w:rFonts w:ascii="Times New Roman" w:hAnsi="Times New Roman"/>
                <w:noProof/>
                <w:sz w:val="20"/>
                <w:szCs w:val="20"/>
              </w:rPr>
              <w:t>2 068 280</w:t>
            </w:r>
            <w:bookmarkEnd w:id="694"/>
            <w:bookmarkEnd w:id="695"/>
            <w:bookmarkEnd w:id="69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697" w:name="_Toc58191351"/>
            <w:bookmarkStart w:id="698" w:name="_Toc58251132"/>
            <w:bookmarkStart w:id="699" w:name="_Toc58507187"/>
            <w:r>
              <w:rPr>
                <w:rFonts w:ascii="Times New Roman" w:hAnsi="Times New Roman"/>
                <w:noProof/>
                <w:sz w:val="20"/>
                <w:szCs w:val="20"/>
              </w:rPr>
              <w:t>121 048</w:t>
            </w:r>
            <w:bookmarkEnd w:id="697"/>
            <w:bookmarkEnd w:id="698"/>
            <w:bookmarkEnd w:id="699"/>
          </w:p>
        </w:tc>
      </w:tr>
      <w:tr w:rsidR="00EB2127">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Instrument de voisinage, de coopération au développement et de coopération internationale (IVCDCI)</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700" w:name="_Toc58191352"/>
            <w:bookmarkStart w:id="701" w:name="_Toc58251133"/>
            <w:bookmarkStart w:id="702" w:name="_Toc58507188"/>
            <w:r>
              <w:rPr>
                <w:rFonts w:ascii="Times New Roman" w:hAnsi="Times New Roman"/>
                <w:noProof/>
                <w:sz w:val="16"/>
                <w:szCs w:val="16"/>
              </w:rPr>
              <w:t>15 02 01 10</w:t>
            </w:r>
            <w:bookmarkEnd w:id="700"/>
            <w:bookmarkEnd w:id="701"/>
            <w:bookmarkEnd w:id="70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703" w:name="_Toc58191353"/>
            <w:bookmarkStart w:id="704" w:name="_Toc58251134"/>
            <w:bookmarkStart w:id="705" w:name="_Toc58507189"/>
            <w:r>
              <w:rPr>
                <w:rFonts w:ascii="Times New Roman" w:hAnsi="Times New Roman"/>
                <w:noProof/>
                <w:sz w:val="20"/>
                <w:szCs w:val="20"/>
              </w:rPr>
              <w:t>Voisinage méridional</w:t>
            </w:r>
            <w:bookmarkEnd w:id="703"/>
            <w:bookmarkEnd w:id="704"/>
            <w:bookmarkEnd w:id="70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06" w:name="_Toc58191354"/>
            <w:bookmarkStart w:id="707" w:name="_Toc58251135"/>
            <w:bookmarkStart w:id="708" w:name="_Toc58507190"/>
            <w:r>
              <w:rPr>
                <w:rFonts w:ascii="Times New Roman" w:hAnsi="Times New Roman"/>
                <w:noProof/>
                <w:sz w:val="20"/>
                <w:szCs w:val="20"/>
              </w:rPr>
              <w:t>143 096 572</w:t>
            </w:r>
            <w:bookmarkEnd w:id="706"/>
            <w:bookmarkEnd w:id="707"/>
            <w:bookmarkEnd w:id="70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09" w:name="_Toc58191355"/>
            <w:bookmarkStart w:id="710" w:name="_Toc58251136"/>
            <w:bookmarkStart w:id="711" w:name="_Toc58507191"/>
            <w:r>
              <w:rPr>
                <w:rFonts w:ascii="Times New Roman" w:hAnsi="Times New Roman"/>
                <w:noProof/>
                <w:sz w:val="20"/>
                <w:szCs w:val="20"/>
              </w:rPr>
              <w:t>153 274 953</w:t>
            </w:r>
            <w:bookmarkEnd w:id="709"/>
            <w:bookmarkEnd w:id="710"/>
            <w:bookmarkEnd w:id="71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12" w:name="_Toc58191356"/>
            <w:bookmarkStart w:id="713" w:name="_Toc58251137"/>
            <w:bookmarkStart w:id="714" w:name="_Toc58507192"/>
            <w:r>
              <w:rPr>
                <w:rFonts w:ascii="Times New Roman" w:hAnsi="Times New Roman"/>
                <w:noProof/>
                <w:sz w:val="20"/>
                <w:szCs w:val="20"/>
              </w:rPr>
              <w:t>10 178 381</w:t>
            </w:r>
            <w:bookmarkEnd w:id="712"/>
            <w:bookmarkEnd w:id="713"/>
            <w:bookmarkEnd w:id="714"/>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Aide humanitaire (HUMA)</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20 000 000</w:t>
            </w:r>
          </w:p>
        </w:tc>
      </w:tr>
      <w:tr w:rsidR="00EB2127">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715" w:name="_Toc58191357"/>
            <w:bookmarkStart w:id="716" w:name="_Toc58251138"/>
            <w:bookmarkStart w:id="717" w:name="_Toc58507193"/>
            <w:r>
              <w:rPr>
                <w:rFonts w:ascii="Times New Roman" w:hAnsi="Times New Roman"/>
                <w:noProof/>
                <w:sz w:val="16"/>
                <w:szCs w:val="16"/>
              </w:rPr>
              <w:t>15 03 01</w:t>
            </w:r>
            <w:bookmarkEnd w:id="715"/>
            <w:bookmarkEnd w:id="716"/>
            <w:bookmarkEnd w:id="717"/>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718" w:name="_Toc58191358"/>
            <w:bookmarkStart w:id="719" w:name="_Toc58251139"/>
            <w:bookmarkStart w:id="720" w:name="_Toc58507194"/>
            <w:r>
              <w:rPr>
                <w:rFonts w:ascii="Times New Roman" w:hAnsi="Times New Roman"/>
                <w:noProof/>
                <w:sz w:val="20"/>
                <w:szCs w:val="20"/>
              </w:rPr>
              <w:t>Aide humanitaire</w:t>
            </w:r>
            <w:bookmarkEnd w:id="718"/>
            <w:bookmarkEnd w:id="719"/>
            <w:bookmarkEnd w:id="720"/>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21" w:name="_Toc58191359"/>
            <w:bookmarkStart w:id="722" w:name="_Toc58251140"/>
            <w:bookmarkStart w:id="723" w:name="_Toc58507195"/>
            <w:r>
              <w:rPr>
                <w:rFonts w:ascii="Times New Roman" w:hAnsi="Times New Roman"/>
                <w:noProof/>
                <w:sz w:val="20"/>
                <w:szCs w:val="20"/>
              </w:rPr>
              <w:t>1 800 000 000</w:t>
            </w:r>
            <w:bookmarkEnd w:id="721"/>
            <w:bookmarkEnd w:id="722"/>
            <w:bookmarkEnd w:id="723"/>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24" w:name="_Toc58191360"/>
            <w:bookmarkStart w:id="725" w:name="_Toc58251141"/>
            <w:bookmarkStart w:id="726" w:name="_Toc58507196"/>
            <w:r>
              <w:rPr>
                <w:rFonts w:ascii="Times New Roman" w:hAnsi="Times New Roman"/>
                <w:noProof/>
                <w:sz w:val="20"/>
                <w:szCs w:val="20"/>
              </w:rPr>
              <w:t>1 820 000 000</w:t>
            </w:r>
            <w:bookmarkEnd w:id="724"/>
            <w:bookmarkEnd w:id="725"/>
            <w:bookmarkEnd w:id="726"/>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27" w:name="_Toc58191361"/>
            <w:bookmarkStart w:id="728" w:name="_Toc58251142"/>
            <w:bookmarkStart w:id="729" w:name="_Toc58507197"/>
            <w:r>
              <w:rPr>
                <w:rFonts w:ascii="Times New Roman" w:hAnsi="Times New Roman"/>
                <w:noProof/>
                <w:sz w:val="20"/>
                <w:szCs w:val="20"/>
              </w:rPr>
              <w:t>20 000 000</w:t>
            </w:r>
            <w:bookmarkEnd w:id="727"/>
            <w:bookmarkEnd w:id="728"/>
            <w:bookmarkEnd w:id="729"/>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EB2127" w:rsidRDefault="00872645">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EB2127" w:rsidRDefault="00872645">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1 318 031</w:t>
            </w:r>
          </w:p>
        </w:tc>
      </w:tr>
      <w:tr w:rsidR="00EB2127">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16"/>
                <w:szCs w:val="16"/>
              </w:rPr>
            </w:pPr>
            <w:bookmarkStart w:id="730" w:name="_Toc58191362"/>
            <w:bookmarkStart w:id="731" w:name="_Toc58251143"/>
            <w:bookmarkStart w:id="732" w:name="_Toc58507198"/>
            <w:r>
              <w:rPr>
                <w:rFonts w:ascii="Times New Roman" w:hAnsi="Times New Roman"/>
                <w:noProof/>
                <w:sz w:val="16"/>
                <w:szCs w:val="16"/>
              </w:rPr>
              <w:t>15 20 04 03</w:t>
            </w:r>
            <w:bookmarkEnd w:id="730"/>
            <w:bookmarkEnd w:id="731"/>
            <w:bookmarkEnd w:id="732"/>
          </w:p>
        </w:tc>
        <w:tc>
          <w:tcPr>
            <w:tcW w:w="3543"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outlineLvl w:val="1"/>
              <w:rPr>
                <w:rFonts w:ascii="Times New Roman" w:eastAsia="Times New Roman" w:hAnsi="Times New Roman"/>
                <w:noProof/>
                <w:sz w:val="20"/>
                <w:szCs w:val="20"/>
              </w:rPr>
            </w:pPr>
            <w:bookmarkStart w:id="733" w:name="_Toc58191363"/>
            <w:bookmarkStart w:id="734" w:name="_Toc58251144"/>
            <w:bookmarkStart w:id="735" w:name="_Toc58507199"/>
            <w:r>
              <w:rPr>
                <w:rFonts w:ascii="Times New Roman" w:hAnsi="Times New Roman"/>
                <w:noProof/>
                <w:sz w:val="20"/>
                <w:szCs w:val="20"/>
              </w:rPr>
              <w:t>Politique d’information et communication stratégique pour l’action extérieure</w:t>
            </w:r>
            <w:bookmarkEnd w:id="733"/>
            <w:bookmarkEnd w:id="734"/>
            <w:bookmarkEnd w:id="735"/>
          </w:p>
        </w:tc>
        <w:tc>
          <w:tcPr>
            <w:tcW w:w="1560"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36" w:name="_Toc58191364"/>
            <w:bookmarkStart w:id="737" w:name="_Toc58251145"/>
            <w:bookmarkStart w:id="738" w:name="_Toc58507200"/>
            <w:r>
              <w:rPr>
                <w:rFonts w:ascii="Times New Roman" w:hAnsi="Times New Roman"/>
                <w:noProof/>
                <w:sz w:val="20"/>
                <w:szCs w:val="20"/>
              </w:rPr>
              <w:t>33 794 511</w:t>
            </w:r>
            <w:bookmarkEnd w:id="736"/>
            <w:bookmarkEnd w:id="737"/>
            <w:bookmarkEnd w:id="738"/>
          </w:p>
        </w:tc>
        <w:tc>
          <w:tcPr>
            <w:tcW w:w="138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39" w:name="_Toc58191365"/>
            <w:bookmarkStart w:id="740" w:name="_Toc58251146"/>
            <w:bookmarkStart w:id="741" w:name="_Toc58507201"/>
            <w:r>
              <w:rPr>
                <w:rFonts w:ascii="Times New Roman" w:hAnsi="Times New Roman"/>
                <w:noProof/>
                <w:sz w:val="20"/>
                <w:szCs w:val="20"/>
              </w:rPr>
              <w:t>35 112 542</w:t>
            </w:r>
            <w:bookmarkEnd w:id="739"/>
            <w:bookmarkEnd w:id="740"/>
            <w:bookmarkEnd w:id="741"/>
          </w:p>
        </w:tc>
        <w:tc>
          <w:tcPr>
            <w:tcW w:w="1729" w:type="dxa"/>
            <w:tcBorders>
              <w:top w:val="nil"/>
              <w:left w:val="nil"/>
              <w:bottom w:val="single" w:sz="4" w:space="0" w:color="auto"/>
              <w:right w:val="single" w:sz="4" w:space="0" w:color="auto"/>
            </w:tcBorders>
            <w:shd w:val="clear" w:color="auto" w:fill="auto"/>
            <w:hideMark/>
          </w:tcPr>
          <w:p w:rsidR="00EB2127" w:rsidRDefault="00872645">
            <w:pPr>
              <w:spacing w:after="0" w:line="240" w:lineRule="auto"/>
              <w:jc w:val="right"/>
              <w:outlineLvl w:val="1"/>
              <w:rPr>
                <w:rFonts w:ascii="Times New Roman" w:eastAsia="Times New Roman" w:hAnsi="Times New Roman"/>
                <w:noProof/>
                <w:sz w:val="20"/>
                <w:szCs w:val="20"/>
              </w:rPr>
            </w:pPr>
            <w:bookmarkStart w:id="742" w:name="_Toc58191366"/>
            <w:bookmarkStart w:id="743" w:name="_Toc58251147"/>
            <w:bookmarkStart w:id="744" w:name="_Toc58507202"/>
            <w:r>
              <w:rPr>
                <w:rFonts w:ascii="Times New Roman" w:hAnsi="Times New Roman"/>
                <w:noProof/>
                <w:sz w:val="20"/>
                <w:szCs w:val="20"/>
              </w:rPr>
              <w:t>1 318 031</w:t>
            </w:r>
            <w:bookmarkEnd w:id="742"/>
            <w:bookmarkEnd w:id="743"/>
            <w:bookmarkEnd w:id="744"/>
          </w:p>
        </w:tc>
      </w:tr>
      <w:tr w:rsidR="00EB2127">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3543"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1560" w:type="dxa"/>
            <w:tcBorders>
              <w:top w:val="nil"/>
              <w:left w:val="nil"/>
              <w:bottom w:val="single" w:sz="4" w:space="0" w:color="auto"/>
              <w:right w:val="nil"/>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389" w:type="dxa"/>
            <w:tcBorders>
              <w:top w:val="nil"/>
              <w:left w:val="nil"/>
              <w:bottom w:val="single" w:sz="4" w:space="0" w:color="auto"/>
              <w:right w:val="nil"/>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729" w:type="dxa"/>
            <w:tcBorders>
              <w:top w:val="nil"/>
              <w:left w:val="nil"/>
              <w:bottom w:val="single" w:sz="4" w:space="0" w:color="auto"/>
              <w:right w:val="single" w:sz="4" w:space="0" w:color="auto"/>
            </w:tcBorders>
            <w:shd w:val="clear" w:color="000000" w:fill="DCE6F1"/>
            <w:vAlign w:val="center"/>
            <w:hideMark/>
          </w:tcPr>
          <w:p w:rsidR="00EB2127" w:rsidRDefault="00872645">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49 984 716</w:t>
            </w:r>
          </w:p>
        </w:tc>
      </w:tr>
    </w:tbl>
    <w:p w:rsidR="00EB2127" w:rsidRDefault="00EB2127">
      <w:pPr>
        <w:spacing w:before="120" w:after="120" w:line="240" w:lineRule="auto"/>
        <w:jc w:val="both"/>
        <w:rPr>
          <w:rFonts w:ascii="Times New Roman" w:eastAsia="Times New Roman" w:hAnsi="Times New Roman"/>
          <w:noProof/>
          <w:sz w:val="24"/>
          <w:szCs w:val="24"/>
          <w:lang w:eastAsia="en-GB"/>
        </w:rPr>
      </w:pPr>
    </w:p>
    <w:p w:rsidR="00EB2127" w:rsidRDefault="00872645">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Globalement, il en résulte un niveau de crédits de paiement de 166 060,5 millions d’EUR, soit une diminution de 63,9 millions d’EUR par rapport au projet de budget, tel que modifié par la lettre rectificative nº 1/2021.</w:t>
      </w:r>
    </w:p>
    <w:p w:rsidR="00EB2127" w:rsidRDefault="00872645">
      <w:pPr>
        <w:spacing w:after="0" w:line="240" w:lineRule="auto"/>
        <w:rPr>
          <w:rFonts w:ascii="Times New Roman" w:hAnsi="Times New Roman"/>
          <w:noProof/>
          <w:sz w:val="23"/>
        </w:rPr>
      </w:pPr>
      <w:r>
        <w:rPr>
          <w:noProof/>
        </w:rPr>
        <w:br w:type="page"/>
      </w:r>
    </w:p>
    <w:p w:rsidR="00EB2127" w:rsidRDefault="00872645">
      <w:pPr>
        <w:pStyle w:val="ListParagraph"/>
        <w:keepNext/>
        <w:keepLines/>
        <w:numPr>
          <w:ilvl w:val="1"/>
          <w:numId w:val="49"/>
        </w:numPr>
        <w:spacing w:before="240" w:after="240"/>
        <w:jc w:val="both"/>
        <w:outlineLvl w:val="1"/>
        <w:rPr>
          <w:b/>
          <w:bCs/>
          <w:iCs/>
          <w:noProof/>
          <w:szCs w:val="28"/>
        </w:rPr>
      </w:pPr>
      <w:bookmarkStart w:id="745" w:name="_Toc58507203"/>
      <w:r>
        <w:rPr>
          <w:b/>
          <w:bCs/>
          <w:iCs/>
          <w:noProof/>
          <w:szCs w:val="28"/>
        </w:rPr>
        <w:t>Réserves</w:t>
      </w:r>
      <w:bookmarkEnd w:id="745"/>
    </w:p>
    <w:p w:rsidR="00EB2127" w:rsidRDefault="00872645">
      <w:pPr>
        <w:spacing w:before="120" w:after="120" w:line="240" w:lineRule="auto"/>
        <w:jc w:val="both"/>
        <w:rPr>
          <w:rFonts w:ascii="Times New Roman" w:hAnsi="Times New Roman"/>
          <w:noProof/>
          <w:sz w:val="24"/>
          <w:szCs w:val="24"/>
        </w:rPr>
      </w:pPr>
      <w:r>
        <w:rPr>
          <w:rFonts w:ascii="Times New Roman" w:hAnsi="Times New Roman"/>
          <w:noProof/>
          <w:sz w:val="24"/>
          <w:szCs w:val="24"/>
        </w:rPr>
        <w:t>Il n’y a pas de réserves qui s'ajoutent à celles du projet de budget, tel que modifié par la lettre rectificative nº 1/2021.</w:t>
      </w:r>
    </w:p>
    <w:p w:rsidR="00EB2127" w:rsidRDefault="00872645">
      <w:pPr>
        <w:spacing w:before="120" w:after="120" w:line="240" w:lineRule="auto"/>
        <w:jc w:val="both"/>
        <w:rPr>
          <w:rFonts w:ascii="Times New Roman" w:hAnsi="Times New Roman"/>
          <w:noProof/>
          <w:sz w:val="24"/>
          <w:szCs w:val="24"/>
        </w:rPr>
      </w:pPr>
      <w:r>
        <w:rPr>
          <w:rFonts w:ascii="Times New Roman" w:hAnsi="Times New Roman"/>
          <w:noProof/>
          <w:sz w:val="24"/>
          <w:szCs w:val="24"/>
        </w:rPr>
        <w:t>Les crédits d’engagement et de paiement correspondant aux nouveaux programmes pour lesquels les bases légales sont en cours de finalisation et devraient être adoptées au début de l’année 2021 ne seront pas inscrits en réserve à titre provisoire. En outre, les montants destinés au Centre européen de prévention et de contrôle des maladies (ECDC) et à l’Agence européenne des médicaments (EMA) ne seront pas inscrits en réserve, compte tenu de l’urgence des besoins liés à la pandémie de COVID-19.</w:t>
      </w:r>
    </w:p>
    <w:p w:rsidR="00EB2127" w:rsidRDefault="00872645">
      <w:pPr>
        <w:pStyle w:val="ListParagraph"/>
        <w:keepNext/>
        <w:keepLines/>
        <w:numPr>
          <w:ilvl w:val="1"/>
          <w:numId w:val="49"/>
        </w:numPr>
        <w:spacing w:before="240" w:after="240"/>
        <w:jc w:val="both"/>
        <w:outlineLvl w:val="1"/>
        <w:rPr>
          <w:b/>
          <w:bCs/>
          <w:iCs/>
          <w:noProof/>
          <w:szCs w:val="28"/>
        </w:rPr>
      </w:pPr>
      <w:bookmarkStart w:id="746" w:name="_Toc58507204"/>
      <w:r>
        <w:rPr>
          <w:b/>
          <w:bCs/>
          <w:iCs/>
          <w:noProof/>
          <w:szCs w:val="28"/>
        </w:rPr>
        <w:t>Changements dans la nomenclature et les commentaires budgétaires</w:t>
      </w:r>
      <w:bookmarkEnd w:id="746"/>
    </w:p>
    <w:p w:rsidR="00EB2127" w:rsidRDefault="00872645">
      <w:pPr>
        <w:pStyle w:val="ListParagraph"/>
        <w:keepNext/>
        <w:numPr>
          <w:ilvl w:val="2"/>
          <w:numId w:val="49"/>
        </w:numPr>
        <w:tabs>
          <w:tab w:val="num" w:pos="850"/>
        </w:tabs>
        <w:spacing w:before="120" w:after="120"/>
        <w:jc w:val="both"/>
        <w:outlineLvl w:val="2"/>
        <w:rPr>
          <w:bCs/>
          <w:noProof/>
          <w:szCs w:val="26"/>
        </w:rPr>
      </w:pPr>
      <w:bookmarkStart w:id="747" w:name="_Toc58507205"/>
      <w:r>
        <w:rPr>
          <w:noProof/>
        </w:rPr>
        <w:t>Commentaires budgétaires</w:t>
      </w:r>
      <w:bookmarkEnd w:id="747"/>
    </w:p>
    <w:p w:rsidR="00EB2127" w:rsidRDefault="00872645">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texte des commentaires budgétaires correspond au projet de budget, tel que modifié par la lettre rectificative nº 1/2020, avec les modifications suivantes:</w:t>
      </w:r>
    </w:p>
    <w:p w:rsidR="00EB2127" w:rsidRDefault="00872645">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Lignes budgétaires pour lesquelles les amendements introduits par le Parlement européen lors de sa lecture du projet de budget initial sont proposés dans le deuxième projet de budget:</w:t>
      </w:r>
    </w:p>
    <w:tbl>
      <w:tblPr>
        <w:tblW w:w="10160" w:type="dxa"/>
        <w:tblInd w:w="103" w:type="dxa"/>
        <w:tblLook w:val="04A0" w:firstRow="1" w:lastRow="0" w:firstColumn="1" w:lastColumn="0" w:noHBand="0" w:noVBand="1"/>
      </w:tblPr>
      <w:tblGrid>
        <w:gridCol w:w="1440"/>
        <w:gridCol w:w="8720"/>
      </w:tblGrid>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Chapitre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Organismes décentralisés</w:t>
            </w:r>
          </w:p>
        </w:tc>
      </w:tr>
    </w:tbl>
    <w:p w:rsidR="00EB2127" w:rsidRDefault="00872645">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Lignes budgétaires pour lesquelles les amendements introduits par le Parlement européen sont proposés avec la modification proposée par la Commission dans sa lettre d’exécutabilité: </w:t>
      </w:r>
    </w:p>
    <w:tbl>
      <w:tblPr>
        <w:tblW w:w="10160" w:type="dxa"/>
        <w:tblInd w:w="103" w:type="dxa"/>
        <w:tblLook w:val="04A0" w:firstRow="1" w:lastRow="0" w:firstColumn="1" w:lastColumn="0" w:noHBand="0" w:noVBand="1"/>
      </w:tblPr>
      <w:tblGrid>
        <w:gridCol w:w="1440"/>
        <w:gridCol w:w="8720"/>
      </w:tblGrid>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Pôle «Culture, créativité et société inclusive»</w:t>
            </w:r>
          </w:p>
        </w:tc>
      </w:tr>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sz w:val="20"/>
                <w:szCs w:val="20"/>
              </w:rPr>
              <w:t>07 02 01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sz w:val="20"/>
                <w:szCs w:val="20"/>
              </w:rPr>
              <w:t>Volet de gestion partagée du FSE+ — Dépenses opérationnelles</w:t>
            </w:r>
          </w:p>
        </w:tc>
      </w:tr>
      <w:tr w:rsidR="00EB2127">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sz w:val="20"/>
                <w:szCs w:val="20"/>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Cs/>
                <w:noProof/>
                <w:sz w:val="20"/>
                <w:szCs w:val="20"/>
              </w:rPr>
              <w:t>Prévention des catastrophes, réduction des risques de catastrophe et préparation en la matière</w:t>
            </w:r>
          </w:p>
        </w:tc>
      </w:tr>
    </w:tbl>
    <w:p w:rsidR="00EB2127" w:rsidRDefault="00872645">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Lignes budgétaires pour lesquelles les commentaires budgétaires correspondants, tel que proposés dans le projet de budget tel que modifié par la lettre rectificative, sont proposés avec les modifications suivantes:</w:t>
      </w:r>
    </w:p>
    <w:tbl>
      <w:tblPr>
        <w:tblW w:w="10160" w:type="dxa"/>
        <w:tblInd w:w="103" w:type="dxa"/>
        <w:tblLook w:val="04A0" w:firstRow="1" w:lastRow="0" w:firstColumn="1" w:lastColumn="0" w:noHBand="0" w:noVBand="1"/>
      </w:tblPr>
      <w:tblGrid>
        <w:gridCol w:w="1440"/>
        <w:gridCol w:w="8720"/>
      </w:tblGrid>
      <w:tr w:rsidR="00EB2127">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b/>
                <w:noProof/>
                <w:sz w:val="20"/>
                <w:szCs w:val="20"/>
              </w:rPr>
              <w:t>Chapitre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r>
      <w:tr w:rsidR="00EB2127">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EB2127" w:rsidRDefault="00EB2127">
            <w:pPr>
              <w:spacing w:after="0" w:line="240" w:lineRule="auto"/>
              <w:rPr>
                <w:rFonts w:ascii="Times New Roman" w:eastAsia="Times New Roman" w:hAnsi="Times New Roman"/>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Modifier le texte comme suit:</w:t>
            </w:r>
          </w:p>
          <w:p w:rsidR="00EB2127" w:rsidRDefault="00872645">
            <w:pPr>
              <w:autoSpaceDE w:val="0"/>
              <w:autoSpaceDN w:val="0"/>
              <w:adjustRightInd w:val="0"/>
              <w:spacing w:after="0" w:line="240" w:lineRule="auto"/>
              <w:rPr>
                <w:rFonts w:ascii="Times New Roman" w:eastAsia="Times New Roman" w:hAnsi="Times New Roman"/>
                <w:b/>
                <w:noProof/>
                <w:sz w:val="20"/>
                <w:szCs w:val="20"/>
              </w:rPr>
            </w:pPr>
            <w:r>
              <w:rPr>
                <w:rFonts w:ascii="Times New Roman" w:hAnsi="Times New Roman"/>
                <w:noProof/>
                <w:sz w:val="20"/>
                <w:szCs w:val="20"/>
              </w:rPr>
              <w:t xml:space="preserve">Encouragés simultanément, ces éléments aideront à créer une économie des données florissante, favoriseront l'inclusion </w:t>
            </w:r>
            <w:r>
              <w:rPr>
                <w:rFonts w:ascii="Times New Roman" w:hAnsi="Times New Roman"/>
                <w:b/>
                <w:noProof/>
                <w:sz w:val="20"/>
                <w:szCs w:val="20"/>
              </w:rPr>
              <w:t>ainsi que l'égalité des chances pour tous</w:t>
            </w:r>
            <w:r>
              <w:rPr>
                <w:rFonts w:ascii="Times New Roman" w:hAnsi="Times New Roman"/>
                <w:noProof/>
                <w:sz w:val="20"/>
                <w:szCs w:val="20"/>
              </w:rPr>
              <w:t xml:space="preserve"> et assureront la création de valeur.</w:t>
            </w:r>
          </w:p>
        </w:tc>
      </w:tr>
      <w:tr w:rsidR="00EB2127">
        <w:trPr>
          <w:trHeight w:val="20"/>
        </w:trPr>
        <w:tc>
          <w:tcPr>
            <w:tcW w:w="1440" w:type="dxa"/>
            <w:vMerge w:val="restart"/>
            <w:tcBorders>
              <w:top w:val="single" w:sz="4" w:space="0" w:color="auto"/>
              <w:left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noProof/>
                <w:sz w:val="20"/>
                <w:szCs w:val="20"/>
              </w:rPr>
            </w:pPr>
            <w:r>
              <w:rPr>
                <w:rFonts w:ascii="Times New Roman" w:hAnsi="Times New Roman"/>
                <w:b/>
                <w:bCs/>
                <w:noProof/>
                <w:sz w:val="20"/>
                <w:szCs w:val="20"/>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Cs/>
                <w:noProof/>
                <w:color w:val="000000"/>
                <w:sz w:val="20"/>
                <w:szCs w:val="20"/>
              </w:rPr>
              <w:t>Compétences</w:t>
            </w:r>
          </w:p>
        </w:tc>
      </w:tr>
      <w:tr w:rsidR="00EB2127">
        <w:trPr>
          <w:trHeight w:val="20"/>
        </w:trPr>
        <w:tc>
          <w:tcPr>
            <w:tcW w:w="1440" w:type="dxa"/>
            <w:vMerge/>
            <w:tcBorders>
              <w:left w:val="single" w:sz="4" w:space="0" w:color="auto"/>
              <w:bottom w:val="single" w:sz="4" w:space="0" w:color="auto"/>
              <w:right w:val="single" w:sz="4" w:space="0" w:color="auto"/>
            </w:tcBorders>
            <w:vAlign w:val="center"/>
          </w:tcPr>
          <w:p w:rsidR="00EB2127" w:rsidRDefault="00EB2127">
            <w:pPr>
              <w:spacing w:after="0" w:line="240" w:lineRule="auto"/>
              <w:rPr>
                <w:rFonts w:ascii="Times New Roman" w:eastAsia="Times New Roman" w:hAnsi="Times New Roman"/>
                <w:b/>
                <w:bCs/>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Le programme veille à la promotion efficace de l’égalité des chances pour tous ainsi qu'à la mise en œuvre de l'intégration des questions d'égalité entre les hommes et les femmes </w:t>
            </w:r>
            <w:r>
              <w:rPr>
                <w:rFonts w:ascii="EUAlbertina" w:hAnsi="EUAlbertina"/>
                <w:b/>
                <w:noProof/>
                <w:sz w:val="20"/>
                <w:szCs w:val="20"/>
                <w:u w:val="single"/>
              </w:rPr>
              <w:t>dans ses actions</w:t>
            </w:r>
            <w:r>
              <w:rPr>
                <w:rFonts w:ascii="EUAlbertina" w:hAnsi="EUAlbertina"/>
                <w:b/>
                <w:noProof/>
                <w:sz w:val="20"/>
                <w:szCs w:val="20"/>
              </w:rPr>
              <w:t>.</w:t>
            </w:r>
          </w:p>
        </w:tc>
      </w:tr>
      <w:tr w:rsidR="00EB2127">
        <w:trPr>
          <w:trHeight w:val="20"/>
        </w:trPr>
        <w:tc>
          <w:tcPr>
            <w:tcW w:w="1440" w:type="dxa"/>
            <w:vMerge w:val="restart"/>
            <w:tcBorders>
              <w:left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Chapitre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heme="minorHAnsi" w:hAnsi="Times New Roman"/>
                <w:noProof/>
                <w:sz w:val="20"/>
                <w:szCs w:val="20"/>
              </w:rPr>
            </w:pPr>
            <w:r>
              <w:rPr>
                <w:rFonts w:ascii="Times New Roman" w:hAnsi="Times New Roman"/>
                <w:noProof/>
                <w:sz w:val="20"/>
                <w:szCs w:val="20"/>
              </w:rPr>
              <w:t>Programme en faveur du marché unique (y compris PME)</w:t>
            </w:r>
          </w:p>
        </w:tc>
      </w:tr>
      <w:tr w:rsidR="00EB2127">
        <w:trPr>
          <w:trHeight w:val="20"/>
        </w:trPr>
        <w:tc>
          <w:tcPr>
            <w:tcW w:w="1440" w:type="dxa"/>
            <w:vMerge/>
            <w:tcBorders>
              <w:left w:val="single" w:sz="4" w:space="0" w:color="auto"/>
              <w:bottom w:val="single" w:sz="4" w:space="0" w:color="auto"/>
              <w:right w:val="single" w:sz="4" w:space="0" w:color="auto"/>
            </w:tcBorders>
            <w:vAlign w:val="center"/>
          </w:tcPr>
          <w:p w:rsidR="00EB2127" w:rsidRDefault="00EB2127">
            <w:pPr>
              <w:spacing w:after="0" w:line="240" w:lineRule="auto"/>
              <w:rPr>
                <w:rFonts w:ascii="Times New Roman" w:eastAsia="Times New Roman" w:hAnsi="Times New Roman"/>
                <w:b/>
                <w:bCs/>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Modifier le texte comme suit:</w:t>
            </w:r>
          </w:p>
          <w:p w:rsidR="00EB2127" w:rsidRDefault="00872645">
            <w:pPr>
              <w:autoSpaceDE w:val="0"/>
              <w:autoSpaceDN w:val="0"/>
              <w:adjustRightInd w:val="0"/>
              <w:spacing w:after="0" w:line="240" w:lineRule="auto"/>
              <w:jc w:val="both"/>
              <w:rPr>
                <w:rFonts w:ascii="Times New Roman" w:eastAsia="Times New Roman" w:hAnsi="Times New Roman"/>
                <w:b/>
                <w:noProof/>
                <w:sz w:val="20"/>
                <w:szCs w:val="20"/>
              </w:rPr>
            </w:pPr>
            <w:r>
              <w:rPr>
                <w:rFonts w:ascii="Times New Roman" w:hAnsi="Times New Roman"/>
                <w:noProof/>
                <w:sz w:val="20"/>
                <w:szCs w:val="20"/>
              </w:rPr>
              <w:t xml:space="preserve">De plus, il </w:t>
            </w:r>
            <w:r>
              <w:rPr>
                <w:rFonts w:ascii="Times New Roman" w:hAnsi="Times New Roman"/>
                <w:b/>
                <w:noProof/>
                <w:sz w:val="20"/>
                <w:szCs w:val="20"/>
              </w:rPr>
              <w:t>encouragera la participation des femmes</w:t>
            </w:r>
            <w:r>
              <w:rPr>
                <w:rFonts w:ascii="Times New Roman" w:hAnsi="Times New Roman"/>
                <w:noProof/>
                <w:sz w:val="20"/>
                <w:szCs w:val="20"/>
              </w:rPr>
              <w:t xml:space="preserve"> et renforcera l’autonomie de tous les acteurs du marché unique: entreprises, citoyens notamment dans leur rôle de consommateurs, société civile et pouvoirs publics.</w:t>
            </w:r>
          </w:p>
        </w:tc>
      </w:tr>
      <w:tr w:rsidR="00EB2127">
        <w:trPr>
          <w:trHeight w:val="20"/>
        </w:trPr>
        <w:tc>
          <w:tcPr>
            <w:tcW w:w="1440" w:type="dxa"/>
            <w:tcBorders>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Le programme veille à la promotion efficace de l’égalité des chances pour tous ainsi qu'à la mise en œuvre de l'intégration des questions d'égalité entre les hommes et les femmes dans ses actions.</w:t>
            </w:r>
          </w:p>
        </w:tc>
      </w:tr>
    </w:tbl>
    <w:p w:rsidR="00EB2127" w:rsidRDefault="00872645">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à l’article 15, paragraphe 3, du règlement financier et à la déclaration commune sur la mise en œuvre de l’article 15, paragraphe 3, convenue entre le Parlement européen et le Conseil, il est proposé de reconstituer des crédits d’engagement sur les lignes budgétaires consacrées à la recherche. Les commentaires budgétaires des lignes budgétaires 01 02 02 10, 01 02 02 40, 01 02 02 50 et 01 02 02 60 sont ajustés en conséquence:</w:t>
      </w:r>
    </w:p>
    <w:tbl>
      <w:tblPr>
        <w:tblW w:w="10160" w:type="dxa"/>
        <w:tblInd w:w="103" w:type="dxa"/>
        <w:tblLook w:val="04A0" w:firstRow="1" w:lastRow="0" w:firstColumn="1" w:lastColumn="0" w:noHBand="0" w:noVBand="1"/>
      </w:tblPr>
      <w:tblGrid>
        <w:gridCol w:w="1440"/>
        <w:gridCol w:w="8720"/>
      </w:tblGrid>
      <w:tr w:rsidR="00EB2127">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0"/>
        </w:trPr>
        <w:tc>
          <w:tcPr>
            <w:tcW w:w="1440" w:type="dxa"/>
            <w:tcBorders>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Conformément à l'article 15, paragraphe 3, du règlement financier, un montant de 3 400 000 EUR en crédits d'engagement est disponible pour ce poste budgétaire à la suite des dégagements effectués en 2019 du fait de la non-exécution totale ou partielle de projets de recherche.</w:t>
            </w:r>
          </w:p>
        </w:tc>
      </w:tr>
      <w:tr w:rsidR="00EB212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Conformément à l’article 15, paragraphe 3, du règlement financier, un montant de 3 400 000 EUR</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 en crédits d'engagement est disponible pour ce poste budgétaire à la suite des dégagements effectués en 2019 du fait de la non-exécution totale ou partielle de projets de recherche.</w:t>
            </w:r>
          </w:p>
        </w:tc>
      </w:tr>
      <w:tr w:rsidR="00EB212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Conformément à l'article 15, paragraphe 3, du règlement financier, un montant de 6 600 000 EUR en crédits d'engagement est disponible pour ce poste budgétaire à la suite des dégagements effectués en 2019 du fait de la non-exécution totale ou partielle de projets de recherche.</w:t>
            </w:r>
          </w:p>
        </w:tc>
      </w:tr>
      <w:tr w:rsidR="00EB212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Conformément à l'article 15, paragraphe 3, du règlement financier, un montant de 6 600 000 EUR en crédits d'engagement est disponible pour ce poste budgétaire à la suite des dégagements effectués en 2019 du fait de la non-exécution totale ou partielle de projets de recherche.</w:t>
            </w:r>
          </w:p>
        </w:tc>
      </w:tr>
    </w:tbl>
    <w:p w:rsidR="00EB2127" w:rsidRDefault="00872645">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Nouvelles lignes budgétaires pour lesquelles les commentaires budgétaires correspondants sont proposés comme suit: </w:t>
      </w:r>
    </w:p>
    <w:tbl>
      <w:tblPr>
        <w:tblW w:w="10160" w:type="dxa"/>
        <w:tblInd w:w="103" w:type="dxa"/>
        <w:tblLook w:val="04A0" w:firstRow="1" w:lastRow="0" w:firstColumn="1" w:lastColumn="0" w:noHBand="0" w:noVBand="1"/>
      </w:tblPr>
      <w:tblGrid>
        <w:gridCol w:w="1440"/>
        <w:gridCol w:w="8720"/>
      </w:tblGrid>
      <w:tr w:rsidR="00EB2127">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0"/>
        </w:trPr>
        <w:tc>
          <w:tcPr>
            <w:tcW w:w="1440" w:type="dxa"/>
            <w:tcBorders>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Ce crédit est destiné à couvrir les dépenses afférentes aux actions d’information et de formation en faveur des organisations de travailleurs — y compris en faveur des représentants des organisations de travailleurs dans les pays candidats — découlant de l’action de l’Union dans le cadre de la concrétisation de l’espace social de l’Union.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De telles actions devraient aider les organisations de travailleurs à faire face aux grands enjeux de la politique européenne en matière sociale et d'emploi, telle qu'elle est définie dans la stratégie «Europe 2020», et dans le contexte d'initiatives de l'Union visant à surmonter les conséquences de la crise économique. </w:t>
            </w:r>
          </w:p>
          <w:p w:rsidR="00EB2127" w:rsidRDefault="00872645">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Une attention particulière sera portée à la formation à la problématique de l'égalité entre les femmes et les hommes sur le lieu de travail.</w:t>
            </w:r>
          </w:p>
        </w:tc>
      </w:tr>
      <w:tr w:rsidR="00EB212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protéger et promouvoir les droits, ainsi qu'à sensibiliser à ceux-ci, en apportant un soutien financier aux organisations de la société civile actives aux niveaux local, régional et transnational pour promouvoir et cultiver ces droits, renforçant ainsi la protection et la promotion des valeurs de l'Union et le respect de l'état de droit et contribuant à la construction d'une Union plus démocratique, au dialogue démocratique, à la transparence et à la bonne gouvernance.</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L’objectif spécifique précité sera poursuivi en particulier en soutenant les organisations de la société civile et les acteurs sans but lucratif actifs dans les domaines du programme pour accroître leur capacité à réagir, pour mener des activités de sensibilisation afin de promouvoir les droits ainsi que pour assurer un accès suffisant de tous les citoyens à leurs services et à leurs activités de conseil et de soutien.</w:t>
            </w:r>
          </w:p>
        </w:tc>
      </w:tr>
    </w:tbl>
    <w:p w:rsidR="00EB2127" w:rsidRDefault="00872645">
      <w:pPr>
        <w:numPr>
          <w:ilvl w:val="0"/>
          <w:numId w:val="11"/>
        </w:num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De nouvelles lignes budgétaires découlant de la scission de la ligne 07 03 01 en deux lignes distinctes pour lesquelles les commentaires budgétaires correspondants sont établis comme suit: </w:t>
      </w:r>
    </w:p>
    <w:tbl>
      <w:tblPr>
        <w:tblW w:w="10160" w:type="dxa"/>
        <w:tblInd w:w="103" w:type="dxa"/>
        <w:tblLook w:val="04A0" w:firstRow="1" w:lastRow="0" w:firstColumn="1" w:lastColumn="0" w:noHBand="0" w:noVBand="1"/>
      </w:tblPr>
      <w:tblGrid>
        <w:gridCol w:w="1440"/>
        <w:gridCol w:w="8720"/>
      </w:tblGrid>
      <w:tr w:rsidR="00EB2127">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0"/>
        </w:trPr>
        <w:tc>
          <w:tcPr>
            <w:tcW w:w="1440" w:type="dxa"/>
            <w:tcBorders>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Supprimer le texte existant </w:t>
            </w:r>
          </w:p>
        </w:tc>
      </w:tr>
      <w:tr w:rsidR="00EB2127">
        <w:trPr>
          <w:trHeight w:val="20"/>
        </w:trPr>
        <w:tc>
          <w:tcPr>
            <w:tcW w:w="1440" w:type="dxa"/>
            <w:tcBorders>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couvrir le domaine de l’éducation et de la formation du programme «Erasmus+» dans le cadre de la gestion indirecte. Il soutient les trois actions clés et les actions Jean Monnet.</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1: mobilité à des fins d’éducation et de formation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mobilité des étudiants et du personnel de l’enseignement supérieur; (b) mobilité des apprenants et du personnel de l’enseignement et de la formation professionnels; (c) mobilité des élèves et du personnel; (d) mobilité du personnel de l’éducation des adultes; (e) possibilités d’apprentissage des langues, notamment celles soutenant les activités de mobilité. </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2: coopération entre organisations et institutions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partenariats de coopération et échanges de pratiques, dont des partenariats de petite taille visant à favoriser un accès plus large et plus inclusif au programme; (b) partenariats d’excellence, en particulier des universités européennes, des centres d’excellence professionnelle et des masters communs; (c) partenariats en faveur de l’innovation pour renforcer la capacité d’innovation de l’Europe; (d) plateformes et outils en ligne en vue d’une coopération virtuelle, et notamment les bureaux d’assistance eTwinning et la plateforme électronique pour l’éducation des adultes en Europe. </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3: soutien à l’élaboration des politiques et à la coopération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w:t>
            </w:r>
          </w:p>
          <w:p w:rsidR="00EB2127" w:rsidRDefault="00872645">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 élaboration et mise en œuvre des programmes de mesures générales et sectorielles de l’Union dans le domaine de l’éducation et de la formation, notamment avec le soutien du réseau Eurydice ou d’activités d’autres organisations concernées; (b) soutien aux outils et mesures de l’Union qui favorisent la qualité, la transparence et la reconnaissance des compétences, aptitudes et qualifications; (c) dialogue politique et coopération avec les principales parties prenantes, notamment les réseaux implantés à l’échelle de l’Union, les organisations non gouvernementales européennes et les organisations internationales actives dans le domaine de l’éducation et de la formation; (d) mesures contribuant à la mise en œuvre qualitative et inclusive du programme; (e) coopération avec d’autres instruments de l’Union et soutien aux autres politiques de l’Union; (f) activités de diffusion et de sensibilisation aux résultats et aux priorités des politiques européennes ainsi qu’au programme. </w:t>
            </w:r>
          </w:p>
          <w:p w:rsidR="00EB2127" w:rsidRDefault="00872645">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Actions Jean Monnet </w:t>
            </w:r>
          </w:p>
          <w:p w:rsidR="00EB2127" w:rsidRDefault="00872645">
            <w:pPr>
              <w:spacing w:beforeLines="60" w:before="144" w:after="0" w:line="240" w:lineRule="auto"/>
              <w:rPr>
                <w:rFonts w:ascii="Times New Roman" w:eastAsia="Times New Roman" w:hAnsi="Times New Roman"/>
                <w:noProof/>
                <w:sz w:val="20"/>
                <w:szCs w:val="20"/>
              </w:rPr>
            </w:pPr>
            <w:r>
              <w:rPr>
                <w:rFonts w:ascii="EUAlbertina" w:hAnsi="EUAlbertina"/>
                <w:b/>
                <w:noProof/>
                <w:sz w:val="20"/>
                <w:szCs w:val="20"/>
              </w:rPr>
              <w:t>Le programme apporte un soutien à l’enseignement, à l’apprentissage, à la recherche et aux débats sur les questions liées à l’intégration européenne au moyen des actions suivantes: (a) action Jean Monnet dans le domaine de l’enseignement supérieur; (b) action Jean Monnet dans d’autres domaines de l’éducation et de la formation; (c) soutien aux établissements suivants qui poursuivent un but d’intérêt européen: l’Institut universitaire européen de Florence, y compris son école de gouvernance transnationale; le Collège d’Europe (campus de Bruges et de Natolin); l’Institut européen d’administration publique de Maastricht; l’Académie de droit européen de Trèves; l’Agence européenne pour l’éducation adaptée et inclusive d’Odense et le Centre international de formation européenne de Nice.</w:t>
            </w:r>
          </w:p>
        </w:tc>
      </w:tr>
      <w:tr w:rsidR="00EB212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EB2127" w:rsidRDefault="00872645">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couvrir le domaine de l’éducation et de la formation du programme «Erasmus+» dans le cadre de la gestion directe. Il soutient les trois actions clés et les actions Jean Monnet.</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1: mobilité à des fins d’éducation et de formation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mobilité des étudiants et du personnel de l’enseignement supérieur; (b) mobilité des apprenants et du personnel de l’enseignement et de la formation professionnels; (c) mobilité des élèves et du personnel; (d) mobilité du personnel de l’éducation des adultes; (e) possibilités d’apprentissage des langues, notamment celles soutenant les activités de mobilité. </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2: coopération entre organisations et institutions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partenariats de coopération et échanges de pratiques, dont des partenariats de petite taille visant à favoriser un accès plus large et plus inclusif au programme; (b) partenariats d’excellence, en particulier des universités européennes, des centres d’excellence professionnelle et des masters communs; (c) partenariats en faveur de l’innovation pour renforcer la capacité d’innovation de l’Europe; (d) plateformes et outils en ligne en vue d’une coopération virtuelle, et notamment les bureaux d’assistance eTwinning et la plateforme électronique pour l’éducation des adultes en Europe. </w:t>
            </w:r>
          </w:p>
          <w:p w:rsidR="00EB2127" w:rsidRDefault="00EB2127">
            <w:pPr>
              <w:autoSpaceDE w:val="0"/>
              <w:autoSpaceDN w:val="0"/>
              <w:adjustRightInd w:val="0"/>
              <w:spacing w:after="0" w:line="240" w:lineRule="auto"/>
              <w:rPr>
                <w:rFonts w:ascii="EUAlbertina" w:eastAsia="Times New Roman" w:hAnsi="EUAlbertina" w:cs="EUAlbertina"/>
                <w:b/>
                <w:noProof/>
                <w:sz w:val="20"/>
                <w:szCs w:val="20"/>
              </w:rPr>
            </w:pP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3: soutien à l’élaboration des politiques et à la coopération </w:t>
            </w:r>
          </w:p>
          <w:p w:rsidR="00EB2127" w:rsidRDefault="00872645">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w:t>
            </w:r>
          </w:p>
          <w:p w:rsidR="00EB2127" w:rsidRDefault="00872645">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 élaboration et mise en œuvre des programmes de mesures générales et sectorielles de l’Union dans le domaine de l’éducation et de la formation, notamment avec le soutien du réseau Eurydice ou d’activités d’autres organisations concernées; (b) soutien aux outils et mesures de l’Union qui favorisent la qualité, la transparence et la reconnaissance des compétences, aptitudes et qualifications; (c) dialogue politique et coopération avec les principales parties prenantes, notamment les réseaux implantés à l’échelle de l’Union, les organisations non gouvernementales européennes et les organisations internationales actives dans le domaine de l’éducation et de la formation; (d) mesures contribuant à la mise en œuvre qualitative et inclusive du programme; (e) coopération avec d’autres instruments de l’Union et soutien aux autres politiques de l’Union; (f) activités de diffusion et de sensibilisation aux résultats et aux priorités des politiques européennes ainsi qu’au programme. </w:t>
            </w:r>
          </w:p>
          <w:p w:rsidR="00EB2127" w:rsidRDefault="00872645">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Actions Jean Monnet </w:t>
            </w:r>
          </w:p>
          <w:p w:rsidR="00EB2127" w:rsidRDefault="00872645">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color w:val="000000"/>
                <w:sz w:val="20"/>
                <w:szCs w:val="20"/>
              </w:rPr>
              <w:t>Le programme apporte un soutien à l’enseignement, à l’apprentissage, à la recherche et aux débats sur les questions liées à l’intégration européenne au moyen des actions suivantes: (a) action Jean Monnet dans le domaine de l’enseignement supérieur; (b) action Jean Monnet dans d’autres domaines de l’éducation et de la formation; (c) soutien aux établissements suivants qui poursuivent un but d’intérêt européen: l’Institut universitaire européen de Florence, y compris son école de gouvernance transnationale; le Collège d’Europe (campus de Bruges et de Natolin); l’Institut européen d’administration publique de Maastricht; l’Académie de droit européen de Trèves; l’Agence européenne pour l’éducation adaptée et inclusive d’Odense et le Centre international de formation européenne de Nice.</w:t>
            </w:r>
          </w:p>
        </w:tc>
      </w:tr>
    </w:tbl>
    <w:p w:rsidR="00EB2127" w:rsidRDefault="00872645">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Il est entendu que les amendements introduits par le Parlement européen ou le Conseil ne peuvent modifier ou étendre le champ d’application d’une base légale en vigueur ou affecter l’autonomie administrative des institutions, et que l’action peut être financée par les ressources disponibles.</w:t>
      </w:r>
    </w:p>
    <w:p w:rsidR="00EB2127" w:rsidRDefault="00872645">
      <w:pPr>
        <w:pStyle w:val="ListParagraph"/>
        <w:keepNext/>
        <w:numPr>
          <w:ilvl w:val="2"/>
          <w:numId w:val="49"/>
        </w:numPr>
        <w:tabs>
          <w:tab w:val="num" w:pos="850"/>
        </w:tabs>
        <w:spacing w:before="120" w:after="240"/>
        <w:jc w:val="both"/>
        <w:outlineLvl w:val="2"/>
        <w:rPr>
          <w:bCs/>
          <w:noProof/>
          <w:szCs w:val="26"/>
        </w:rPr>
      </w:pPr>
      <w:bookmarkStart w:id="748" w:name="_Toc58507206"/>
      <w:r>
        <w:rPr>
          <w:noProof/>
        </w:rPr>
        <w:t>Nomenclature</w:t>
      </w:r>
      <w:bookmarkEnd w:id="748"/>
    </w:p>
    <w:p w:rsidR="00EB2127" w:rsidRDefault="00872645">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nomenclature budgétaire du projet de budget initial, tel que modifié par la lettre rectificative nº 1/2021, est proposée dans le deuxième projet de budget, moyennant l’inclusion des </w:t>
      </w:r>
      <w:r>
        <w:rPr>
          <w:rFonts w:ascii="Times New Roman" w:hAnsi="Times New Roman"/>
          <w:i/>
          <w:noProof/>
          <w:sz w:val="24"/>
          <w:szCs w:val="24"/>
        </w:rPr>
        <w:t>nouveaux</w:t>
      </w:r>
      <w:r>
        <w:rPr>
          <w:rFonts w:ascii="Times New Roman" w:hAnsi="Times New Roman"/>
          <w:noProof/>
          <w:sz w:val="24"/>
          <w:szCs w:val="24"/>
        </w:rPr>
        <w:t xml:space="preserve"> projets pilotes et </w:t>
      </w:r>
      <w:r>
        <w:rPr>
          <w:rFonts w:ascii="Times New Roman" w:hAnsi="Times New Roman"/>
          <w:i/>
          <w:noProof/>
          <w:sz w:val="24"/>
          <w:szCs w:val="24"/>
        </w:rPr>
        <w:t>nouvelles</w:t>
      </w:r>
      <w:r>
        <w:rPr>
          <w:rFonts w:ascii="Times New Roman" w:hAnsi="Times New Roman"/>
          <w:noProof/>
          <w:sz w:val="24"/>
          <w:szCs w:val="24"/>
        </w:rPr>
        <w:t xml:space="preserve"> actions préparatoires (à l’exception de la nouvelle action préparatoire PA 01 21 01, pour laquelle les crédits correspondants sont ajoutés à l’action préparatoire existante PA 01 20 01). Les modifications suivantes sont par ailleurs apportées:</w:t>
      </w:r>
    </w:p>
    <w:p w:rsidR="00EB2127" w:rsidRDefault="00EB2127">
      <w:pPr>
        <w:spacing w:after="0" w:line="240" w:lineRule="auto"/>
        <w:ind w:left="720"/>
        <w:jc w:val="both"/>
        <w:rPr>
          <w:rFonts w:ascii="Times New Roman" w:eastAsia="Times New Roman" w:hAnsi="Times New Roman"/>
          <w:noProof/>
          <w:sz w:val="24"/>
          <w:szCs w:val="24"/>
          <w:lang w:eastAsia="en-GB"/>
        </w:rPr>
      </w:pPr>
    </w:p>
    <w:p w:rsidR="00EB2127" w:rsidRDefault="00872645">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Deux lignes sont ajoutées, comme suit:</w:t>
      </w:r>
    </w:p>
    <w:tbl>
      <w:tblPr>
        <w:tblW w:w="9786" w:type="dxa"/>
        <w:tblInd w:w="103" w:type="dxa"/>
        <w:tblLook w:val="04A0" w:firstRow="1" w:lastRow="0" w:firstColumn="1" w:lastColumn="0" w:noHBand="0" w:noVBand="1"/>
      </w:tblPr>
      <w:tblGrid>
        <w:gridCol w:w="1990"/>
        <w:gridCol w:w="1560"/>
        <w:gridCol w:w="6236"/>
      </w:tblGrid>
      <w:tr w:rsidR="00EB2127">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Ligne budgétaire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Rubrique / catpol</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rsidR="00EB2127">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2b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Actions de formation et d’information en faveur des organisations de travailleurs</w:t>
            </w:r>
          </w:p>
        </w:tc>
      </w:tr>
      <w:tr w:rsidR="00EB2127">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127" w:rsidRDefault="00872645">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 xml:space="preserve">2b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7" w:rsidRDefault="00872645">
            <w:pPr>
              <w:spacing w:after="0" w:line="240" w:lineRule="auto"/>
              <w:rPr>
                <w:rFonts w:ascii="Times New Roman" w:eastAsia="Times New Roman" w:hAnsi="Times New Roman"/>
                <w:noProof/>
                <w:sz w:val="20"/>
                <w:szCs w:val="20"/>
              </w:rPr>
            </w:pPr>
            <w:r>
              <w:rPr>
                <w:rFonts w:ascii="Times New Roman" w:hAnsi="Times New Roman"/>
                <w:noProof/>
                <w:sz w:val="20"/>
                <w:szCs w:val="20"/>
              </w:rPr>
              <w:t>Protéger et promouvoir les valeurs de l’Union</w:t>
            </w:r>
          </w:p>
        </w:tc>
      </w:tr>
    </w:tbl>
    <w:p w:rsidR="00EB2127" w:rsidRDefault="00EB2127">
      <w:pPr>
        <w:spacing w:after="0" w:line="240" w:lineRule="auto"/>
        <w:ind w:left="720"/>
        <w:jc w:val="both"/>
        <w:rPr>
          <w:rFonts w:ascii="Times New Roman" w:eastAsia="Times New Roman" w:hAnsi="Times New Roman"/>
          <w:noProof/>
          <w:sz w:val="24"/>
          <w:szCs w:val="24"/>
          <w:lang w:eastAsia="en-GB"/>
        </w:rPr>
      </w:pPr>
    </w:p>
    <w:p w:rsidR="00EB2127" w:rsidRDefault="00872645">
      <w:pPr>
        <w:numPr>
          <w:ilvl w:val="0"/>
          <w:numId w:val="7"/>
        </w:numPr>
        <w:spacing w:after="120" w:line="240" w:lineRule="auto"/>
        <w:ind w:left="714" w:hanging="357"/>
        <w:jc w:val="both"/>
        <w:rPr>
          <w:rFonts w:ascii="Arial" w:eastAsia="Times New Roman" w:hAnsi="Arial" w:cs="Arial"/>
          <w:b/>
          <w:noProof/>
          <w:sz w:val="24"/>
          <w:szCs w:val="24"/>
        </w:rPr>
      </w:pPr>
      <w:r>
        <w:rPr>
          <w:rFonts w:ascii="Times New Roman" w:hAnsi="Times New Roman"/>
          <w:noProof/>
          <w:sz w:val="24"/>
          <w:szCs w:val="24"/>
        </w:rPr>
        <w:t>L’article 07 03 01 «Promouvoir la mobilité des individus à des fins d’éducation et de formation, ainsi que la coopération, l’inclusion, l’excellence, la créativité et l’innovation au niveau des organisations et des politiques dans le domaine de l’éducation et de la formation» est scindé en deux postes distincts comme suit, sans que cela ait une incidence sur le niveau des crédits:</w:t>
      </w:r>
    </w:p>
    <w:tbl>
      <w:tblPr>
        <w:tblW w:w="9639" w:type="dxa"/>
        <w:tblInd w:w="108" w:type="dxa"/>
        <w:tblLook w:val="04A0" w:firstRow="1" w:lastRow="0" w:firstColumn="1" w:lastColumn="0" w:noHBand="0" w:noVBand="1"/>
      </w:tblPr>
      <w:tblGrid>
        <w:gridCol w:w="1418"/>
        <w:gridCol w:w="4678"/>
        <w:gridCol w:w="1701"/>
        <w:gridCol w:w="1842"/>
      </w:tblGrid>
      <w:tr w:rsidR="00EB2127">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Crédits (en EUR)</w:t>
            </w:r>
          </w:p>
        </w:tc>
      </w:tr>
      <w:tr w:rsidR="00EB2127">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EB2127" w:rsidRDefault="00EB2127">
            <w:pPr>
              <w:spacing w:after="0" w:line="240" w:lineRule="auto"/>
              <w:rPr>
                <w:rFonts w:ascii="Times New Roman" w:eastAsia="Times New Roman" w:hAnsi="Times New Roman"/>
                <w:b/>
                <w:bCs/>
                <w:noProof/>
                <w:color w:val="000000"/>
                <w:sz w:val="20"/>
                <w:szCs w:val="20"/>
                <w:lang w:eastAsia="en-GB"/>
              </w:rPr>
            </w:pPr>
          </w:p>
        </w:tc>
        <w:tc>
          <w:tcPr>
            <w:tcW w:w="1701" w:type="dxa"/>
            <w:tcBorders>
              <w:top w:val="nil"/>
              <w:left w:val="nil"/>
              <w:bottom w:val="single" w:sz="8" w:space="0" w:color="auto"/>
              <w:right w:val="single" w:sz="8"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Engagements</w:t>
            </w:r>
          </w:p>
        </w:tc>
        <w:tc>
          <w:tcPr>
            <w:tcW w:w="1842" w:type="dxa"/>
            <w:tcBorders>
              <w:top w:val="nil"/>
              <w:left w:val="nil"/>
              <w:bottom w:val="single" w:sz="8" w:space="0" w:color="auto"/>
              <w:right w:val="single" w:sz="8" w:space="0" w:color="auto"/>
            </w:tcBorders>
            <w:shd w:val="clear" w:color="000000" w:fill="DCE6F1"/>
            <w:vAlign w:val="center"/>
            <w:hideMark/>
          </w:tcPr>
          <w:p w:rsidR="00EB2127" w:rsidRDefault="00872645">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Paiements</w:t>
            </w:r>
          </w:p>
        </w:tc>
      </w:tr>
      <w:tr w:rsidR="00EB2127">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rsidR="00EB2127" w:rsidRDefault="00EB2127">
            <w:pPr>
              <w:spacing w:after="0" w:line="240" w:lineRule="auto"/>
              <w:jc w:val="right"/>
              <w:rPr>
                <w:rFonts w:ascii="Times New Roman" w:eastAsia="Times New Roman" w:hAnsi="Times New Roman"/>
                <w:noProof/>
                <w:color w:val="000000"/>
                <w:sz w:val="20"/>
                <w:szCs w:val="20"/>
                <w:lang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rsidR="00EB2127" w:rsidRDefault="00EB2127">
            <w:pPr>
              <w:spacing w:after="0" w:line="240" w:lineRule="auto"/>
              <w:jc w:val="right"/>
              <w:rPr>
                <w:rFonts w:ascii="Times New Roman" w:eastAsia="Times New Roman" w:hAnsi="Times New Roman"/>
                <w:noProof/>
                <w:color w:val="000000"/>
                <w:sz w:val="20"/>
                <w:szCs w:val="20"/>
                <w:lang w:eastAsia="en-GB"/>
              </w:rPr>
            </w:pPr>
          </w:p>
        </w:tc>
      </w:tr>
      <w:tr w:rsidR="00EB2127">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07 03 01 01</w:t>
            </w:r>
          </w:p>
        </w:tc>
        <w:tc>
          <w:tcPr>
            <w:tcW w:w="4678"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indirecte</w:t>
            </w:r>
          </w:p>
        </w:tc>
        <w:tc>
          <w:tcPr>
            <w:tcW w:w="1701"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1 755 470 446</w:t>
            </w:r>
          </w:p>
        </w:tc>
        <w:tc>
          <w:tcPr>
            <w:tcW w:w="1842"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1 468 151 286</w:t>
            </w:r>
          </w:p>
        </w:tc>
      </w:tr>
      <w:tr w:rsidR="00EB2127">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EB2127" w:rsidRDefault="00872645">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07 03 01 02</w:t>
            </w:r>
          </w:p>
        </w:tc>
        <w:tc>
          <w:tcPr>
            <w:tcW w:w="4678"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directe</w:t>
            </w:r>
          </w:p>
        </w:tc>
        <w:tc>
          <w:tcPr>
            <w:tcW w:w="1701"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542 824 138</w:t>
            </w:r>
          </w:p>
        </w:tc>
        <w:tc>
          <w:tcPr>
            <w:tcW w:w="1842" w:type="dxa"/>
            <w:tcBorders>
              <w:top w:val="nil"/>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295 331 144</w:t>
            </w:r>
          </w:p>
        </w:tc>
      </w:tr>
    </w:tbl>
    <w:p w:rsidR="00EB2127" w:rsidRDefault="00EB2127">
      <w:pPr>
        <w:spacing w:after="0" w:line="240" w:lineRule="auto"/>
        <w:rPr>
          <w:rFonts w:ascii="Arial" w:eastAsia="Times New Roman" w:hAnsi="Arial" w:cs="Arial"/>
          <w:b/>
          <w:noProof/>
          <w:sz w:val="24"/>
          <w:szCs w:val="24"/>
          <w:lang w:eastAsia="en-GB"/>
        </w:rPr>
      </w:pPr>
    </w:p>
    <w:p w:rsidR="00EB2127" w:rsidRDefault="00872645">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Conformément à l’accord intervenu lors du Conseil européen extraordinaire de juillet 2020 et confirmé dans l'accord politique de novembre 2020 entre le Parlement européen et le Conseil, les programmes (et autres éléments) inclus dans le projet de budget sous le nouveau titre 14 «Résilience et réaction aux crises» ont été transférés vers le nouveau titre 06 «Reprise et résilience» dans la lettre rectificative nº 1/2021. Par conséquent, une nouvelle numérotation technique des titres 15 «Action extérieure», 16 «Aide de préadhésion» et 17 «Dépenses s'inscrivant en dehors des plafonds annuels fixés dans le cadre financier pluriannuel» est appliquée de la manière suivante: le titre 15 devient le titre 14, le titre 16 devient le titre 15 et le titre 17 devient le titre 16.</w:t>
      </w:r>
    </w:p>
    <w:p w:rsidR="00EB2127" w:rsidRDefault="00872645">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La nouvelle action préparatoire PA 01 21 01, pour laquelle les crédits correspondants sont ajoutés à l’action préparatoire existante PA 01 20 01, est supprimée et les autres actions préparatoires existantes relevant de PA 01 21 sont renumérotées en conséquence. Dès lors, l’action préparatoire PA 01 21 02 «Action préparatoire — Des données probantes pour les politiques aux niveaux européen, régional et local» devient PA 01 21 01, et l’action préparatoire PA 01 21 03 «Action préparatoire — Améliorer l’accès aux outils éducatifs dans les zones et les territoires ayant une faible connectivité ou un accès limité aux technologies» devient PA 01 21 02.</w:t>
      </w:r>
    </w:p>
    <w:p w:rsidR="00EB2127" w:rsidRDefault="00872645">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À la suite de la non-adoption du PBR nº 6/2020 et de la suppression des lignes budgétaires 02 20 03 03 et 02 20 03 04, d’autres lignes budgétaires existantes du chapitre 02 20</w:t>
      </w:r>
      <w:r>
        <w:rPr>
          <w:noProof/>
        </w:rPr>
        <w:t xml:space="preserve"> </w:t>
      </w:r>
      <w:r>
        <w:rPr>
          <w:rFonts w:ascii="Times New Roman" w:hAnsi="Times New Roman"/>
          <w:noProof/>
          <w:sz w:val="24"/>
          <w:szCs w:val="24"/>
        </w:rPr>
        <w:t>sont renumérotées en conséquence. Dès lors, la ligne 02 20 03 05 «Sûreté nucléaire — Coopération avec la Banque européenne d’investissement» devient la ligne 02 20 03 03 et la ligne 02 20 03 06 «Mécanisme de financement des énergies renouvelables» devient la ligne 02 20 03 04.</w:t>
      </w:r>
    </w:p>
    <w:p w:rsidR="00EB2127" w:rsidRDefault="00872645">
      <w:pPr>
        <w:pStyle w:val="ListParagraph"/>
        <w:keepNext/>
        <w:numPr>
          <w:ilvl w:val="0"/>
          <w:numId w:val="49"/>
        </w:numPr>
        <w:tabs>
          <w:tab w:val="num" w:pos="850"/>
        </w:tabs>
        <w:spacing w:before="360" w:after="240"/>
        <w:jc w:val="both"/>
        <w:outlineLvl w:val="0"/>
        <w:rPr>
          <w:b/>
          <w:bCs/>
          <w:smallCaps/>
          <w:noProof/>
          <w:szCs w:val="32"/>
        </w:rPr>
      </w:pPr>
      <w:bookmarkStart w:id="749" w:name="_Toc530586747"/>
      <w:bookmarkStart w:id="750" w:name="_Toc58507207"/>
      <w:bookmarkEnd w:id="749"/>
      <w:r>
        <w:rPr>
          <w:b/>
          <w:bCs/>
          <w:smallCaps/>
          <w:noProof/>
          <w:szCs w:val="32"/>
        </w:rPr>
        <w:t>Observations finales</w:t>
      </w:r>
      <w:bookmarkEnd w:id="750"/>
    </w:p>
    <w:p w:rsidR="00EB2127" w:rsidRDefault="00872645">
      <w:pPr>
        <w:spacing w:line="240" w:lineRule="auto"/>
        <w:jc w:val="both"/>
        <w:rPr>
          <w:rFonts w:ascii="Times New Roman" w:hAnsi="Times New Roman"/>
          <w:noProof/>
          <w:sz w:val="24"/>
          <w:szCs w:val="24"/>
        </w:rPr>
      </w:pPr>
      <w:r>
        <w:rPr>
          <w:rFonts w:ascii="Times New Roman" w:hAnsi="Times New Roman"/>
          <w:noProof/>
          <w:sz w:val="24"/>
          <w:szCs w:val="24"/>
        </w:rPr>
        <w:t>En proposant un deuxième projet de budget pour 2021, qui se fonde sur la compréhension commune dégagée au sein du comité de conciliation le 4 décembre, la Commission s’efforce de créer les conditions favorables à une adoption rapide du budget 2021 dans l’intervalle de temps restreint avant la fin de l’année 2020 et après l’adoption du nouveau paquet CFP.</w:t>
      </w:r>
    </w:p>
    <w:p w:rsidR="00EB2127" w:rsidRDefault="00872645">
      <w:pPr>
        <w:spacing w:line="240" w:lineRule="auto"/>
        <w:jc w:val="both"/>
        <w:rPr>
          <w:noProof/>
        </w:rPr>
      </w:pPr>
      <w:r>
        <w:rPr>
          <w:rFonts w:ascii="Times New Roman" w:hAnsi="Times New Roman"/>
          <w:noProof/>
          <w:sz w:val="24"/>
          <w:szCs w:val="24"/>
        </w:rPr>
        <w:t>L’adoption en temps utile du budget 2021 garantira la bonne mise en œuvre des politiques et des programmes de l’Union européenne. La Commission mettra tout en œuvre pour atteindre cet objectif.</w:t>
      </w:r>
    </w:p>
    <w:p w:rsidR="00EB2127" w:rsidRDefault="00872645">
      <w:pPr>
        <w:spacing w:after="0" w:line="240" w:lineRule="auto"/>
        <w:rPr>
          <w:rFonts w:ascii="Times New Roman" w:hAnsi="Times New Roman"/>
          <w:noProof/>
          <w:sz w:val="24"/>
          <w:szCs w:val="24"/>
        </w:rPr>
      </w:pPr>
      <w:r>
        <w:rPr>
          <w:noProof/>
        </w:rPr>
        <w:br w:type="page"/>
      </w:r>
    </w:p>
    <w:p w:rsidR="00EB2127" w:rsidRDefault="00872645">
      <w:pPr>
        <w:pStyle w:val="ListParagraph"/>
        <w:keepNext/>
        <w:numPr>
          <w:ilvl w:val="0"/>
          <w:numId w:val="49"/>
        </w:numPr>
        <w:tabs>
          <w:tab w:val="num" w:pos="850"/>
        </w:tabs>
        <w:spacing w:before="360" w:after="240"/>
        <w:jc w:val="both"/>
        <w:outlineLvl w:val="0"/>
        <w:rPr>
          <w:b/>
          <w:bCs/>
          <w:smallCaps/>
          <w:noProof/>
          <w:szCs w:val="32"/>
        </w:rPr>
      </w:pPr>
      <w:bookmarkStart w:id="751" w:name="_Toc530674116"/>
      <w:bookmarkStart w:id="752" w:name="_Toc58507208"/>
      <w:r>
        <w:rPr>
          <w:b/>
          <w:bCs/>
          <w:smallCaps/>
          <w:noProof/>
          <w:szCs w:val="32"/>
        </w:rPr>
        <w:t>Deuxième projet de budget 2021 par rubrique du cadre financier et par grand programme</w:t>
      </w:r>
      <w:bookmarkEnd w:id="751"/>
      <w:bookmarkEnd w:id="752"/>
    </w:p>
    <w:p w:rsidR="00EB2127" w:rsidRDefault="00872645">
      <w:pPr>
        <w:pStyle w:val="ListParagraph"/>
        <w:spacing w:before="240"/>
        <w:ind w:left="3314" w:firstLine="226"/>
        <w:jc w:val="right"/>
        <w:rPr>
          <w:i/>
          <w:noProof/>
          <w:sz w:val="16"/>
          <w:szCs w:val="16"/>
        </w:rPr>
      </w:pPr>
      <w:r>
        <w:rPr>
          <w:i/>
          <w:noProof/>
          <w:sz w:val="16"/>
          <w:szCs w:val="16"/>
        </w:rPr>
        <w:t>en Mio EUR, aux prix courants</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rsidR="00EB2127">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Rubriques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r>
      <w:tr w:rsidR="00EB2127">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EB2127" w:rsidRDefault="00EB2127">
            <w:pPr>
              <w:spacing w:after="0" w:line="240" w:lineRule="auto"/>
              <w:rPr>
                <w:rFonts w:ascii="Times New Roman" w:eastAsia="Times New Roman" w:hAnsi="Times New Roman"/>
                <w:b/>
                <w:bCs/>
                <w:noProof/>
                <w:sz w:val="15"/>
                <w:szCs w:val="15"/>
                <w:lang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Budget 2020 </w:t>
            </w:r>
            <w:r>
              <w:rPr>
                <w:noProof/>
              </w:rPr>
              <w:t xml:space="preserve"> </w:t>
            </w:r>
            <w:r>
              <w:rPr>
                <w:noProof/>
              </w:rPr>
              <w:br/>
            </w:r>
            <w:r>
              <w:rPr>
                <w:rFonts w:ascii="Times New Roman" w:hAnsi="Times New Roman"/>
                <w:b/>
                <w:bCs/>
                <w:noProof/>
                <w:sz w:val="15"/>
                <w:szCs w:val="15"/>
              </w:rPr>
              <w:t>(y compris BR1-8 et PBR10)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Deuxième projet de budget 2021</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Différence 2021 - 2020</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Différence 2021 / 2020</w:t>
            </w:r>
          </w:p>
        </w:tc>
      </w:tr>
      <w:tr w:rsidR="00EB2127">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EB2127" w:rsidRDefault="00EB2127">
            <w:pPr>
              <w:spacing w:after="0" w:line="240" w:lineRule="auto"/>
              <w:rPr>
                <w:rFonts w:ascii="Times New Roman" w:eastAsia="Times New Roman" w:hAnsi="Times New Roman"/>
                <w:b/>
                <w:bCs/>
                <w:noProof/>
                <w:sz w:val="15"/>
                <w:szCs w:val="15"/>
                <w:lang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51" w:type="dxa"/>
            <w:tcBorders>
              <w:top w:val="nil"/>
              <w:left w:val="nil"/>
              <w:bottom w:val="single" w:sz="8" w:space="0" w:color="000000"/>
              <w:right w:val="single" w:sz="8"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c>
          <w:tcPr>
            <w:tcW w:w="850" w:type="dxa"/>
            <w:tcBorders>
              <w:top w:val="nil"/>
              <w:left w:val="nil"/>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51" w:type="dxa"/>
            <w:tcBorders>
              <w:top w:val="nil"/>
              <w:left w:val="nil"/>
              <w:bottom w:val="single" w:sz="8" w:space="0" w:color="000000"/>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c>
          <w:tcPr>
            <w:tcW w:w="850" w:type="dxa"/>
            <w:tcBorders>
              <w:top w:val="nil"/>
              <w:left w:val="nil"/>
              <w:bottom w:val="single" w:sz="8" w:space="0" w:color="000000"/>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nil"/>
              <w:left w:val="nil"/>
              <w:bottom w:val="single" w:sz="8" w:space="0" w:color="000000"/>
              <w:right w:val="nil"/>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83" w:type="dxa"/>
            <w:tcBorders>
              <w:top w:val="nil"/>
              <w:left w:val="nil"/>
              <w:bottom w:val="single" w:sz="8" w:space="0" w:color="000000"/>
              <w:right w:val="single" w:sz="8" w:space="0" w:color="auto"/>
            </w:tcBorders>
            <w:shd w:val="clear" w:color="000000" w:fill="BFBFBF"/>
            <w:vAlign w:val="center"/>
            <w:hideMark/>
          </w:tcPr>
          <w:p w:rsidR="00EB2127" w:rsidRDefault="00872645">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r>
      <w:tr w:rsidR="00EB2127">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MARCHÉ UNIQUE, INNOVATION ET NUMÉRIQUE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83"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01 - Recherche et innovation</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13 962,5</w:t>
            </w:r>
          </w:p>
        </w:tc>
        <w:tc>
          <w:tcPr>
            <w:tcW w:w="85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12 658,4</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12 646,1</w:t>
            </w:r>
          </w:p>
        </w:tc>
        <w:tc>
          <w:tcPr>
            <w:tcW w:w="85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10 716,5</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-1 316,4</w:t>
            </w:r>
          </w:p>
        </w:tc>
        <w:tc>
          <w:tcPr>
            <w:tcW w:w="88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-1 941,9</w:t>
            </w:r>
          </w:p>
        </w:tc>
        <w:tc>
          <w:tcPr>
            <w:tcW w:w="82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-9,4 %</w:t>
            </w:r>
          </w:p>
        </w:tc>
        <w:tc>
          <w:tcPr>
            <w:tcW w:w="883" w:type="dxa"/>
            <w:tcBorders>
              <w:top w:val="nil"/>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Horizon Europe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Euratom de recherche et de formation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397,7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-132,9</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Réacteur thermonucléaire expérimental international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639,0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864,0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613,6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498,9</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60,9 %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02 - Investissements stratégiques européens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InvestEU</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4 011,7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2 081,5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2 847,7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2 107,0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-1 164,0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Transports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2 579,2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1 476,7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1 785,4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-793,8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-30,8 %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Énergie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1 281,0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471,4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-496,1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Numérique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151,5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207,2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pour une Europe numérique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1 129,6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1 043,5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66,8</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1211,7 %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pour les investissements stratégiques (EFSI)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182,7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184,0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03 - Marché unique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du marché unique (y compris PME)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de l’Union en matière de lutte contre la fraude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Coopération dans le domaine de la fiscalité (FISCALIS)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Coopération dans le domaine des douanes (DOUANE)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04 - Espace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7,7 %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spatial européen</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COHÉSION, RÉSILIENCE ET VALEURS</w:t>
            </w:r>
          </w:p>
        </w:tc>
        <w:tc>
          <w:tcPr>
            <w:tcW w:w="850" w:type="dxa"/>
            <w:tcBorders>
              <w:top w:val="single" w:sz="4" w:space="0" w:color="auto"/>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single" w:sz="4" w:space="0" w:color="auto"/>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single" w:sz="4" w:space="0" w:color="auto"/>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single" w:sz="4" w:space="0" w:color="auto"/>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single" w:sz="4" w:space="0" w:color="auto"/>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81" w:type="dxa"/>
            <w:tcBorders>
              <w:top w:val="single" w:sz="4" w:space="0" w:color="auto"/>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20" w:type="dxa"/>
            <w:tcBorders>
              <w:top w:val="single" w:sz="4" w:space="0" w:color="auto"/>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83" w:type="dxa"/>
            <w:tcBorders>
              <w:top w:val="single" w:sz="4" w:space="0" w:color="auto"/>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Cohésion économique, sociale et territoriale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Résilience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05 - Développement régional et cohésion</w:t>
            </w:r>
          </w:p>
        </w:tc>
        <w:tc>
          <w:tcPr>
            <w:tcW w:w="850" w:type="dxa"/>
            <w:tcBorders>
              <w:top w:val="nil"/>
              <w:left w:val="single" w:sz="8" w:space="0" w:color="000000"/>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40 710,5</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45 755,4</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5 044,9</w:t>
            </w:r>
          </w:p>
        </w:tc>
        <w:tc>
          <w:tcPr>
            <w:tcW w:w="82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-19,7 %</w:t>
            </w:r>
          </w:p>
        </w:tc>
        <w:tc>
          <w:tcPr>
            <w:tcW w:w="883" w:type="dxa"/>
            <w:tcBorders>
              <w:top w:val="nil"/>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développement régional (FEDER)</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de cohésion (FC)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10 093,4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9 166,6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4 695,7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10 595,2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-5 397,7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15,6 %</w:t>
            </w:r>
          </w:p>
        </w:tc>
      </w:tr>
      <w:tr w:rsidR="00EB2127">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de cohésion (FC), contribution au mécanisme pour l’interconnexion en Europe (MIE) - Transports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1 780,6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1 213,5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1 442,4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1 250,1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-338,2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Soutien à la communauté chypriote turque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06 - Reprise et résilience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-73,4 %</w:t>
            </w:r>
          </w:p>
        </w:tc>
      </w:tr>
      <w:tr w:rsidR="00EB2127">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Facilité pour la reprise et la résilience (y compris l’instrument d’appui technique)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34,2 %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92,5 %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Protection de l’euro contre le faux-monnayage («programme Pericles IV»)</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Coût du financement de l’instrument de l’Union européenne pour la relance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de protection civile de l’Union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574,9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L’UE pour la santé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127,9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63,7</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99,3 %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destiné à fournir une aide d’urgence au sein de l’Union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2 470,0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-2 380,0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211,8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247,6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16,9 %</w:t>
            </w:r>
          </w:p>
        </w:tc>
      </w:tr>
      <w:tr w:rsidR="00EB2127">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88,4 %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07 - Investissement dans le capital humain, la cohésion sociale et les valeurs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social européen (FSE)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Emploi et innovation sociale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Erasmus+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2 885,4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2 739,5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2 662,6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2 407,6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-222,8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Corps européen de solidarité (ESC)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Europe créative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223,6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236,5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Justice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Droits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166,6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155,4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5,5 %</w:t>
            </w:r>
          </w:p>
        </w:tc>
      </w:tr>
      <w:tr w:rsidR="00EB2127">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RESSOURCES NATURELLES ET ENVIRONNEMENT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Fonds européen agricole de garantie (FEAGA) — Dépenses relatives au marché et paiements directs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Transfert net entre le FEAGA et le Feader</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Marge du FEAGA</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08 - Agriculture et politique maritime</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58 234,5</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56 372,6</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agricole de garantie (FEAGA)</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agricole pour le développement rural (Feader)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14 698,7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13 870,1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15 345,0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15 022,2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646,3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1 152,1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pour les affaires maritimes et la pêche (FEAMP)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960,3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769,9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760,7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829,4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-199,5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Accords de partenariat dans le domaine de la pêche durable (APPD) et organisations régionales de gestion des pêches (ORGP)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09 – Environnement et action pour le climat</w:t>
            </w:r>
          </w:p>
        </w:tc>
        <w:tc>
          <w:tcPr>
            <w:tcW w:w="850" w:type="dxa"/>
            <w:tcBorders>
              <w:top w:val="single" w:sz="4" w:space="0" w:color="000000"/>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196,7 %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0,9 %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pour l’environnement et l’action pour le climat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589,6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une transition juste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-76,8 %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rsidR="00EB2127">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MIGRATION ET GESTION DES FRONTIÈRES</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8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2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83"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10 - Migration</w:t>
            </w:r>
          </w:p>
        </w:tc>
        <w:tc>
          <w:tcPr>
            <w:tcW w:w="850" w:type="dxa"/>
            <w:tcBorders>
              <w:top w:val="nil"/>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1 070,9</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1 011,1</w:t>
            </w:r>
          </w:p>
        </w:tc>
        <w:tc>
          <w:tcPr>
            <w:tcW w:w="85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1 439,2</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-336,0</w:t>
            </w:r>
          </w:p>
        </w:tc>
        <w:tc>
          <w:tcPr>
            <w:tcW w:w="88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368,2</w:t>
            </w:r>
          </w:p>
        </w:tc>
        <w:tc>
          <w:tcPr>
            <w:tcW w:w="82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-24,9 %</w:t>
            </w:r>
          </w:p>
        </w:tc>
        <w:tc>
          <w:tcPr>
            <w:tcW w:w="883" w:type="dxa"/>
            <w:tcBorders>
              <w:top w:val="nil"/>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«Asile et migration» (FAMI)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11 - Gestion des frontières</w:t>
            </w:r>
          </w:p>
        </w:tc>
        <w:tc>
          <w:tcPr>
            <w:tcW w:w="850" w:type="dxa"/>
            <w:tcBorders>
              <w:top w:val="single" w:sz="4" w:space="0" w:color="000000"/>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24,2 %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13,7 %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gestion intégrée des frontières (FGIF) - instrument relatif à la gestion des frontières et aux visas (IGFV)</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gestion intégrée des frontières (FGIF) - instrument de soutien financier relatif aux équipements de contrôle douanier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617,9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108,1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17,5 %</w:t>
            </w:r>
          </w:p>
        </w:tc>
      </w:tr>
      <w:tr w:rsidR="00EB2127">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SÉCURITÉ ET DÉFENSE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2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83"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12 - Sécurité</w:t>
            </w:r>
          </w:p>
        </w:tc>
        <w:tc>
          <w:tcPr>
            <w:tcW w:w="850" w:type="dxa"/>
            <w:tcBorders>
              <w:top w:val="nil"/>
              <w:left w:val="single" w:sz="8" w:space="0" w:color="000000"/>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595,7</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536,5</w:t>
            </w:r>
          </w:p>
        </w:tc>
        <w:tc>
          <w:tcPr>
            <w:tcW w:w="85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527,4</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-39,9</w:t>
            </w:r>
          </w:p>
        </w:tc>
        <w:tc>
          <w:tcPr>
            <w:tcW w:w="88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-68,3</w:t>
            </w:r>
          </w:p>
        </w:tc>
        <w:tc>
          <w:tcPr>
            <w:tcW w:w="82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-6,9 %</w:t>
            </w:r>
          </w:p>
        </w:tc>
        <w:tc>
          <w:tcPr>
            <w:tcW w:w="883" w:type="dxa"/>
            <w:tcBorders>
              <w:top w:val="nil"/>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sécurité intérieure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Déclassement d’installations nucléaires (Lituanie)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Sûreté nucléaire et déclassement d’installations (y compris pour la Bulgarie et la Slovaquie)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-54,4</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13 - Défense</w:t>
            </w:r>
          </w:p>
        </w:tc>
        <w:tc>
          <w:tcPr>
            <w:tcW w:w="850" w:type="dxa"/>
            <w:tcBorders>
              <w:top w:val="single" w:sz="4" w:space="0" w:color="000000"/>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359,9 %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la défense (recherche)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la défense (hors recherche)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407,4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159,8 %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Mobilité militaire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-75,0 %</w:t>
            </w:r>
          </w:p>
        </w:tc>
      </w:tr>
      <w:tr w:rsidR="00EB2127">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VOISINAGE ET LE MONDE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83"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14 - Action extérieure</w:t>
            </w:r>
          </w:p>
        </w:tc>
        <w:tc>
          <w:tcPr>
            <w:tcW w:w="850" w:type="dxa"/>
            <w:tcBorders>
              <w:top w:val="nil"/>
              <w:left w:val="single" w:sz="8" w:space="0" w:color="000000"/>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7 857,5</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14 195,8</w:t>
            </w:r>
          </w:p>
        </w:tc>
        <w:tc>
          <w:tcPr>
            <w:tcW w:w="85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8 928,6</w:t>
            </w:r>
          </w:p>
        </w:tc>
        <w:tc>
          <w:tcPr>
            <w:tcW w:w="85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5 107,3</w:t>
            </w:r>
          </w:p>
        </w:tc>
        <w:tc>
          <w:tcPr>
            <w:tcW w:w="881" w:type="dxa"/>
            <w:tcBorders>
              <w:top w:val="nil"/>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1 071,1</w:t>
            </w:r>
          </w:p>
        </w:tc>
        <w:tc>
          <w:tcPr>
            <w:tcW w:w="820" w:type="dxa"/>
            <w:tcBorders>
              <w:top w:val="nil"/>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56,2 %</w:t>
            </w:r>
          </w:p>
        </w:tc>
        <w:tc>
          <w:tcPr>
            <w:tcW w:w="883" w:type="dxa"/>
            <w:tcBorders>
              <w:top w:val="nil"/>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de voisinage, de coopération au développement et de coopération internationale (IVCDCI)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européen en matière de sûreté nucléaire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Aide humanitaire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1 586,8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1 275,3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1 503,0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1 900,1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624,8</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Politique étrangère et de sécurité commune (PESC)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Pays et territoires d’outre-mer (PTOM) (y compris le Groenland)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-2,3 %</w:t>
            </w:r>
          </w:p>
        </w:tc>
      </w:tr>
      <w:tr w:rsidR="00EB2127">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15 - Aide de préadhésion</w:t>
            </w:r>
          </w:p>
        </w:tc>
        <w:tc>
          <w:tcPr>
            <w:tcW w:w="850" w:type="dxa"/>
            <w:tcBorders>
              <w:top w:val="single" w:sz="4" w:space="0" w:color="000000"/>
              <w:left w:val="nil"/>
              <w:bottom w:val="single" w:sz="4" w:space="0" w:color="auto"/>
              <w:right w:val="nil"/>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7,8 %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Aide de préadhésion (IAP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7,8 %</w:t>
            </w:r>
          </w:p>
        </w:tc>
      </w:tr>
      <w:tr w:rsidR="00EB2127">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3271" w:type="dxa"/>
            <w:tcBorders>
              <w:top w:val="single" w:sz="4"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ADMINISTRATION PUBLIQUE EUROPÉENNE</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81" w:type="dxa"/>
            <w:tcBorders>
              <w:top w:val="single" w:sz="4" w:space="0" w:color="000000"/>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20" w:type="dxa"/>
            <w:tcBorders>
              <w:top w:val="single" w:sz="4"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83" w:type="dxa"/>
            <w:tcBorders>
              <w:top w:val="single" w:sz="4"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Écoles européennes et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Parlement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Conseil européen et Conseil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3 681,8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3 684,8</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3 724,2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3 725,5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42,3</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Cour de justice de l’Union européenne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Cour des comptes européenne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Comité économique et social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Comité européen des régions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Médiateur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1,5 %</w:t>
            </w:r>
          </w:p>
        </w:tc>
      </w:tr>
      <w:tr w:rsidR="00EB2127">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Contrôleur européen de la protection des données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Service européen pour l’action extérieure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5,0 %</w:t>
            </w:r>
          </w:p>
        </w:tc>
      </w:tr>
      <w:tr w:rsidR="00EB2127">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CRÉDITS POUR LES RUBRIQUES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81"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8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uble" w:sz="6"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81" w:type="dxa"/>
            <w:tcBorders>
              <w:top w:val="nil"/>
              <w:left w:val="nil"/>
              <w:bottom w:val="double" w:sz="6"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EB2127">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Instruments spéciaux thématiques</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81" w:type="dxa"/>
            <w:tcBorders>
              <w:top w:val="nil"/>
              <w:left w:val="nil"/>
              <w:bottom w:val="dotted" w:sz="4" w:space="0" w:color="000000"/>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20" w:type="dxa"/>
            <w:tcBorders>
              <w:top w:val="nil"/>
              <w:left w:val="nil"/>
              <w:bottom w:val="dotted" w:sz="4" w:space="0" w:color="000000"/>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83" w:type="dxa"/>
            <w:tcBorders>
              <w:top w:val="nil"/>
              <w:left w:val="nil"/>
              <w:bottom w:val="dotted" w:sz="4" w:space="0" w:color="000000"/>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rsidR="00EB2127">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Hors CFP</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rsidR="00EB2127">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rsidR="00EB2127" w:rsidRDefault="00872645">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TOTAL DES CRÉDITS</w:t>
            </w:r>
          </w:p>
        </w:tc>
        <w:tc>
          <w:tcPr>
            <w:tcW w:w="850" w:type="dxa"/>
            <w:tcBorders>
              <w:top w:val="double" w:sz="6" w:space="0" w:color="000000"/>
              <w:left w:val="single" w:sz="8" w:space="0" w:color="000000"/>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81" w:type="dxa"/>
            <w:tcBorders>
              <w:top w:val="double" w:sz="6" w:space="0" w:color="000000"/>
              <w:left w:val="nil"/>
              <w:bottom w:val="nil"/>
              <w:right w:val="single" w:sz="8"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20" w:type="dxa"/>
            <w:tcBorders>
              <w:top w:val="double" w:sz="6" w:space="0" w:color="000000"/>
              <w:left w:val="nil"/>
              <w:bottom w:val="nil"/>
              <w:right w:val="single" w:sz="4" w:space="0" w:color="000000"/>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nil"/>
              <w:right w:val="single" w:sz="8" w:space="0" w:color="auto"/>
            </w:tcBorders>
            <w:shd w:val="clear" w:color="auto" w:fill="auto"/>
            <w:hideMark/>
          </w:tcPr>
          <w:p w:rsidR="00EB2127" w:rsidRDefault="00872645">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rsidR="00EB2127">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8" w:space="0" w:color="000000"/>
              <w:right w:val="nil"/>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rsidR="00EB2127" w:rsidRDefault="00872645">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bl>
    <w:p w:rsidR="00EB2127" w:rsidRDefault="00EB2127">
      <w:pPr>
        <w:spacing w:line="240" w:lineRule="auto"/>
        <w:jc w:val="both"/>
        <w:rPr>
          <w:rFonts w:ascii="Times New Roman" w:hAnsi="Times New Roman"/>
          <w:noProof/>
          <w:sz w:val="24"/>
          <w:szCs w:val="24"/>
        </w:rPr>
      </w:pPr>
    </w:p>
    <w:sectPr w:rsidR="00EB2127">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27" w:rsidRDefault="00872645">
      <w:pPr>
        <w:spacing w:after="0" w:line="240" w:lineRule="auto"/>
      </w:pPr>
      <w:r>
        <w:separator/>
      </w:r>
    </w:p>
  </w:endnote>
  <w:endnote w:type="continuationSeparator" w:id="0">
    <w:p w:rsidR="00EB2127" w:rsidRDefault="0087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FooterCoverPage"/>
      <w:rPr>
        <w:rFonts w:ascii="Arial" w:hAnsi="Arial" w:cs="Arial"/>
        <w:b/>
        <w:sz w:val="48"/>
      </w:rPr>
    </w:pPr>
    <w:r w:rsidRPr="00D1648E">
      <w:rPr>
        <w:rFonts w:ascii="Arial" w:hAnsi="Arial" w:cs="Arial"/>
        <w:b/>
        <w:sz w:val="48"/>
      </w:rPr>
      <w:t>FR</w:t>
    </w:r>
    <w:r w:rsidRPr="00D1648E">
      <w:rPr>
        <w:rFonts w:ascii="Arial" w:hAnsi="Arial" w:cs="Arial"/>
        <w:b/>
        <w:sz w:val="48"/>
      </w:rPr>
      <w:tab/>
    </w:r>
    <w:r w:rsidRPr="00D1648E">
      <w:rPr>
        <w:rFonts w:ascii="Arial" w:hAnsi="Arial" w:cs="Arial"/>
        <w:b/>
        <w:sz w:val="48"/>
      </w:rPr>
      <w:tab/>
    </w:r>
    <w:r w:rsidRPr="00D1648E">
      <w:tab/>
    </w:r>
    <w:proofErr w:type="spellStart"/>
    <w:r w:rsidRPr="00D1648E">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27" w:rsidRDefault="00872645">
      <w:pPr>
        <w:spacing w:after="0" w:line="240" w:lineRule="auto"/>
      </w:pPr>
      <w:r>
        <w:separator/>
      </w:r>
    </w:p>
  </w:footnote>
  <w:footnote w:type="continuationSeparator" w:id="0">
    <w:p w:rsidR="00EB2127" w:rsidRDefault="00872645">
      <w:pPr>
        <w:spacing w:after="0" w:line="240" w:lineRule="auto"/>
      </w:pPr>
      <w:r>
        <w:continuationSeparator/>
      </w:r>
    </w:p>
  </w:footnote>
  <w:footnote w:id="1">
    <w:p w:rsidR="00EB2127" w:rsidRPr="00872645" w:rsidRDefault="00872645">
      <w:pPr>
        <w:pStyle w:val="FootnoteText"/>
        <w:rPr>
          <w:lang w:val="pt-PT"/>
        </w:rPr>
      </w:pPr>
      <w:r>
        <w:rPr>
          <w:rStyle w:val="FootnoteReference"/>
        </w:rPr>
        <w:footnoteRef/>
      </w:r>
      <w:r w:rsidRPr="00872645">
        <w:rPr>
          <w:lang w:val="pt-PT"/>
        </w:rPr>
        <w:tab/>
      </w:r>
      <w:proofErr w:type="gramStart"/>
      <w:r w:rsidRPr="00872645">
        <w:rPr>
          <w:lang w:val="pt-PT"/>
        </w:rPr>
        <w:t>COM(</w:t>
      </w:r>
      <w:proofErr w:type="gramEnd"/>
      <w:r w:rsidRPr="00872645">
        <w:rPr>
          <w:lang w:val="pt-PT"/>
        </w:rPr>
        <w:t>2018) 322 final.</w:t>
      </w:r>
    </w:p>
  </w:footnote>
  <w:footnote w:id="2">
    <w:p w:rsidR="00EB2127" w:rsidRPr="00872645" w:rsidRDefault="00872645">
      <w:pPr>
        <w:pStyle w:val="FootnoteText"/>
        <w:rPr>
          <w:lang w:val="pt-PT"/>
        </w:rPr>
      </w:pPr>
      <w:r>
        <w:rPr>
          <w:rStyle w:val="FootnoteReference"/>
        </w:rPr>
        <w:footnoteRef/>
      </w:r>
      <w:r w:rsidRPr="00872645">
        <w:rPr>
          <w:lang w:val="pt-PT"/>
        </w:rPr>
        <w:tab/>
      </w:r>
      <w:proofErr w:type="gramStart"/>
      <w:r w:rsidRPr="00872645">
        <w:rPr>
          <w:lang w:val="pt-PT"/>
        </w:rPr>
        <w:t>COM(</w:t>
      </w:r>
      <w:proofErr w:type="gramEnd"/>
      <w:r w:rsidRPr="00872645">
        <w:rPr>
          <w:lang w:val="pt-PT"/>
        </w:rPr>
        <w:t>2020) 443 final.</w:t>
      </w:r>
    </w:p>
  </w:footnote>
  <w:footnote w:id="3">
    <w:p w:rsidR="00EB2127" w:rsidRPr="00872645" w:rsidRDefault="00872645">
      <w:pPr>
        <w:pStyle w:val="FootnoteText"/>
        <w:rPr>
          <w:lang w:val="pt-PT"/>
        </w:rPr>
      </w:pPr>
      <w:r>
        <w:rPr>
          <w:rStyle w:val="FootnoteReference"/>
        </w:rPr>
        <w:footnoteRef/>
      </w:r>
      <w:r w:rsidRPr="00872645">
        <w:rPr>
          <w:lang w:val="pt-PT"/>
        </w:rPr>
        <w:tab/>
        <w:t>EUCO 10/2020.</w:t>
      </w:r>
    </w:p>
  </w:footnote>
  <w:footnote w:id="4">
    <w:p w:rsidR="00EB2127" w:rsidRPr="00872645" w:rsidRDefault="00872645">
      <w:pPr>
        <w:pStyle w:val="FootnoteText"/>
        <w:rPr>
          <w:lang w:val="pt-PT"/>
        </w:rPr>
      </w:pPr>
      <w:r>
        <w:rPr>
          <w:rStyle w:val="FootnoteReference"/>
        </w:rPr>
        <w:footnoteRef/>
      </w:r>
      <w:r w:rsidRPr="00872645">
        <w:rPr>
          <w:lang w:val="pt-PT"/>
        </w:rPr>
        <w:tab/>
      </w:r>
      <w:proofErr w:type="gramStart"/>
      <w:r w:rsidRPr="00872645">
        <w:rPr>
          <w:lang w:val="pt-PT"/>
        </w:rPr>
        <w:t>COM(</w:t>
      </w:r>
      <w:proofErr w:type="gramEnd"/>
      <w:r w:rsidRPr="00872645">
        <w:rPr>
          <w:lang w:val="pt-PT"/>
        </w:rPr>
        <w:t>2018) 323 final.</w:t>
      </w:r>
    </w:p>
  </w:footnote>
  <w:footnote w:id="5">
    <w:p w:rsidR="00EB2127" w:rsidRPr="00872645" w:rsidRDefault="00872645">
      <w:pPr>
        <w:pStyle w:val="FootnoteText"/>
        <w:rPr>
          <w:lang w:val="pt-PT"/>
        </w:rPr>
      </w:pPr>
      <w:r>
        <w:rPr>
          <w:rStyle w:val="FootnoteReference"/>
        </w:rPr>
        <w:footnoteRef/>
      </w:r>
      <w:r w:rsidRPr="00872645">
        <w:rPr>
          <w:lang w:val="pt-PT"/>
        </w:rPr>
        <w:tab/>
      </w:r>
      <w:proofErr w:type="gramStart"/>
      <w:r w:rsidRPr="00872645">
        <w:rPr>
          <w:lang w:val="pt-PT"/>
        </w:rPr>
        <w:t>COM(</w:t>
      </w:r>
      <w:proofErr w:type="gramEnd"/>
      <w:r w:rsidRPr="00872645">
        <w:rPr>
          <w:lang w:val="pt-PT"/>
        </w:rPr>
        <w:t>2020) 444 final.</w:t>
      </w:r>
    </w:p>
  </w:footnote>
  <w:footnote w:id="6">
    <w:p w:rsidR="00EB2127" w:rsidRPr="00872645" w:rsidRDefault="00872645">
      <w:pPr>
        <w:pStyle w:val="FootnoteText"/>
        <w:rPr>
          <w:lang w:val="pt-PT"/>
        </w:rPr>
      </w:pPr>
      <w:r>
        <w:rPr>
          <w:rStyle w:val="FootnoteReference"/>
        </w:rPr>
        <w:footnoteRef/>
      </w:r>
      <w:r w:rsidRPr="00872645">
        <w:rPr>
          <w:lang w:val="pt-PT"/>
        </w:rPr>
        <w:tab/>
      </w:r>
      <w:proofErr w:type="gramStart"/>
      <w:r w:rsidRPr="00872645">
        <w:rPr>
          <w:lang w:val="pt-PT"/>
        </w:rPr>
        <w:t>COM(</w:t>
      </w:r>
      <w:proofErr w:type="gramEnd"/>
      <w:r w:rsidRPr="00872645">
        <w:rPr>
          <w:lang w:val="pt-PT"/>
        </w:rPr>
        <w:t>2018) 325 final.</w:t>
      </w:r>
    </w:p>
  </w:footnote>
  <w:footnote w:id="7">
    <w:p w:rsidR="00EB2127" w:rsidRPr="00D1648E" w:rsidRDefault="00872645">
      <w:pPr>
        <w:pStyle w:val="FootnoteText"/>
        <w:rPr>
          <w:lang w:val="pt-PT"/>
        </w:rPr>
      </w:pPr>
      <w:r>
        <w:rPr>
          <w:rStyle w:val="FootnoteReference"/>
        </w:rPr>
        <w:footnoteRef/>
      </w:r>
      <w:r w:rsidRPr="00D1648E">
        <w:rPr>
          <w:lang w:val="pt-PT"/>
        </w:rPr>
        <w:tab/>
      </w:r>
      <w:r w:rsidRPr="00D1648E">
        <w:rPr>
          <w:lang w:val="pt-PT"/>
        </w:rPr>
        <w:t>COM(2020) 445 final.</w:t>
      </w:r>
    </w:p>
  </w:footnote>
  <w:footnote w:id="8">
    <w:p w:rsidR="00EB2127" w:rsidRPr="00D1648E" w:rsidRDefault="00872645">
      <w:pPr>
        <w:pStyle w:val="FootnoteText"/>
        <w:rPr>
          <w:lang w:val="pt-PT"/>
        </w:rPr>
      </w:pPr>
      <w:r>
        <w:rPr>
          <w:rStyle w:val="FootnoteReference"/>
        </w:rPr>
        <w:footnoteRef/>
      </w:r>
      <w:r w:rsidRPr="00D1648E">
        <w:rPr>
          <w:lang w:val="pt-PT"/>
        </w:rPr>
        <w:tab/>
        <w:t>COM(2020) 441 final/2.</w:t>
      </w:r>
    </w:p>
  </w:footnote>
  <w:footnote w:id="9">
    <w:p w:rsidR="00EB2127" w:rsidRPr="00D1648E" w:rsidRDefault="00872645">
      <w:pPr>
        <w:pStyle w:val="FootnoteText"/>
        <w:ind w:left="709" w:hanging="709"/>
        <w:rPr>
          <w:lang w:val="pt-PT"/>
        </w:rPr>
      </w:pPr>
      <w:r>
        <w:rPr>
          <w:rStyle w:val="FootnoteReference"/>
        </w:rPr>
        <w:footnoteRef/>
      </w:r>
      <w:r w:rsidRPr="00D1648E">
        <w:rPr>
          <w:sz w:val="19"/>
          <w:szCs w:val="19"/>
          <w:lang w:val="pt-PT"/>
        </w:rPr>
        <w:t xml:space="preserve"> </w:t>
      </w:r>
      <w:r w:rsidRPr="00D1648E">
        <w:rPr>
          <w:lang w:val="pt-PT"/>
        </w:rPr>
        <w:tab/>
        <w:t>JO L 193 du 30.7.2018.</w:t>
      </w:r>
    </w:p>
  </w:footnote>
  <w:footnote w:id="10">
    <w:p w:rsidR="00EB2127" w:rsidRPr="00D1648E" w:rsidRDefault="00872645">
      <w:pPr>
        <w:pStyle w:val="FootnoteText"/>
        <w:ind w:left="709" w:hanging="709"/>
        <w:rPr>
          <w:lang w:val="pt-PT"/>
        </w:rPr>
      </w:pPr>
      <w:r>
        <w:rPr>
          <w:rStyle w:val="FootnoteReference"/>
        </w:rPr>
        <w:footnoteRef/>
      </w:r>
      <w:r w:rsidRPr="00D1648E">
        <w:rPr>
          <w:lang w:val="pt-PT"/>
        </w:rPr>
        <w:tab/>
        <w:t>COM(2020) 300 final.</w:t>
      </w:r>
    </w:p>
  </w:footnote>
  <w:footnote w:id="11">
    <w:p w:rsidR="00EB2127" w:rsidRPr="00D1648E" w:rsidRDefault="00872645">
      <w:pPr>
        <w:pStyle w:val="FootnoteText"/>
        <w:rPr>
          <w:lang w:val="pt-PT"/>
        </w:rPr>
      </w:pPr>
      <w:r>
        <w:rPr>
          <w:rStyle w:val="FootnoteReference"/>
        </w:rPr>
        <w:footnoteRef/>
      </w:r>
      <w:r w:rsidRPr="00D1648E">
        <w:rPr>
          <w:lang w:val="pt-PT"/>
        </w:rPr>
        <w:tab/>
        <w:t>10378/20.</w:t>
      </w:r>
    </w:p>
  </w:footnote>
  <w:footnote w:id="12">
    <w:p w:rsidR="00EB2127" w:rsidRPr="00D1648E" w:rsidRDefault="00872645">
      <w:pPr>
        <w:pStyle w:val="FootnoteText"/>
        <w:rPr>
          <w:lang w:val="pt-PT"/>
        </w:rPr>
      </w:pPr>
      <w:r>
        <w:rPr>
          <w:rStyle w:val="FootnoteReference"/>
        </w:rPr>
        <w:footnoteRef/>
      </w:r>
      <w:r w:rsidRPr="00D1648E">
        <w:rPr>
          <w:lang w:val="pt-PT"/>
        </w:rPr>
        <w:tab/>
        <w:t>P9_TA(2020)0302.</w:t>
      </w:r>
    </w:p>
  </w:footnote>
  <w:footnote w:id="13">
    <w:p w:rsidR="00EB2127" w:rsidRPr="00D1648E" w:rsidRDefault="00872645">
      <w:pPr>
        <w:pStyle w:val="FootnoteText"/>
        <w:ind w:left="709" w:hanging="709"/>
        <w:rPr>
          <w:lang w:val="pt-PT"/>
        </w:rPr>
      </w:pPr>
      <w:r>
        <w:rPr>
          <w:rStyle w:val="FootnoteReference"/>
        </w:rPr>
        <w:footnoteRef/>
      </w:r>
      <w:r w:rsidRPr="00D1648E">
        <w:rPr>
          <w:lang w:val="pt-PT"/>
        </w:rPr>
        <w:tab/>
        <w:t>COM(2020) 748 final.</w:t>
      </w:r>
    </w:p>
  </w:footnote>
  <w:footnote w:id="14">
    <w:p w:rsidR="00EB2127" w:rsidRPr="00D1648E" w:rsidRDefault="00872645">
      <w:pPr>
        <w:pStyle w:val="FootnoteText"/>
        <w:ind w:left="709" w:hanging="709"/>
        <w:rPr>
          <w:lang w:val="pt-PT"/>
        </w:rPr>
      </w:pPr>
      <w:r>
        <w:rPr>
          <w:rStyle w:val="FootnoteReference"/>
        </w:rPr>
        <w:footnoteRef/>
      </w:r>
      <w:r w:rsidRPr="00D1648E">
        <w:rPr>
          <w:lang w:val="pt-PT"/>
        </w:rPr>
        <w:tab/>
        <w:t>COM(2020) 300 final.</w:t>
      </w:r>
    </w:p>
  </w:footnote>
  <w:footnote w:id="15">
    <w:p w:rsidR="00EB2127" w:rsidRPr="00D1648E" w:rsidRDefault="00872645">
      <w:pPr>
        <w:pStyle w:val="FootnoteText"/>
        <w:ind w:left="709" w:hanging="709"/>
        <w:rPr>
          <w:lang w:val="pt-PT"/>
        </w:rPr>
      </w:pPr>
      <w:r>
        <w:rPr>
          <w:rStyle w:val="FootnoteReference"/>
        </w:rPr>
        <w:footnoteRef/>
      </w:r>
      <w:r w:rsidRPr="00D1648E">
        <w:rPr>
          <w:lang w:val="pt-PT"/>
        </w:rPr>
        <w:tab/>
        <w:t>COM(2020) 748 final.</w:t>
      </w:r>
    </w:p>
  </w:footnote>
  <w:footnote w:id="16">
    <w:p w:rsidR="00EB2127" w:rsidRPr="00D1648E" w:rsidRDefault="00872645">
      <w:pPr>
        <w:pStyle w:val="FootnoteText"/>
        <w:rPr>
          <w:lang w:val="pt-PT"/>
        </w:rPr>
      </w:pPr>
      <w:r>
        <w:rPr>
          <w:rStyle w:val="FootnoteReference"/>
        </w:rPr>
        <w:footnoteRef/>
      </w:r>
      <w:r w:rsidRPr="00D1648E">
        <w:rPr>
          <w:lang w:val="pt-PT"/>
        </w:rPr>
        <w:tab/>
        <w:t>COM(2020) 443 final.</w:t>
      </w:r>
    </w:p>
  </w:footnote>
  <w:footnote w:id="17">
    <w:p w:rsidR="00EB2127" w:rsidRDefault="00872645">
      <w:pPr>
        <w:pStyle w:val="FootnoteText"/>
      </w:pPr>
      <w:r>
        <w:rPr>
          <w:rStyle w:val="FootnoteReference"/>
        </w:rPr>
        <w:footnoteRef/>
      </w:r>
      <w:r>
        <w:tab/>
        <w:t>Chiffres du RNB présentés dans les prévisions économiques du printemps 2020 publiées le 6 mai 2020</w:t>
      </w:r>
    </w:p>
  </w:footnote>
  <w:footnote w:id="18">
    <w:p w:rsidR="00EB2127" w:rsidRDefault="00872645">
      <w:pPr>
        <w:pStyle w:val="FootnoteText"/>
        <w:jc w:val="both"/>
      </w:pPr>
      <w:r>
        <w:rPr>
          <w:rStyle w:val="FootnoteReference"/>
        </w:rPr>
        <w:footnoteRef/>
      </w:r>
      <w:r>
        <w:tab/>
      </w:r>
      <w:r>
        <w:rPr>
          <w:sz w:val="20"/>
        </w:rPr>
        <w:t>Règlement (UE, Euratom) 2018/1046 du Parlement européen et du Conseil du 18 juillet 2018 relatif aux règles financières applicables au budget général de l’Union (JO L 193 du 30.7.2018,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8E" w:rsidRPr="00D1648E" w:rsidRDefault="00D1648E" w:rsidP="00D1648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27" w:rsidRDefault="00EB2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15:restartNumberingAfterBreak="0">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15:restartNumberingAfterBreak="0">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15:restartNumberingAfterBreak="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15:restartNumberingAfterBreak="0">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15:restartNumberingAfterBreak="0">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15:restartNumberingAfterBreak="0">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15:restartNumberingAfterBreak="0">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15:restartNumberingAfterBreak="0">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15:restartNumberingAfterBreak="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15:restartNumberingAfterBreak="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15:restartNumberingAfterBreak="0">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15:restartNumberingAfterBreak="0">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15:restartNumberingAfterBreak="0">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15:restartNumberingAfterBreak="0">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Replaces COM(2020) 836 final of 10/12/2020._x000b_Concerns all language versions._x000b_Acronyme BUD added. "/>
    <w:docVar w:name="LW_COVERPAGE_EXISTS" w:val="True"/>
    <w:docVar w:name="LW_COVERPAGE_GUID" w:val="71614817-9EBB-4F8D-B199-AE194CC24ACC"/>
    <w:docVar w:name="LW_COVERPAGE_TYPE" w:val="1"/>
    <w:docVar w:name="LW_CROSSREFERENCE" w:val="&lt;UNUSED&gt;"/>
    <w:docVar w:name="LW_DocType" w:val="NORMAL"/>
    <w:docVar w:name="LW_EMISSION" w:val="11.12.2020"/>
    <w:docVar w:name="LW_EMISSION_ISODATE" w:val="2020-12-11"/>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371"/>
    <w:docVar w:name="LW_REF.II.NEW.CP_YEAR" w:val="2020"/>
    <w:docVar w:name="LW_REF.INST.NEW" w:val="COM"/>
    <w:docVar w:name="LW_REF.INST.NEW_ADOPTED" w:val="final/2"/>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NTRODUCTION GÉNÉRALE_x000d_"/>
    <w:docVar w:name="LW_TYPE.DOC.CP" w:val="Deuxième PROJET de budget général _x000b_de l\u8217?Union européenne _x000b_pour l\u8217?exercice 2021_x000b_ "/>
  </w:docVars>
  <w:rsids>
    <w:rsidRoot w:val="00EB2127"/>
    <w:rsid w:val="00872645"/>
    <w:rsid w:val="00D1648E"/>
    <w:rsid w:val="00EB2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CBED9E7-862B-4366-BA1A-7C11B556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FR"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FR"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budget/www/index-fr.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63A0E8-3F9A-4CB2-9919-1A86847A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12851</Words>
  <Characters>63099</Characters>
  <Application>Microsoft Office Word</Application>
  <DocSecurity>0</DocSecurity>
  <Lines>4206</Lines>
  <Paragraphs>3037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72913</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WOJCIECHOWSKA Eliza (SG)</cp:lastModifiedBy>
  <cp:revision>47</cp:revision>
  <cp:lastPrinted>2014-05-21T15:05:00Z</cp:lastPrinted>
  <dcterms:created xsi:type="dcterms:W3CDTF">2020-12-07T15:05:00Z</dcterms:created>
  <dcterms:modified xsi:type="dcterms:W3CDTF">2020-12-11T11:14:00Z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CP-035</vt:lpwstr>
  </property>
</Properties>
</file>