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63" w:rsidRDefault="00E35BE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4A63AE-3195-4D7B-A9B7-81EEF00FA2B5" style="width:450.6pt;height:430.2pt">
            <v:imagedata r:id="rId7" o:title=""/>
          </v:shape>
        </w:pict>
      </w:r>
    </w:p>
    <w:p w:rsidR="00926563" w:rsidRDefault="00926563">
      <w:pPr>
        <w:rPr>
          <w:noProof/>
        </w:rPr>
        <w:sectPr w:rsidR="00926563">
          <w:footerReference w:type="default" r:id="rId8"/>
          <w:pgSz w:w="11907" w:h="16839"/>
          <w:pgMar w:top="1134" w:right="1417" w:bottom="1134" w:left="1417" w:header="709" w:footer="709" w:gutter="0"/>
          <w:pgNumType w:start="0"/>
          <w:cols w:space="720"/>
          <w:docGrid w:linePitch="360"/>
        </w:sectPr>
      </w:pPr>
    </w:p>
    <w:p w:rsidR="00926563" w:rsidRDefault="00E35BE4">
      <w:pPr>
        <w:pStyle w:val="Rfrenceinterinstitutionnelle"/>
        <w:rPr>
          <w:noProof/>
        </w:rPr>
      </w:pPr>
      <w:r>
        <w:rPr>
          <w:noProof/>
        </w:rPr>
        <w:lastRenderedPageBreak/>
        <w:t>2018/0170 (COD)</w:t>
      </w:r>
    </w:p>
    <w:p w:rsidR="00926563" w:rsidRDefault="00E35BE4">
      <w:pPr>
        <w:pStyle w:val="Typedudocument"/>
        <w:rPr>
          <w:noProof/>
        </w:rPr>
      </w:pPr>
      <w:r>
        <w:rPr>
          <w:noProof/>
        </w:rPr>
        <w:t>COMMUNICATION FROM THE COMMISSION</w:t>
      </w:r>
      <w:r>
        <w:rPr>
          <w:noProof/>
        </w:rPr>
        <w:br/>
        <w:t>TO THE EUROPEAN PARLIAMENT</w:t>
      </w:r>
      <w:r>
        <w:rPr>
          <w:noProof/>
        </w:rPr>
        <w:br/>
      </w:r>
      <w:r>
        <w:rPr>
          <w:noProof/>
        </w:rPr>
        <w:br/>
        <w:t xml:space="preserve">pursuant to Article 294(6) of the Treaty on the Functioning of the </w:t>
      </w:r>
      <w:r>
        <w:rPr>
          <w:noProof/>
        </w:rPr>
        <w:t>European Union</w:t>
      </w:r>
      <w:r>
        <w:rPr>
          <w:noProof/>
        </w:rPr>
        <w:br/>
      </w:r>
      <w:r>
        <w:rPr>
          <w:noProof/>
        </w:rPr>
        <w:br/>
        <w:t>concerning the</w:t>
      </w:r>
    </w:p>
    <w:p w:rsidR="00926563" w:rsidRDefault="00E35BE4">
      <w:pPr>
        <w:pStyle w:val="Titreobjet"/>
        <w:rPr>
          <w:noProof/>
        </w:rPr>
      </w:pPr>
      <w:r>
        <w:rPr>
          <w:noProof/>
        </w:rPr>
        <w:t>position of the Council on the adoption of a Regulation amending Regulation (EU, Euratom) No 883/2013, as regards cooperation with the European Public Prosecutor's Office and the effectiveness of the European Anti-Fraud Offic</w:t>
      </w:r>
      <w:r>
        <w:rPr>
          <w:noProof/>
        </w:rPr>
        <w:t>e investigations</w:t>
      </w:r>
      <w:r>
        <w:rPr>
          <w:noProof/>
        </w:rPr>
        <w:br/>
      </w:r>
      <w:r>
        <w:rPr>
          <w:noProof/>
        </w:rPr>
        <w:br/>
      </w:r>
    </w:p>
    <w:p w:rsidR="00926563" w:rsidRDefault="00E35BE4">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rsidR="00926563">
        <w:tc>
          <w:tcPr>
            <w:tcW w:w="6804" w:type="dxa"/>
          </w:tcPr>
          <w:p w:rsidR="00926563" w:rsidRDefault="00E35BE4">
            <w:pPr>
              <w:jc w:val="left"/>
              <w:rPr>
                <w:noProof/>
              </w:rPr>
            </w:pPr>
            <w:r>
              <w:rPr>
                <w:noProof/>
              </w:rPr>
              <w:t>Date of transmission of the proposal to the European Parliament and to the Council</w:t>
            </w:r>
            <w:r>
              <w:rPr>
                <w:noProof/>
              </w:rPr>
              <w:br/>
              <w:t>(document COM(2018) 338 final – 2018/0170 COD):</w:t>
            </w:r>
          </w:p>
        </w:tc>
        <w:tc>
          <w:tcPr>
            <w:tcW w:w="2483" w:type="dxa"/>
          </w:tcPr>
          <w:p w:rsidR="00926563" w:rsidRDefault="00E35BE4" w:rsidP="00E35BE4">
            <w:pPr>
              <w:jc w:val="left"/>
              <w:rPr>
                <w:noProof/>
              </w:rPr>
            </w:pPr>
            <w:r>
              <w:rPr>
                <w:noProof/>
              </w:rPr>
              <w:t>24 May</w:t>
            </w:r>
            <w:bookmarkStart w:id="0" w:name="_GoBack"/>
            <w:bookmarkEnd w:id="0"/>
            <w:r>
              <w:rPr>
                <w:noProof/>
              </w:rPr>
              <w:t xml:space="preserve"> 2018</w:t>
            </w:r>
          </w:p>
        </w:tc>
      </w:tr>
      <w:tr w:rsidR="00926563">
        <w:tc>
          <w:tcPr>
            <w:tcW w:w="6804" w:type="dxa"/>
          </w:tcPr>
          <w:p w:rsidR="00926563" w:rsidRDefault="00E35BE4">
            <w:pPr>
              <w:rPr>
                <w:noProof/>
              </w:rPr>
            </w:pPr>
            <w:r>
              <w:rPr>
                <w:noProof/>
              </w:rPr>
              <w:t>Date of the Opinion of the Court of Auditors:</w:t>
            </w:r>
          </w:p>
        </w:tc>
        <w:tc>
          <w:tcPr>
            <w:tcW w:w="2483" w:type="dxa"/>
          </w:tcPr>
          <w:p w:rsidR="00926563" w:rsidRDefault="00E35BE4">
            <w:pPr>
              <w:jc w:val="left"/>
              <w:rPr>
                <w:noProof/>
              </w:rPr>
            </w:pPr>
            <w:r>
              <w:rPr>
                <w:noProof/>
              </w:rPr>
              <w:t>15 November 2018</w:t>
            </w:r>
          </w:p>
        </w:tc>
      </w:tr>
      <w:tr w:rsidR="00926563">
        <w:tc>
          <w:tcPr>
            <w:tcW w:w="6804" w:type="dxa"/>
          </w:tcPr>
          <w:p w:rsidR="00926563" w:rsidRDefault="00E35BE4">
            <w:pPr>
              <w:rPr>
                <w:noProof/>
              </w:rPr>
            </w:pPr>
            <w:r>
              <w:rPr>
                <w:noProof/>
              </w:rPr>
              <w:t xml:space="preserve">Date of the </w:t>
            </w:r>
            <w:r>
              <w:rPr>
                <w:noProof/>
              </w:rPr>
              <w:t>position of the European Parliament, first reading:</w:t>
            </w:r>
          </w:p>
        </w:tc>
        <w:tc>
          <w:tcPr>
            <w:tcW w:w="2483" w:type="dxa"/>
          </w:tcPr>
          <w:p w:rsidR="00926563" w:rsidRDefault="00E35BE4">
            <w:pPr>
              <w:jc w:val="left"/>
              <w:rPr>
                <w:noProof/>
              </w:rPr>
            </w:pPr>
            <w:r>
              <w:rPr>
                <w:noProof/>
              </w:rPr>
              <w:t>16 April 2019</w:t>
            </w:r>
          </w:p>
        </w:tc>
      </w:tr>
      <w:tr w:rsidR="00926563">
        <w:tc>
          <w:tcPr>
            <w:tcW w:w="6804" w:type="dxa"/>
          </w:tcPr>
          <w:p w:rsidR="00926563" w:rsidRDefault="00926563">
            <w:pPr>
              <w:rPr>
                <w:noProof/>
              </w:rPr>
            </w:pPr>
          </w:p>
        </w:tc>
        <w:tc>
          <w:tcPr>
            <w:tcW w:w="2483" w:type="dxa"/>
          </w:tcPr>
          <w:p w:rsidR="00926563" w:rsidRDefault="00926563">
            <w:pPr>
              <w:jc w:val="left"/>
              <w:rPr>
                <w:noProof/>
              </w:rPr>
            </w:pPr>
          </w:p>
        </w:tc>
      </w:tr>
      <w:tr w:rsidR="00926563">
        <w:tc>
          <w:tcPr>
            <w:tcW w:w="6804" w:type="dxa"/>
          </w:tcPr>
          <w:p w:rsidR="00926563" w:rsidRDefault="00E35BE4">
            <w:pPr>
              <w:rPr>
                <w:noProof/>
              </w:rPr>
            </w:pPr>
            <w:r>
              <w:rPr>
                <w:noProof/>
              </w:rPr>
              <w:t>Date of adoption of the position of the Council:</w:t>
            </w:r>
          </w:p>
        </w:tc>
        <w:tc>
          <w:tcPr>
            <w:tcW w:w="2483" w:type="dxa"/>
          </w:tcPr>
          <w:p w:rsidR="00926563" w:rsidRDefault="00E35BE4">
            <w:pPr>
              <w:jc w:val="left"/>
              <w:rPr>
                <w:noProof/>
              </w:rPr>
            </w:pPr>
            <w:r>
              <w:rPr>
                <w:noProof/>
              </w:rPr>
              <w:t>4 December 2020</w:t>
            </w:r>
          </w:p>
        </w:tc>
      </w:tr>
    </w:tbl>
    <w:p w:rsidR="00926563" w:rsidRDefault="00E35BE4">
      <w:pPr>
        <w:pStyle w:val="ManualHeading1"/>
        <w:rPr>
          <w:noProof/>
        </w:rPr>
      </w:pPr>
      <w:r>
        <w:rPr>
          <w:noProof/>
        </w:rPr>
        <w:t>2.</w:t>
      </w:r>
      <w:r>
        <w:rPr>
          <w:noProof/>
        </w:rPr>
        <w:tab/>
        <w:t>Objective of the proposal from the Commission</w:t>
      </w:r>
    </w:p>
    <w:p w:rsidR="00926563" w:rsidRDefault="00E35BE4">
      <w:pPr>
        <w:rPr>
          <w:noProof/>
        </w:rPr>
      </w:pPr>
      <w:r>
        <w:rPr>
          <w:noProof/>
        </w:rPr>
        <w:t>The aim of this proposal is:</w:t>
      </w:r>
    </w:p>
    <w:p w:rsidR="00926563" w:rsidRDefault="00E35BE4">
      <w:pPr>
        <w:pStyle w:val="Point1"/>
        <w:rPr>
          <w:noProof/>
        </w:rPr>
      </w:pPr>
      <w:r>
        <w:rPr>
          <w:noProof/>
        </w:rPr>
        <w:t>(a)</w:t>
      </w:r>
      <w:r>
        <w:rPr>
          <w:noProof/>
        </w:rPr>
        <w:tab/>
        <w:t>To adapt the operation of the European</w:t>
      </w:r>
      <w:r>
        <w:rPr>
          <w:noProof/>
        </w:rPr>
        <w:t xml:space="preserve"> Anti-Fraud Office (OLAF) investigations to the establishment of the European Public Prosecutor’s Office (EPPO) in view of ensuring maximum complementarity; and</w:t>
      </w:r>
    </w:p>
    <w:p w:rsidR="00926563" w:rsidRDefault="00E35BE4">
      <w:pPr>
        <w:pStyle w:val="Point1"/>
        <w:rPr>
          <w:noProof/>
        </w:rPr>
      </w:pPr>
      <w:r>
        <w:rPr>
          <w:noProof/>
        </w:rPr>
        <w:t>(b)</w:t>
      </w:r>
      <w:r>
        <w:rPr>
          <w:noProof/>
        </w:rPr>
        <w:tab/>
        <w:t>To enhance the effectiveness of OLAF’s investigative function as regards a number of specif</w:t>
      </w:r>
      <w:r>
        <w:rPr>
          <w:noProof/>
        </w:rPr>
        <w:t>ic issues, including on-the-spot checks, inspections, and assistance of national authorities, bank account information, admissibility of OLAF-collected evidence, anti-fraud coordination services and coordination activities.</w:t>
      </w:r>
    </w:p>
    <w:p w:rsidR="00926563" w:rsidRDefault="00E35BE4">
      <w:pPr>
        <w:pStyle w:val="ManualHeading1"/>
        <w:rPr>
          <w:noProof/>
        </w:rPr>
      </w:pPr>
      <w:r>
        <w:rPr>
          <w:noProof/>
        </w:rPr>
        <w:t>3.</w:t>
      </w:r>
      <w:r>
        <w:rPr>
          <w:noProof/>
        </w:rPr>
        <w:tab/>
        <w:t>Comments on the position of t</w:t>
      </w:r>
      <w:r>
        <w:rPr>
          <w:noProof/>
        </w:rPr>
        <w:t>he Council</w:t>
      </w:r>
    </w:p>
    <w:p w:rsidR="00926563" w:rsidRDefault="00E35BE4">
      <w:pPr>
        <w:widowControl w:val="0"/>
        <w:rPr>
          <w:noProof/>
        </w:rPr>
      </w:pPr>
      <w:r>
        <w:rPr>
          <w:noProof/>
        </w:rPr>
        <w:t>The position of the Council as adopted in the 1st reading fully reflects the agreement reached in the trilogue between the European Parliament, the Council, and the Commission, as concluded on 26 June 2020. The main points of this agreement incl</w:t>
      </w:r>
      <w:r>
        <w:rPr>
          <w:noProof/>
        </w:rPr>
        <w:t>ude the following:</w:t>
      </w:r>
    </w:p>
    <w:p w:rsidR="00926563" w:rsidRDefault="00E35BE4">
      <w:pPr>
        <w:pStyle w:val="Tiret1"/>
        <w:numPr>
          <w:ilvl w:val="0"/>
          <w:numId w:val="6"/>
        </w:numPr>
        <w:rPr>
          <w:noProof/>
        </w:rPr>
      </w:pPr>
      <w:r>
        <w:rPr>
          <w:noProof/>
        </w:rPr>
        <w:t xml:space="preserve">it sets up a framework for close relationship between OLAF and the EPPO, based on sincere cooperation, complementarity of their mandates, and coordination of their action; in particular, it allows OLAF to open, in duly </w:t>
      </w:r>
      <w:r>
        <w:rPr>
          <w:noProof/>
        </w:rPr>
        <w:lastRenderedPageBreak/>
        <w:t>justified cases, a</w:t>
      </w:r>
      <w:r>
        <w:rPr>
          <w:noProof/>
        </w:rPr>
        <w:t>nd if the EPPO does not object within a deadline, complementary investigations to those of the EPPO to facilitate recovery, the adoption of administrative precautionary measures or other actions in a timely manner; it also provides that, when OLAF supports</w:t>
      </w:r>
      <w:r>
        <w:rPr>
          <w:noProof/>
        </w:rPr>
        <w:t xml:space="preserve"> the EPPO, the EPPO and OLAF must ensure, acting in close cooperation, that the procedural safeguards of Chapter VI of the EPPO Regulation are observed;</w:t>
      </w:r>
    </w:p>
    <w:p w:rsidR="00926563" w:rsidRDefault="00E35BE4">
      <w:pPr>
        <w:pStyle w:val="Tiret1"/>
        <w:rPr>
          <w:noProof/>
        </w:rPr>
      </w:pPr>
      <w:r>
        <w:rPr>
          <w:noProof/>
        </w:rPr>
        <w:t>it enhances OLAF’s investigative powers by allowing the Office to request bank account information – na</w:t>
      </w:r>
      <w:r>
        <w:rPr>
          <w:noProof/>
        </w:rPr>
        <w:t>mely to registries of account holders and, where strictly necessary, to transactions – through the cooperation of national authorities, under the same conditions that apply to national competent authorities, and subject to a reasoned request justifying its</w:t>
      </w:r>
      <w:r>
        <w:rPr>
          <w:noProof/>
        </w:rPr>
        <w:t xml:space="preserve"> appropriateness and proportionality;</w:t>
      </w:r>
    </w:p>
    <w:p w:rsidR="00926563" w:rsidRDefault="00E35BE4">
      <w:pPr>
        <w:pStyle w:val="Tiret1"/>
        <w:rPr>
          <w:noProof/>
        </w:rPr>
      </w:pPr>
      <w:r>
        <w:rPr>
          <w:noProof/>
        </w:rPr>
        <w:t xml:space="preserve">it strengthens the procedural rights of the person concerned by an OLAF investigation by allowing this person to request and have access to the final report, but only with the consent of all recipients of that report, and in accordance with the applicable </w:t>
      </w:r>
      <w:r>
        <w:rPr>
          <w:noProof/>
        </w:rPr>
        <w:t xml:space="preserve">confidentiality and data protection rules; </w:t>
      </w:r>
    </w:p>
    <w:p w:rsidR="00926563" w:rsidRDefault="00E35BE4">
      <w:pPr>
        <w:pStyle w:val="Tiret1"/>
        <w:rPr>
          <w:noProof/>
        </w:rPr>
      </w:pPr>
      <w:r>
        <w:rPr>
          <w:noProof/>
        </w:rPr>
        <w:t>it adds another layer of protection of the procedural rights and guarantees by establishing a Controller of procedural guarantees, administratively attached</w:t>
      </w:r>
      <w:r>
        <w:rPr>
          <w:rFonts w:eastAsia="Times New Roman"/>
          <w:noProof/>
          <w:szCs w:val="20"/>
        </w:rPr>
        <w:t xml:space="preserve"> to the Supervisory Committee and appointed by the Commi</w:t>
      </w:r>
      <w:r>
        <w:rPr>
          <w:rFonts w:eastAsia="Times New Roman"/>
          <w:noProof/>
          <w:szCs w:val="20"/>
        </w:rPr>
        <w:t>ssion after consulting the European Parliament and the Council, who is tasked with reviewing complaints lodged by persons concerned by the investigation (regarding the Office’s compliance with procedural guarantees and with the rules applicable to its inve</w:t>
      </w:r>
      <w:r>
        <w:rPr>
          <w:rFonts w:eastAsia="Times New Roman"/>
          <w:noProof/>
          <w:szCs w:val="20"/>
        </w:rPr>
        <w:t>stigations) and is able to issue recommendations to the Office on how to resolve the issue raised in the complaint; and</w:t>
      </w:r>
    </w:p>
    <w:p w:rsidR="00926563" w:rsidRDefault="00E35BE4">
      <w:pPr>
        <w:pStyle w:val="Tiret1"/>
        <w:rPr>
          <w:noProof/>
        </w:rPr>
      </w:pPr>
      <w:r>
        <w:rPr>
          <w:noProof/>
        </w:rPr>
        <w:t>it allows OLAF, in the course of its investigations, to access privately- owned devices used for work purposes if it has reasonable grou</w:t>
      </w:r>
      <w:r>
        <w:rPr>
          <w:noProof/>
        </w:rPr>
        <w:t>nds to suspect that their content may be relevant for the investigation; in external investigations, the access will be under the same conditions and to the same extent as national authorities are allowed to investigate into private devices; in internal in</w:t>
      </w:r>
      <w:r>
        <w:rPr>
          <w:noProof/>
        </w:rPr>
        <w:t>vestigations, access shall be based on the internal rules to be adopted by each institution, body, office or agency concerned with regard to its respective staff and Members of the institution.</w:t>
      </w:r>
    </w:p>
    <w:p w:rsidR="00926563" w:rsidRDefault="00E35BE4">
      <w:pPr>
        <w:rPr>
          <w:noProof/>
        </w:rPr>
      </w:pPr>
      <w:r>
        <w:rPr>
          <w:noProof/>
        </w:rPr>
        <w:t>The Commission supported the agreement reached at the trilogue</w:t>
      </w:r>
      <w:r>
        <w:rPr>
          <w:noProof/>
        </w:rPr>
        <w:t>, which paves the way for a fruitful cooperation between OLAF and the EPPO, and which enhances the effectiveness of OLAF investigations in several respects. In this regard, it achieves the objectives of the Commission proposal. The Commission maintained co</w:t>
      </w:r>
      <w:r>
        <w:rPr>
          <w:noProof/>
        </w:rPr>
        <w:t xml:space="preserve">ncerns regarding certain elements of the agreement. In particular, it regretted that the higher procedural guarantees applicable when OLAF supports the EPPO entail no improved admissibility of OLAF-collected evidence in subsequent criminal procedures, and </w:t>
      </w:r>
      <w:r>
        <w:rPr>
          <w:noProof/>
        </w:rPr>
        <w:t>that the new provisions on access to private devices were not accompanied by</w:t>
      </w:r>
      <w:r>
        <w:rPr>
          <w:rFonts w:eastAsia="Times New Roman"/>
          <w:noProof/>
          <w:szCs w:val="24"/>
        </w:rPr>
        <w:t xml:space="preserve"> procedural rules in the Regulation itself. However, the Commission signalled it could accept these elements for the purposes of an overall final agreement.</w:t>
      </w:r>
    </w:p>
    <w:p w:rsidR="00926563" w:rsidRDefault="00E35BE4">
      <w:pPr>
        <w:pStyle w:val="ManualHeading1"/>
        <w:rPr>
          <w:noProof/>
        </w:rPr>
      </w:pPr>
      <w:r>
        <w:rPr>
          <w:noProof/>
        </w:rPr>
        <w:t>4.</w:t>
      </w:r>
      <w:r>
        <w:rPr>
          <w:noProof/>
        </w:rPr>
        <w:tab/>
        <w:t>Conclusion</w:t>
      </w:r>
    </w:p>
    <w:p w:rsidR="00926563" w:rsidRDefault="00E35BE4">
      <w:pPr>
        <w:keepNext/>
        <w:rPr>
          <w:noProof/>
        </w:rPr>
      </w:pPr>
      <w:r>
        <w:rPr>
          <w:noProof/>
        </w:rPr>
        <w:t xml:space="preserve">The </w:t>
      </w:r>
      <w:r>
        <w:rPr>
          <w:noProof/>
        </w:rPr>
        <w:t>Commission accepts the position taken by the Council.</w:t>
      </w:r>
    </w:p>
    <w:p w:rsidR="00926563" w:rsidRDefault="00926563">
      <w:pPr>
        <w:rPr>
          <w:noProof/>
        </w:rPr>
      </w:pPr>
    </w:p>
    <w:sectPr w:rsidR="00926563">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63" w:rsidRDefault="00E35BE4">
      <w:pPr>
        <w:spacing w:before="0" w:after="0"/>
      </w:pPr>
      <w:r>
        <w:separator/>
      </w:r>
    </w:p>
  </w:endnote>
  <w:endnote w:type="continuationSeparator" w:id="0">
    <w:p w:rsidR="00926563" w:rsidRDefault="00E35B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63" w:rsidRDefault="00E35BE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63" w:rsidRDefault="00E35BE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63" w:rsidRDefault="0092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63" w:rsidRDefault="00E35BE4">
      <w:pPr>
        <w:spacing w:before="0" w:after="0"/>
      </w:pPr>
      <w:r>
        <w:separator/>
      </w:r>
    </w:p>
  </w:footnote>
  <w:footnote w:type="continuationSeparator" w:id="0">
    <w:p w:rsidR="00926563" w:rsidRDefault="00E35B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1:07: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54A63AE-3195-4D7B-A9B7-81EEF00FA2B5"/>
    <w:docVar w:name="LW_COVERPAGE_TYPE" w:val="1"/>
    <w:docVar w:name="LW_CROSSREFERENCE" w:val="&lt;UNUSED&gt;"/>
    <w:docVar w:name="LW_DocType" w:val="COM"/>
    <w:docVar w:name="LW_EMISSION" w:val="8.12.2020"/>
    <w:docVar w:name="LW_EMISSION_ISODATE" w:val="2020-12-08"/>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0"/>
    <w:docVar w:name="LW_REF.II.NEW.CP_YEAR" w:val="2018"/>
    <w:docVar w:name="LW_REF.INST.NEW" w:val="COM"/>
    <w:docVar w:name="LW_REF.INST.NEW_ADOPTED" w:val="final"/>
    <w:docVar w:name="LW_REF.INST.NEW_TEXT" w:val="(2020)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amending Regulation (EU, Euratom) No 883/2013, as regards cooperation with the European Public Prosecutor's Office and the effectiveness of the European Anti-Fraud Office investigations_x000b__x000b_"/>
    <w:docVar w:name="LW_TYPE.DOC.CP" w:val="COMMUNICATION FROM THE COMMISSION_x000b_TO THE EUROPEAN PARLIAMENT_x000b__x000b_pursuant to Article 294(6) of the Treaty on the Functioning of the European Union_x000b__x000b_concerning the"/>
  </w:docVars>
  <w:rsids>
    <w:rsidRoot w:val="00926563"/>
    <w:rsid w:val="00926563"/>
    <w:rsid w:val="00E3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7B7867"/>
  <w15:docId w15:val="{272133FC-FDE8-478B-BB30-7436AABB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TotalTime>
  <Pages>3</Pages>
  <Words>766</Words>
  <Characters>4331</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19</cp:revision>
  <dcterms:created xsi:type="dcterms:W3CDTF">2020-12-03T14:50:00Z</dcterms:created>
  <dcterms:modified xsi:type="dcterms:W3CDTF">2020-12-04T13:50:00Z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Yellow (DQC version 03)</vt:lpwstr>
  </property>
</Properties>
</file>