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1850D5B3-688B-4AE8-9580-3559E587C69A" style="width:450.45pt;height:443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2018/0170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 xml:space="preserve">позицията на Съвета във връзка с приемането на регламент за изменение на Регламент (ЕС, Евратом) № 883/2013 по отношение на сътрудничеството с Европейската прокуратура и ефективността на разследванията на Европейската служба за борба с измамите </w:t>
      </w:r>
      <w:r>
        <w:rPr>
          <w:noProof/>
        </w:rPr>
        <w:br/>
        <w:t xml:space="preserve"> </w:t>
      </w:r>
      <w:r>
        <w:rPr>
          <w:noProof/>
        </w:rPr>
        <w:br/>
      </w:r>
    </w:p>
    <w:p>
      <w:pPr>
        <w:pStyle w:val="ManualHeading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>Контекст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Дата на предаване на предложението на Европейския парламент и на Съвета </w:t>
            </w:r>
            <w:r>
              <w:rPr>
                <w:noProof/>
              </w:rPr>
              <w:br/>
              <w:t>(документ COM(2018) 338 final – 2018/0170 COD):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24 май 2018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становището на Сметната палата: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15 ноември 2018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16 април 2019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4 декември 2020 г.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>
      <w:pPr>
        <w:rPr>
          <w:noProof/>
        </w:rPr>
      </w:pPr>
      <w:r>
        <w:rPr>
          <w:noProof/>
        </w:rPr>
        <w:t>Целите на предложението са: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Да адаптира провеждането на разследвания на Европейската служба за борба с измамите (OLAF) към създаването на Европейската прокуратура, за да се гарантира максимално взаимно допълване; и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 повиши ефективността на разследващите функции на OLAF по отношение на редица конкретни въпроси, включително проверки на място, инспекции и съдействие от страна на националните органи, информация за банкови сметки, допустимост на събраните от OLAF доказателства, координационни служби за борба с измамите и координационни дейности.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Коментари относно позицията на Съвета</w:t>
      </w:r>
    </w:p>
    <w:p>
      <w:pPr>
        <w:widowControl w:val="0"/>
        <w:rPr>
          <w:noProof/>
        </w:rPr>
      </w:pPr>
      <w:r>
        <w:rPr>
          <w:noProof/>
        </w:rPr>
        <w:t>Позицията на Съвета, приета на първо четене, отразява напълно споразумението, постигнато на тристранната среща между Европейския парламент, Съвета и Комисията, сключено на 26 юни 2020 г. Основните елементи на това споразумение са следните:</w:t>
      </w:r>
    </w:p>
    <w:p>
      <w:pPr>
        <w:pStyle w:val="Tiret1"/>
        <w:numPr>
          <w:ilvl w:val="0"/>
          <w:numId w:val="6"/>
        </w:numPr>
        <w:rPr>
          <w:noProof/>
        </w:rPr>
      </w:pPr>
      <w:r>
        <w:rPr>
          <w:noProof/>
        </w:rPr>
        <w:lastRenderedPageBreak/>
        <w:t>то създава рамка за тесни отношения между OLAF и Европейската прокуратура въз основа на лоялно сътрудничество, взаимно допълване на техните мандати и координация на техните действия; по-специално, то позволява на OLAF да започне, в надлежно обосновани случаи и ако Европейската прокуратура не възрази в определен срок, допълнителни разследвания към тези на Европейската прокуратура с цел да се улесни своевременното събиране на вземания, приемане на административни предпазни мерки или други действия; в него също така се предвижда, че когато OLAF подкрепя Европейската прокуратура, Европейската прокуратура и OLAF трябва да гарантират, като действат в тясно сътрудничество, че се спазват процесуалните гаранции по глава VI от Регламента за Европейската прокуратура;</w:t>
      </w:r>
    </w:p>
    <w:p>
      <w:pPr>
        <w:pStyle w:val="Tiret1"/>
        <w:rPr>
          <w:noProof/>
        </w:rPr>
      </w:pPr>
      <w:r>
        <w:rPr>
          <w:noProof/>
        </w:rPr>
        <w:t>то укрепва правомощията за разследване на OLAF, като позволява на Службата да изисква информация за банкови сметки, по-специално от регистри на титуляри на банкови сметки, и когато е строго необходимо — информация за операции, чрез сътрудничество с националните органи, при същите условия, които се прилагат за националните компетентни органи, и при мотивирано искане, обосноваващо неговата целесъобразност и пропорционалност;</w:t>
      </w:r>
    </w:p>
    <w:p>
      <w:pPr>
        <w:pStyle w:val="Tiret1"/>
        <w:rPr>
          <w:noProof/>
        </w:rPr>
      </w:pPr>
      <w:r>
        <w:rPr>
          <w:noProof/>
        </w:rPr>
        <w:t xml:space="preserve">то укрепва процесуалните права на лицето, засегнато от разследване на OLAF, като позволява на това лице да поиска и да има достъп до окончателния доклад, но само със съгласието на всички получатели на този доклад и в съответствие с приложимите правила за поверителност и защита на данните; </w:t>
      </w:r>
    </w:p>
    <w:p>
      <w:pPr>
        <w:pStyle w:val="Tiret1"/>
        <w:rPr>
          <w:noProof/>
        </w:rPr>
      </w:pPr>
      <w:r>
        <w:rPr>
          <w:noProof/>
        </w:rPr>
        <w:t>то добавя още едно ниво на защита на процесуалните права и гаранции чрез създаването на контрольор на процесуалните гаранции, административно прикрепен към Надзорния съвет и назначен от Комисията след консултация с Европейския парламент и Съвета, който е натоварен със задачата да разглежда жалби, подадени от лица, засегнати от разследването (относно спазването от страна на Службата на процесуалните гаранции и правилата, приложими за нейните разследвания), и може да отправя препоръки към Службата за разрешаване на повдигнатия в жалбата въпрос; и</w:t>
      </w:r>
    </w:p>
    <w:p>
      <w:pPr>
        <w:pStyle w:val="Tiret1"/>
        <w:rPr>
          <w:noProof/>
        </w:rPr>
      </w:pPr>
      <w:r>
        <w:rPr>
          <w:noProof/>
        </w:rPr>
        <w:t>то позволява на OLAF в хода на разследванията да получи достъп до частни устройства, използвани за работни цели, ако има основателни причини да се подозира, че тяхното съдържание може да бъде от значение за разследването; при външни разследвания достъпът ще бъде при същите условия и в същата степен, в която националните органи имат право да разследват частни устройства; при вътрешни разследвания достъпът се основава на вътрешните правила, приети от всяка засегната институция, орган, служба или агенция по отношение на съответния ѝ персонал и членове на институцията.</w:t>
      </w:r>
    </w:p>
    <w:p>
      <w:pPr>
        <w:rPr>
          <w:noProof/>
        </w:rPr>
      </w:pPr>
      <w:r>
        <w:rPr>
          <w:noProof/>
        </w:rPr>
        <w:t xml:space="preserve">Комисията подкрепи споразумението, постигнато на тристранната среща, което проправя пътя за плодотворно сътрудничество между OLAF и Европейската прокуратура и което повишава ефективността на разследванията на OLAF в няколко отношения. В това отношение то постига целите на предложението на Комисията. Комисията запази опасенията си по отношение на някои елементи на споразумението. По-специално тя изрази съжаление, че по-високите процесуални гаранции, приложими </w:t>
      </w:r>
      <w:r>
        <w:rPr>
          <w:noProof/>
        </w:rPr>
        <w:lastRenderedPageBreak/>
        <w:t>в случаите, когато OLAF подкрепя Европейската прокуратура, не водят до подобряване на допустимостта на събраните от OLAF доказателства в последващи наказателни производства, както и че новите разпоредби относно достъпа до частни устройства не са придружени от процедурни правила в самия регламент. Комисията обаче посочи, че би могла да приеме тези елементи, с цел да се постигне цялостно окончателно споразумение.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Заключение</w:t>
      </w:r>
    </w:p>
    <w:p>
      <w:pPr>
        <w:keepNext/>
        <w:rPr>
          <w:noProof/>
        </w:rPr>
      </w:pPr>
      <w:r>
        <w:rPr>
          <w:noProof/>
        </w:rPr>
        <w:t>Комисията изразява съгласие с позицията на Съвета.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0648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A8022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642A3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99EDF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3049A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C844A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E34CC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A12C9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11 16:54:1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1850D5B3-688B-4AE8-9580-3559E587C69A"/>
    <w:docVar w:name="LW_COVERPAGE_TYPE" w:val="1"/>
    <w:docVar w:name="LW_CROSSREFERENCE" w:val="&lt;UNUSED&gt;"/>
    <w:docVar w:name="LW_DocType" w:val="COM"/>
    <w:docVar w:name="LW_EMISSION" w:val="8.12.2020"/>
    <w:docVar w:name="LW_EMISSION_ISODATE" w:val="2020-12-08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70"/>
    <w:docVar w:name="LW_REF.II.NEW.CP_YEAR" w:val="2018"/>
    <w:docVar w:name="LW_REF.INST.NEW" w:val="COM"/>
    <w:docVar w:name="LW_REF.INST.NEW_ADOPTED" w:val="final"/>
    <w:docVar w:name="LW_REF.INST.NEW_TEXT" w:val="(2020) 80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7?\u1086?\u1079?\u1080?\u1094?\u1080?\u1103?\u1090?\u1072? \u1085?\u1072? \u1057?\u1098?\u1074?\u1077?\u1090?\u1072? \u1074?\u1098?\u1074? \u1074?\u1088?\u1098?\u1079?\u1082?\u1072? \u1089? \u1087?\u1088?\u1080?\u1077?\u1084?\u1072?\u1085?\u1077?\u1090?\u1086? \u1085?\u1072? \u1088?\u1077?\u1075?\u1083?\u1072?\u1084?\u1077?\u1085?\u1090? \u1079?\u1072? \u1080?\u1079?\u1084?\u1077?\u1085?\u1077?\u1085?\u1080?\u1077? \u1085?\u1072? \u1056?\u1077?\u1075?\u1083?\u1072?\u1084?\u1077?\u1085?\u1090? (\u1045?\u1057?, \u1045?\u1074?\u1088?\u1072?\u1090?\u1086?\u1084?) \u8470? 883/2013 \u1087?\u1086? \u1086?\u1090?\u1085?\u1086?\u1096?\u1077?\u1085?\u1080?\u1077? \u1085?\u1072? \u1089?\u1098?\u1090?\u1088?\u1091?\u1076?\u1085?\u1080?\u1095?\u1077?\u1089?\u1090?\u1074?\u1086?\u1090?\u1086? \u1089? \u1045?\u1074?\u1088?\u1086?\u1087?\u1077?\u1081?\u1089?\u1082?\u1072?\u1090?\u1072? \u1087?\u1088?\u1086?\u1082?\u1091?\u1088?\u1072?\u1090?\u1091?\u1088?\u1072? \u1080? \u1077?\u1092?\u1077?\u1082?\u1090?\u1080?\u1074?\u1085?\u1086?\u1089?\u1090?\u1090?\u1072? \u1085?\u1072? \u1088?\u1072?\u1079?\u1089?\u1083?\u1077?\u1076?\u1074?\u1072?\u1085?\u1080?\u1103?\u1090?\u1072? \u1085?\u1072? \u1045?\u1074?\u1088?\u1086?\u1087?\u1077?\u1081?\u1089?\u1082?\u1072?\u1090?\u1072? \u1089?\u1083?\u1091?\u1078?\u1073?\u1072? \u1079?\u1072? \u1073?\u1086?\u1088?\u1073?\u1072? \u1089? \u1080?\u1079?\u1084?\u1072?\u1084?\u1080?\u1090?\u1077? _x000b_ _x000b_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4</Pages>
  <Words>740</Words>
  <Characters>4443</Characters>
  <Application>Microsoft Office Word</Application>
  <DocSecurity>0</DocSecurity>
  <Lines>100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18</cp:revision>
  <dcterms:created xsi:type="dcterms:W3CDTF">2020-12-10T09:17:00Z</dcterms:created>
  <dcterms:modified xsi:type="dcterms:W3CDTF">2020-12-11T15:54:00Z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SJ-028</vt:lpwstr>
  </property>
  <property fmtid="{D5CDD505-2E9C-101B-9397-08002B2CF9AE}" pid="10" name="DQCStatus">
    <vt:lpwstr>Green (DQC version 03)</vt:lpwstr>
  </property>
</Properties>
</file>