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446A89-7D3B-406E-BCD3-642F0AE04A34"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на срещите на страните по Споразумението за мерките на пристанищната държава с цел предотвратяване, възпиране и премахване на незаконния, недеклариран и нерегулиран риболов.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мерките на пристанищната държава с цел предотвратяване, възпиране и премахване на незаконния, недеклариран и нерегулиран риболов</w:t>
      </w:r>
    </w:p>
    <w:p>
      <w:pPr>
        <w:rPr>
          <w:noProof/>
        </w:rPr>
      </w:pPr>
      <w:r>
        <w:rPr>
          <w:noProof/>
        </w:rPr>
        <w:t xml:space="preserve">Споразумението за мерките на пристанищната държава с цел предотвратяване, възпиране и премахване на незаконния, недеклариран и нерегулиран риболов („споразумението“) е първото обвързващо международно споразумение, насочено конкретно към незаконния, недеклариран и нерегулиран (ННН) риболов. </w:t>
      </w:r>
    </w:p>
    <w:p>
      <w:pPr>
        <w:rPr>
          <w:noProof/>
        </w:rPr>
      </w:pPr>
      <w:r>
        <w:rPr>
          <w:noProof/>
        </w:rPr>
        <w:t>Основната цел на споразумението е да се предотврати, възпре и премахне ННН риболов, като не се позволява на корабите, извършващи такъв риболов, да използват пристанищата и да въвеждат улова си на пазарите. По този начин споразумението ограничава стимулите на тези кораби да продължат да извършват дейност, като същевременно блокира достъпа на продуктите, получени от ННН риболов, до националните и международните пазари. Неговото ефективно прилагане допринася за дългосрочното опазване и устойчивото използване на живите морски ресурси и морските екосистеми. Разпоредбите на споразумението се прилагат по отношение на риболовните кораби, които желаят да получат достъп до пристанище на държава, различна от тяхната държава на знамето.</w:t>
      </w:r>
    </w:p>
    <w:p>
      <w:pPr>
        <w:rPr>
          <w:rFonts w:eastAsia="Arial Unicode MS"/>
          <w:noProof/>
        </w:rPr>
      </w:pPr>
      <w:r>
        <w:rPr>
          <w:noProof/>
        </w:rPr>
        <w:t>Споразумението беше договорено в рамките на Организацията на ООН по прехрана и земеделие (ФАО), в която членува Европейският съюз. На 22 ноември 2009 г. то беше одобрено от Конференцията на ФАО на нейната 36-а сесия с Резолюция № 12/2009 съгласно член XIV, параграф 1 от устава на ФАО. Споразумението влезе в сила на 5 юни 2016 г.</w:t>
      </w:r>
      <w:r>
        <w:rPr>
          <w:rStyle w:val="FootnoteReference"/>
          <w:rFonts w:eastAsia="Arial Unicode MS"/>
          <w:noProof/>
        </w:rPr>
        <w:footnoteReference w:id="1"/>
      </w:r>
      <w:r>
        <w:rPr>
          <w:noProof/>
        </w:rPr>
        <w:t xml:space="preserve">, като понастоящем страните по него са 67. </w:t>
      </w:r>
    </w:p>
    <w:p>
      <w:pPr>
        <w:rPr>
          <w:rFonts w:eastAsia="Arial Unicode MS"/>
          <w:noProof/>
        </w:rPr>
      </w:pPr>
      <w:r>
        <w:rPr>
          <w:noProof/>
        </w:rPr>
        <w:t>Европейският съюз, който се присъедини към споразумението през 2011 г.</w:t>
      </w:r>
      <w:r>
        <w:rPr>
          <w:rStyle w:val="FootnoteReference"/>
          <w:rFonts w:eastAsia="Arial Unicode MS"/>
          <w:noProof/>
        </w:rPr>
        <w:footnoteReference w:id="2"/>
      </w:r>
      <w:r>
        <w:rPr>
          <w:noProof/>
        </w:rPr>
        <w:t xml:space="preserve">, е една от първите страни по него. </w:t>
      </w:r>
    </w:p>
    <w:p>
      <w:pPr>
        <w:pStyle w:val="ManualHeading2"/>
        <w:rPr>
          <w:noProof/>
        </w:rPr>
      </w:pPr>
      <w:r>
        <w:t>2.2.</w:t>
      </w:r>
      <w:r>
        <w:tab/>
      </w:r>
      <w:r>
        <w:rPr>
          <w:noProof/>
        </w:rPr>
        <w:t>Среща на страните</w:t>
      </w:r>
    </w:p>
    <w:p>
      <w:pPr>
        <w:rPr>
          <w:rFonts w:eastAsia="Arial Unicode MS"/>
          <w:noProof/>
        </w:rPr>
      </w:pPr>
      <w:r>
        <w:rPr>
          <w:noProof/>
        </w:rPr>
        <w:t>Срещата на страните е органът за вземане на решения по силата на споразумението, като тя се свиква на всеки две години или по-често, ако бъде взето такова решение</w:t>
      </w:r>
      <w:r>
        <w:rPr>
          <w:rStyle w:val="FootnoteReference"/>
          <w:rFonts w:eastAsia="Arial Unicode MS"/>
          <w:noProof/>
        </w:rPr>
        <w:footnoteReference w:id="3"/>
      </w:r>
      <w:r>
        <w:rPr>
          <w:noProof/>
        </w:rPr>
        <w:t xml:space="preserve">. </w:t>
      </w:r>
    </w:p>
    <w:p>
      <w:pPr>
        <w:rPr>
          <w:noProof/>
        </w:rPr>
      </w:pPr>
      <w:r>
        <w:rPr>
          <w:noProof/>
        </w:rPr>
        <w:t xml:space="preserve">В член 24, параграф 2 от споразумението се предвижда, че четири години след влизането му в сила ФАО свиква среща на страните за преглед и оценка на неговата </w:t>
      </w:r>
      <w:r>
        <w:rPr>
          <w:noProof/>
        </w:rPr>
        <w:lastRenderedPageBreak/>
        <w:t>ефективност при постигането на заложената в него цел</w:t>
      </w:r>
      <w:r>
        <w:rPr>
          <w:rStyle w:val="FootnoteReference"/>
          <w:noProof/>
        </w:rPr>
        <w:footnoteReference w:id="4"/>
      </w:r>
      <w:r>
        <w:rPr>
          <w:noProof/>
        </w:rPr>
        <w:t>. След това страните вземат решение за провеждане на по-нататъшни такива срещи, ако е необходимо.</w:t>
      </w:r>
    </w:p>
    <w:p>
      <w:pPr>
        <w:rPr>
          <w:noProof/>
        </w:rPr>
      </w:pPr>
      <w:r>
        <w:rPr>
          <w:noProof/>
        </w:rPr>
        <w:t>Специални срещи на страните могат да се провеждат и по друго време, ако страните преценят, че това е необходимо или по писмено искане на която и да е от тях</w:t>
      </w:r>
      <w:r>
        <w:rPr>
          <w:rStyle w:val="FootnoteReference"/>
          <w:noProof/>
        </w:rPr>
        <w:footnoteReference w:id="5"/>
      </w:r>
      <w:r>
        <w:rPr>
          <w:noProof/>
        </w:rPr>
        <w:t>.</w:t>
      </w:r>
    </w:p>
    <w:p>
      <w:pPr>
        <w:pStyle w:val="ManualHeading2"/>
        <w:rPr>
          <w:noProof/>
        </w:rPr>
      </w:pPr>
      <w:r>
        <w:t>2.3.</w:t>
      </w:r>
      <w:r>
        <w:tab/>
      </w:r>
      <w:r>
        <w:rPr>
          <w:noProof/>
        </w:rPr>
        <w:t>Решения на срещата на страните</w:t>
      </w:r>
    </w:p>
    <w:p>
      <w:pPr>
        <w:rPr>
          <w:rFonts w:eastAsia="Arial Unicode MS"/>
          <w:noProof/>
        </w:rPr>
      </w:pPr>
      <w:r>
        <w:rPr>
          <w:noProof/>
        </w:rPr>
        <w:t xml:space="preserve">Срещата на страните има правомощието да приема мерки за предотвратяването, възпирането и премахването на ННН риболов, които са задължителни за договарящите страни. </w:t>
      </w:r>
    </w:p>
    <w:p>
      <w:pPr>
        <w:rPr>
          <w:noProof/>
        </w:rPr>
      </w:pPr>
      <w:r>
        <w:rPr>
          <w:noProof/>
        </w:rPr>
        <w:t>По принцип страните вземат решения по същество с консенсус, но когато председателят реши, че всички усилия за постигане на консенсус са изчерпани, съответното решение се взема с обикновено мнозинство от подадените гласове</w:t>
      </w:r>
      <w:r>
        <w:rPr>
          <w:rStyle w:val="FootnoteReference"/>
          <w:noProof/>
        </w:rPr>
        <w:footnoteReference w:id="6"/>
      </w:r>
      <w:r>
        <w:rPr>
          <w:noProof/>
        </w:rPr>
        <w:t xml:space="preserve">. </w:t>
      </w:r>
    </w:p>
    <w:p>
      <w:pPr>
        <w:rPr>
          <w:noProof/>
        </w:rPr>
      </w:pPr>
      <w:r>
        <w:rPr>
          <w:noProof/>
        </w:rPr>
        <w:t>Изменения на процедурния правилник за срещите на страните могат да бъдат приемани с консенсус; когато консенсус не може да бъде постигнат, съответното решение се взема с мнозинство от две трети от подадените гласове, при условие че това мнозинство представлява повече от половината от всички страни</w:t>
      </w:r>
      <w:r>
        <w:rPr>
          <w:rStyle w:val="FootnoteReference"/>
          <w:noProof/>
        </w:rPr>
        <w:footnoteReference w:id="7"/>
      </w:r>
      <w:r>
        <w:rPr>
          <w:noProof/>
        </w:rPr>
        <w:t>. Съюзът има право на участие и право на глас.</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Предлага се позицията, която трябва да се заеме от името на Съюза на срещите на страните, да бъде установена в съответствие с двустепенен подход. С решение на Съвета ще се определят ръководните принципи и насоки на позицията на Съюза на многогодишна основа, като впоследствие тази позиция се коригира за всяка среща посредством неофициални документи на Комисията, предназначени за обсъждане в работната група на Съвета.</w:t>
      </w:r>
    </w:p>
    <w:p>
      <w:pPr>
        <w:rPr>
          <w:rFonts w:eastAsia="Arial Unicode MS"/>
          <w:noProof/>
        </w:rPr>
      </w:pPr>
      <w:r>
        <w:rPr>
          <w:noProof/>
        </w:rPr>
        <w:t>Този подход се прилага понастоящем и в регионалните организации за управление на рибарството, както и по отношение на позицията, която трябва да се заеме от името на Съюза по време на техните заседания.</w:t>
      </w:r>
    </w:p>
    <w:p>
      <w:pPr>
        <w:rPr>
          <w:noProof/>
        </w:rPr>
      </w:pPr>
      <w:r>
        <w:rPr>
          <w:noProof/>
        </w:rPr>
        <w:t>Настоящото решение включва принципите и насоките на общата политика в областта на рибарството, определени в Регламент (ЕС) № 1380/2013 на Европейския парламент и на Съвета</w:t>
      </w:r>
      <w:r>
        <w:rPr>
          <w:rStyle w:val="FootnoteReference"/>
          <w:rFonts w:eastAsia="Arial Unicode MS"/>
          <w:noProof/>
        </w:rPr>
        <w:footnoteReference w:id="8"/>
      </w:r>
      <w:r>
        <w:rPr>
          <w:noProof/>
        </w:rPr>
        <w:t>, и е съобразено със системата на Общността за предотвратяване, възпиране и премахване на ННН риболов, установена с Регламент (ЕО) № 1005/2008. В него са взети предвид разпоредбите на Регламент (ЕО) № 1224/2009 на Съвета за създаване на система за контрол на Съюза за гарантиране на спазването на правилата на общата политика в областта на рибарството</w:t>
      </w:r>
      <w:r>
        <w:rPr>
          <w:rStyle w:val="FootnoteReference"/>
          <w:noProof/>
        </w:rPr>
        <w:footnoteReference w:id="9"/>
      </w:r>
      <w:r>
        <w:rPr>
          <w:noProof/>
        </w:rPr>
        <w:t xml:space="preserve">, Регламент (ЕС) 2017/2403 на Европейския парламент и на Съвета от 12 декември 2017 г. относно устойчивото управление на </w:t>
      </w:r>
      <w:r>
        <w:rPr>
          <w:noProof/>
        </w:rPr>
        <w:lastRenderedPageBreak/>
        <w:t>външните риболовни флотове</w:t>
      </w:r>
      <w:r>
        <w:rPr>
          <w:rStyle w:val="FootnoteReference"/>
          <w:noProof/>
        </w:rPr>
        <w:footnoteReference w:id="10"/>
      </w:r>
      <w:r>
        <w:rPr>
          <w:noProof/>
        </w:rPr>
        <w:t>, Регламент (ЕС) 2019/1241 на Европейския парламент и на Съвета от 20 юни 2019 г. за опазване на рибните ресурси и защита на морските екосистеми чрез технически мерки</w:t>
      </w:r>
      <w:r>
        <w:rPr>
          <w:rStyle w:val="FootnoteReference"/>
          <w:noProof/>
        </w:rPr>
        <w:footnoteReference w:id="11"/>
      </w:r>
      <w:r>
        <w:rPr>
          <w:noProof/>
        </w:rPr>
        <w:t xml:space="preserve"> и Регламент за изпълнение (ЕС) № 404/2011 на Комисията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Pr>
          <w:rStyle w:val="FootnoteReference"/>
          <w:noProof/>
        </w:rPr>
        <w:footnoteReference w:id="12"/>
      </w:r>
      <w:r>
        <w:rPr>
          <w:noProof/>
        </w:rPr>
        <w:t xml:space="preserve">. </w:t>
      </w:r>
    </w:p>
    <w:p>
      <w:pPr>
        <w:rPr>
          <w:noProof/>
          <w:color w:val="000000" w:themeColor="text1"/>
        </w:rPr>
      </w:pPr>
      <w:r>
        <w:rPr>
          <w:noProof/>
        </w:rPr>
        <w:t>Настоящото решение е съобразено и с международните ангажименти на ЕС съгласно Конвенцията на ООН по морско право от 10 декември 1982 г., Споразумението на ООН от 4 август 1995 г. относно опазването и управлението на трансгранично преминаващите и далекомигриращите рибни запаси, Споразумението на ФАО от 24 ноември 1993 г. за насърчаване на спазването на международните мерки за опазване и управление от риболовните кораби в открито море, както и други приложими многостранни и двустранни споразумения.</w:t>
      </w:r>
      <w:r>
        <w:rPr>
          <w:noProof/>
          <w:color w:val="000000" w:themeColor="text1"/>
        </w:rPr>
        <w:t xml:space="preserve"> </w:t>
      </w:r>
    </w:p>
    <w:p>
      <w:pPr>
        <w:rPr>
          <w:noProof/>
        </w:rPr>
      </w:pPr>
      <w:r>
        <w:rPr>
          <w:noProof/>
        </w:rPr>
        <w:t>Настоящото решение отразява целите, определени в Съобщението на Комисията относно външното измерение на общата политика в областта на рибарството</w:t>
      </w:r>
      <w:r>
        <w:rPr>
          <w:rStyle w:val="FootnoteReference"/>
          <w:rFonts w:eastAsia="Arial Unicode MS"/>
          <w:noProof/>
        </w:rPr>
        <w:footnoteReference w:id="13"/>
      </w:r>
      <w:r>
        <w:rPr>
          <w:noProof/>
        </w:rPr>
        <w:t xml:space="preserve"> и свързаните с него заключения на Съвета, заключенията на Съвета относно океаните и моретата</w:t>
      </w:r>
      <w:r>
        <w:rPr>
          <w:rStyle w:val="FootnoteReference"/>
          <w:rFonts w:eastAsia="Arial Unicode MS"/>
          <w:noProof/>
        </w:rPr>
        <w:footnoteReference w:id="14"/>
      </w:r>
      <w:r>
        <w:rPr>
          <w:noProof/>
        </w:rPr>
        <w:t>, както и заключенията на Съвета</w:t>
      </w:r>
      <w:r>
        <w:rPr>
          <w:rStyle w:val="FootnoteReference"/>
          <w:noProof/>
        </w:rPr>
        <w:footnoteReference w:id="15"/>
      </w:r>
      <w:r>
        <w:rPr>
          <w:noProof/>
        </w:rPr>
        <w:t xml:space="preserve"> относно съвместното съобщение на върховния представител на Съюза по въпросите на външните работи и политиката на сигурност и на Комисията на тема „Международно управление на океаните: приносът на ЕС за отговорното управление на океаните“</w:t>
      </w:r>
      <w:r>
        <w:rPr>
          <w:rStyle w:val="FootnoteReference"/>
          <w:noProof/>
        </w:rPr>
        <w:footnoteReference w:id="16"/>
      </w:r>
      <w:r>
        <w:rPr>
          <w:noProof/>
        </w:rPr>
        <w:t>, включително във връзка със сътрудничеството с трети държави за прилагането на Споразумението за мерките на пристанищната държава. То също така обхваща свързаните с ННН риболов аспекти на Стратегията на ЕС за морска сигурност</w:t>
      </w:r>
      <w:r>
        <w:rPr>
          <w:rStyle w:val="FootnoteReference"/>
          <w:noProof/>
        </w:rPr>
        <w:footnoteReference w:id="17"/>
      </w:r>
      <w:r>
        <w:rPr>
          <w:noProof/>
        </w:rPr>
        <w:t xml:space="preserve"> и преразгледания план за действие за нейното прилагане</w:t>
      </w:r>
      <w:r>
        <w:rPr>
          <w:rStyle w:val="FootnoteReference"/>
          <w:noProof/>
        </w:rPr>
        <w:footnoteReference w:id="18"/>
      </w:r>
      <w:r>
        <w:rPr>
          <w:noProof/>
        </w:rPr>
        <w:t>.</w:t>
      </w:r>
    </w:p>
    <w:p>
      <w:pPr>
        <w:rPr>
          <w:noProof/>
        </w:rPr>
      </w:pPr>
      <w:r>
        <w:rPr>
          <w:noProof/>
        </w:rPr>
        <w:t>Настоящото решение е вдъхновено и от ангажимента, формулиран в съобщението на Комисията „Европейският зелен пакт“</w:t>
      </w:r>
      <w:r>
        <w:rPr>
          <w:rStyle w:val="FootnoteReference"/>
          <w:noProof/>
        </w:rPr>
        <w:footnoteReference w:id="19"/>
      </w:r>
      <w:r>
        <w:rPr>
          <w:noProof/>
        </w:rPr>
        <w:t>, за възприемане на подход на нулева толерантност към ННН риболов — цел, която впоследствие беше потвърдена в две съобщения на Комисията, озаглавени „Стратегия на ЕС за биологичното разнообразие до 2030 г.“</w:t>
      </w:r>
      <w:r>
        <w:rPr>
          <w:rStyle w:val="FootnoteReference"/>
          <w:rFonts w:eastAsiaTheme="minorEastAsia"/>
          <w:noProof/>
        </w:rPr>
        <w:footnoteReference w:id="20"/>
      </w:r>
      <w:r>
        <w:rPr>
          <w:noProof/>
        </w:rPr>
        <w:t xml:space="preserve"> и „Стратегия „От фермата до трапезата“ за справедлива, здравословна и екологосъобразна продоволствена система“</w:t>
      </w:r>
      <w:r>
        <w:rPr>
          <w:rStyle w:val="FootnoteReference"/>
          <w:rFonts w:eastAsiaTheme="minorEastAsia"/>
          <w:noProof/>
        </w:rPr>
        <w:footnoteReference w:id="21"/>
      </w:r>
      <w:r>
        <w:rPr>
          <w:noProof/>
        </w:rPr>
        <w:t>.</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w:t>
      </w:r>
      <w:r>
        <w:rPr>
          <w:noProof/>
        </w:rPr>
        <w:lastRenderedPageBreak/>
        <w:t>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2"/>
      </w:r>
      <w:r>
        <w:rPr>
          <w:noProof/>
        </w:rPr>
        <w:t>.</w:t>
      </w:r>
    </w:p>
    <w:p>
      <w:pPr>
        <w:pStyle w:val="ManualHeading3"/>
        <w:rPr>
          <w:noProof/>
        </w:rPr>
      </w:pPr>
      <w:r>
        <w:t>4.1.2.</w:t>
      </w:r>
      <w:r>
        <w:tab/>
      </w:r>
      <w:r>
        <w:rPr>
          <w:noProof/>
        </w:rPr>
        <w:t>Прилагане в конкретния случай</w:t>
      </w:r>
    </w:p>
    <w:p>
      <w:pPr>
        <w:rPr>
          <w:noProof/>
        </w:rPr>
      </w:pPr>
      <w:r>
        <w:rPr>
          <w:noProof/>
        </w:rPr>
        <w:t>Срещата на страните е орган, създаден със споразумение, а именно Споразумението за мерките на пристанищната държава с цел предотвратяване, възпиране и премахване на незаконния, недеклариран и нерегулиран риболов.</w:t>
      </w:r>
    </w:p>
    <w:p>
      <w:pPr>
        <w:rPr>
          <w:noProof/>
        </w:rPr>
      </w:pPr>
      <w:r>
        <w:rPr>
          <w:noProof/>
        </w:rPr>
        <w:t>Актовете, които срещата на страните има за задача да приеме, представляват актове с правно действие. Предвидените актове на срещата на страните ще бъдат обвързващи съгласно международното право и могат да окажат съществено въздействие върху съдържанието на законодателството на ЕС, а именно:</w:t>
      </w:r>
    </w:p>
    <w:p>
      <w:pPr>
        <w:pStyle w:val="Bullet0"/>
        <w:numPr>
          <w:ilvl w:val="0"/>
          <w:numId w:val="1"/>
        </w:numPr>
        <w:rPr>
          <w:noProof/>
        </w:rPr>
      </w:pPr>
      <w:r>
        <w:rPr>
          <w:noProof/>
        </w:rPr>
        <w:t>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r>
        <w:rPr>
          <w:rStyle w:val="FootnoteReference"/>
          <w:noProof/>
        </w:rPr>
        <w:footnoteReference w:id="23"/>
      </w:r>
      <w:r>
        <w:rPr>
          <w:noProof/>
        </w:rPr>
        <w:t xml:space="preserve">; </w:t>
      </w:r>
    </w:p>
    <w:p>
      <w:pPr>
        <w:pStyle w:val="Bullet0"/>
        <w:rPr>
          <w:noProof/>
        </w:rPr>
      </w:pPr>
      <w:r>
        <w:rPr>
          <w:noProof/>
        </w:rPr>
        <w:t>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Pr>
          <w:rStyle w:val="FootnoteReference"/>
          <w:noProof/>
        </w:rPr>
        <w:footnoteReference w:id="24"/>
      </w:r>
      <w:r>
        <w:rPr>
          <w:noProof/>
        </w:rPr>
        <w:t>;</w:t>
      </w:r>
    </w:p>
    <w:p>
      <w:pPr>
        <w:pStyle w:val="Bullet0"/>
        <w:rPr>
          <w:noProof/>
        </w:rPr>
      </w:pPr>
      <w:r>
        <w:rPr>
          <w:noProof/>
        </w:rPr>
        <w:t>Регламент (ЕС) 2017/2403 на Европейския парламент и на Съвета от 12 декември 2017 г. относно устойчивото управление на външните риболовни флотове</w:t>
      </w:r>
      <w:r>
        <w:rPr>
          <w:rStyle w:val="FootnoteReference"/>
          <w:noProof/>
        </w:rPr>
        <w:footnoteReference w:id="25"/>
      </w:r>
      <w:r>
        <w:rPr>
          <w:noProof/>
        </w:rPr>
        <w:t>;</w:t>
      </w:r>
    </w:p>
    <w:p>
      <w:pPr>
        <w:pStyle w:val="Bullet0"/>
        <w:rPr>
          <w:noProof/>
        </w:rPr>
      </w:pPr>
      <w:r>
        <w:rPr>
          <w:noProof/>
        </w:rPr>
        <w:t>Регламент (ЕС) 2019/1241 на Европейския парламент и на Съвета от 20 юни 2019 г. за опазване на рибните ресурси и защита на морските екосистеми чрез технически мерки</w:t>
      </w:r>
      <w:r>
        <w:rPr>
          <w:rStyle w:val="FootnoteReference"/>
          <w:noProof/>
        </w:rPr>
        <w:footnoteReference w:id="26"/>
      </w:r>
      <w:r>
        <w:rPr>
          <w:noProof/>
        </w:rPr>
        <w:t>;</w:t>
      </w:r>
    </w:p>
    <w:p>
      <w:pPr>
        <w:pStyle w:val="Bullet0"/>
        <w:rPr>
          <w:noProof/>
        </w:rPr>
      </w:pPr>
      <w:r>
        <w:rPr>
          <w:noProof/>
        </w:rPr>
        <w:t>Регламент за изпълнение (ЕС) № 404/2011 на Комисията за определяне на подробни правила за прилагане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Pr>
          <w:rStyle w:val="FootnoteReference"/>
          <w:noProof/>
        </w:rPr>
        <w:footnoteReference w:id="27"/>
      </w:r>
      <w:r>
        <w:rPr>
          <w:noProof/>
        </w:rPr>
        <w:t>.</w:t>
      </w:r>
    </w:p>
    <w:p>
      <w:pPr>
        <w:rPr>
          <w:noProof/>
        </w:rPr>
      </w:pPr>
      <w:r>
        <w:rPr>
          <w:noProof/>
        </w:rPr>
        <w:t>Независимо от това 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pPr>
        <w:rPr>
          <w:noProof/>
        </w:rPr>
      </w:pPr>
      <w:r>
        <w:rPr>
          <w:noProof/>
        </w:rPr>
        <w:t>Основната цел и съдържанието на предвидените актове са свързани с рибарството. Правното основание при определяне на принципите, които трябва да бъдат отразени в настоящата позиция, е Регламент (ЕС) № 1380/2013.</w:t>
      </w:r>
    </w:p>
    <w:p>
      <w:pPr>
        <w:rPr>
          <w:noProof/>
        </w:rPr>
      </w:pPr>
      <w:r>
        <w:rPr>
          <w:noProof/>
        </w:rPr>
        <w:t xml:space="preserve">Поради това материалноправното основание за предложеното решение е член 43, параграф 2 от ДФЕС.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43, параграф 2 от ДФЕС във връзка с член 218, параграф 9 от него.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срещите на страните по Споразумението за мерките на пристанищната държава с цел предотвратяване, възпиране и премахване на незаконния, недеклариран и нерегулиран риболов</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shd w:val="clear" w:color="auto" w:fill="FFFFFF"/>
        </w:rPr>
      </w:pPr>
      <w:r>
        <w:t>(1)</w:t>
      </w:r>
      <w:r>
        <w:tab/>
      </w:r>
      <w:r>
        <w:rPr>
          <w:noProof/>
        </w:rPr>
        <w:t>Споразумението за мерките на пристанищната държава с цел предотвратяване, възпиране и премахване на незаконния, недеклариран и нерегулиран риболов („споразумението“), договорено под егидата на Организацията на ООН по прехрана и земеделие (ФАО), в която членува и Съюзът, беше одобрено от Съюза с Решение 2011/443/ЕС на Съвета</w:t>
      </w:r>
      <w:r>
        <w:rPr>
          <w:rStyle w:val="FootnoteReference"/>
          <w:noProof/>
        </w:rPr>
        <w:footnoteReference w:id="28"/>
      </w:r>
      <w:r>
        <w:rPr>
          <w:noProof/>
        </w:rPr>
        <w:t>. То влезе в сила на 5 юни 2016 г.</w:t>
      </w:r>
    </w:p>
    <w:p>
      <w:pPr>
        <w:pStyle w:val="ManualConsidrant"/>
        <w:rPr>
          <w:noProof/>
        </w:rPr>
      </w:pPr>
      <w:r>
        <w:t>(2)</w:t>
      </w:r>
      <w:r>
        <w:tab/>
      </w:r>
      <w:r>
        <w:rPr>
          <w:noProof/>
        </w:rPr>
        <w:t>Срещата на страните е органът за вземане на решения по силата на споразумението и има правомощието да приема мерки за предотвратяването, възпирането и премахването на ННН риболов, които са задължителни за страните. Този орган заседава на всеки две години или по-често, ако бъде взето такова решение.</w:t>
      </w:r>
    </w:p>
    <w:p>
      <w:pPr>
        <w:pStyle w:val="ManualConsidrant"/>
        <w:rPr>
          <w:noProof/>
        </w:rPr>
      </w:pPr>
      <w:r>
        <w:t>(3)</w:t>
      </w:r>
      <w:r>
        <w:tab/>
      </w:r>
      <w:r>
        <w:rPr>
          <w:noProof/>
        </w:rPr>
        <w:t>В член 24, параграф 2 от споразумението се предвижда, че четири години след влизането му в сила ФАО свиква среща на страните за преглед и оценка на неговата ефективност при постигането на заложената в него цел. След това страните вземат решение за провеждане на по-нататъшни такива срещи, ако е необходимо. Специални срещи на страните могат да се провеждат и по друго време, ако страните преценят, че това е необходимо или по писмено искане на която и да е от тях.</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първата среща на страните за преглед на споразумението</w:t>
      </w:r>
      <w:r>
        <w:rPr>
          <w:rStyle w:val="FootnoteReference"/>
          <w:noProof/>
        </w:rPr>
        <w:footnoteReference w:id="29"/>
      </w:r>
      <w:r>
        <w:rPr>
          <w:noProof/>
        </w:rPr>
        <w:t xml:space="preserve"> съгласно член 24, параграф 2 от него, както и на трите последващи двугодишни срещи на страните и всички съответни междусесийни срещи, считано от момента на приемането на настоящата позиция, тъй като мерките съгласно споразумението ще бъдат задължителни за Съюза и ще могат да окажат съществено въздействие върху съдържанието на неговото законодателство, а </w:t>
      </w:r>
      <w:r>
        <w:rPr>
          <w:noProof/>
        </w:rPr>
        <w:lastRenderedPageBreak/>
        <w:t>именно регламенти (ЕО) № 1005/2008</w:t>
      </w:r>
      <w:r>
        <w:rPr>
          <w:rStyle w:val="FootnoteReference"/>
          <w:noProof/>
        </w:rPr>
        <w:footnoteReference w:id="30"/>
      </w:r>
      <w:r>
        <w:rPr>
          <w:noProof/>
        </w:rPr>
        <w:t xml:space="preserve"> и (ЕО) № 1224/2009 на Съвета</w:t>
      </w:r>
      <w:r>
        <w:rPr>
          <w:rStyle w:val="FootnoteReference"/>
          <w:noProof/>
        </w:rPr>
        <w:footnoteReference w:id="31"/>
      </w:r>
      <w:r>
        <w:rPr>
          <w:noProof/>
        </w:rPr>
        <w:t>, Регламент (ЕС) 2017/2403 на Европейския парламент и на Съвета</w:t>
      </w:r>
      <w:r>
        <w:rPr>
          <w:rStyle w:val="FootnoteReference"/>
          <w:noProof/>
        </w:rPr>
        <w:footnoteReference w:id="32"/>
      </w:r>
      <w:r>
        <w:rPr>
          <w:noProof/>
        </w:rPr>
        <w:t xml:space="preserve"> и Регламент за изпълнение (ЕС) № 404/2011 на Комисията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r>
        <w:rPr>
          <w:rStyle w:val="FootnoteReference"/>
          <w:noProof/>
        </w:rPr>
        <w:footnoteReference w:id="33"/>
      </w:r>
      <w:r>
        <w:rPr>
          <w:noProof/>
        </w:rPr>
        <w:t xml:space="preserve">. </w:t>
      </w:r>
    </w:p>
    <w:p>
      <w:pPr>
        <w:pStyle w:val="ManualConsidrant"/>
        <w:rPr>
          <w:noProof/>
        </w:rPr>
      </w:pPr>
      <w:r>
        <w:t>(5)</w:t>
      </w:r>
      <w:r>
        <w:tab/>
      </w:r>
      <w:r>
        <w:rPr>
          <w:noProof/>
        </w:rPr>
        <w:t>Поради необходимостта от съобразяване на позицията на Съюза с новите обстоятелства въз основа на съответната информация, представена преди или по време на срещите на страните, следва също така да бъдат установени процедури, отразяващи заложения в член 13, параграф 2 от Договора за Европейския съюз принцип на лоялно сътрудничество между институциите на Съюза, за ежегодното уточняване на позицията на Съюза в рамките на първата среща за преглед на споразумението съгласно член 24, параграф 2 от него, както и на трите последващи двугодишни срещи на страните и всички съответни междусесийни срещи.</w:t>
      </w:r>
    </w:p>
    <w:p>
      <w:pPr>
        <w:pStyle w:val="ManualConsidrant"/>
        <w:rPr>
          <w:noProof/>
        </w:rPr>
      </w:pPr>
      <w:r>
        <w:t>(6)</w:t>
      </w:r>
      <w:r>
        <w:tab/>
      </w:r>
      <w:r>
        <w:rPr>
          <w:noProof/>
        </w:rPr>
        <w:t>Основната цел на споразумението е да се предотврати, възпре и премахне незаконният, недеклариран и нерегулиран (ННН) риболов, като не се позволява на корабите, извършващи такъв риболов, да използват пристанищата и да въвеждат улова си на пазарите. По този начин споразумението ограничава стимулите на тези кораби да продължат да извършват дейност, като същевременно блокира достъпа на продуктите, получени от ННН риболов, до националните и международните пазари.</w:t>
      </w:r>
    </w:p>
    <w:p>
      <w:pPr>
        <w:pStyle w:val="ManualConsidrant"/>
        <w:rPr>
          <w:noProof/>
        </w:rPr>
      </w:pPr>
      <w:r>
        <w:t>(7)</w:t>
      </w:r>
      <w:r>
        <w:tab/>
      </w:r>
      <w:r>
        <w:rPr>
          <w:noProof/>
        </w:rPr>
        <w:t xml:space="preserve">ННН риболов представлява една от най-сериозните заплахи за устойчивата експлоатация на живите водни ресурси, като застрашава основите на общата политика на Съюза в областта на рибарството и международните усилия за насърчаване на по-доброто управление на океаните. </w:t>
      </w:r>
    </w:p>
    <w:p>
      <w:pPr>
        <w:pStyle w:val="ManualConsidrant"/>
        <w:rPr>
          <w:noProof/>
        </w:rPr>
      </w:pPr>
      <w:r>
        <w:t>(8)</w:t>
      </w:r>
      <w:r>
        <w:tab/>
      </w:r>
      <w:r>
        <w:rPr>
          <w:noProof/>
        </w:rPr>
        <w:t xml:space="preserve">Срещата на страните по споразумението отговаря за приемането на мерки за неговото прилагане, като по този начин се гарантират дългосрочното опазване и устойчивото използване на живите морски ресурси и морските екосистеми. Съюзът следва да изпълнява активна, ефективна и конструктивна роля на тези срещи, за да се гарантира прилагането на споразумението и да се насърчи международното сътрудничество в областта на ННН риболов,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на срещите на страните по Споразумението за мерките на пристанищната държава с цел предотвратяване, възпиране и премахване на незаконния, недеклариран и нерегулиран риболов, е определена в приложение I.</w:t>
      </w:r>
    </w:p>
    <w:p>
      <w:pPr>
        <w:rPr>
          <w:noProof/>
        </w:rPr>
      </w:pPr>
      <w:r>
        <w:rPr>
          <w:noProof/>
        </w:rPr>
        <w:lastRenderedPageBreak/>
        <w:t>Тази позиция е установена за първата среща за преглед на споразумението съгласно член 24, параграф 2 от него, както и на трите последващи двугодишни срещи на страните и всички съответни междусесийни срещи.</w:t>
      </w:r>
    </w:p>
    <w:p>
      <w:pPr>
        <w:pStyle w:val="Titrearticle"/>
        <w:rPr>
          <w:noProof/>
        </w:rPr>
      </w:pPr>
      <w:r>
        <w:rPr>
          <w:noProof/>
        </w:rPr>
        <w:t>Член 2</w:t>
      </w:r>
    </w:p>
    <w:p>
      <w:pPr>
        <w:spacing w:after="240"/>
        <w:rPr>
          <w:noProof/>
          <w:szCs w:val="20"/>
        </w:rPr>
      </w:pPr>
      <w:r>
        <w:rPr>
          <w:noProof/>
        </w:rPr>
        <w:t xml:space="preserve">Ежегодното уточняване на посочената в член 1, втора алинея позиция на Съюза, която трябва да се заеме на срещите на страните по споразумението, се извършва в съответствие с приложение II. </w:t>
      </w:r>
    </w:p>
    <w:p>
      <w:pPr>
        <w:pStyle w:val="Titrearticle"/>
        <w:rPr>
          <w:noProof/>
        </w:rPr>
      </w:pPr>
      <w:r>
        <w:rPr>
          <w:noProof/>
        </w:rPr>
        <w:t>Член 3</w:t>
      </w:r>
    </w:p>
    <w:p>
      <w:pPr>
        <w:rPr>
          <w:noProof/>
        </w:rPr>
      </w:pPr>
      <w:r>
        <w:rPr>
          <w:noProof/>
        </w:rPr>
        <w:t>Позицията на Съюза, определена в приложение I, се подлага на оценка и при необходимост се преразглежда от Съвета по предложение на Комисията най-късно за срещата на страните по споразумението след третата двугодишна среща, посочена в член 1, втора алинея.</w:t>
      </w:r>
    </w:p>
    <w:p>
      <w:pPr>
        <w:pStyle w:val="Titrearticle"/>
        <w:rPr>
          <w:noProof/>
        </w:rPr>
      </w:pPr>
      <w:r>
        <w:rPr>
          <w:noProof/>
        </w:rPr>
        <w:t>Член 4</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r>
      <w:r>
        <w:rPr>
          <w:noProof/>
        </w:rPr>
        <w:tab/>
      </w:r>
      <w:r>
        <w:rPr>
          <w:noProof/>
        </w:rPr>
        <w:tab/>
      </w:r>
      <w:r>
        <w:rPr>
          <w:noProof/>
        </w:rPr>
        <w:tab/>
        <w:t>За Съвета</w:t>
      </w:r>
    </w:p>
    <w:p>
      <w:pPr>
        <w:pStyle w:val="Personnequisigne"/>
        <w:rPr>
          <w:noProof/>
        </w:rPr>
      </w:pPr>
      <w:r>
        <w:rPr>
          <w:noProof/>
        </w:rPr>
        <w:tab/>
      </w:r>
      <w:r>
        <w:rPr>
          <w:noProof/>
        </w:rPr>
        <w:tab/>
      </w:r>
      <w:r>
        <w:rPr>
          <w:noProof/>
        </w:rPr>
        <w:tab/>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Октомври 2020 г. — </w:t>
      </w:r>
      <w:hyperlink r:id="rId1" w:history="1">
        <w:r>
          <w:rPr>
            <w:rStyle w:val="Hyperlink"/>
          </w:rPr>
          <w:t>http://www.fao.org/port-state-measures/background/parties-psma/en/</w:t>
        </w:r>
      </w:hyperlink>
      <w:r>
        <w:t xml:space="preserve"> </w:t>
      </w:r>
    </w:p>
  </w:footnote>
  <w:footnote w:id="2">
    <w:p>
      <w:pPr>
        <w:pStyle w:val="FootnoteText"/>
      </w:pPr>
      <w:r>
        <w:rPr>
          <w:rStyle w:val="FootnoteReference"/>
        </w:rPr>
        <w:footnoteRef/>
      </w:r>
      <w:r>
        <w:tab/>
        <w:t xml:space="preserve">Решение 2011/443/ЕС на Съвета от 20 юни 2011 г. за одобряване, от името на Европейския съюз, на Споразумението за мерките на пристанищната държава с цел предотвратяване, възпиране и премахване на незаконния, недеклариран и нерегулиран риболов (ОВ L 191, 22.7.2011 г., стр. 1). </w:t>
      </w:r>
    </w:p>
  </w:footnote>
  <w:footnote w:id="3">
    <w:p>
      <w:pPr>
        <w:pStyle w:val="FootnoteText"/>
      </w:pPr>
      <w:r>
        <w:rPr>
          <w:rStyle w:val="FootnoteReference"/>
        </w:rPr>
        <w:footnoteRef/>
      </w:r>
      <w:r>
        <w:tab/>
        <w:t>Правило 5.1 от процедурния правилник за срещите на страните.</w:t>
      </w:r>
    </w:p>
  </w:footnote>
  <w:footnote w:id="4">
    <w:p>
      <w:pPr>
        <w:pStyle w:val="FootnoteText"/>
      </w:pPr>
      <w:r>
        <w:rPr>
          <w:rStyle w:val="FootnoteReference"/>
        </w:rPr>
        <w:footnoteRef/>
      </w:r>
      <w:r>
        <w:tab/>
        <w:t>Тази среща, чийто домакин щеше да бъде ЕС, трябваше да се проведе през 2020 г., но беше отложена за 2021 г. поради ситуацията във връзка с COVID-19.</w:t>
      </w:r>
    </w:p>
  </w:footnote>
  <w:footnote w:id="5">
    <w:p>
      <w:pPr>
        <w:pStyle w:val="FootnoteText"/>
      </w:pPr>
      <w:r>
        <w:rPr>
          <w:rStyle w:val="FootnoteReference"/>
        </w:rPr>
        <w:footnoteRef/>
      </w:r>
      <w:r>
        <w:tab/>
        <w:t>Правило 5.2 от процедурния правилник за срещите на страните.</w:t>
      </w:r>
    </w:p>
  </w:footnote>
  <w:footnote w:id="6">
    <w:p>
      <w:pPr>
        <w:pStyle w:val="FootnoteText"/>
      </w:pPr>
      <w:r>
        <w:rPr>
          <w:rStyle w:val="FootnoteReference"/>
        </w:rPr>
        <w:footnoteRef/>
      </w:r>
      <w:r>
        <w:tab/>
        <w:t>Правила 7.2 и 7.3 от процедурния правилник за срещите на страните.</w:t>
      </w:r>
    </w:p>
    <w:p>
      <w:pPr>
        <w:pStyle w:val="FootnoteText"/>
      </w:pPr>
      <w:r>
        <w:tab/>
        <w:t>Правило XVII, параграф 3, буква а) от общия правилник на организацията.</w:t>
      </w:r>
    </w:p>
  </w:footnote>
  <w:footnote w:id="7">
    <w:p>
      <w:pPr>
        <w:pStyle w:val="FootnoteText"/>
      </w:pPr>
      <w:r>
        <w:rPr>
          <w:rStyle w:val="FootnoteReference"/>
        </w:rPr>
        <w:footnoteRef/>
      </w:r>
      <w:r>
        <w:tab/>
        <w:t>Правило 13 от процедурния правилник за срещите на страните.</w:t>
      </w:r>
    </w:p>
  </w:footnote>
  <w:footnote w:id="8">
    <w:p>
      <w:pPr>
        <w:pStyle w:val="FootnoteText"/>
      </w:pPr>
      <w:r>
        <w:rPr>
          <w:rStyle w:val="FootnoteReference"/>
        </w:rPr>
        <w:footnoteRef/>
      </w:r>
      <w:r>
        <w:tab/>
        <w:t>Регламент (ЕС) № 1380/2013 на Европейския парламент и на Съвета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9">
    <w:p>
      <w:pPr>
        <w:pStyle w:val="FootnoteText"/>
      </w:pPr>
      <w:r>
        <w:rPr>
          <w:rStyle w:val="FootnoteReference"/>
        </w:rPr>
        <w:footnoteRef/>
      </w:r>
      <w:r>
        <w:tab/>
        <w:t>ОВ L 343, 22.12.2009 г., стр. 1.</w:t>
      </w:r>
    </w:p>
  </w:footnote>
  <w:footnote w:id="10">
    <w:p>
      <w:pPr>
        <w:pStyle w:val="FootnoteText"/>
      </w:pPr>
      <w:r>
        <w:rPr>
          <w:rStyle w:val="FootnoteReference"/>
        </w:rPr>
        <w:footnoteRef/>
      </w:r>
      <w:r>
        <w:tab/>
        <w:t>ОВ L 347, 28.12.2017 г., стр. 81.</w:t>
      </w:r>
    </w:p>
  </w:footnote>
  <w:footnote w:id="11">
    <w:p>
      <w:pPr>
        <w:pStyle w:val="FootnoteText"/>
      </w:pPr>
      <w:r>
        <w:rPr>
          <w:rStyle w:val="FootnoteReference"/>
        </w:rPr>
        <w:footnoteRef/>
      </w:r>
      <w:r>
        <w:tab/>
        <w:t>ОВ L 198, 25.7.2019 г., стр. 105.</w:t>
      </w:r>
    </w:p>
  </w:footnote>
  <w:footnote w:id="12">
    <w:p>
      <w:pPr>
        <w:pStyle w:val="FootnoteText"/>
      </w:pPr>
      <w:r>
        <w:rPr>
          <w:rStyle w:val="FootnoteReference"/>
        </w:rPr>
        <w:footnoteRef/>
      </w:r>
      <w:r>
        <w:tab/>
        <w:t>ОВ L 112, 30.4.2011 г., стр. 1.</w:t>
      </w:r>
    </w:p>
  </w:footnote>
  <w:footnote w:id="13">
    <w:p>
      <w:pPr>
        <w:pStyle w:val="FootnoteText"/>
      </w:pPr>
      <w:r>
        <w:rPr>
          <w:rStyle w:val="FootnoteReference"/>
        </w:rPr>
        <w:footnoteRef/>
      </w:r>
      <w:r>
        <w:tab/>
        <w:t>COM (2011) 424, 13.7.2011 г.</w:t>
      </w:r>
    </w:p>
  </w:footnote>
  <w:footnote w:id="14">
    <w:p>
      <w:pPr>
        <w:pStyle w:val="FootnoteText"/>
      </w:pPr>
      <w:r>
        <w:rPr>
          <w:rStyle w:val="FootnoteReference"/>
        </w:rPr>
        <w:footnoteRef/>
      </w:r>
      <w:r>
        <w:tab/>
        <w:t>14249/19, 19.11.2019 г.</w:t>
      </w:r>
    </w:p>
  </w:footnote>
  <w:footnote w:id="15">
    <w:p>
      <w:pPr>
        <w:pStyle w:val="FootnoteText"/>
      </w:pPr>
      <w:r>
        <w:rPr>
          <w:rStyle w:val="FootnoteReference"/>
        </w:rPr>
        <w:footnoteRef/>
      </w:r>
      <w:r>
        <w:tab/>
        <w:t>7348/1/17 REV 1, 24.3.2017 г.</w:t>
      </w:r>
    </w:p>
  </w:footnote>
  <w:footnote w:id="16">
    <w:p>
      <w:pPr>
        <w:pStyle w:val="FootnoteText"/>
      </w:pPr>
      <w:r>
        <w:rPr>
          <w:rStyle w:val="FootnoteReference"/>
        </w:rPr>
        <w:footnoteRef/>
      </w:r>
      <w:r>
        <w:tab/>
        <w:t>JOIN (2016) 49 final, 10.11.2016 г.</w:t>
      </w:r>
    </w:p>
  </w:footnote>
  <w:footnote w:id="17">
    <w:p>
      <w:pPr>
        <w:pStyle w:val="FootnoteText"/>
      </w:pPr>
      <w:r>
        <w:rPr>
          <w:rStyle w:val="FootnoteReference"/>
        </w:rPr>
        <w:footnoteRef/>
      </w:r>
      <w:r>
        <w:tab/>
        <w:t>Док. 11205/14 на Съвета на Европейския съюз, 24.6.2014 г.</w:t>
      </w:r>
    </w:p>
  </w:footnote>
  <w:footnote w:id="18">
    <w:p>
      <w:pPr>
        <w:pStyle w:val="FootnoteText"/>
      </w:pPr>
      <w:r>
        <w:rPr>
          <w:rStyle w:val="FootnoteReference"/>
        </w:rPr>
        <w:footnoteRef/>
      </w:r>
      <w:r>
        <w:tab/>
        <w:t>Док. 10494/18 на Съвета на Европейския съюз, 26.6.2018 г.</w:t>
      </w:r>
    </w:p>
  </w:footnote>
  <w:footnote w:id="19">
    <w:p>
      <w:pPr>
        <w:pStyle w:val="FootnoteText"/>
      </w:pPr>
      <w:r>
        <w:rPr>
          <w:rStyle w:val="FootnoteReference"/>
        </w:rPr>
        <w:footnoteRef/>
      </w:r>
      <w:r>
        <w:tab/>
        <w:t>COM (2019) 640 final, 11.12.2019 г.</w:t>
      </w:r>
    </w:p>
  </w:footnote>
  <w:footnote w:id="20">
    <w:p>
      <w:pPr>
        <w:pStyle w:val="FootnoteText"/>
      </w:pPr>
      <w:r>
        <w:rPr>
          <w:rStyle w:val="FootnoteReference"/>
        </w:rPr>
        <w:footnoteRef/>
      </w:r>
      <w:r>
        <w:tab/>
        <w:t>COM (2020) 380 final, 20.5.2020 г.</w:t>
      </w:r>
    </w:p>
  </w:footnote>
  <w:footnote w:id="21">
    <w:p>
      <w:pPr>
        <w:pStyle w:val="FootnoteText"/>
      </w:pPr>
      <w:r>
        <w:rPr>
          <w:rStyle w:val="FootnoteReference"/>
        </w:rPr>
        <w:footnoteRef/>
      </w:r>
      <w:r>
        <w:tab/>
        <w:t>COM (2020) 381 final, 20.5.2020 г.</w:t>
      </w:r>
    </w:p>
  </w:footnote>
  <w:footnote w:id="2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23">
    <w:p>
      <w:pPr>
        <w:pStyle w:val="FootnoteText"/>
      </w:pPr>
      <w:r>
        <w:rPr>
          <w:rStyle w:val="FootnoteReference"/>
        </w:rPr>
        <w:footnoteRef/>
      </w:r>
      <w:r>
        <w:tab/>
        <w:t>ОВ L 286, 29.10.2008 г., стр. 1.</w:t>
      </w:r>
    </w:p>
  </w:footnote>
  <w:footnote w:id="24">
    <w:p>
      <w:pPr>
        <w:pStyle w:val="FootnoteText"/>
      </w:pPr>
      <w:r>
        <w:rPr>
          <w:rStyle w:val="FootnoteReference"/>
        </w:rPr>
        <w:footnoteRef/>
      </w:r>
      <w:r>
        <w:tab/>
        <w:t>ОВ L 343, 22.12.2009 г., стр. 1.</w:t>
      </w:r>
    </w:p>
  </w:footnote>
  <w:footnote w:id="25">
    <w:p>
      <w:pPr>
        <w:pStyle w:val="FootnoteText"/>
      </w:pPr>
      <w:r>
        <w:rPr>
          <w:rStyle w:val="FootnoteReference"/>
        </w:rPr>
        <w:footnoteRef/>
      </w:r>
      <w:r>
        <w:tab/>
        <w:t>ОВ L 347, 28.12.2017 г., стр. 81.</w:t>
      </w:r>
    </w:p>
  </w:footnote>
  <w:footnote w:id="26">
    <w:p>
      <w:pPr>
        <w:pStyle w:val="FootnoteText"/>
      </w:pPr>
      <w:r>
        <w:rPr>
          <w:rStyle w:val="FootnoteReference"/>
        </w:rPr>
        <w:footnoteRef/>
      </w:r>
      <w:r>
        <w:tab/>
        <w:t>ОВ L 198, 25.7.2019 г., стр. 105.</w:t>
      </w:r>
    </w:p>
  </w:footnote>
  <w:footnote w:id="27">
    <w:p>
      <w:pPr>
        <w:pStyle w:val="FootnoteText"/>
      </w:pPr>
      <w:r>
        <w:rPr>
          <w:rStyle w:val="FootnoteReference"/>
        </w:rPr>
        <w:footnoteRef/>
      </w:r>
      <w:r>
        <w:tab/>
        <w:t>ОВ L 112, 30.4.2011 г., стр. 1.</w:t>
      </w:r>
    </w:p>
  </w:footnote>
  <w:footnote w:id="28">
    <w:p>
      <w:pPr>
        <w:pStyle w:val="FootnoteText"/>
      </w:pPr>
      <w:r>
        <w:rPr>
          <w:rStyle w:val="FootnoteReference"/>
        </w:rPr>
        <w:footnoteRef/>
      </w:r>
      <w:r>
        <w:tab/>
        <w:t xml:space="preserve">Решение 2011/443/ЕС на Съвета от 20 юни 2011 г. за одобряване, от името на Европейския съюз, на Споразумението за мерките на пристанищната държава с цел предотвратяване, възпиране и премахване на незаконния, недеклариран и нерегулиран риболов (ОВ L 191, 22.7.2011 г., стр. 1). </w:t>
      </w:r>
    </w:p>
  </w:footnote>
  <w:footnote w:id="29">
    <w:p>
      <w:pPr>
        <w:pStyle w:val="FootnoteText"/>
      </w:pPr>
      <w:r>
        <w:rPr>
          <w:rStyle w:val="FootnoteReference"/>
        </w:rPr>
        <w:footnoteRef/>
      </w:r>
      <w:r>
        <w:tab/>
        <w:t>Планирано да се проведе от 31 май до 4 юни 2021 г.</w:t>
      </w:r>
    </w:p>
  </w:footnote>
  <w:footnote w:id="30">
    <w:p>
      <w:pPr>
        <w:pStyle w:val="FootnoteText"/>
      </w:pPr>
      <w:r>
        <w:rPr>
          <w:rStyle w:val="FootnoteReference"/>
        </w:rPr>
        <w:footnoteRef/>
      </w:r>
      <w:r>
        <w:tab/>
        <w:t>ОВ L 286, 29.10.2008 г., стр. 1.</w:t>
      </w:r>
    </w:p>
  </w:footnote>
  <w:footnote w:id="31">
    <w:p>
      <w:pPr>
        <w:pStyle w:val="FootnoteText"/>
      </w:pPr>
      <w:r>
        <w:rPr>
          <w:rStyle w:val="FootnoteReference"/>
        </w:rPr>
        <w:footnoteRef/>
      </w:r>
      <w:r>
        <w:tab/>
        <w:t>ОВ L 343, 22.12.2009 г., стр. 1.</w:t>
      </w:r>
    </w:p>
  </w:footnote>
  <w:footnote w:id="32">
    <w:p>
      <w:pPr>
        <w:pStyle w:val="FootnoteText"/>
      </w:pPr>
      <w:r>
        <w:rPr>
          <w:rStyle w:val="FootnoteReference"/>
        </w:rPr>
        <w:footnoteRef/>
      </w:r>
      <w:r>
        <w:tab/>
        <w:t>ОВ L 347, 28.12.2017 г., стр. 81.</w:t>
      </w:r>
    </w:p>
  </w:footnote>
  <w:footnote w:id="33">
    <w:p>
      <w:pPr>
        <w:pStyle w:val="FootnoteText"/>
      </w:pPr>
      <w:r>
        <w:rPr>
          <w:rStyle w:val="FootnoteReference"/>
        </w:rPr>
        <w:footnoteRef/>
      </w:r>
      <w:r>
        <w:tab/>
        <w:t>ОВ L 112, 30.4.2011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A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4A48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FC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CA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8:14: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446A89-7D3B-406E-BCD3-642F0AE04A34"/>
    <w:docVar w:name="LW_COVERPAGE_TYPE" w:val="1"/>
    <w:docVar w:name="LW_CROSSREFERENCE" w:val="&lt;UNUSED&gt;"/>
    <w:docVar w:name="LW_DocType" w:val="COM"/>
    <w:docVar w:name="LW_EMISSION" w:val="14.12.2020"/>
    <w:docVar w:name="LW_EMISSION_ISODATE" w:val="2020-12-1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4"/>
    <w:docVar w:name="LW_REF.II.NEW.CP_YEAR" w:val="2020"/>
    <w:docVar w:name="LW_REF.INST.NEW" w:val="COM"/>
    <w:docVar w:name="LW_REF.INST.NEW_ADOPTED" w:val="final"/>
    <w:docVar w:name="LW_REF.INST.NEW_TEXT" w:val="(2020)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89?\u1088?\u1077?\u1097?\u1080?\u1090?\u1077? \u1085?\u1072? \u1089?\u1090?\u1088?\u1072?\u1085?\u1080?\u1090?\u1077? \u1087?\u1086? \u1057?\u1087?\u1086?\u1088?\u1072?\u1079?\u1091?\u1084?\u1077?\u1085?\u1080?\u1077?\u1090?\u1086? \u1079?\u1072? \u1084?\u1077?\u1088?\u1082?\u1080?\u1090?\u1077? \u1085?\u1072? \u1087?\u1088?\u1080?\u1089?\u1090?\u1072?\u1085?\u1080?\u1097?\u1085?\u1072?\u1090?\u1072? \u1076?\u1098?\u1088?\u1078?\u1072?\u1074?\u1072? \u1089? \u1094?\u1077?\u1083? \u1087?\u1088?\u1077?\u1076?\u1086?\u1090?\u1074?\u1088?\u1072?\u1090?\u1103?\u1074?\u1072?\u1085?\u1077?, \u1074?\u1098?\u1079?\u1087?\u1080?\u1088?\u1072?\u1085?\u1077? \u1080? \u1087?\u1088?\u1077?\u1084?\u1072?\u1093?\u1074?\u1072?\u1085?\u1077? \u1085?\u1072? \u1085?\u1077?\u1079?\u1072?\u1082?\u1086?\u1085?\u1085?\u1080?\u1103?, \u1085?\u1077?\u1076?\u1077?\u1082?\u1083?\u1072?\u1088?\u1080?\u1088?\u1072?\u1085? \u1080? \u1085?\u1077?\u1088?\u1077?\u1075?\u1091?\u1083?\u1080?\u1088?\u1072?\u1085? \u1088?\u1080?\u1073?\u1086?\u1083?\u1086?\u1074?"/>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bodytext">
    <w:name w:val="bodytext"/>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630">
      <w:bodyDiv w:val="1"/>
      <w:marLeft w:val="0"/>
      <w:marRight w:val="0"/>
      <w:marTop w:val="0"/>
      <w:marBottom w:val="0"/>
      <w:divBdr>
        <w:top w:val="none" w:sz="0" w:space="0" w:color="auto"/>
        <w:left w:val="none" w:sz="0" w:space="0" w:color="auto"/>
        <w:bottom w:val="none" w:sz="0" w:space="0" w:color="auto"/>
        <w:right w:val="none" w:sz="0" w:space="0" w:color="auto"/>
      </w:divBdr>
    </w:div>
    <w:div w:id="40595007">
      <w:bodyDiv w:val="1"/>
      <w:marLeft w:val="0"/>
      <w:marRight w:val="0"/>
      <w:marTop w:val="0"/>
      <w:marBottom w:val="0"/>
      <w:divBdr>
        <w:top w:val="none" w:sz="0" w:space="0" w:color="auto"/>
        <w:left w:val="none" w:sz="0" w:space="0" w:color="auto"/>
        <w:bottom w:val="none" w:sz="0" w:space="0" w:color="auto"/>
        <w:right w:val="none" w:sz="0" w:space="0" w:color="auto"/>
      </w:divBdr>
    </w:div>
    <w:div w:id="152455665">
      <w:bodyDiv w:val="1"/>
      <w:marLeft w:val="0"/>
      <w:marRight w:val="0"/>
      <w:marTop w:val="0"/>
      <w:marBottom w:val="0"/>
      <w:divBdr>
        <w:top w:val="none" w:sz="0" w:space="0" w:color="auto"/>
        <w:left w:val="none" w:sz="0" w:space="0" w:color="auto"/>
        <w:bottom w:val="none" w:sz="0" w:space="0" w:color="auto"/>
        <w:right w:val="none" w:sz="0" w:space="0" w:color="auto"/>
      </w:divBdr>
    </w:div>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495150910">
      <w:bodyDiv w:val="1"/>
      <w:marLeft w:val="0"/>
      <w:marRight w:val="0"/>
      <w:marTop w:val="0"/>
      <w:marBottom w:val="0"/>
      <w:divBdr>
        <w:top w:val="none" w:sz="0" w:space="0" w:color="auto"/>
        <w:left w:val="none" w:sz="0" w:space="0" w:color="auto"/>
        <w:bottom w:val="none" w:sz="0" w:space="0" w:color="auto"/>
        <w:right w:val="none" w:sz="0" w:space="0" w:color="auto"/>
      </w:divBdr>
    </w:div>
    <w:div w:id="555043398">
      <w:bodyDiv w:val="1"/>
      <w:marLeft w:val="0"/>
      <w:marRight w:val="0"/>
      <w:marTop w:val="0"/>
      <w:marBottom w:val="0"/>
      <w:divBdr>
        <w:top w:val="none" w:sz="0" w:space="0" w:color="auto"/>
        <w:left w:val="none" w:sz="0" w:space="0" w:color="auto"/>
        <w:bottom w:val="none" w:sz="0" w:space="0" w:color="auto"/>
        <w:right w:val="none" w:sz="0" w:space="0" w:color="auto"/>
      </w:divBdr>
    </w:div>
    <w:div w:id="562184732">
      <w:bodyDiv w:val="1"/>
      <w:marLeft w:val="0"/>
      <w:marRight w:val="0"/>
      <w:marTop w:val="0"/>
      <w:marBottom w:val="0"/>
      <w:divBdr>
        <w:top w:val="none" w:sz="0" w:space="0" w:color="auto"/>
        <w:left w:val="none" w:sz="0" w:space="0" w:color="auto"/>
        <w:bottom w:val="none" w:sz="0" w:space="0" w:color="auto"/>
        <w:right w:val="none" w:sz="0" w:space="0" w:color="auto"/>
      </w:divBdr>
    </w:div>
    <w:div w:id="572663904">
      <w:bodyDiv w:val="1"/>
      <w:marLeft w:val="0"/>
      <w:marRight w:val="0"/>
      <w:marTop w:val="0"/>
      <w:marBottom w:val="0"/>
      <w:divBdr>
        <w:top w:val="none" w:sz="0" w:space="0" w:color="auto"/>
        <w:left w:val="none" w:sz="0" w:space="0" w:color="auto"/>
        <w:bottom w:val="none" w:sz="0" w:space="0" w:color="auto"/>
        <w:right w:val="none" w:sz="0" w:space="0" w:color="auto"/>
      </w:divBdr>
    </w:div>
    <w:div w:id="752626263">
      <w:bodyDiv w:val="1"/>
      <w:marLeft w:val="0"/>
      <w:marRight w:val="0"/>
      <w:marTop w:val="0"/>
      <w:marBottom w:val="0"/>
      <w:divBdr>
        <w:top w:val="none" w:sz="0" w:space="0" w:color="auto"/>
        <w:left w:val="none" w:sz="0" w:space="0" w:color="auto"/>
        <w:bottom w:val="none" w:sz="0" w:space="0" w:color="auto"/>
        <w:right w:val="none" w:sz="0" w:space="0" w:color="auto"/>
      </w:divBdr>
    </w:div>
    <w:div w:id="831525277">
      <w:bodyDiv w:val="1"/>
      <w:marLeft w:val="0"/>
      <w:marRight w:val="0"/>
      <w:marTop w:val="0"/>
      <w:marBottom w:val="0"/>
      <w:divBdr>
        <w:top w:val="none" w:sz="0" w:space="0" w:color="auto"/>
        <w:left w:val="none" w:sz="0" w:space="0" w:color="auto"/>
        <w:bottom w:val="none" w:sz="0" w:space="0" w:color="auto"/>
        <w:right w:val="none" w:sz="0" w:space="0" w:color="auto"/>
      </w:divBdr>
    </w:div>
    <w:div w:id="836186380">
      <w:bodyDiv w:val="1"/>
      <w:marLeft w:val="0"/>
      <w:marRight w:val="0"/>
      <w:marTop w:val="0"/>
      <w:marBottom w:val="0"/>
      <w:divBdr>
        <w:top w:val="none" w:sz="0" w:space="0" w:color="auto"/>
        <w:left w:val="none" w:sz="0" w:space="0" w:color="auto"/>
        <w:bottom w:val="none" w:sz="0" w:space="0" w:color="auto"/>
        <w:right w:val="none" w:sz="0" w:space="0" w:color="auto"/>
      </w:divBdr>
    </w:div>
    <w:div w:id="945499111">
      <w:bodyDiv w:val="1"/>
      <w:marLeft w:val="0"/>
      <w:marRight w:val="0"/>
      <w:marTop w:val="0"/>
      <w:marBottom w:val="0"/>
      <w:divBdr>
        <w:top w:val="none" w:sz="0" w:space="0" w:color="auto"/>
        <w:left w:val="none" w:sz="0" w:space="0" w:color="auto"/>
        <w:bottom w:val="none" w:sz="0" w:space="0" w:color="auto"/>
        <w:right w:val="none" w:sz="0" w:space="0" w:color="auto"/>
      </w:divBdr>
    </w:div>
    <w:div w:id="1192189489">
      <w:bodyDiv w:val="1"/>
      <w:marLeft w:val="0"/>
      <w:marRight w:val="0"/>
      <w:marTop w:val="0"/>
      <w:marBottom w:val="0"/>
      <w:divBdr>
        <w:top w:val="none" w:sz="0" w:space="0" w:color="auto"/>
        <w:left w:val="none" w:sz="0" w:space="0" w:color="auto"/>
        <w:bottom w:val="none" w:sz="0" w:space="0" w:color="auto"/>
        <w:right w:val="none" w:sz="0" w:space="0" w:color="auto"/>
      </w:divBdr>
    </w:div>
    <w:div w:id="1253004423">
      <w:bodyDiv w:val="1"/>
      <w:marLeft w:val="0"/>
      <w:marRight w:val="0"/>
      <w:marTop w:val="0"/>
      <w:marBottom w:val="0"/>
      <w:divBdr>
        <w:top w:val="none" w:sz="0" w:space="0" w:color="auto"/>
        <w:left w:val="none" w:sz="0" w:space="0" w:color="auto"/>
        <w:bottom w:val="none" w:sz="0" w:space="0" w:color="auto"/>
        <w:right w:val="none" w:sz="0" w:space="0" w:color="auto"/>
      </w:divBdr>
    </w:div>
    <w:div w:id="1281449177">
      <w:bodyDiv w:val="1"/>
      <w:marLeft w:val="0"/>
      <w:marRight w:val="0"/>
      <w:marTop w:val="0"/>
      <w:marBottom w:val="0"/>
      <w:divBdr>
        <w:top w:val="none" w:sz="0" w:space="0" w:color="auto"/>
        <w:left w:val="none" w:sz="0" w:space="0" w:color="auto"/>
        <w:bottom w:val="none" w:sz="0" w:space="0" w:color="auto"/>
        <w:right w:val="none" w:sz="0" w:space="0" w:color="auto"/>
      </w:divBdr>
    </w:div>
    <w:div w:id="1380127626">
      <w:bodyDiv w:val="1"/>
      <w:marLeft w:val="0"/>
      <w:marRight w:val="0"/>
      <w:marTop w:val="0"/>
      <w:marBottom w:val="0"/>
      <w:divBdr>
        <w:top w:val="none" w:sz="0" w:space="0" w:color="auto"/>
        <w:left w:val="none" w:sz="0" w:space="0" w:color="auto"/>
        <w:bottom w:val="none" w:sz="0" w:space="0" w:color="auto"/>
        <w:right w:val="none" w:sz="0" w:space="0" w:color="auto"/>
      </w:divBdr>
    </w:div>
    <w:div w:id="1421559110">
      <w:bodyDiv w:val="1"/>
      <w:marLeft w:val="0"/>
      <w:marRight w:val="0"/>
      <w:marTop w:val="0"/>
      <w:marBottom w:val="0"/>
      <w:divBdr>
        <w:top w:val="none" w:sz="0" w:space="0" w:color="auto"/>
        <w:left w:val="none" w:sz="0" w:space="0" w:color="auto"/>
        <w:bottom w:val="none" w:sz="0" w:space="0" w:color="auto"/>
        <w:right w:val="none" w:sz="0" w:space="0" w:color="auto"/>
      </w:divBdr>
    </w:div>
    <w:div w:id="1697805086">
      <w:bodyDiv w:val="1"/>
      <w:marLeft w:val="0"/>
      <w:marRight w:val="0"/>
      <w:marTop w:val="0"/>
      <w:marBottom w:val="0"/>
      <w:divBdr>
        <w:top w:val="none" w:sz="0" w:space="0" w:color="auto"/>
        <w:left w:val="none" w:sz="0" w:space="0" w:color="auto"/>
        <w:bottom w:val="none" w:sz="0" w:space="0" w:color="auto"/>
        <w:right w:val="none" w:sz="0" w:space="0" w:color="auto"/>
      </w:divBdr>
    </w:div>
    <w:div w:id="1865244768">
      <w:bodyDiv w:val="1"/>
      <w:marLeft w:val="0"/>
      <w:marRight w:val="0"/>
      <w:marTop w:val="0"/>
      <w:marBottom w:val="0"/>
      <w:divBdr>
        <w:top w:val="none" w:sz="0" w:space="0" w:color="auto"/>
        <w:left w:val="none" w:sz="0" w:space="0" w:color="auto"/>
        <w:bottom w:val="none" w:sz="0" w:space="0" w:color="auto"/>
        <w:right w:val="none" w:sz="0" w:space="0" w:color="auto"/>
      </w:divBdr>
    </w:div>
    <w:div w:id="19645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port-state-measures/background/parties-psma/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59ABCE-768B-4A41-BBAF-E6B76FC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2423</Words>
  <Characters>13647</Characters>
  <Application>Microsoft Office Word</Application>
  <DocSecurity>0</DocSecurity>
  <Lines>257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2020-12-07T13:51:00Z</dcterms:created>
  <dcterms:modified xsi:type="dcterms:W3CDTF">2020-12-07T17:14:00Z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