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14C09E6-CB3A-4101-8F43-8B71E073661F" style="width:451pt;height:406.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rPr>
          <w:b/>
          <w:bCs/>
          <w:i/>
          <w:iCs/>
          <w:noProof/>
        </w:rPr>
      </w:pPr>
      <w:bookmarkStart w:id="1" w:name="_GoBack"/>
      <w:bookmarkEnd w:id="1"/>
      <w:r>
        <w:rPr>
          <w:b/>
          <w:bCs/>
          <w:i/>
          <w:iCs/>
          <w:noProof/>
        </w:rPr>
        <w:lastRenderedPageBreak/>
        <w:t xml:space="preserve">Annexe 1: </w:t>
      </w:r>
    </w:p>
    <w:p>
      <w:pPr>
        <w:rPr>
          <w:b/>
          <w:i/>
          <w:noProof/>
        </w:rPr>
      </w:pPr>
      <w:r>
        <w:rPr>
          <w:b/>
          <w:i/>
          <w:noProof/>
        </w:rPr>
        <w:t>Nombre d’autorisations d’exportation signalées accordées par les États membres conformément à l’article 20, paragraphe 2, du règlement (UE) 2019/125, par entrée dans les annexes</w:t>
      </w:r>
    </w:p>
    <w:p>
      <w:pPr>
        <w:rPr>
          <w:noProof/>
        </w:rPr>
      </w:pPr>
    </w:p>
    <w:p>
      <w:pPr>
        <w:jc w:val="center"/>
        <w:rPr>
          <w:noProof/>
        </w:rPr>
      </w:pPr>
      <w:r>
        <w:rPr>
          <w:noProof/>
          <w:lang w:val="en-GB" w:eastAsia="en-GB"/>
        </w:rPr>
        <w:drawing>
          <wp:inline distT="0" distB="0" distL="0" distR="0">
            <wp:extent cx="4564380" cy="3032760"/>
            <wp:effectExtent l="0" t="0" r="7620" b="1524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p>
    <w:p>
      <w:pPr>
        <w:rPr>
          <w:noProof/>
        </w:rPr>
      </w:pPr>
    </w:p>
    <w:p>
      <w:pPr>
        <w:rPr>
          <w:b/>
          <w:bCs/>
          <w:i/>
          <w:iCs/>
          <w:noProof/>
          <w:highlight w:val="green"/>
        </w:rPr>
      </w:pPr>
      <w:r>
        <w:rPr>
          <w:b/>
          <w:bCs/>
          <w:i/>
          <w:iCs/>
          <w:noProof/>
        </w:rPr>
        <w:t xml:space="preserve">Annexe 2: </w:t>
      </w:r>
    </w:p>
    <w:p>
      <w:pPr>
        <w:rPr>
          <w:b/>
          <w:i/>
          <w:noProof/>
        </w:rPr>
      </w:pPr>
      <w:r>
        <w:rPr>
          <w:b/>
          <w:i/>
          <w:noProof/>
        </w:rPr>
        <w:t>Nombre d’autorisations d’exportation signalées accordées par les États membres au cours de la période 2017-2019</w:t>
      </w:r>
    </w:p>
    <w:p>
      <w:pPr>
        <w:rPr>
          <w:noProof/>
        </w:rPr>
      </w:pPr>
    </w:p>
    <w:p>
      <w:pPr>
        <w:jc w:val="center"/>
        <w:rPr>
          <w:noProof/>
        </w:rPr>
      </w:pPr>
      <w:r>
        <w:rPr>
          <w:noProof/>
          <w:lang w:val="en-GB" w:eastAsia="en-GB"/>
        </w:rPr>
        <w:drawing>
          <wp:inline distT="0" distB="0" distL="0" distR="0">
            <wp:extent cx="4572000" cy="28575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highlight w:val="cyan"/>
        </w:rPr>
      </w:pPr>
    </w:p>
    <w:p>
      <w:pPr>
        <w:rPr>
          <w:noProof/>
          <w:highlight w:val="cyan"/>
        </w:rPr>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800" w:bottom="1440" w:left="1800" w:header="708" w:footer="708" w:gutter="0"/>
          <w:cols w:space="720"/>
          <w:docGrid w:linePitch="360"/>
        </w:sectPr>
      </w:pPr>
    </w:p>
    <w:p>
      <w:pPr>
        <w:rPr>
          <w:b/>
          <w:bCs/>
          <w:i/>
          <w:iCs/>
          <w:noProof/>
        </w:rPr>
      </w:pPr>
      <w:r>
        <w:rPr>
          <w:b/>
          <w:bCs/>
          <w:i/>
          <w:iCs/>
          <w:noProof/>
        </w:rPr>
        <w:t>Annexe 3:</w:t>
      </w:r>
    </w:p>
    <w:p>
      <w:pPr>
        <w:rPr>
          <w:b/>
          <w:i/>
          <w:noProof/>
          <w:highlight w:val="yellow"/>
        </w:rPr>
      </w:pPr>
      <w:r>
        <w:rPr>
          <w:b/>
          <w:i/>
          <w:noProof/>
        </w:rPr>
        <w:t>Destinations signalées</w:t>
      </w:r>
      <w:r>
        <w:rPr>
          <w:rStyle w:val="FootnoteReference"/>
          <w:b/>
          <w:i/>
          <w:noProof/>
        </w:rPr>
        <w:footnoteReference w:id="1"/>
      </w:r>
      <w:r>
        <w:rPr>
          <w:b/>
          <w:i/>
          <w:noProof/>
        </w:rPr>
        <w:t xml:space="preserve"> des exportations autorisées en 2019</w:t>
      </w:r>
      <w:r>
        <w:rPr>
          <w:rStyle w:val="FootnoteReference"/>
          <w:b/>
          <w:i/>
          <w:noProof/>
        </w:rPr>
        <w:footnoteReference w:id="2"/>
      </w:r>
      <w:r>
        <w:rPr>
          <w:b/>
          <w:i/>
          <w:noProof/>
        </w:rPr>
        <w:t xml:space="preserve"> </w:t>
      </w:r>
    </w:p>
    <w:p>
      <w:pPr>
        <w:rPr>
          <w:noProof/>
        </w:rPr>
      </w:pPr>
    </w:p>
    <w:p>
      <w:pPr>
        <w:jc w:val="center"/>
        <w:rPr>
          <w:noProof/>
        </w:rPr>
      </w:pPr>
      <w:r>
        <w:rPr>
          <w:noProof/>
          <w:lang w:val="en-GB" w:eastAsia="en-GB"/>
        </w:rPr>
        <w:drawing>
          <wp:inline distT="0" distB="0" distL="0" distR="0">
            <wp:extent cx="8863330" cy="1994535"/>
            <wp:effectExtent l="0" t="0" r="13970" b="5715"/>
            <wp:docPr id="5" name="Chart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highlight w:val="cyan"/>
        </w:rPr>
      </w:pPr>
      <w:r>
        <w:rPr>
          <w:noProof/>
        </w:rPr>
        <w:br w:type="page"/>
      </w:r>
    </w:p>
    <w:p>
      <w:pPr>
        <w:rPr>
          <w:b/>
          <w:bCs/>
          <w:i/>
          <w:iCs/>
          <w:noProof/>
        </w:rPr>
      </w:pPr>
      <w:r>
        <w:rPr>
          <w:b/>
          <w:bCs/>
          <w:i/>
          <w:iCs/>
          <w:noProof/>
        </w:rPr>
        <w:t>Annexe 4:</w:t>
      </w:r>
    </w:p>
    <w:p>
      <w:pPr>
        <w:rPr>
          <w:b/>
          <w:bCs/>
          <w:i/>
          <w:iCs/>
          <w:noProof/>
        </w:rPr>
      </w:pPr>
      <w:r>
        <w:rPr>
          <w:b/>
          <w:bCs/>
          <w:i/>
          <w:iCs/>
          <w:noProof/>
        </w:rPr>
        <w:t>Vue d’ensemble des autorisations d’exportation de biens visés à l’annexe III signalées en 2019</w:t>
      </w:r>
    </w:p>
    <w:p>
      <w:pPr>
        <w:rPr>
          <w:noProof/>
          <w:highlight w:val="yellow"/>
        </w:rPr>
      </w:pPr>
    </w:p>
    <w:tbl>
      <w:tblPr>
        <w:tblStyle w:val="TableGrid"/>
        <w:tblW w:w="13985" w:type="dxa"/>
        <w:tblLook w:val="04A0" w:firstRow="1" w:lastRow="0" w:firstColumn="1" w:lastColumn="0" w:noHBand="0" w:noVBand="1"/>
      </w:tblPr>
      <w:tblGrid>
        <w:gridCol w:w="960"/>
        <w:gridCol w:w="5540"/>
        <w:gridCol w:w="3060"/>
        <w:gridCol w:w="2880"/>
        <w:gridCol w:w="1545"/>
      </w:tblGrid>
      <w:tr>
        <w:trPr>
          <w:trHeight w:val="576"/>
        </w:trPr>
        <w:tc>
          <w:tcPr>
            <w:tcW w:w="960" w:type="dxa"/>
            <w:shd w:val="clear" w:color="auto" w:fill="F2F2F2" w:themeFill="background1" w:themeFillShade="F2"/>
            <w:noWrap/>
            <w:hideMark/>
          </w:tcPr>
          <w:p>
            <w:pPr>
              <w:rPr>
                <w:b/>
                <w:bCs/>
                <w:noProof/>
                <w:sz w:val="22"/>
                <w:szCs w:val="22"/>
              </w:rPr>
            </w:pPr>
            <w:r>
              <w:rPr>
                <w:b/>
                <w:bCs/>
                <w:noProof/>
                <w:sz w:val="22"/>
                <w:szCs w:val="22"/>
              </w:rPr>
              <w:t xml:space="preserve">Code </w:t>
            </w:r>
          </w:p>
        </w:tc>
        <w:tc>
          <w:tcPr>
            <w:tcW w:w="5540" w:type="dxa"/>
            <w:shd w:val="clear" w:color="auto" w:fill="F2F2F2" w:themeFill="background1" w:themeFillShade="F2"/>
            <w:noWrap/>
            <w:hideMark/>
          </w:tcPr>
          <w:p>
            <w:pPr>
              <w:rPr>
                <w:b/>
                <w:bCs/>
                <w:noProof/>
                <w:sz w:val="22"/>
                <w:szCs w:val="22"/>
              </w:rPr>
            </w:pPr>
            <w:r>
              <w:rPr>
                <w:b/>
                <w:bCs/>
                <w:noProof/>
                <w:sz w:val="22"/>
                <w:szCs w:val="22"/>
              </w:rPr>
              <w:t>Biens visés à l’annexe III</w:t>
            </w:r>
          </w:p>
        </w:tc>
        <w:tc>
          <w:tcPr>
            <w:tcW w:w="3060" w:type="dxa"/>
            <w:shd w:val="clear" w:color="auto" w:fill="F2F2F2" w:themeFill="background1" w:themeFillShade="F2"/>
            <w:noWrap/>
            <w:hideMark/>
          </w:tcPr>
          <w:p>
            <w:pPr>
              <w:rPr>
                <w:b/>
                <w:bCs/>
                <w:noProof/>
                <w:sz w:val="22"/>
                <w:szCs w:val="22"/>
              </w:rPr>
            </w:pPr>
            <w:r>
              <w:rPr>
                <w:b/>
                <w:bCs/>
                <w:noProof/>
                <w:sz w:val="22"/>
                <w:szCs w:val="22"/>
              </w:rPr>
              <w:t>Destination</w:t>
            </w:r>
          </w:p>
        </w:tc>
        <w:tc>
          <w:tcPr>
            <w:tcW w:w="2880" w:type="dxa"/>
            <w:shd w:val="clear" w:color="auto" w:fill="F2F2F2" w:themeFill="background1" w:themeFillShade="F2"/>
            <w:noWrap/>
            <w:hideMark/>
          </w:tcPr>
          <w:p>
            <w:pPr>
              <w:rPr>
                <w:b/>
                <w:bCs/>
                <w:noProof/>
                <w:sz w:val="22"/>
                <w:szCs w:val="22"/>
              </w:rPr>
            </w:pPr>
            <w:r>
              <w:rPr>
                <w:b/>
                <w:bCs/>
                <w:noProof/>
                <w:sz w:val="22"/>
                <w:szCs w:val="22"/>
              </w:rPr>
              <w:t>Utilisation finale</w:t>
            </w:r>
          </w:p>
        </w:tc>
        <w:tc>
          <w:tcPr>
            <w:tcW w:w="1545" w:type="dxa"/>
            <w:shd w:val="clear" w:color="auto" w:fill="F2F2F2" w:themeFill="background1" w:themeFillShade="F2"/>
            <w:hideMark/>
          </w:tcPr>
          <w:p>
            <w:pPr>
              <w:rPr>
                <w:b/>
                <w:bCs/>
                <w:noProof/>
                <w:sz w:val="22"/>
                <w:szCs w:val="22"/>
              </w:rPr>
            </w:pPr>
            <w:r>
              <w:rPr>
                <w:b/>
                <w:bCs/>
                <w:noProof/>
                <w:sz w:val="22"/>
                <w:szCs w:val="22"/>
              </w:rPr>
              <w:t xml:space="preserve">Autorité compétente </w:t>
            </w:r>
          </w:p>
        </w:tc>
      </w:tr>
      <w:tr>
        <w:trPr>
          <w:trHeight w:val="288"/>
        </w:trPr>
        <w:tc>
          <w:tcPr>
            <w:tcW w:w="960" w:type="dxa"/>
            <w:vMerge w:val="restart"/>
            <w:noWrap/>
            <w:hideMark/>
          </w:tcPr>
          <w:p>
            <w:pPr>
              <w:rPr>
                <w:noProof/>
                <w:sz w:val="22"/>
                <w:szCs w:val="22"/>
              </w:rPr>
            </w:pPr>
            <w:r>
              <w:rPr>
                <w:noProof/>
                <w:sz w:val="22"/>
                <w:szCs w:val="22"/>
              </w:rPr>
              <w:t>1.1.</w:t>
            </w:r>
          </w:p>
        </w:tc>
        <w:tc>
          <w:tcPr>
            <w:tcW w:w="5540" w:type="dxa"/>
            <w:vMerge w:val="restart"/>
            <w:noWrap/>
            <w:hideMark/>
          </w:tcPr>
          <w:p>
            <w:pPr>
              <w:rPr>
                <w:noProof/>
                <w:sz w:val="22"/>
                <w:szCs w:val="22"/>
              </w:rPr>
            </w:pPr>
            <w:r>
              <w:rPr>
                <w:noProof/>
                <w:sz w:val="22"/>
                <w:szCs w:val="22"/>
              </w:rPr>
              <w:t>Chaînes et chaînes multiples</w:t>
            </w:r>
          </w:p>
        </w:tc>
        <w:tc>
          <w:tcPr>
            <w:tcW w:w="3060" w:type="dxa"/>
            <w:vMerge w:val="restart"/>
            <w:hideMark/>
          </w:tcPr>
          <w:p>
            <w:pPr>
              <w:rPr>
                <w:noProof/>
                <w:sz w:val="22"/>
                <w:szCs w:val="22"/>
              </w:rPr>
            </w:pPr>
            <w:r>
              <w:rPr>
                <w:noProof/>
                <w:sz w:val="22"/>
                <w:szCs w:val="22"/>
              </w:rPr>
              <w:t>Bahreïn (2), Serbie (1), Argentine (1)</w:t>
            </w:r>
          </w:p>
        </w:tc>
        <w:tc>
          <w:tcPr>
            <w:tcW w:w="2880" w:type="dxa"/>
            <w:vMerge w:val="restart"/>
            <w:hideMark/>
          </w:tcPr>
          <w:p>
            <w:pPr>
              <w:rPr>
                <w:noProof/>
                <w:sz w:val="22"/>
                <w:szCs w:val="22"/>
              </w:rPr>
            </w:pPr>
            <w:r>
              <w:rPr>
                <w:noProof/>
                <w:sz w:val="22"/>
                <w:szCs w:val="22"/>
              </w:rPr>
              <w:t>Application de la loi</w:t>
            </w:r>
          </w:p>
        </w:tc>
        <w:tc>
          <w:tcPr>
            <w:tcW w:w="1545" w:type="dxa"/>
            <w:vMerge w:val="restart"/>
            <w:noWrap/>
            <w:hideMark/>
          </w:tcPr>
          <w:p>
            <w:pPr>
              <w:rPr>
                <w:noProof/>
                <w:sz w:val="22"/>
                <w:szCs w:val="22"/>
              </w:rPr>
            </w:pPr>
            <w:r>
              <w:rPr>
                <w:noProof/>
                <w:sz w:val="22"/>
                <w:szCs w:val="22"/>
              </w:rPr>
              <w:t>CZ</w:t>
            </w:r>
          </w:p>
        </w:tc>
      </w:tr>
      <w:tr>
        <w:trPr>
          <w:trHeight w:val="288"/>
        </w:trPr>
        <w:tc>
          <w:tcPr>
            <w:tcW w:w="960" w:type="dxa"/>
            <w:vMerge/>
            <w:hideMark/>
          </w:tcPr>
          <w:p>
            <w:pPr>
              <w:rPr>
                <w:noProof/>
                <w:sz w:val="22"/>
                <w:szCs w:val="22"/>
              </w:rPr>
            </w:pPr>
          </w:p>
        </w:tc>
        <w:tc>
          <w:tcPr>
            <w:tcW w:w="5540" w:type="dxa"/>
            <w:vMerge/>
            <w:hideMark/>
          </w:tcPr>
          <w:p>
            <w:pPr>
              <w:rPr>
                <w:noProof/>
                <w:sz w:val="22"/>
                <w:szCs w:val="22"/>
              </w:rPr>
            </w:pPr>
          </w:p>
        </w:tc>
        <w:tc>
          <w:tcPr>
            <w:tcW w:w="3060" w:type="dxa"/>
            <w:vMerge/>
            <w:hideMark/>
          </w:tcPr>
          <w:p>
            <w:pPr>
              <w:rPr>
                <w:noProof/>
                <w:sz w:val="22"/>
                <w:szCs w:val="22"/>
              </w:rPr>
            </w:pPr>
          </w:p>
        </w:tc>
        <w:tc>
          <w:tcPr>
            <w:tcW w:w="2880" w:type="dxa"/>
            <w:vMerge/>
            <w:hideMark/>
          </w:tcPr>
          <w:p>
            <w:pPr>
              <w:rPr>
                <w:noProof/>
                <w:sz w:val="22"/>
                <w:szCs w:val="22"/>
              </w:rPr>
            </w:pPr>
          </w:p>
        </w:tc>
        <w:tc>
          <w:tcPr>
            <w:tcW w:w="1545" w:type="dxa"/>
            <w:vMerge/>
            <w:hideMark/>
          </w:tcPr>
          <w:p>
            <w:pPr>
              <w:rPr>
                <w:noProof/>
                <w:sz w:val="22"/>
                <w:szCs w:val="22"/>
              </w:rPr>
            </w:pPr>
          </w:p>
        </w:tc>
      </w:tr>
      <w:tr>
        <w:trPr>
          <w:trHeight w:val="276"/>
        </w:trPr>
        <w:tc>
          <w:tcPr>
            <w:tcW w:w="960" w:type="dxa"/>
            <w:vMerge/>
            <w:hideMark/>
          </w:tcPr>
          <w:p>
            <w:pPr>
              <w:rPr>
                <w:noProof/>
                <w:sz w:val="22"/>
                <w:szCs w:val="22"/>
              </w:rPr>
            </w:pPr>
          </w:p>
        </w:tc>
        <w:tc>
          <w:tcPr>
            <w:tcW w:w="5540" w:type="dxa"/>
            <w:vMerge/>
            <w:hideMark/>
          </w:tcPr>
          <w:p>
            <w:pPr>
              <w:rPr>
                <w:noProof/>
                <w:sz w:val="22"/>
                <w:szCs w:val="22"/>
              </w:rPr>
            </w:pPr>
          </w:p>
        </w:tc>
        <w:tc>
          <w:tcPr>
            <w:tcW w:w="3060" w:type="dxa"/>
            <w:vMerge/>
            <w:hideMark/>
          </w:tcPr>
          <w:p>
            <w:pPr>
              <w:rPr>
                <w:noProof/>
                <w:sz w:val="22"/>
                <w:szCs w:val="22"/>
              </w:rPr>
            </w:pPr>
          </w:p>
        </w:tc>
        <w:tc>
          <w:tcPr>
            <w:tcW w:w="2880" w:type="dxa"/>
            <w:vMerge/>
            <w:hideMark/>
          </w:tcPr>
          <w:p>
            <w:pPr>
              <w:rPr>
                <w:noProof/>
                <w:sz w:val="22"/>
                <w:szCs w:val="22"/>
              </w:rPr>
            </w:pPr>
          </w:p>
        </w:tc>
        <w:tc>
          <w:tcPr>
            <w:tcW w:w="1545" w:type="dxa"/>
            <w:vMerge/>
            <w:hideMark/>
          </w:tcPr>
          <w:p>
            <w:pPr>
              <w:rPr>
                <w:noProof/>
                <w:sz w:val="22"/>
                <w:szCs w:val="22"/>
              </w:rPr>
            </w:pPr>
          </w:p>
        </w:tc>
      </w:tr>
      <w:tr>
        <w:trPr>
          <w:trHeight w:val="86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Monténégro (1), Macédoine du Nord (4), Oman (1), Suisse (1), États-Unis (1)</w:t>
            </w:r>
          </w:p>
          <w:p>
            <w:pPr>
              <w:rPr>
                <w:noProof/>
                <w:sz w:val="22"/>
                <w:szCs w:val="22"/>
              </w:rPr>
            </w:pPr>
          </w:p>
        </w:tc>
        <w:tc>
          <w:tcPr>
            <w:tcW w:w="2880" w:type="dxa"/>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r>
        <w:trPr>
          <w:trHeight w:val="720"/>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Hong Kong (1), Australie (2), Nouvelle-Zélande (1)</w:t>
            </w:r>
          </w:p>
        </w:tc>
        <w:tc>
          <w:tcPr>
            <w:tcW w:w="2880" w:type="dxa"/>
            <w:noWrap/>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UK</w:t>
            </w:r>
          </w:p>
        </w:tc>
      </w:tr>
      <w:tr>
        <w:trPr>
          <w:trHeight w:val="432"/>
        </w:trPr>
        <w:tc>
          <w:tcPr>
            <w:tcW w:w="960" w:type="dxa"/>
            <w:noWrap/>
            <w:hideMark/>
          </w:tcPr>
          <w:p>
            <w:pPr>
              <w:rPr>
                <w:noProof/>
                <w:sz w:val="22"/>
                <w:szCs w:val="22"/>
              </w:rPr>
            </w:pPr>
            <w:r>
              <w:rPr>
                <w:noProof/>
                <w:sz w:val="22"/>
                <w:szCs w:val="22"/>
              </w:rPr>
              <w:t>1.2</w:t>
            </w:r>
          </w:p>
        </w:tc>
        <w:tc>
          <w:tcPr>
            <w:tcW w:w="5540" w:type="dxa"/>
            <w:hideMark/>
          </w:tcPr>
          <w:p>
            <w:pPr>
              <w:rPr>
                <w:noProof/>
                <w:sz w:val="22"/>
                <w:szCs w:val="22"/>
              </w:rPr>
            </w:pPr>
            <w:r>
              <w:rPr>
                <w:noProof/>
                <w:sz w:val="22"/>
                <w:szCs w:val="22"/>
              </w:rPr>
              <w:t>Manilles ou anneaux individuels équipés d’un mécanisme de verrouillage</w:t>
            </w:r>
          </w:p>
          <w:p>
            <w:pPr>
              <w:rPr>
                <w:noProof/>
                <w:sz w:val="22"/>
                <w:szCs w:val="22"/>
              </w:rPr>
            </w:pPr>
          </w:p>
        </w:tc>
        <w:tc>
          <w:tcPr>
            <w:tcW w:w="3060" w:type="dxa"/>
            <w:noWrap/>
            <w:hideMark/>
          </w:tcPr>
          <w:p>
            <w:pPr>
              <w:rPr>
                <w:noProof/>
                <w:sz w:val="22"/>
                <w:szCs w:val="22"/>
              </w:rPr>
            </w:pPr>
            <w:r>
              <w:rPr>
                <w:noProof/>
                <w:sz w:val="22"/>
                <w:szCs w:val="22"/>
              </w:rPr>
              <w:t>Barbade (1)</w:t>
            </w:r>
          </w:p>
        </w:tc>
        <w:tc>
          <w:tcPr>
            <w:tcW w:w="2880" w:type="dxa"/>
            <w:noWrap/>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UK</w:t>
            </w:r>
          </w:p>
        </w:tc>
      </w:tr>
      <w:tr>
        <w:trPr>
          <w:trHeight w:val="1020"/>
        </w:trPr>
        <w:tc>
          <w:tcPr>
            <w:tcW w:w="960" w:type="dxa"/>
            <w:vMerge w:val="restart"/>
            <w:noWrap/>
            <w:hideMark/>
          </w:tcPr>
          <w:p>
            <w:pPr>
              <w:rPr>
                <w:noProof/>
                <w:sz w:val="22"/>
                <w:szCs w:val="22"/>
              </w:rPr>
            </w:pPr>
            <w:r>
              <w:rPr>
                <w:noProof/>
                <w:sz w:val="22"/>
                <w:szCs w:val="22"/>
              </w:rPr>
              <w:t>2.1</w:t>
            </w:r>
          </w:p>
        </w:tc>
        <w:tc>
          <w:tcPr>
            <w:tcW w:w="5540" w:type="dxa"/>
            <w:vMerge w:val="restart"/>
            <w:hideMark/>
          </w:tcPr>
          <w:p>
            <w:pPr>
              <w:rPr>
                <w:noProof/>
                <w:sz w:val="22"/>
                <w:szCs w:val="22"/>
              </w:rPr>
            </w:pPr>
            <w:r>
              <w:rPr>
                <w:noProof/>
                <w:sz w:val="22"/>
                <w:szCs w:val="22"/>
              </w:rPr>
              <w:t>Armes portatives à décharge électrique, y compris, mais pas exclusivement, les matraques à décharge électrique, les boucliers à décharge électrique, les armes d’étourdissement et les armes à fléchettes à décharge électrique</w:t>
            </w:r>
          </w:p>
        </w:tc>
        <w:tc>
          <w:tcPr>
            <w:tcW w:w="3060" w:type="dxa"/>
            <w:hideMark/>
          </w:tcPr>
          <w:p>
            <w:pPr>
              <w:rPr>
                <w:noProof/>
                <w:sz w:val="22"/>
                <w:szCs w:val="22"/>
              </w:rPr>
            </w:pPr>
            <w:r>
              <w:rPr>
                <w:noProof/>
                <w:sz w:val="22"/>
                <w:szCs w:val="22"/>
              </w:rPr>
              <w:t>Aruba (1), Moldavie (1), Monténégro (1), Ukraine (1), Émirats arabes unis (1), Suisse (1)</w:t>
            </w:r>
          </w:p>
        </w:tc>
        <w:tc>
          <w:tcPr>
            <w:tcW w:w="2880" w:type="dxa"/>
            <w:hideMark/>
          </w:tcPr>
          <w:p>
            <w:pPr>
              <w:rPr>
                <w:noProof/>
                <w:sz w:val="22"/>
                <w:szCs w:val="22"/>
              </w:rPr>
            </w:pPr>
            <w:r>
              <w:rPr>
                <w:noProof/>
                <w:sz w:val="22"/>
                <w:szCs w:val="22"/>
              </w:rPr>
              <w:t>Application de la loi (Aruba), commerçants</w:t>
            </w:r>
          </w:p>
        </w:tc>
        <w:tc>
          <w:tcPr>
            <w:tcW w:w="1545" w:type="dxa"/>
            <w:noWrap/>
            <w:hideMark/>
          </w:tcPr>
          <w:p>
            <w:pPr>
              <w:rPr>
                <w:noProof/>
                <w:sz w:val="22"/>
                <w:szCs w:val="22"/>
              </w:rPr>
            </w:pPr>
            <w:r>
              <w:rPr>
                <w:noProof/>
                <w:sz w:val="22"/>
                <w:szCs w:val="22"/>
              </w:rPr>
              <w:t>CZ</w:t>
            </w:r>
          </w:p>
        </w:tc>
      </w:tr>
      <w:tr>
        <w:trPr>
          <w:trHeight w:val="68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Nouvelle-Calédonie (2), République centrafricaine (1)</w:t>
            </w:r>
          </w:p>
        </w:tc>
        <w:tc>
          <w:tcPr>
            <w:tcW w:w="2880" w:type="dxa"/>
            <w:noWrap/>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r>
        <w:trPr>
          <w:trHeight w:val="396"/>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Andorre (1)</w:t>
            </w:r>
          </w:p>
        </w:tc>
        <w:tc>
          <w:tcPr>
            <w:tcW w:w="2880" w:type="dxa"/>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ES</w:t>
            </w:r>
          </w:p>
        </w:tc>
      </w:tr>
      <w:tr>
        <w:trPr>
          <w:trHeight w:val="408"/>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Andorre (1), Sénégal (1)</w:t>
            </w:r>
          </w:p>
        </w:tc>
        <w:tc>
          <w:tcPr>
            <w:tcW w:w="2880" w:type="dxa"/>
            <w:noWrap/>
            <w:hideMark/>
          </w:tcPr>
          <w:p>
            <w:pPr>
              <w:rPr>
                <w:noProof/>
                <w:sz w:val="22"/>
                <w:szCs w:val="22"/>
              </w:rPr>
            </w:pPr>
            <w:r>
              <w:rPr>
                <w:noProof/>
                <w:sz w:val="22"/>
                <w:szCs w:val="22"/>
              </w:rPr>
              <w:t>Société de sécurité privée</w:t>
            </w:r>
          </w:p>
        </w:tc>
        <w:tc>
          <w:tcPr>
            <w:tcW w:w="1545" w:type="dxa"/>
            <w:noWrap/>
            <w:hideMark/>
          </w:tcPr>
          <w:p>
            <w:pPr>
              <w:rPr>
                <w:noProof/>
                <w:sz w:val="22"/>
                <w:szCs w:val="22"/>
              </w:rPr>
            </w:pPr>
            <w:r>
              <w:rPr>
                <w:noProof/>
                <w:sz w:val="22"/>
                <w:szCs w:val="22"/>
              </w:rPr>
              <w:t>FR</w:t>
            </w:r>
          </w:p>
        </w:tc>
      </w:tr>
      <w:tr>
        <w:trPr>
          <w:trHeight w:val="444"/>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États-Unis (1)</w:t>
            </w:r>
          </w:p>
        </w:tc>
        <w:tc>
          <w:tcPr>
            <w:tcW w:w="2880" w:type="dxa"/>
            <w:noWrap/>
            <w:hideMark/>
          </w:tcPr>
          <w:p>
            <w:pPr>
              <w:rPr>
                <w:noProof/>
                <w:sz w:val="22"/>
                <w:szCs w:val="22"/>
              </w:rPr>
            </w:pPr>
            <w:r>
              <w:rPr>
                <w:noProof/>
                <w:sz w:val="22"/>
                <w:szCs w:val="22"/>
              </w:rPr>
              <w:t>Autre</w:t>
            </w:r>
          </w:p>
        </w:tc>
        <w:tc>
          <w:tcPr>
            <w:tcW w:w="1545" w:type="dxa"/>
            <w:noWrap/>
            <w:hideMark/>
          </w:tcPr>
          <w:p>
            <w:pPr>
              <w:rPr>
                <w:noProof/>
                <w:sz w:val="22"/>
                <w:szCs w:val="22"/>
              </w:rPr>
            </w:pPr>
            <w:r>
              <w:rPr>
                <w:noProof/>
                <w:sz w:val="22"/>
                <w:szCs w:val="22"/>
              </w:rPr>
              <w:t>UK</w:t>
            </w:r>
          </w:p>
        </w:tc>
      </w:tr>
      <w:tr>
        <w:trPr>
          <w:trHeight w:val="1068"/>
        </w:trPr>
        <w:tc>
          <w:tcPr>
            <w:tcW w:w="960" w:type="dxa"/>
            <w:vMerge w:val="restart"/>
            <w:noWrap/>
            <w:hideMark/>
          </w:tcPr>
          <w:p>
            <w:pPr>
              <w:rPr>
                <w:noProof/>
                <w:sz w:val="22"/>
                <w:szCs w:val="22"/>
              </w:rPr>
            </w:pPr>
            <w:r>
              <w:rPr>
                <w:noProof/>
                <w:sz w:val="22"/>
                <w:szCs w:val="22"/>
              </w:rPr>
              <w:t>3.1.</w:t>
            </w:r>
          </w:p>
        </w:tc>
        <w:tc>
          <w:tcPr>
            <w:tcW w:w="5540" w:type="dxa"/>
            <w:vMerge w:val="restart"/>
            <w:hideMark/>
          </w:tcPr>
          <w:p>
            <w:pPr>
              <w:rPr>
                <w:noProof/>
                <w:sz w:val="22"/>
                <w:szCs w:val="22"/>
              </w:rPr>
            </w:pPr>
            <w:r>
              <w:rPr>
                <w:noProof/>
                <w:sz w:val="22"/>
                <w:szCs w:val="22"/>
              </w:rPr>
              <w:t>Armes et équipements portatifs qui administrent ou projettent une dose d’un agent chimique incapacitant ou irritant</w:t>
            </w:r>
          </w:p>
        </w:tc>
        <w:tc>
          <w:tcPr>
            <w:tcW w:w="3060" w:type="dxa"/>
            <w:hideMark/>
          </w:tcPr>
          <w:p>
            <w:pPr>
              <w:rPr>
                <w:noProof/>
                <w:sz w:val="22"/>
                <w:szCs w:val="22"/>
              </w:rPr>
            </w:pPr>
            <w:r>
              <w:rPr>
                <w:noProof/>
                <w:sz w:val="22"/>
                <w:szCs w:val="22"/>
              </w:rPr>
              <w:t>Aruba (1), Moldavie (1), Monténégro (1), Ukraine (1), Émirats arabes unis (1), Suisse (1)</w:t>
            </w:r>
          </w:p>
        </w:tc>
        <w:tc>
          <w:tcPr>
            <w:tcW w:w="2880" w:type="dxa"/>
            <w:hideMark/>
          </w:tcPr>
          <w:p>
            <w:pPr>
              <w:rPr>
                <w:noProof/>
                <w:sz w:val="22"/>
                <w:szCs w:val="22"/>
              </w:rPr>
            </w:pPr>
            <w:r>
              <w:rPr>
                <w:noProof/>
                <w:sz w:val="22"/>
                <w:szCs w:val="22"/>
              </w:rPr>
              <w:t>Application de la loi (Aruba), commerçants</w:t>
            </w:r>
          </w:p>
        </w:tc>
        <w:tc>
          <w:tcPr>
            <w:tcW w:w="1545" w:type="dxa"/>
            <w:noWrap/>
            <w:hideMark/>
          </w:tcPr>
          <w:p>
            <w:pPr>
              <w:rPr>
                <w:noProof/>
                <w:sz w:val="22"/>
                <w:szCs w:val="22"/>
              </w:rPr>
            </w:pPr>
            <w:r>
              <w:rPr>
                <w:noProof/>
                <w:sz w:val="22"/>
                <w:szCs w:val="22"/>
              </w:rPr>
              <w:t>CZ</w:t>
            </w:r>
          </w:p>
        </w:tc>
      </w:tr>
      <w:tr>
        <w:trPr>
          <w:trHeight w:val="38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Andorre (9), Bosnie-Herzégovine (4), Chili (1), République démocratique du Congo (1), Polynésie française (1), Japon (4), Kosovo (1), Cuba (1), Mali (1), Monténégro (2), Namibie (1), Nouvelle-Calédonie (2), Macédoine du Nord (1), Pakistan (1), Moldavie (1), Suisse (11) Serbie (1), Somalie (3), Afrique du Sud (7), Tunisie (1), Uruguay (1), États-Unis (1), Chine (2).</w:t>
            </w:r>
          </w:p>
          <w:p>
            <w:pPr>
              <w:rPr>
                <w:noProof/>
                <w:sz w:val="22"/>
                <w:szCs w:val="22"/>
              </w:rPr>
            </w:pPr>
          </w:p>
        </w:tc>
        <w:tc>
          <w:tcPr>
            <w:tcW w:w="2880" w:type="dxa"/>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r>
        <w:trPr>
          <w:trHeight w:val="468"/>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Andorre (2)</w:t>
            </w:r>
          </w:p>
        </w:tc>
        <w:tc>
          <w:tcPr>
            <w:tcW w:w="2880" w:type="dxa"/>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ES</w:t>
            </w:r>
          </w:p>
        </w:tc>
      </w:tr>
      <w:tr>
        <w:trPr>
          <w:trHeight w:val="612"/>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Sénégal (1), Andorre (2), Niger (1)</w:t>
            </w:r>
          </w:p>
        </w:tc>
        <w:tc>
          <w:tcPr>
            <w:tcW w:w="2880" w:type="dxa"/>
            <w:hideMark/>
          </w:tcPr>
          <w:p>
            <w:pPr>
              <w:rPr>
                <w:noProof/>
                <w:sz w:val="22"/>
                <w:szCs w:val="22"/>
              </w:rPr>
            </w:pPr>
            <w:r>
              <w:rPr>
                <w:noProof/>
                <w:sz w:val="22"/>
                <w:szCs w:val="22"/>
              </w:rPr>
              <w:t>Société de sécurité privée, application de la loi (douane) (Niger)</w:t>
            </w:r>
          </w:p>
          <w:p>
            <w:pPr>
              <w:rPr>
                <w:noProof/>
                <w:sz w:val="22"/>
                <w:szCs w:val="22"/>
              </w:rPr>
            </w:pPr>
          </w:p>
        </w:tc>
        <w:tc>
          <w:tcPr>
            <w:tcW w:w="1545" w:type="dxa"/>
            <w:noWrap/>
            <w:hideMark/>
          </w:tcPr>
          <w:p>
            <w:pPr>
              <w:rPr>
                <w:noProof/>
                <w:sz w:val="22"/>
                <w:szCs w:val="22"/>
              </w:rPr>
            </w:pPr>
            <w:r>
              <w:rPr>
                <w:noProof/>
                <w:sz w:val="22"/>
                <w:szCs w:val="22"/>
              </w:rPr>
              <w:t>FR</w:t>
            </w:r>
          </w:p>
        </w:tc>
      </w:tr>
      <w:tr>
        <w:trPr>
          <w:trHeight w:val="396"/>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Émirats arabes unis (2)</w:t>
            </w:r>
          </w:p>
        </w:tc>
        <w:tc>
          <w:tcPr>
            <w:tcW w:w="2880" w:type="dxa"/>
            <w:noWrap/>
            <w:hideMark/>
          </w:tcPr>
          <w:p>
            <w:pPr>
              <w:rPr>
                <w:noProof/>
                <w:sz w:val="22"/>
                <w:szCs w:val="22"/>
              </w:rPr>
            </w:pPr>
            <w:r>
              <w:rPr>
                <w:noProof/>
                <w:sz w:val="22"/>
                <w:szCs w:val="22"/>
              </w:rPr>
              <w:t>Société de sécurité privée</w:t>
            </w:r>
          </w:p>
        </w:tc>
        <w:tc>
          <w:tcPr>
            <w:tcW w:w="1545" w:type="dxa"/>
            <w:noWrap/>
            <w:hideMark/>
          </w:tcPr>
          <w:p>
            <w:pPr>
              <w:rPr>
                <w:noProof/>
                <w:sz w:val="22"/>
                <w:szCs w:val="22"/>
              </w:rPr>
            </w:pPr>
            <w:r>
              <w:rPr>
                <w:noProof/>
                <w:sz w:val="22"/>
                <w:szCs w:val="22"/>
              </w:rPr>
              <w:t>PL</w:t>
            </w:r>
          </w:p>
        </w:tc>
      </w:tr>
      <w:tr>
        <w:trPr>
          <w:trHeight w:val="68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Andorre, Australie, Suisse, Afrique du Sud, États-Unis (6 au total)</w:t>
            </w:r>
          </w:p>
          <w:p>
            <w:pPr>
              <w:rPr>
                <w:noProof/>
                <w:sz w:val="22"/>
                <w:szCs w:val="22"/>
              </w:rPr>
            </w:pPr>
          </w:p>
        </w:tc>
        <w:tc>
          <w:tcPr>
            <w:tcW w:w="2880" w:type="dxa"/>
            <w:noWrap/>
            <w:hideMark/>
          </w:tcPr>
          <w:p>
            <w:pPr>
              <w:rPr>
                <w:noProof/>
                <w:sz w:val="22"/>
                <w:szCs w:val="22"/>
              </w:rPr>
            </w:pPr>
            <w:r>
              <w:rPr>
                <w:noProof/>
                <w:sz w:val="22"/>
                <w:szCs w:val="22"/>
              </w:rPr>
              <w:t>Autre</w:t>
            </w:r>
          </w:p>
        </w:tc>
        <w:tc>
          <w:tcPr>
            <w:tcW w:w="1545" w:type="dxa"/>
            <w:noWrap/>
            <w:hideMark/>
          </w:tcPr>
          <w:p>
            <w:pPr>
              <w:rPr>
                <w:noProof/>
                <w:sz w:val="22"/>
                <w:szCs w:val="22"/>
              </w:rPr>
            </w:pPr>
            <w:r>
              <w:rPr>
                <w:noProof/>
                <w:sz w:val="22"/>
                <w:szCs w:val="22"/>
              </w:rPr>
              <w:t>SE</w:t>
            </w:r>
          </w:p>
        </w:tc>
      </w:tr>
      <w:tr>
        <w:trPr>
          <w:trHeight w:val="444"/>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Australie (1)</w:t>
            </w:r>
          </w:p>
        </w:tc>
        <w:tc>
          <w:tcPr>
            <w:tcW w:w="2880" w:type="dxa"/>
            <w:noWrap/>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UK</w:t>
            </w:r>
          </w:p>
        </w:tc>
      </w:tr>
      <w:tr>
        <w:trPr>
          <w:trHeight w:val="348"/>
        </w:trPr>
        <w:tc>
          <w:tcPr>
            <w:tcW w:w="960" w:type="dxa"/>
            <w:vMerge w:val="restart"/>
            <w:noWrap/>
            <w:hideMark/>
          </w:tcPr>
          <w:p>
            <w:pPr>
              <w:rPr>
                <w:noProof/>
                <w:sz w:val="22"/>
                <w:szCs w:val="22"/>
              </w:rPr>
            </w:pPr>
            <w:r>
              <w:rPr>
                <w:noProof/>
                <w:sz w:val="22"/>
                <w:szCs w:val="22"/>
              </w:rPr>
              <w:t>3.2.</w:t>
            </w:r>
          </w:p>
        </w:tc>
        <w:tc>
          <w:tcPr>
            <w:tcW w:w="5540" w:type="dxa"/>
            <w:vMerge w:val="restart"/>
            <w:noWrap/>
            <w:hideMark/>
          </w:tcPr>
          <w:p>
            <w:pPr>
              <w:rPr>
                <w:noProof/>
                <w:sz w:val="22"/>
                <w:szCs w:val="22"/>
              </w:rPr>
            </w:pPr>
            <w:r>
              <w:rPr>
                <w:noProof/>
                <w:sz w:val="22"/>
                <w:szCs w:val="22"/>
              </w:rPr>
              <w:t>Vanillylamide de l’acide pélargonique (PAVA)</w:t>
            </w:r>
          </w:p>
        </w:tc>
        <w:tc>
          <w:tcPr>
            <w:tcW w:w="3060" w:type="dxa"/>
            <w:hideMark/>
          </w:tcPr>
          <w:p>
            <w:pPr>
              <w:rPr>
                <w:noProof/>
                <w:sz w:val="22"/>
                <w:szCs w:val="22"/>
              </w:rPr>
            </w:pPr>
            <w:r>
              <w:rPr>
                <w:noProof/>
                <w:sz w:val="22"/>
                <w:szCs w:val="22"/>
              </w:rPr>
              <w:t>Brésil (4), Inde (13), Japon (1) Corée du Sud (3), Singapour (1), Sri Lanka (1), Afrique du Sud (1), Thaïlande (1), Turquie (2), Chine (3)</w:t>
            </w:r>
          </w:p>
          <w:p>
            <w:pPr>
              <w:rPr>
                <w:noProof/>
                <w:sz w:val="22"/>
                <w:szCs w:val="22"/>
              </w:rPr>
            </w:pPr>
            <w:r>
              <w:rPr>
                <w:noProof/>
                <w:sz w:val="22"/>
                <w:szCs w:val="22"/>
              </w:rPr>
              <w:t>(30)</w:t>
            </w:r>
          </w:p>
          <w:p>
            <w:pPr>
              <w:rPr>
                <w:noProof/>
                <w:sz w:val="22"/>
                <w:szCs w:val="22"/>
              </w:rPr>
            </w:pPr>
          </w:p>
        </w:tc>
        <w:tc>
          <w:tcPr>
            <w:tcW w:w="2880" w:type="dxa"/>
            <w:noWrap/>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r>
        <w:trPr>
          <w:trHeight w:val="86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Costa Rica (1), Gibraltar (1), États-Unis (1)</w:t>
            </w:r>
          </w:p>
        </w:tc>
        <w:tc>
          <w:tcPr>
            <w:tcW w:w="2880" w:type="dxa"/>
            <w:hideMark/>
          </w:tcPr>
          <w:p>
            <w:pPr>
              <w:rPr>
                <w:noProof/>
                <w:sz w:val="22"/>
                <w:szCs w:val="22"/>
              </w:rPr>
            </w:pPr>
            <w:r>
              <w:rPr>
                <w:noProof/>
                <w:sz w:val="22"/>
                <w:szCs w:val="22"/>
              </w:rPr>
              <w:t>Utilisation clinique et en laboratoire (Costa Rica et États-Unis), application de la loi (Gibraltar)</w:t>
            </w:r>
          </w:p>
          <w:p>
            <w:pPr>
              <w:rPr>
                <w:noProof/>
                <w:sz w:val="22"/>
                <w:szCs w:val="22"/>
              </w:rPr>
            </w:pPr>
          </w:p>
        </w:tc>
        <w:tc>
          <w:tcPr>
            <w:tcW w:w="1545" w:type="dxa"/>
            <w:noWrap/>
            <w:hideMark/>
          </w:tcPr>
          <w:p>
            <w:pPr>
              <w:rPr>
                <w:noProof/>
                <w:sz w:val="22"/>
                <w:szCs w:val="22"/>
              </w:rPr>
            </w:pPr>
            <w:r>
              <w:rPr>
                <w:noProof/>
                <w:sz w:val="22"/>
                <w:szCs w:val="22"/>
              </w:rPr>
              <w:t>UK</w:t>
            </w:r>
          </w:p>
        </w:tc>
      </w:tr>
      <w:tr>
        <w:trPr>
          <w:trHeight w:val="468"/>
        </w:trPr>
        <w:tc>
          <w:tcPr>
            <w:tcW w:w="960" w:type="dxa"/>
            <w:vMerge w:val="restart"/>
            <w:noWrap/>
            <w:hideMark/>
          </w:tcPr>
          <w:p>
            <w:pPr>
              <w:rPr>
                <w:noProof/>
                <w:sz w:val="22"/>
                <w:szCs w:val="22"/>
              </w:rPr>
            </w:pPr>
            <w:r>
              <w:rPr>
                <w:noProof/>
                <w:sz w:val="22"/>
                <w:szCs w:val="22"/>
              </w:rPr>
              <w:t>3.3.</w:t>
            </w:r>
          </w:p>
        </w:tc>
        <w:tc>
          <w:tcPr>
            <w:tcW w:w="5540" w:type="dxa"/>
            <w:vMerge w:val="restart"/>
            <w:noWrap/>
            <w:hideMark/>
          </w:tcPr>
          <w:p>
            <w:pPr>
              <w:rPr>
                <w:noProof/>
                <w:sz w:val="22"/>
                <w:szCs w:val="22"/>
              </w:rPr>
            </w:pPr>
            <w:r>
              <w:rPr>
                <w:noProof/>
                <w:sz w:val="22"/>
                <w:szCs w:val="22"/>
              </w:rPr>
              <w:t>Capsicum oléorésine (OC)</w:t>
            </w:r>
          </w:p>
        </w:tc>
        <w:tc>
          <w:tcPr>
            <w:tcW w:w="3060" w:type="dxa"/>
            <w:hideMark/>
          </w:tcPr>
          <w:p>
            <w:pPr>
              <w:rPr>
                <w:noProof/>
                <w:sz w:val="22"/>
                <w:szCs w:val="22"/>
              </w:rPr>
            </w:pPr>
            <w:r>
              <w:rPr>
                <w:noProof/>
                <w:sz w:val="22"/>
                <w:szCs w:val="22"/>
              </w:rPr>
              <w:t>Égypte (1), Argentine (2), Australie (1), Japon (1), Kenya (1), Russie (2), Suisse (5), Afrique du Sud (1), Tunisie (1), Ukraine (4), Chine (1)</w:t>
            </w:r>
          </w:p>
          <w:p>
            <w:pPr>
              <w:rPr>
                <w:noProof/>
                <w:sz w:val="22"/>
                <w:szCs w:val="22"/>
              </w:rPr>
            </w:pPr>
          </w:p>
        </w:tc>
        <w:tc>
          <w:tcPr>
            <w:tcW w:w="2880" w:type="dxa"/>
            <w:noWrap/>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r>
        <w:trPr>
          <w:trHeight w:val="1152"/>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Aruba (1), Bonaire, Saint-Eustache et Saba (3), Curaçao (2), Saint-Martin (1) et autorisations globales accordées aux destinations mentionnées</w:t>
            </w:r>
          </w:p>
        </w:tc>
        <w:tc>
          <w:tcPr>
            <w:tcW w:w="2880" w:type="dxa"/>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NL</w:t>
            </w:r>
          </w:p>
        </w:tc>
      </w:tr>
      <w:tr>
        <w:trPr>
          <w:trHeight w:val="1411"/>
        </w:trPr>
        <w:tc>
          <w:tcPr>
            <w:tcW w:w="960" w:type="dxa"/>
            <w:vMerge w:val="restart"/>
            <w:noWrap/>
            <w:hideMark/>
          </w:tcPr>
          <w:p>
            <w:pPr>
              <w:rPr>
                <w:noProof/>
                <w:sz w:val="22"/>
                <w:szCs w:val="22"/>
              </w:rPr>
            </w:pPr>
            <w:r>
              <w:rPr>
                <w:noProof/>
                <w:sz w:val="22"/>
                <w:szCs w:val="22"/>
              </w:rPr>
              <w:t>3.4.</w:t>
            </w:r>
          </w:p>
        </w:tc>
        <w:tc>
          <w:tcPr>
            <w:tcW w:w="5540" w:type="dxa"/>
            <w:vMerge w:val="restart"/>
            <w:hideMark/>
          </w:tcPr>
          <w:p>
            <w:pPr>
              <w:rPr>
                <w:noProof/>
                <w:sz w:val="22"/>
                <w:szCs w:val="22"/>
              </w:rPr>
            </w:pPr>
            <w:r>
              <w:rPr>
                <w:noProof/>
                <w:sz w:val="22"/>
                <w:szCs w:val="22"/>
              </w:rPr>
              <w:t>Mélanges contenant au moins 0,3 % en poids de PAVA ou d’OC et un solvant (gaz poivré)</w:t>
            </w:r>
          </w:p>
        </w:tc>
        <w:tc>
          <w:tcPr>
            <w:tcW w:w="3060" w:type="dxa"/>
            <w:hideMark/>
          </w:tcPr>
          <w:p>
            <w:pPr>
              <w:rPr>
                <w:noProof/>
                <w:sz w:val="22"/>
                <w:szCs w:val="22"/>
              </w:rPr>
            </w:pPr>
            <w:r>
              <w:rPr>
                <w:noProof/>
                <w:sz w:val="22"/>
                <w:szCs w:val="22"/>
              </w:rPr>
              <w:t>Brésil (1), Japon (1), Russie (1), Suisse (4), Ukraine (5), États-Unis (1), Chine (1)</w:t>
            </w:r>
          </w:p>
        </w:tc>
        <w:tc>
          <w:tcPr>
            <w:tcW w:w="2880" w:type="dxa"/>
            <w:noWrap/>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r>
        <w:trPr>
          <w:trHeight w:val="43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Sainte-Hélène (1)</w:t>
            </w:r>
          </w:p>
        </w:tc>
        <w:tc>
          <w:tcPr>
            <w:tcW w:w="2880" w:type="dxa"/>
            <w:noWrap/>
            <w:hideMark/>
          </w:tcPr>
          <w:p>
            <w:pPr>
              <w:rPr>
                <w:noProof/>
                <w:sz w:val="22"/>
                <w:szCs w:val="22"/>
              </w:rPr>
            </w:pPr>
            <w:r>
              <w:rPr>
                <w:noProof/>
                <w:sz w:val="22"/>
                <w:szCs w:val="22"/>
              </w:rPr>
              <w:t>Application de la loi</w:t>
            </w:r>
          </w:p>
        </w:tc>
        <w:tc>
          <w:tcPr>
            <w:tcW w:w="1545" w:type="dxa"/>
            <w:noWrap/>
            <w:hideMark/>
          </w:tcPr>
          <w:p>
            <w:pPr>
              <w:rPr>
                <w:noProof/>
                <w:sz w:val="22"/>
                <w:szCs w:val="22"/>
              </w:rPr>
            </w:pPr>
            <w:r>
              <w:rPr>
                <w:noProof/>
                <w:sz w:val="22"/>
                <w:szCs w:val="22"/>
              </w:rPr>
              <w:t>UK</w:t>
            </w:r>
          </w:p>
        </w:tc>
      </w:tr>
      <w:tr>
        <w:trPr>
          <w:trHeight w:val="720"/>
        </w:trPr>
        <w:tc>
          <w:tcPr>
            <w:tcW w:w="960" w:type="dxa"/>
            <w:noWrap/>
            <w:hideMark/>
          </w:tcPr>
          <w:p>
            <w:pPr>
              <w:rPr>
                <w:noProof/>
                <w:sz w:val="22"/>
                <w:szCs w:val="22"/>
              </w:rPr>
            </w:pPr>
            <w:r>
              <w:rPr>
                <w:noProof/>
                <w:sz w:val="22"/>
                <w:szCs w:val="22"/>
              </w:rPr>
              <w:t>3.6.</w:t>
            </w:r>
          </w:p>
        </w:tc>
        <w:tc>
          <w:tcPr>
            <w:tcW w:w="5540" w:type="dxa"/>
            <w:hideMark/>
          </w:tcPr>
          <w:p>
            <w:pPr>
              <w:rPr>
                <w:noProof/>
                <w:sz w:val="22"/>
                <w:szCs w:val="22"/>
              </w:rPr>
            </w:pPr>
            <w:r>
              <w:rPr>
                <w:noProof/>
                <w:sz w:val="22"/>
                <w:szCs w:val="22"/>
              </w:rPr>
              <w:t>Équipement fixe ou montable de projection d’agents incapacitants ou irritants qui couvre une grande superficie</w:t>
            </w:r>
          </w:p>
        </w:tc>
        <w:tc>
          <w:tcPr>
            <w:tcW w:w="3060" w:type="dxa"/>
            <w:hideMark/>
          </w:tcPr>
          <w:p>
            <w:pPr>
              <w:rPr>
                <w:noProof/>
                <w:sz w:val="22"/>
                <w:szCs w:val="22"/>
              </w:rPr>
            </w:pPr>
            <w:r>
              <w:rPr>
                <w:noProof/>
                <w:sz w:val="22"/>
                <w:szCs w:val="22"/>
              </w:rPr>
              <w:t>Suisse (2), Émirats arabes unis (1)</w:t>
            </w:r>
          </w:p>
          <w:p>
            <w:pPr>
              <w:rPr>
                <w:noProof/>
                <w:sz w:val="22"/>
                <w:szCs w:val="22"/>
              </w:rPr>
            </w:pPr>
          </w:p>
          <w:p>
            <w:pPr>
              <w:rPr>
                <w:noProof/>
                <w:sz w:val="22"/>
                <w:szCs w:val="22"/>
              </w:rPr>
            </w:pPr>
          </w:p>
        </w:tc>
        <w:tc>
          <w:tcPr>
            <w:tcW w:w="2880" w:type="dxa"/>
            <w:noWrap/>
            <w:hideMark/>
          </w:tcPr>
          <w:p>
            <w:pPr>
              <w:rPr>
                <w:noProof/>
                <w:sz w:val="22"/>
                <w:szCs w:val="22"/>
              </w:rPr>
            </w:pPr>
            <w:r>
              <w:rPr>
                <w:noProof/>
                <w:sz w:val="22"/>
                <w:szCs w:val="22"/>
              </w:rPr>
              <w:t>Non précisée</w:t>
            </w:r>
          </w:p>
        </w:tc>
        <w:tc>
          <w:tcPr>
            <w:tcW w:w="1545" w:type="dxa"/>
            <w:noWrap/>
            <w:hideMark/>
          </w:tcPr>
          <w:p>
            <w:pPr>
              <w:rPr>
                <w:noProof/>
                <w:sz w:val="22"/>
                <w:szCs w:val="22"/>
              </w:rPr>
            </w:pPr>
            <w:r>
              <w:rPr>
                <w:noProof/>
                <w:sz w:val="22"/>
                <w:szCs w:val="22"/>
              </w:rPr>
              <w:t>DE</w:t>
            </w:r>
          </w:p>
        </w:tc>
      </w:tr>
    </w:tbl>
    <w:p>
      <w:pPr>
        <w:rPr>
          <w:noProof/>
          <w:sz w:val="22"/>
          <w:szCs w:val="22"/>
        </w:rPr>
      </w:pPr>
    </w:p>
    <w:p>
      <w:pPr>
        <w:rPr>
          <w:b/>
          <w:bCs/>
          <w:i/>
          <w:iCs/>
          <w:noProof/>
          <w:sz w:val="22"/>
          <w:szCs w:val="22"/>
        </w:rPr>
      </w:pPr>
      <w:r>
        <w:rPr>
          <w:b/>
          <w:bCs/>
          <w:i/>
          <w:iCs/>
          <w:noProof/>
          <w:sz w:val="22"/>
          <w:szCs w:val="22"/>
        </w:rPr>
        <w:t>Annexe 5:</w:t>
      </w:r>
    </w:p>
    <w:p>
      <w:pPr>
        <w:rPr>
          <w:b/>
          <w:i/>
          <w:noProof/>
          <w:sz w:val="22"/>
          <w:szCs w:val="22"/>
        </w:rPr>
      </w:pPr>
      <w:r>
        <w:rPr>
          <w:b/>
          <w:i/>
          <w:noProof/>
          <w:sz w:val="22"/>
          <w:szCs w:val="22"/>
        </w:rPr>
        <w:t xml:space="preserve">Vue d’ensemble détaillée des autorisations d’exportation de biens visés à l’annexe IV signalées en 2019 </w:t>
      </w:r>
    </w:p>
    <w:p>
      <w:pPr>
        <w:rPr>
          <w:noProof/>
          <w:sz w:val="22"/>
          <w:szCs w:val="22"/>
          <w:highlight w:val="yellow"/>
        </w:rPr>
      </w:pPr>
    </w:p>
    <w:tbl>
      <w:tblPr>
        <w:tblStyle w:val="TableGrid"/>
        <w:tblW w:w="13925" w:type="dxa"/>
        <w:tblLook w:val="04A0" w:firstRow="1" w:lastRow="0" w:firstColumn="1" w:lastColumn="0" w:noHBand="0" w:noVBand="1"/>
      </w:tblPr>
      <w:tblGrid>
        <w:gridCol w:w="960"/>
        <w:gridCol w:w="5540"/>
        <w:gridCol w:w="3060"/>
        <w:gridCol w:w="2880"/>
        <w:gridCol w:w="1485"/>
      </w:tblGrid>
      <w:tr>
        <w:trPr>
          <w:trHeight w:val="576"/>
        </w:trPr>
        <w:tc>
          <w:tcPr>
            <w:tcW w:w="960" w:type="dxa"/>
            <w:shd w:val="clear" w:color="auto" w:fill="F2F2F2" w:themeFill="background1" w:themeFillShade="F2"/>
            <w:noWrap/>
            <w:hideMark/>
          </w:tcPr>
          <w:p>
            <w:pPr>
              <w:rPr>
                <w:b/>
                <w:bCs/>
                <w:noProof/>
                <w:sz w:val="22"/>
                <w:szCs w:val="22"/>
              </w:rPr>
            </w:pPr>
            <w:r>
              <w:rPr>
                <w:b/>
                <w:bCs/>
                <w:noProof/>
                <w:sz w:val="22"/>
                <w:szCs w:val="22"/>
              </w:rPr>
              <w:t xml:space="preserve">Code </w:t>
            </w:r>
          </w:p>
        </w:tc>
        <w:tc>
          <w:tcPr>
            <w:tcW w:w="5540" w:type="dxa"/>
            <w:shd w:val="clear" w:color="auto" w:fill="F2F2F2" w:themeFill="background1" w:themeFillShade="F2"/>
            <w:noWrap/>
            <w:hideMark/>
          </w:tcPr>
          <w:p>
            <w:pPr>
              <w:rPr>
                <w:b/>
                <w:bCs/>
                <w:noProof/>
                <w:sz w:val="22"/>
                <w:szCs w:val="22"/>
              </w:rPr>
            </w:pPr>
            <w:r>
              <w:rPr>
                <w:b/>
                <w:bCs/>
                <w:noProof/>
                <w:sz w:val="22"/>
                <w:szCs w:val="22"/>
              </w:rPr>
              <w:t>Biens visés à l’annexe IV</w:t>
            </w:r>
          </w:p>
        </w:tc>
        <w:tc>
          <w:tcPr>
            <w:tcW w:w="3060" w:type="dxa"/>
            <w:shd w:val="clear" w:color="auto" w:fill="F2F2F2" w:themeFill="background1" w:themeFillShade="F2"/>
            <w:noWrap/>
            <w:hideMark/>
          </w:tcPr>
          <w:p>
            <w:pPr>
              <w:rPr>
                <w:b/>
                <w:bCs/>
                <w:noProof/>
                <w:sz w:val="22"/>
                <w:szCs w:val="22"/>
              </w:rPr>
            </w:pPr>
            <w:r>
              <w:rPr>
                <w:b/>
                <w:bCs/>
                <w:noProof/>
                <w:sz w:val="22"/>
                <w:szCs w:val="22"/>
              </w:rPr>
              <w:t>Destination</w:t>
            </w:r>
          </w:p>
        </w:tc>
        <w:tc>
          <w:tcPr>
            <w:tcW w:w="2880" w:type="dxa"/>
            <w:shd w:val="clear" w:color="auto" w:fill="F2F2F2" w:themeFill="background1" w:themeFillShade="F2"/>
            <w:noWrap/>
            <w:hideMark/>
          </w:tcPr>
          <w:p>
            <w:pPr>
              <w:rPr>
                <w:b/>
                <w:bCs/>
                <w:noProof/>
                <w:sz w:val="22"/>
                <w:szCs w:val="22"/>
              </w:rPr>
            </w:pPr>
            <w:r>
              <w:rPr>
                <w:b/>
                <w:bCs/>
                <w:noProof/>
                <w:sz w:val="22"/>
                <w:szCs w:val="22"/>
              </w:rPr>
              <w:t xml:space="preserve">Utilisation finale </w:t>
            </w:r>
          </w:p>
        </w:tc>
        <w:tc>
          <w:tcPr>
            <w:tcW w:w="1485" w:type="dxa"/>
            <w:shd w:val="clear" w:color="auto" w:fill="F2F2F2" w:themeFill="background1" w:themeFillShade="F2"/>
            <w:hideMark/>
          </w:tcPr>
          <w:p>
            <w:pPr>
              <w:rPr>
                <w:b/>
                <w:bCs/>
                <w:noProof/>
                <w:sz w:val="22"/>
                <w:szCs w:val="22"/>
              </w:rPr>
            </w:pPr>
            <w:r>
              <w:rPr>
                <w:b/>
                <w:bCs/>
                <w:noProof/>
                <w:sz w:val="22"/>
                <w:szCs w:val="22"/>
              </w:rPr>
              <w:t xml:space="preserve">Autorité compétente </w:t>
            </w:r>
          </w:p>
        </w:tc>
      </w:tr>
      <w:tr>
        <w:trPr>
          <w:trHeight w:val="540"/>
        </w:trPr>
        <w:tc>
          <w:tcPr>
            <w:tcW w:w="960" w:type="dxa"/>
            <w:noWrap/>
            <w:hideMark/>
          </w:tcPr>
          <w:p>
            <w:pPr>
              <w:rPr>
                <w:noProof/>
                <w:sz w:val="22"/>
                <w:szCs w:val="22"/>
              </w:rPr>
            </w:pPr>
            <w:r>
              <w:rPr>
                <w:noProof/>
                <w:sz w:val="22"/>
                <w:szCs w:val="22"/>
              </w:rPr>
              <w:t>1.1 a)</w:t>
            </w:r>
          </w:p>
        </w:tc>
        <w:tc>
          <w:tcPr>
            <w:tcW w:w="5540" w:type="dxa"/>
            <w:noWrap/>
            <w:hideMark/>
          </w:tcPr>
          <w:p>
            <w:pPr>
              <w:rPr>
                <w:noProof/>
                <w:sz w:val="22"/>
                <w:szCs w:val="22"/>
              </w:rPr>
            </w:pPr>
            <w:r>
              <w:rPr>
                <w:noProof/>
                <w:sz w:val="22"/>
                <w:szCs w:val="22"/>
              </w:rPr>
              <w:t>Amobarbital</w:t>
            </w:r>
          </w:p>
        </w:tc>
        <w:tc>
          <w:tcPr>
            <w:tcW w:w="3060" w:type="dxa"/>
            <w:noWrap/>
            <w:hideMark/>
          </w:tcPr>
          <w:p>
            <w:pPr>
              <w:rPr>
                <w:noProof/>
                <w:sz w:val="22"/>
                <w:szCs w:val="22"/>
              </w:rPr>
            </w:pPr>
            <w:r>
              <w:rPr>
                <w:noProof/>
                <w:sz w:val="22"/>
                <w:szCs w:val="22"/>
              </w:rPr>
              <w:t>Norvège (1)</w:t>
            </w:r>
          </w:p>
          <w:p>
            <w:pPr>
              <w:rPr>
                <w:noProof/>
                <w:sz w:val="20"/>
                <w:szCs w:val="20"/>
              </w:rPr>
            </w:pPr>
            <w:r>
              <w:rPr>
                <w:noProof/>
                <w:sz w:val="20"/>
                <w:szCs w:val="20"/>
              </w:rPr>
              <w:t>(La même autorisation est utilisée pour l’ensemble des biens énumérés exportés en provenance du Royaume-Uni à destination de la Norvège).</w:t>
            </w:r>
          </w:p>
          <w:p>
            <w:pPr>
              <w:rPr>
                <w:noProof/>
                <w:sz w:val="22"/>
                <w:szCs w:val="22"/>
              </w:rPr>
            </w:pPr>
          </w:p>
        </w:tc>
        <w:tc>
          <w:tcPr>
            <w:tcW w:w="2880" w:type="dxa"/>
            <w:noWrap/>
            <w:hideMark/>
          </w:tcPr>
          <w:p>
            <w:pPr>
              <w:rPr>
                <w:noProof/>
                <w:sz w:val="22"/>
                <w:szCs w:val="22"/>
              </w:rPr>
            </w:pPr>
            <w:r>
              <w:rPr>
                <w:noProof/>
                <w:sz w:val="22"/>
                <w:szCs w:val="22"/>
              </w:rPr>
              <w:t>Utilisation clinique et en laboratoire</w:t>
            </w:r>
          </w:p>
        </w:tc>
        <w:tc>
          <w:tcPr>
            <w:tcW w:w="1485" w:type="dxa"/>
            <w:noWrap/>
            <w:hideMark/>
          </w:tcPr>
          <w:p>
            <w:pPr>
              <w:rPr>
                <w:noProof/>
                <w:sz w:val="22"/>
                <w:szCs w:val="22"/>
              </w:rPr>
            </w:pPr>
            <w:r>
              <w:rPr>
                <w:noProof/>
                <w:sz w:val="22"/>
                <w:szCs w:val="22"/>
              </w:rPr>
              <w:t>UK</w:t>
            </w:r>
          </w:p>
        </w:tc>
      </w:tr>
      <w:tr>
        <w:trPr>
          <w:trHeight w:val="600"/>
        </w:trPr>
        <w:tc>
          <w:tcPr>
            <w:tcW w:w="960" w:type="dxa"/>
            <w:noWrap/>
            <w:hideMark/>
          </w:tcPr>
          <w:p>
            <w:pPr>
              <w:rPr>
                <w:noProof/>
                <w:sz w:val="22"/>
                <w:szCs w:val="22"/>
              </w:rPr>
            </w:pPr>
            <w:r>
              <w:rPr>
                <w:noProof/>
                <w:sz w:val="22"/>
                <w:szCs w:val="22"/>
              </w:rPr>
              <w:t xml:space="preserve">1.1 c) </w:t>
            </w:r>
          </w:p>
        </w:tc>
        <w:tc>
          <w:tcPr>
            <w:tcW w:w="5540" w:type="dxa"/>
            <w:noWrap/>
            <w:hideMark/>
          </w:tcPr>
          <w:p>
            <w:pPr>
              <w:rPr>
                <w:noProof/>
                <w:sz w:val="22"/>
                <w:szCs w:val="22"/>
              </w:rPr>
            </w:pPr>
            <w:r>
              <w:rPr>
                <w:noProof/>
                <w:sz w:val="22"/>
                <w:szCs w:val="22"/>
              </w:rPr>
              <w:t>Pentobarbital</w:t>
            </w:r>
          </w:p>
        </w:tc>
        <w:tc>
          <w:tcPr>
            <w:tcW w:w="3060" w:type="dxa"/>
            <w:noWrap/>
            <w:hideMark/>
          </w:tcPr>
          <w:p>
            <w:pPr>
              <w:rPr>
                <w:noProof/>
                <w:sz w:val="22"/>
                <w:szCs w:val="22"/>
              </w:rPr>
            </w:pPr>
            <w:r>
              <w:rPr>
                <w:noProof/>
                <w:sz w:val="22"/>
                <w:szCs w:val="22"/>
              </w:rPr>
              <w:t xml:space="preserve">Norvège </w:t>
            </w:r>
          </w:p>
        </w:tc>
        <w:tc>
          <w:tcPr>
            <w:tcW w:w="2880" w:type="dxa"/>
            <w:noWrap/>
            <w:hideMark/>
          </w:tcPr>
          <w:p>
            <w:pPr>
              <w:rPr>
                <w:noProof/>
                <w:sz w:val="22"/>
                <w:szCs w:val="22"/>
              </w:rPr>
            </w:pPr>
            <w:r>
              <w:rPr>
                <w:noProof/>
                <w:sz w:val="22"/>
                <w:szCs w:val="22"/>
              </w:rPr>
              <w:t>Utilisation clinique et en laboratoire</w:t>
            </w:r>
          </w:p>
        </w:tc>
        <w:tc>
          <w:tcPr>
            <w:tcW w:w="1485" w:type="dxa"/>
            <w:noWrap/>
            <w:hideMark/>
          </w:tcPr>
          <w:p>
            <w:pPr>
              <w:rPr>
                <w:noProof/>
                <w:sz w:val="22"/>
                <w:szCs w:val="22"/>
              </w:rPr>
            </w:pPr>
            <w:r>
              <w:rPr>
                <w:noProof/>
                <w:sz w:val="22"/>
                <w:szCs w:val="22"/>
              </w:rPr>
              <w:t>UK</w:t>
            </w:r>
          </w:p>
        </w:tc>
      </w:tr>
      <w:tr>
        <w:trPr>
          <w:trHeight w:val="1008"/>
        </w:trPr>
        <w:tc>
          <w:tcPr>
            <w:tcW w:w="960" w:type="dxa"/>
            <w:vMerge w:val="restart"/>
            <w:hideMark/>
          </w:tcPr>
          <w:p>
            <w:pPr>
              <w:rPr>
                <w:noProof/>
                <w:sz w:val="22"/>
                <w:szCs w:val="22"/>
              </w:rPr>
            </w:pPr>
            <w:r>
              <w:rPr>
                <w:noProof/>
                <w:sz w:val="22"/>
                <w:szCs w:val="22"/>
              </w:rPr>
              <w:t>1.1 d)</w:t>
            </w:r>
          </w:p>
        </w:tc>
        <w:tc>
          <w:tcPr>
            <w:tcW w:w="5540" w:type="dxa"/>
            <w:vMerge w:val="restart"/>
            <w:noWrap/>
            <w:hideMark/>
          </w:tcPr>
          <w:p>
            <w:pPr>
              <w:rPr>
                <w:noProof/>
                <w:sz w:val="22"/>
                <w:szCs w:val="22"/>
              </w:rPr>
            </w:pPr>
            <w:r>
              <w:rPr>
                <w:noProof/>
                <w:sz w:val="22"/>
                <w:szCs w:val="22"/>
              </w:rPr>
              <w:t xml:space="preserve">Sel de sodium du pentobarbital </w:t>
            </w:r>
          </w:p>
        </w:tc>
        <w:tc>
          <w:tcPr>
            <w:tcW w:w="3060" w:type="dxa"/>
            <w:hideMark/>
          </w:tcPr>
          <w:p>
            <w:pPr>
              <w:rPr>
                <w:noProof/>
                <w:sz w:val="22"/>
                <w:szCs w:val="22"/>
              </w:rPr>
            </w:pPr>
            <w:r>
              <w:rPr>
                <w:noProof/>
                <w:sz w:val="22"/>
                <w:szCs w:val="22"/>
              </w:rPr>
              <w:t>Aruba (1), Canada (2), Curaçao (2), Hong Kong (2), Malaisie (1), Suisse (2)</w:t>
            </w:r>
          </w:p>
        </w:tc>
        <w:tc>
          <w:tcPr>
            <w:tcW w:w="2880" w:type="dxa"/>
            <w:hideMark/>
          </w:tcPr>
          <w:p>
            <w:pPr>
              <w:rPr>
                <w:noProof/>
                <w:sz w:val="22"/>
                <w:szCs w:val="22"/>
              </w:rPr>
            </w:pPr>
            <w:r>
              <w:rPr>
                <w:noProof/>
                <w:sz w:val="22"/>
                <w:szCs w:val="22"/>
              </w:rPr>
              <w:t>Usage vétérinaire</w:t>
            </w:r>
          </w:p>
        </w:tc>
        <w:tc>
          <w:tcPr>
            <w:tcW w:w="1485" w:type="dxa"/>
            <w:noWrap/>
            <w:hideMark/>
          </w:tcPr>
          <w:p>
            <w:pPr>
              <w:rPr>
                <w:noProof/>
                <w:sz w:val="22"/>
                <w:szCs w:val="22"/>
              </w:rPr>
            </w:pPr>
            <w:r>
              <w:rPr>
                <w:noProof/>
                <w:sz w:val="22"/>
                <w:szCs w:val="22"/>
              </w:rPr>
              <w:t>NL</w:t>
            </w:r>
          </w:p>
        </w:tc>
      </w:tr>
      <w:tr>
        <w:trPr>
          <w:trHeight w:val="37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États-Unis (1)</w:t>
            </w:r>
          </w:p>
        </w:tc>
        <w:tc>
          <w:tcPr>
            <w:tcW w:w="2880" w:type="dxa"/>
            <w:noWrap/>
            <w:hideMark/>
          </w:tcPr>
          <w:p>
            <w:pPr>
              <w:rPr>
                <w:noProof/>
                <w:sz w:val="22"/>
                <w:szCs w:val="22"/>
              </w:rPr>
            </w:pPr>
            <w:r>
              <w:rPr>
                <w:noProof/>
                <w:sz w:val="22"/>
                <w:szCs w:val="22"/>
              </w:rPr>
              <w:t>Utilisation clinique et en laboratoire</w:t>
            </w:r>
          </w:p>
        </w:tc>
        <w:tc>
          <w:tcPr>
            <w:tcW w:w="1485" w:type="dxa"/>
            <w:noWrap/>
            <w:hideMark/>
          </w:tcPr>
          <w:p>
            <w:pPr>
              <w:rPr>
                <w:noProof/>
                <w:sz w:val="22"/>
                <w:szCs w:val="22"/>
              </w:rPr>
            </w:pPr>
            <w:r>
              <w:rPr>
                <w:noProof/>
                <w:sz w:val="22"/>
                <w:szCs w:val="22"/>
              </w:rPr>
              <w:t>UK</w:t>
            </w:r>
          </w:p>
        </w:tc>
      </w:tr>
      <w:tr>
        <w:trPr>
          <w:trHeight w:val="456"/>
        </w:trPr>
        <w:tc>
          <w:tcPr>
            <w:tcW w:w="960" w:type="dxa"/>
            <w:noWrap/>
            <w:hideMark/>
          </w:tcPr>
          <w:p>
            <w:pPr>
              <w:rPr>
                <w:noProof/>
                <w:sz w:val="22"/>
                <w:szCs w:val="22"/>
              </w:rPr>
            </w:pPr>
            <w:r>
              <w:rPr>
                <w:noProof/>
                <w:sz w:val="22"/>
                <w:szCs w:val="22"/>
              </w:rPr>
              <w:t>1.1 e)</w:t>
            </w:r>
          </w:p>
        </w:tc>
        <w:tc>
          <w:tcPr>
            <w:tcW w:w="5540" w:type="dxa"/>
            <w:noWrap/>
            <w:hideMark/>
          </w:tcPr>
          <w:p>
            <w:pPr>
              <w:rPr>
                <w:noProof/>
                <w:sz w:val="22"/>
                <w:szCs w:val="22"/>
              </w:rPr>
            </w:pPr>
            <w:r>
              <w:rPr>
                <w:noProof/>
                <w:sz w:val="22"/>
                <w:szCs w:val="22"/>
              </w:rPr>
              <w:t>Sécobarbital</w:t>
            </w:r>
          </w:p>
        </w:tc>
        <w:tc>
          <w:tcPr>
            <w:tcW w:w="3060" w:type="dxa"/>
            <w:noWrap/>
            <w:hideMark/>
          </w:tcPr>
          <w:p>
            <w:pPr>
              <w:rPr>
                <w:noProof/>
                <w:sz w:val="22"/>
                <w:szCs w:val="22"/>
              </w:rPr>
            </w:pPr>
            <w:r>
              <w:rPr>
                <w:noProof/>
                <w:sz w:val="22"/>
                <w:szCs w:val="22"/>
              </w:rPr>
              <w:t>Jordanie (1), Norvège, États-Unis (1)</w:t>
            </w:r>
          </w:p>
        </w:tc>
        <w:tc>
          <w:tcPr>
            <w:tcW w:w="2880" w:type="dxa"/>
            <w:noWrap/>
            <w:hideMark/>
          </w:tcPr>
          <w:p>
            <w:pPr>
              <w:rPr>
                <w:noProof/>
                <w:sz w:val="22"/>
                <w:szCs w:val="22"/>
              </w:rPr>
            </w:pPr>
            <w:r>
              <w:rPr>
                <w:noProof/>
                <w:sz w:val="22"/>
                <w:szCs w:val="22"/>
              </w:rPr>
              <w:t>Utilisation clinique et en laboratoire</w:t>
            </w:r>
          </w:p>
        </w:tc>
        <w:tc>
          <w:tcPr>
            <w:tcW w:w="1485" w:type="dxa"/>
            <w:noWrap/>
            <w:hideMark/>
          </w:tcPr>
          <w:p>
            <w:pPr>
              <w:rPr>
                <w:noProof/>
                <w:sz w:val="22"/>
                <w:szCs w:val="22"/>
              </w:rPr>
            </w:pPr>
            <w:r>
              <w:rPr>
                <w:noProof/>
                <w:sz w:val="22"/>
                <w:szCs w:val="22"/>
              </w:rPr>
              <w:t>UK</w:t>
            </w:r>
          </w:p>
        </w:tc>
      </w:tr>
      <w:tr>
        <w:trPr>
          <w:trHeight w:val="696"/>
        </w:trPr>
        <w:tc>
          <w:tcPr>
            <w:tcW w:w="960" w:type="dxa"/>
            <w:vMerge w:val="restart"/>
            <w:hideMark/>
          </w:tcPr>
          <w:p>
            <w:pPr>
              <w:rPr>
                <w:noProof/>
                <w:sz w:val="22"/>
                <w:szCs w:val="22"/>
              </w:rPr>
            </w:pPr>
            <w:r>
              <w:rPr>
                <w:noProof/>
                <w:sz w:val="22"/>
                <w:szCs w:val="22"/>
              </w:rPr>
              <w:t>1.1 g)</w:t>
            </w:r>
          </w:p>
        </w:tc>
        <w:tc>
          <w:tcPr>
            <w:tcW w:w="5540" w:type="dxa"/>
            <w:vMerge w:val="restart"/>
            <w:hideMark/>
          </w:tcPr>
          <w:p>
            <w:pPr>
              <w:rPr>
                <w:noProof/>
                <w:sz w:val="22"/>
                <w:szCs w:val="22"/>
              </w:rPr>
            </w:pPr>
            <w:r>
              <w:rPr>
                <w:noProof/>
                <w:sz w:val="22"/>
                <w:szCs w:val="22"/>
              </w:rPr>
              <w:t>Thiopental</w:t>
            </w:r>
          </w:p>
        </w:tc>
        <w:tc>
          <w:tcPr>
            <w:tcW w:w="3060" w:type="dxa"/>
            <w:hideMark/>
          </w:tcPr>
          <w:p>
            <w:pPr>
              <w:rPr>
                <w:noProof/>
                <w:sz w:val="22"/>
                <w:szCs w:val="22"/>
              </w:rPr>
            </w:pPr>
            <w:r>
              <w:rPr>
                <w:noProof/>
                <w:sz w:val="22"/>
                <w:szCs w:val="22"/>
              </w:rPr>
              <w:t>Arabie saoudite (1), Iran (1), Albanie (1), Iraq (1)</w:t>
            </w:r>
          </w:p>
        </w:tc>
        <w:tc>
          <w:tcPr>
            <w:tcW w:w="2880" w:type="dxa"/>
            <w:hideMark/>
          </w:tcPr>
          <w:p>
            <w:pPr>
              <w:rPr>
                <w:noProof/>
                <w:sz w:val="22"/>
                <w:szCs w:val="22"/>
              </w:rPr>
            </w:pPr>
            <w:r>
              <w:rPr>
                <w:noProof/>
                <w:sz w:val="22"/>
                <w:szCs w:val="22"/>
              </w:rPr>
              <w:t>Usage médical</w:t>
            </w:r>
          </w:p>
        </w:tc>
        <w:tc>
          <w:tcPr>
            <w:tcW w:w="1485" w:type="dxa"/>
            <w:noWrap/>
            <w:hideMark/>
          </w:tcPr>
          <w:p>
            <w:pPr>
              <w:rPr>
                <w:noProof/>
                <w:sz w:val="22"/>
                <w:szCs w:val="22"/>
              </w:rPr>
            </w:pPr>
            <w:r>
              <w:rPr>
                <w:noProof/>
                <w:sz w:val="22"/>
                <w:szCs w:val="22"/>
              </w:rPr>
              <w:t>CZ</w:t>
            </w:r>
          </w:p>
        </w:tc>
      </w:tr>
      <w:tr>
        <w:trPr>
          <w:trHeight w:val="396"/>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Bosnie-Herzégovine (5), Serbie (1)</w:t>
            </w:r>
          </w:p>
        </w:tc>
        <w:tc>
          <w:tcPr>
            <w:tcW w:w="2880" w:type="dxa"/>
            <w:noWrap/>
            <w:hideMark/>
          </w:tcPr>
          <w:p>
            <w:pPr>
              <w:rPr>
                <w:noProof/>
                <w:sz w:val="22"/>
                <w:szCs w:val="22"/>
              </w:rPr>
            </w:pPr>
            <w:r>
              <w:rPr>
                <w:noProof/>
                <w:sz w:val="22"/>
                <w:szCs w:val="22"/>
              </w:rPr>
              <w:t>Usage médical</w:t>
            </w:r>
          </w:p>
        </w:tc>
        <w:tc>
          <w:tcPr>
            <w:tcW w:w="1485" w:type="dxa"/>
            <w:noWrap/>
            <w:hideMark/>
          </w:tcPr>
          <w:p>
            <w:pPr>
              <w:rPr>
                <w:noProof/>
                <w:sz w:val="22"/>
                <w:szCs w:val="22"/>
              </w:rPr>
            </w:pPr>
            <w:r>
              <w:rPr>
                <w:noProof/>
                <w:sz w:val="22"/>
                <w:szCs w:val="22"/>
              </w:rPr>
              <w:t>AT</w:t>
            </w:r>
          </w:p>
        </w:tc>
      </w:tr>
      <w:tr>
        <w:trPr>
          <w:trHeight w:val="37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Angola (3)</w:t>
            </w:r>
          </w:p>
        </w:tc>
        <w:tc>
          <w:tcPr>
            <w:tcW w:w="2880" w:type="dxa"/>
            <w:noWrap/>
            <w:hideMark/>
          </w:tcPr>
          <w:p>
            <w:pPr>
              <w:rPr>
                <w:noProof/>
                <w:sz w:val="22"/>
                <w:szCs w:val="22"/>
              </w:rPr>
            </w:pPr>
            <w:r>
              <w:rPr>
                <w:noProof/>
                <w:sz w:val="22"/>
                <w:szCs w:val="22"/>
              </w:rPr>
              <w:t>Usage médical/pharmaceutique</w:t>
            </w:r>
          </w:p>
        </w:tc>
        <w:tc>
          <w:tcPr>
            <w:tcW w:w="1485" w:type="dxa"/>
            <w:noWrap/>
            <w:hideMark/>
          </w:tcPr>
          <w:p>
            <w:pPr>
              <w:rPr>
                <w:noProof/>
                <w:sz w:val="22"/>
                <w:szCs w:val="22"/>
              </w:rPr>
            </w:pPr>
            <w:r>
              <w:rPr>
                <w:noProof/>
                <w:sz w:val="22"/>
                <w:szCs w:val="22"/>
              </w:rPr>
              <w:t>PT</w:t>
            </w:r>
          </w:p>
        </w:tc>
      </w:tr>
      <w:tr>
        <w:trPr>
          <w:trHeight w:val="372"/>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 xml:space="preserve">Norvège </w:t>
            </w:r>
          </w:p>
        </w:tc>
        <w:tc>
          <w:tcPr>
            <w:tcW w:w="2880" w:type="dxa"/>
            <w:noWrap/>
            <w:hideMark/>
          </w:tcPr>
          <w:p>
            <w:pPr>
              <w:rPr>
                <w:noProof/>
                <w:sz w:val="22"/>
                <w:szCs w:val="22"/>
              </w:rPr>
            </w:pPr>
            <w:r>
              <w:rPr>
                <w:noProof/>
                <w:sz w:val="22"/>
                <w:szCs w:val="22"/>
              </w:rPr>
              <w:t>Utilisation clinique et en laboratoire</w:t>
            </w:r>
          </w:p>
        </w:tc>
        <w:tc>
          <w:tcPr>
            <w:tcW w:w="1485" w:type="dxa"/>
            <w:noWrap/>
            <w:hideMark/>
          </w:tcPr>
          <w:p>
            <w:pPr>
              <w:rPr>
                <w:noProof/>
                <w:sz w:val="22"/>
                <w:szCs w:val="22"/>
              </w:rPr>
            </w:pPr>
            <w:r>
              <w:rPr>
                <w:noProof/>
                <w:sz w:val="22"/>
                <w:szCs w:val="22"/>
              </w:rPr>
              <w:t>UK</w:t>
            </w:r>
          </w:p>
        </w:tc>
      </w:tr>
      <w:tr>
        <w:trPr>
          <w:trHeight w:val="360"/>
        </w:trPr>
        <w:tc>
          <w:tcPr>
            <w:tcW w:w="960" w:type="dxa"/>
            <w:vMerge w:val="restart"/>
            <w:noWrap/>
            <w:hideMark/>
          </w:tcPr>
          <w:p>
            <w:pPr>
              <w:rPr>
                <w:noProof/>
                <w:sz w:val="22"/>
                <w:szCs w:val="22"/>
              </w:rPr>
            </w:pPr>
            <w:r>
              <w:rPr>
                <w:noProof/>
                <w:sz w:val="22"/>
                <w:szCs w:val="22"/>
              </w:rPr>
              <w:t>1.1 h)</w:t>
            </w:r>
          </w:p>
        </w:tc>
        <w:tc>
          <w:tcPr>
            <w:tcW w:w="5540" w:type="dxa"/>
            <w:vMerge w:val="restart"/>
            <w:noWrap/>
            <w:hideMark/>
          </w:tcPr>
          <w:p>
            <w:pPr>
              <w:rPr>
                <w:noProof/>
                <w:sz w:val="22"/>
                <w:szCs w:val="22"/>
              </w:rPr>
            </w:pPr>
            <w:r>
              <w:rPr>
                <w:noProof/>
                <w:sz w:val="22"/>
                <w:szCs w:val="22"/>
              </w:rPr>
              <w:t>Sel de sodium du thiopental</w:t>
            </w:r>
          </w:p>
        </w:tc>
        <w:tc>
          <w:tcPr>
            <w:tcW w:w="3060" w:type="dxa"/>
            <w:noWrap/>
            <w:hideMark/>
          </w:tcPr>
          <w:p>
            <w:pPr>
              <w:rPr>
                <w:noProof/>
                <w:sz w:val="22"/>
                <w:szCs w:val="22"/>
              </w:rPr>
            </w:pPr>
            <w:r>
              <w:rPr>
                <w:noProof/>
                <w:sz w:val="22"/>
                <w:szCs w:val="22"/>
              </w:rPr>
              <w:t>Liban (1)</w:t>
            </w:r>
          </w:p>
        </w:tc>
        <w:tc>
          <w:tcPr>
            <w:tcW w:w="2880" w:type="dxa"/>
            <w:hideMark/>
          </w:tcPr>
          <w:p>
            <w:pPr>
              <w:rPr>
                <w:noProof/>
                <w:sz w:val="22"/>
                <w:szCs w:val="22"/>
              </w:rPr>
            </w:pPr>
            <w:r>
              <w:rPr>
                <w:noProof/>
                <w:sz w:val="22"/>
                <w:szCs w:val="22"/>
              </w:rPr>
              <w:t>Usage médical</w:t>
            </w:r>
          </w:p>
        </w:tc>
        <w:tc>
          <w:tcPr>
            <w:tcW w:w="1485" w:type="dxa"/>
            <w:noWrap/>
            <w:hideMark/>
          </w:tcPr>
          <w:p>
            <w:pPr>
              <w:rPr>
                <w:noProof/>
                <w:sz w:val="22"/>
                <w:szCs w:val="22"/>
              </w:rPr>
            </w:pPr>
            <w:r>
              <w:rPr>
                <w:noProof/>
                <w:sz w:val="22"/>
                <w:szCs w:val="22"/>
              </w:rPr>
              <w:t>FR</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Argentine (2)</w:t>
            </w:r>
          </w:p>
        </w:tc>
        <w:tc>
          <w:tcPr>
            <w:tcW w:w="2880" w:type="dxa"/>
            <w:hideMark/>
          </w:tcPr>
          <w:p>
            <w:pPr>
              <w:rPr>
                <w:noProof/>
                <w:sz w:val="22"/>
                <w:szCs w:val="22"/>
              </w:rPr>
            </w:pPr>
            <w:r>
              <w:rPr>
                <w:noProof/>
                <w:sz w:val="22"/>
                <w:szCs w:val="22"/>
              </w:rPr>
              <w:t>Usage médical/pharmaceutique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Brésil (2)</w:t>
            </w:r>
          </w:p>
        </w:tc>
        <w:tc>
          <w:tcPr>
            <w:tcW w:w="2880" w:type="dxa"/>
            <w:hideMark/>
          </w:tcPr>
          <w:p>
            <w:pPr>
              <w:rPr>
                <w:noProof/>
                <w:sz w:val="22"/>
                <w:szCs w:val="22"/>
              </w:rPr>
            </w:pPr>
            <w:r>
              <w:rPr>
                <w:noProof/>
                <w:sz w:val="22"/>
                <w:szCs w:val="22"/>
              </w:rPr>
              <w:t>Usage médical/pharmaceutique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Mexique (2)</w:t>
            </w:r>
          </w:p>
        </w:tc>
        <w:tc>
          <w:tcPr>
            <w:tcW w:w="2880" w:type="dxa"/>
            <w:hideMark/>
          </w:tcPr>
          <w:p>
            <w:pPr>
              <w:rPr>
                <w:noProof/>
                <w:sz w:val="22"/>
                <w:szCs w:val="22"/>
              </w:rPr>
            </w:pPr>
            <w:r>
              <w:rPr>
                <w:noProof/>
                <w:sz w:val="22"/>
                <w:szCs w:val="22"/>
              </w:rPr>
              <w:t>Usage médical/pharmaceutique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Moldavie (1)</w:t>
            </w:r>
          </w:p>
        </w:tc>
        <w:tc>
          <w:tcPr>
            <w:tcW w:w="2880" w:type="dxa"/>
            <w:hideMark/>
          </w:tcPr>
          <w:p>
            <w:pPr>
              <w:rPr>
                <w:noProof/>
                <w:sz w:val="22"/>
                <w:szCs w:val="22"/>
              </w:rPr>
            </w:pPr>
            <w:r>
              <w:rPr>
                <w:noProof/>
                <w:sz w:val="22"/>
                <w:szCs w:val="22"/>
              </w:rPr>
              <w:t>Usage médical/pharmaceutique</w:t>
            </w:r>
          </w:p>
        </w:tc>
        <w:tc>
          <w:tcPr>
            <w:tcW w:w="1485" w:type="dxa"/>
            <w:noWrap/>
            <w:hideMark/>
          </w:tcPr>
          <w:p>
            <w:pPr>
              <w:rPr>
                <w:noProof/>
                <w:sz w:val="22"/>
                <w:szCs w:val="22"/>
              </w:rPr>
            </w:pPr>
            <w:r>
              <w:rPr>
                <w:noProof/>
                <w:sz w:val="22"/>
                <w:szCs w:val="22"/>
              </w:rPr>
              <w:t>IT</w:t>
            </w:r>
          </w:p>
        </w:tc>
      </w:tr>
      <w:tr>
        <w:trPr>
          <w:trHeight w:val="660"/>
        </w:trPr>
        <w:tc>
          <w:tcPr>
            <w:tcW w:w="960" w:type="dxa"/>
            <w:vMerge/>
            <w:noWrap/>
            <w:hideMark/>
          </w:tcPr>
          <w:p>
            <w:pPr>
              <w:rPr>
                <w:noProof/>
                <w:sz w:val="22"/>
                <w:szCs w:val="22"/>
              </w:rPr>
            </w:pPr>
          </w:p>
        </w:tc>
        <w:tc>
          <w:tcPr>
            <w:tcW w:w="5540" w:type="dxa"/>
            <w:vMerge/>
            <w:noWrap/>
            <w:hideMark/>
          </w:tcPr>
          <w:p>
            <w:pPr>
              <w:rPr>
                <w:noProof/>
                <w:sz w:val="22"/>
                <w:szCs w:val="22"/>
              </w:rPr>
            </w:pPr>
          </w:p>
        </w:tc>
        <w:tc>
          <w:tcPr>
            <w:tcW w:w="3060" w:type="dxa"/>
            <w:hideMark/>
          </w:tcPr>
          <w:p>
            <w:pPr>
              <w:rPr>
                <w:noProof/>
                <w:sz w:val="22"/>
                <w:szCs w:val="22"/>
              </w:rPr>
            </w:pPr>
            <w:r>
              <w:rPr>
                <w:noProof/>
                <w:sz w:val="22"/>
                <w:szCs w:val="22"/>
              </w:rPr>
              <w:t>Turquie (4)</w:t>
            </w:r>
          </w:p>
        </w:tc>
        <w:tc>
          <w:tcPr>
            <w:tcW w:w="2880" w:type="dxa"/>
            <w:hideMark/>
          </w:tcPr>
          <w:p>
            <w:pPr>
              <w:rPr>
                <w:noProof/>
                <w:sz w:val="22"/>
                <w:szCs w:val="22"/>
              </w:rPr>
            </w:pPr>
            <w:r>
              <w:rPr>
                <w:noProof/>
                <w:sz w:val="22"/>
                <w:szCs w:val="22"/>
              </w:rPr>
              <w:t>Usage médical/pharmaceutique</w:t>
            </w:r>
          </w:p>
        </w:tc>
        <w:tc>
          <w:tcPr>
            <w:tcW w:w="1485" w:type="dxa"/>
            <w:noWrap/>
            <w:hideMark/>
          </w:tcPr>
          <w:p>
            <w:pPr>
              <w:rPr>
                <w:noProof/>
                <w:sz w:val="22"/>
                <w:szCs w:val="22"/>
              </w:rPr>
            </w:pPr>
            <w:r>
              <w:rPr>
                <w:noProof/>
                <w:sz w:val="22"/>
                <w:szCs w:val="22"/>
              </w:rPr>
              <w:t>IT</w:t>
            </w:r>
          </w:p>
        </w:tc>
      </w:tr>
      <w:tr>
        <w:trPr>
          <w:trHeight w:val="855"/>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Ghana (2), Malaisie (1), Sierra Leone (2), Singapour (3)</w:t>
            </w:r>
          </w:p>
        </w:tc>
        <w:tc>
          <w:tcPr>
            <w:tcW w:w="2880" w:type="dxa"/>
            <w:hideMark/>
          </w:tcPr>
          <w:p>
            <w:pPr>
              <w:rPr>
                <w:noProof/>
                <w:sz w:val="22"/>
                <w:szCs w:val="22"/>
              </w:rPr>
            </w:pPr>
            <w:r>
              <w:rPr>
                <w:noProof/>
                <w:sz w:val="22"/>
                <w:szCs w:val="22"/>
              </w:rPr>
              <w:t>Usage médical</w:t>
            </w:r>
          </w:p>
        </w:tc>
        <w:tc>
          <w:tcPr>
            <w:tcW w:w="1485" w:type="dxa"/>
            <w:noWrap/>
            <w:hideMark/>
          </w:tcPr>
          <w:p>
            <w:pPr>
              <w:rPr>
                <w:noProof/>
                <w:sz w:val="22"/>
                <w:szCs w:val="22"/>
              </w:rPr>
            </w:pPr>
            <w:r>
              <w:rPr>
                <w:noProof/>
                <w:sz w:val="22"/>
                <w:szCs w:val="22"/>
              </w:rPr>
              <w:t>NL</w:t>
            </w:r>
          </w:p>
        </w:tc>
      </w:tr>
      <w:tr>
        <w:trPr>
          <w:trHeight w:val="675"/>
        </w:trPr>
        <w:tc>
          <w:tcPr>
            <w:tcW w:w="960" w:type="dxa"/>
            <w:vMerge/>
            <w:hideMark/>
          </w:tcPr>
          <w:p>
            <w:pPr>
              <w:rPr>
                <w:noProof/>
                <w:sz w:val="22"/>
                <w:szCs w:val="22"/>
              </w:rPr>
            </w:pPr>
          </w:p>
        </w:tc>
        <w:tc>
          <w:tcPr>
            <w:tcW w:w="5540" w:type="dxa"/>
            <w:vMerge/>
            <w:hideMark/>
          </w:tcPr>
          <w:p>
            <w:pPr>
              <w:rPr>
                <w:noProof/>
                <w:sz w:val="22"/>
                <w:szCs w:val="22"/>
              </w:rPr>
            </w:pPr>
          </w:p>
        </w:tc>
        <w:tc>
          <w:tcPr>
            <w:tcW w:w="3060" w:type="dxa"/>
            <w:noWrap/>
            <w:hideMark/>
          </w:tcPr>
          <w:p>
            <w:pPr>
              <w:rPr>
                <w:noProof/>
                <w:sz w:val="22"/>
                <w:szCs w:val="22"/>
              </w:rPr>
            </w:pPr>
            <w:r>
              <w:rPr>
                <w:noProof/>
                <w:sz w:val="22"/>
                <w:szCs w:val="22"/>
              </w:rPr>
              <w:t xml:space="preserve">Nigeria (3) </w:t>
            </w:r>
          </w:p>
        </w:tc>
        <w:tc>
          <w:tcPr>
            <w:tcW w:w="2880" w:type="dxa"/>
            <w:noWrap/>
            <w:hideMark/>
          </w:tcPr>
          <w:p>
            <w:pPr>
              <w:rPr>
                <w:noProof/>
                <w:sz w:val="22"/>
                <w:szCs w:val="22"/>
              </w:rPr>
            </w:pPr>
            <w:r>
              <w:rPr>
                <w:noProof/>
                <w:sz w:val="22"/>
                <w:szCs w:val="22"/>
              </w:rPr>
              <w:t>Usage médical/pharmaceutique</w:t>
            </w:r>
          </w:p>
          <w:p>
            <w:pPr>
              <w:rPr>
                <w:noProof/>
                <w:sz w:val="22"/>
                <w:szCs w:val="22"/>
              </w:rPr>
            </w:pPr>
          </w:p>
        </w:tc>
        <w:tc>
          <w:tcPr>
            <w:tcW w:w="1485" w:type="dxa"/>
            <w:noWrap/>
            <w:hideMark/>
          </w:tcPr>
          <w:p>
            <w:pPr>
              <w:rPr>
                <w:noProof/>
                <w:sz w:val="22"/>
                <w:szCs w:val="22"/>
              </w:rPr>
            </w:pPr>
            <w:r>
              <w:rPr>
                <w:noProof/>
                <w:sz w:val="22"/>
                <w:szCs w:val="22"/>
              </w:rPr>
              <w:t>PT</w:t>
            </w:r>
          </w:p>
        </w:tc>
      </w:tr>
      <w:tr>
        <w:trPr>
          <w:trHeight w:val="104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Sierra Leone (1), Australie (3), Îles Falkland (1), Singapour (1), Zimbabwe (1)</w:t>
            </w:r>
          </w:p>
        </w:tc>
        <w:tc>
          <w:tcPr>
            <w:tcW w:w="2880" w:type="dxa"/>
            <w:noWrap/>
            <w:hideMark/>
          </w:tcPr>
          <w:p>
            <w:pPr>
              <w:rPr>
                <w:noProof/>
                <w:sz w:val="22"/>
                <w:szCs w:val="22"/>
              </w:rPr>
            </w:pPr>
            <w:r>
              <w:rPr>
                <w:noProof/>
                <w:sz w:val="22"/>
                <w:szCs w:val="22"/>
              </w:rPr>
              <w:t>Soins de santé/usage médical</w:t>
            </w:r>
          </w:p>
        </w:tc>
        <w:tc>
          <w:tcPr>
            <w:tcW w:w="1485" w:type="dxa"/>
            <w:noWrap/>
            <w:hideMark/>
          </w:tcPr>
          <w:p>
            <w:pPr>
              <w:rPr>
                <w:noProof/>
                <w:sz w:val="22"/>
                <w:szCs w:val="22"/>
              </w:rPr>
            </w:pPr>
            <w:r>
              <w:rPr>
                <w:noProof/>
                <w:sz w:val="22"/>
                <w:szCs w:val="22"/>
              </w:rPr>
              <w:t>UK</w:t>
            </w:r>
          </w:p>
        </w:tc>
      </w:tr>
      <w:tr>
        <w:trPr>
          <w:trHeight w:val="456"/>
        </w:trPr>
        <w:tc>
          <w:tcPr>
            <w:tcW w:w="960" w:type="dxa"/>
            <w:vMerge w:val="restart"/>
            <w:noWrap/>
            <w:hideMark/>
          </w:tcPr>
          <w:p>
            <w:pPr>
              <w:rPr>
                <w:noProof/>
                <w:sz w:val="22"/>
                <w:szCs w:val="22"/>
              </w:rPr>
            </w:pPr>
            <w:r>
              <w:rPr>
                <w:noProof/>
                <w:sz w:val="22"/>
                <w:szCs w:val="22"/>
              </w:rPr>
              <w:t>1.1.</w:t>
            </w:r>
          </w:p>
        </w:tc>
        <w:tc>
          <w:tcPr>
            <w:tcW w:w="5540" w:type="dxa"/>
            <w:vMerge w:val="restart"/>
            <w:hideMark/>
          </w:tcPr>
          <w:p>
            <w:pPr>
              <w:rPr>
                <w:noProof/>
                <w:sz w:val="22"/>
                <w:szCs w:val="22"/>
              </w:rPr>
            </w:pPr>
            <w:r>
              <w:rPr>
                <w:noProof/>
                <w:sz w:val="22"/>
                <w:szCs w:val="22"/>
              </w:rPr>
              <w:t>Autres agents anesthésiants barbituriques à action rapide et intermédiaire</w:t>
            </w:r>
          </w:p>
        </w:tc>
        <w:tc>
          <w:tcPr>
            <w:tcW w:w="3060" w:type="dxa"/>
            <w:hideMark/>
          </w:tcPr>
          <w:p>
            <w:pPr>
              <w:rPr>
                <w:noProof/>
                <w:sz w:val="22"/>
                <w:szCs w:val="22"/>
              </w:rPr>
            </w:pPr>
            <w:r>
              <w:rPr>
                <w:noProof/>
                <w:sz w:val="22"/>
                <w:szCs w:val="22"/>
              </w:rPr>
              <w:t>Égypte (2), Antarctique (1), Argentine (2), Australie (2), Chili (3), Iran (1), Israël (2), Japon (1), Jordanie (1), Canada (1), Kenya (1), Colombie (3), Malaisie (1), Mexique (3), Namibie (1), Norvège (2), Nouvelle-Zélande (1), Oman (2), Pérou (2), Russie (1), Suisse (2), Zimbabwe (1), Afrique du Sud (2), Turquie (3)</w:t>
            </w:r>
          </w:p>
          <w:p>
            <w:pPr>
              <w:rPr>
                <w:noProof/>
                <w:sz w:val="22"/>
                <w:szCs w:val="22"/>
              </w:rPr>
            </w:pPr>
          </w:p>
        </w:tc>
        <w:tc>
          <w:tcPr>
            <w:tcW w:w="2880" w:type="dxa"/>
            <w:noWrap/>
            <w:hideMark/>
          </w:tcPr>
          <w:p>
            <w:pPr>
              <w:rPr>
                <w:noProof/>
                <w:sz w:val="22"/>
                <w:szCs w:val="22"/>
              </w:rPr>
            </w:pPr>
            <w:r>
              <w:rPr>
                <w:noProof/>
                <w:sz w:val="22"/>
                <w:szCs w:val="22"/>
              </w:rPr>
              <w:t>Non précisée</w:t>
            </w:r>
          </w:p>
        </w:tc>
        <w:tc>
          <w:tcPr>
            <w:tcW w:w="1485" w:type="dxa"/>
            <w:noWrap/>
            <w:hideMark/>
          </w:tcPr>
          <w:p>
            <w:pPr>
              <w:rPr>
                <w:noProof/>
                <w:sz w:val="22"/>
                <w:szCs w:val="22"/>
              </w:rPr>
            </w:pPr>
            <w:r>
              <w:rPr>
                <w:noProof/>
                <w:sz w:val="22"/>
                <w:szCs w:val="22"/>
              </w:rPr>
              <w:t>DE</w:t>
            </w:r>
          </w:p>
        </w:tc>
      </w:tr>
      <w:tr>
        <w:trPr>
          <w:trHeight w:val="864"/>
        </w:trPr>
        <w:tc>
          <w:tcPr>
            <w:tcW w:w="960" w:type="dxa"/>
            <w:vMerge/>
            <w:hideMark/>
          </w:tcPr>
          <w:p>
            <w:pPr>
              <w:rPr>
                <w:noProof/>
                <w:sz w:val="22"/>
                <w:szCs w:val="22"/>
              </w:rPr>
            </w:pPr>
          </w:p>
        </w:tc>
        <w:tc>
          <w:tcPr>
            <w:tcW w:w="5540" w:type="dxa"/>
            <w:vMerge/>
            <w:hideMark/>
          </w:tcPr>
          <w:p>
            <w:pPr>
              <w:rPr>
                <w:noProof/>
                <w:sz w:val="22"/>
                <w:szCs w:val="22"/>
              </w:rPr>
            </w:pPr>
          </w:p>
        </w:tc>
        <w:tc>
          <w:tcPr>
            <w:tcW w:w="3060" w:type="dxa"/>
            <w:hideMark/>
          </w:tcPr>
          <w:p>
            <w:pPr>
              <w:rPr>
                <w:noProof/>
                <w:sz w:val="22"/>
                <w:szCs w:val="22"/>
              </w:rPr>
            </w:pPr>
            <w:r>
              <w:rPr>
                <w:noProof/>
                <w:sz w:val="22"/>
                <w:szCs w:val="22"/>
              </w:rPr>
              <w:t>Norvège, États-Unis (2), Belize (1), Suisse (1)</w:t>
            </w:r>
          </w:p>
        </w:tc>
        <w:tc>
          <w:tcPr>
            <w:tcW w:w="2880" w:type="dxa"/>
            <w:hideMark/>
          </w:tcPr>
          <w:p>
            <w:pPr>
              <w:rPr>
                <w:noProof/>
                <w:sz w:val="22"/>
                <w:szCs w:val="22"/>
              </w:rPr>
            </w:pPr>
            <w:r>
              <w:rPr>
                <w:noProof/>
                <w:sz w:val="22"/>
                <w:szCs w:val="22"/>
              </w:rPr>
              <w:t>Utilisation clinique et en laboratoire (Norvège, États-Unis, Suisse), usage vétérinaire (Belize)</w:t>
            </w:r>
          </w:p>
          <w:p>
            <w:pPr>
              <w:rPr>
                <w:noProof/>
                <w:sz w:val="22"/>
                <w:szCs w:val="22"/>
              </w:rPr>
            </w:pPr>
          </w:p>
        </w:tc>
        <w:tc>
          <w:tcPr>
            <w:tcW w:w="1485" w:type="dxa"/>
            <w:noWrap/>
            <w:hideMark/>
          </w:tcPr>
          <w:p>
            <w:pPr>
              <w:rPr>
                <w:noProof/>
                <w:sz w:val="22"/>
                <w:szCs w:val="22"/>
              </w:rPr>
            </w:pPr>
            <w:r>
              <w:rPr>
                <w:noProof/>
                <w:sz w:val="22"/>
                <w:szCs w:val="22"/>
              </w:rPr>
              <w:t>UK</w:t>
            </w:r>
          </w:p>
        </w:tc>
      </w:tr>
    </w:tbl>
    <w:p>
      <w:pPr>
        <w:rPr>
          <w:noProof/>
        </w:rPr>
      </w:pPr>
    </w:p>
    <w:p>
      <w:pPr>
        <w:rPr>
          <w:noProof/>
          <w:color w:val="00B050"/>
          <w:u w:val="single"/>
        </w:rPr>
      </w:pPr>
    </w:p>
    <w:p>
      <w:pPr>
        <w:rPr>
          <w:noProof/>
          <w:color w:val="00B050"/>
          <w:u w:val="single"/>
        </w:rPr>
        <w:sectPr>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800" w:right="1440" w:bottom="1800" w:left="1440" w:header="708" w:footer="708" w:gutter="0"/>
          <w:cols w:space="708"/>
          <w:docGrid w:linePitch="360"/>
        </w:sectPr>
      </w:pPr>
    </w:p>
    <w:p>
      <w:pPr>
        <w:rPr>
          <w:noProof/>
          <w:color w:val="00B050"/>
          <w:u w:val="single"/>
        </w:rPr>
      </w:pPr>
    </w:p>
    <w:p>
      <w:pPr>
        <w:rPr>
          <w:b/>
          <w:i/>
          <w:noProof/>
        </w:rPr>
      </w:pPr>
      <w:r>
        <w:rPr>
          <w:b/>
          <w:i/>
          <w:noProof/>
        </w:rPr>
        <w:t xml:space="preserve">Annexe 6: </w:t>
      </w:r>
    </w:p>
    <w:p>
      <w:pPr>
        <w:rPr>
          <w:b/>
          <w:i/>
          <w:noProof/>
        </w:rPr>
      </w:pPr>
      <w:r>
        <w:rPr>
          <w:b/>
          <w:i/>
          <w:noProof/>
        </w:rPr>
        <w:t>Utilisations finales signalées des exportations autorisées vers des pays tiers en 2019</w:t>
      </w:r>
      <w:r>
        <w:rPr>
          <w:rStyle w:val="FootnoteReference"/>
          <w:b/>
          <w:i/>
          <w:noProof/>
        </w:rPr>
        <w:footnoteReference w:id="3"/>
      </w:r>
    </w:p>
    <w:p>
      <w:pPr>
        <w:rPr>
          <w:noProof/>
        </w:rPr>
      </w:pPr>
    </w:p>
    <w:p>
      <w:pPr>
        <w:jc w:val="center"/>
        <w:rPr>
          <w:noProof/>
        </w:rPr>
      </w:pPr>
      <w:r>
        <w:rPr>
          <w:noProof/>
          <w:lang w:val="en-GB" w:eastAsia="en-GB"/>
        </w:rPr>
        <w:drawing>
          <wp:inline distT="0" distB="0" distL="0" distR="0">
            <wp:extent cx="5274310" cy="3886200"/>
            <wp:effectExtent l="0" t="0" r="2540" b="0"/>
            <wp:docPr id="7" name="Chart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center"/>
        <w:rPr>
          <w:rFonts w:asciiTheme="minorHAnsi" w:hAnsiTheme="minorHAnsi" w:cstheme="minorHAnsi"/>
          <w:noProof/>
          <w:sz w:val="20"/>
          <w:szCs w:val="20"/>
          <w:lang w:val="en-US"/>
        </w:rPr>
      </w:pPr>
      <w:r>
        <w:rPr>
          <w:rFonts w:asciiTheme="minorHAnsi" w:hAnsiTheme="minorHAnsi" w:cstheme="minorHAnsi"/>
          <w:noProof/>
          <w:color w:val="808080" w:themeColor="background1" w:themeShade="80"/>
          <w:sz w:val="18"/>
          <w:szCs w:val="18"/>
          <w:lang w:val="en-US"/>
        </w:rPr>
        <w:t xml:space="preserve">                                                              </w:t>
      </w:r>
      <w:r>
        <w:rPr>
          <w:rFonts w:asciiTheme="minorHAnsi" w:hAnsiTheme="minorHAnsi" w:cstheme="minorHAnsi"/>
          <w:noProof/>
          <w:color w:val="808080" w:themeColor="background1" w:themeShade="80"/>
          <w:sz w:val="20"/>
          <w:szCs w:val="20"/>
          <w:lang w:val="en-US"/>
        </w:rPr>
        <w:t>Nombre d'autorisations d'exportation</w:t>
      </w:r>
    </w:p>
    <w:p>
      <w:pPr>
        <w:jc w:val="cente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8712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27301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9555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sz w:val="22"/>
          <w:szCs w:val="22"/>
        </w:rPr>
      </w:pPr>
      <w:r>
        <w:rPr>
          <w:rStyle w:val="FootnoteReference"/>
        </w:rPr>
        <w:footnoteRef/>
      </w:r>
      <w:r>
        <w:t xml:space="preserve"> </w:t>
      </w:r>
      <w:r>
        <w:rPr>
          <w:sz w:val="22"/>
          <w:szCs w:val="22"/>
        </w:rPr>
        <w:t>Si un nom particulier est utilisé dans la liste des destinations, il ne doit pas être interprété comme allant au-delà d’une référence au territoire (douanier) communément connu sous ce nom.</w:t>
      </w:r>
    </w:p>
  </w:footnote>
  <w:footnote w:id="2">
    <w:p>
      <w:pPr>
        <w:jc w:val="both"/>
        <w:rPr>
          <w:sz w:val="22"/>
          <w:szCs w:val="22"/>
        </w:rPr>
      </w:pPr>
      <w:r>
        <w:rPr>
          <w:rStyle w:val="FootnoteReference"/>
          <w:sz w:val="22"/>
          <w:szCs w:val="22"/>
        </w:rPr>
        <w:footnoteRef/>
      </w:r>
      <w:r>
        <w:rPr>
          <w:sz w:val="22"/>
          <w:szCs w:val="22"/>
        </w:rPr>
        <w:t xml:space="preserve"> Les «</w:t>
      </w:r>
      <w:r>
        <w:rPr>
          <w:i/>
          <w:iCs/>
          <w:sz w:val="22"/>
          <w:szCs w:val="22"/>
        </w:rPr>
        <w:t>autres destinations</w:t>
      </w:r>
      <w:r>
        <w:rPr>
          <w:sz w:val="22"/>
          <w:szCs w:val="22"/>
        </w:rPr>
        <w:t>» comprennent celles pour lesquelles une seule autorisation d’exportation a été signalée, à savoir: Albanie, Antarctique, Arabie saoudite, Barbade, Belize, Costa Rica, Cuba, Gibraltar, Îles Falkland, Iraq, Kosovo, Liban, Mali, Niger, Pakistan, Polynésie française, République centrafricaine, République démocratique du Congo, Saint-Martin, Sainte-Hélène (UK), Sri Lanka, Thaïlande et Uruguay. Une autorisation signalée vers l’une des îles Anglo-Normandes n’a pas été comptabilisée aux fins du présent rapport car elle n’est pas considérée comme une exportation au sens de l’article 2, point d), du règlement (UE) 2019/125.</w:t>
      </w:r>
    </w:p>
    <w:p>
      <w:pPr>
        <w:pStyle w:val="FootnoteText"/>
        <w:jc w:val="both"/>
      </w:pPr>
    </w:p>
  </w:footnote>
  <w:footnote w:id="3">
    <w:p>
      <w:pPr>
        <w:pStyle w:val="FootnoteText"/>
        <w:jc w:val="both"/>
      </w:pPr>
      <w:r>
        <w:rPr>
          <w:rStyle w:val="FootnoteReference"/>
        </w:rPr>
        <w:footnoteRef/>
      </w:r>
      <w:r>
        <w:t xml:space="preserve"> Le nombre d’autorisations d’exportation ne correspond pas au nombre indiqué dans les annexes précédentes étant donné que les autorités des États membres n’ont pas toutes précisé l’utilisation finale.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6"/>
    <w:docVar w:name="LW_ANNEX_UNIQUE" w:val="0"/>
    <w:docVar w:name="LW_CORRIGENDUM" w:val="&lt;UNUSED&gt;"/>
    <w:docVar w:name="LW_COVERPAGE_EXISTS" w:val="True"/>
    <w:docVar w:name="LW_COVERPAGE_GUID" w:val="114C09E6-CB3A-4101-8F43-8B71E073661F"/>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sur les autorisations d'exportation en 2019 en application du règlement concernant le commerce de certains biens susceptibles d\u8217?être utilisés en vue d\u8217?infliger la peine capitale, la torture ou d\u8217?autres peines ou traitements cruels, inhumains ou dégradants"/>
    <w:docVar w:name="LW_PART_NBR" w:val="&lt;UNUSED&gt;"/>
    <w:docVar w:name="LW_PART_NBR_TOTAL" w:val="&lt;UNUSED&gt;"/>
    <w:docVar w:name="LW_REF.INST.NEW" w:val="COM"/>
    <w:docVar w:name="LW_REF.INST.NEW_ADOPTED" w:val="final"/>
    <w:docVar w:name="LW_REF.INST.NEW_TEXT" w:val="(2020)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Normal2">
    <w:name w:val="Normal2"/>
    <w:basedOn w:val="Normal"/>
    <w:pPr>
      <w:spacing w:before="100" w:beforeAutospacing="1" w:after="100" w:afterAutospacing="1"/>
    </w:pPr>
    <w:rPr>
      <w:lang w:eastAsia="en-GB"/>
    </w:rPr>
  </w:style>
  <w:style w:type="paragraph" w:customStyle="1" w:styleId="Normal3">
    <w:name w:val="Normal3"/>
    <w:basedOn w:val="Normal"/>
    <w:pPr>
      <w:spacing w:before="100" w:beforeAutospacing="1" w:after="100" w:afterAutospacing="1"/>
    </w:pPr>
    <w:rPr>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6"/>
      </w:numPr>
      <w:spacing w:line="360" w:lineRule="auto"/>
    </w:pPr>
  </w:style>
  <w:style w:type="paragraph" w:customStyle="1" w:styleId="LegalNumPar2">
    <w:name w:val="LegalNumPar2"/>
    <w:basedOn w:val="Normal"/>
    <w:pPr>
      <w:numPr>
        <w:ilvl w:val="1"/>
        <w:numId w:val="6"/>
      </w:numPr>
      <w:spacing w:line="360" w:lineRule="auto"/>
    </w:pPr>
  </w:style>
  <w:style w:type="paragraph" w:customStyle="1" w:styleId="LegalNumPar3">
    <w:name w:val="LegalNumPar3"/>
    <w:basedOn w:val="Normal"/>
    <w:pPr>
      <w:numPr>
        <w:ilvl w:val="2"/>
        <w:numId w:val="6"/>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Normal2">
    <w:name w:val="Normal2"/>
    <w:basedOn w:val="Normal"/>
    <w:pPr>
      <w:spacing w:before="100" w:beforeAutospacing="1" w:after="100" w:afterAutospacing="1"/>
    </w:pPr>
    <w:rPr>
      <w:lang w:eastAsia="en-GB"/>
    </w:rPr>
  </w:style>
  <w:style w:type="paragraph" w:customStyle="1" w:styleId="Normal3">
    <w:name w:val="Normal3"/>
    <w:basedOn w:val="Normal"/>
    <w:pPr>
      <w:spacing w:before="100" w:beforeAutospacing="1" w:after="100" w:afterAutospacing="1"/>
    </w:pPr>
    <w:rPr>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701">
      <w:bodyDiv w:val="1"/>
      <w:marLeft w:val="0"/>
      <w:marRight w:val="0"/>
      <w:marTop w:val="0"/>
      <w:marBottom w:val="0"/>
      <w:divBdr>
        <w:top w:val="none" w:sz="0" w:space="0" w:color="auto"/>
        <w:left w:val="none" w:sz="0" w:space="0" w:color="auto"/>
        <w:bottom w:val="none" w:sz="0" w:space="0" w:color="auto"/>
        <w:right w:val="none" w:sz="0" w:space="0" w:color="auto"/>
      </w:divBdr>
    </w:div>
    <w:div w:id="267976901">
      <w:bodyDiv w:val="1"/>
      <w:marLeft w:val="0"/>
      <w:marRight w:val="0"/>
      <w:marTop w:val="0"/>
      <w:marBottom w:val="0"/>
      <w:divBdr>
        <w:top w:val="none" w:sz="0" w:space="0" w:color="auto"/>
        <w:left w:val="none" w:sz="0" w:space="0" w:color="auto"/>
        <w:bottom w:val="none" w:sz="0" w:space="0" w:color="auto"/>
        <w:right w:val="none" w:sz="0" w:space="0" w:color="auto"/>
      </w:divBdr>
    </w:div>
    <w:div w:id="383914028">
      <w:bodyDiv w:val="1"/>
      <w:marLeft w:val="0"/>
      <w:marRight w:val="0"/>
      <w:marTop w:val="0"/>
      <w:marBottom w:val="0"/>
      <w:divBdr>
        <w:top w:val="none" w:sz="0" w:space="0" w:color="auto"/>
        <w:left w:val="none" w:sz="0" w:space="0" w:color="auto"/>
        <w:bottom w:val="none" w:sz="0" w:space="0" w:color="auto"/>
        <w:right w:val="none" w:sz="0" w:space="0" w:color="auto"/>
      </w:divBdr>
    </w:div>
    <w:div w:id="651443549">
      <w:bodyDiv w:val="1"/>
      <w:marLeft w:val="0"/>
      <w:marRight w:val="0"/>
      <w:marTop w:val="0"/>
      <w:marBottom w:val="0"/>
      <w:divBdr>
        <w:top w:val="none" w:sz="0" w:space="0" w:color="auto"/>
        <w:left w:val="none" w:sz="0" w:space="0" w:color="auto"/>
        <w:bottom w:val="none" w:sz="0" w:space="0" w:color="auto"/>
        <w:right w:val="none" w:sz="0" w:space="0" w:color="auto"/>
      </w:divBdr>
    </w:div>
    <w:div w:id="704868634">
      <w:bodyDiv w:val="1"/>
      <w:marLeft w:val="0"/>
      <w:marRight w:val="0"/>
      <w:marTop w:val="0"/>
      <w:marBottom w:val="0"/>
      <w:divBdr>
        <w:top w:val="none" w:sz="0" w:space="0" w:color="auto"/>
        <w:left w:val="none" w:sz="0" w:space="0" w:color="auto"/>
        <w:bottom w:val="none" w:sz="0" w:space="0" w:color="auto"/>
        <w:right w:val="none" w:sz="0" w:space="0" w:color="auto"/>
      </w:divBdr>
    </w:div>
    <w:div w:id="721172686">
      <w:bodyDiv w:val="1"/>
      <w:marLeft w:val="0"/>
      <w:marRight w:val="0"/>
      <w:marTop w:val="0"/>
      <w:marBottom w:val="0"/>
      <w:divBdr>
        <w:top w:val="none" w:sz="0" w:space="0" w:color="auto"/>
        <w:left w:val="none" w:sz="0" w:space="0" w:color="auto"/>
        <w:bottom w:val="none" w:sz="0" w:space="0" w:color="auto"/>
        <w:right w:val="none" w:sz="0" w:space="0" w:color="auto"/>
      </w:divBdr>
    </w:div>
    <w:div w:id="978805420">
      <w:bodyDiv w:val="1"/>
      <w:marLeft w:val="0"/>
      <w:marRight w:val="0"/>
      <w:marTop w:val="0"/>
      <w:marBottom w:val="0"/>
      <w:divBdr>
        <w:top w:val="none" w:sz="0" w:space="0" w:color="auto"/>
        <w:left w:val="none" w:sz="0" w:space="0" w:color="auto"/>
        <w:bottom w:val="none" w:sz="0" w:space="0" w:color="auto"/>
        <w:right w:val="none" w:sz="0" w:space="0" w:color="auto"/>
      </w:divBdr>
    </w:div>
    <w:div w:id="1010450308">
      <w:bodyDiv w:val="1"/>
      <w:marLeft w:val="0"/>
      <w:marRight w:val="0"/>
      <w:marTop w:val="0"/>
      <w:marBottom w:val="0"/>
      <w:divBdr>
        <w:top w:val="none" w:sz="0" w:space="0" w:color="auto"/>
        <w:left w:val="none" w:sz="0" w:space="0" w:color="auto"/>
        <w:bottom w:val="none" w:sz="0" w:space="0" w:color="auto"/>
        <w:right w:val="none" w:sz="0" w:space="0" w:color="auto"/>
      </w:divBdr>
    </w:div>
    <w:div w:id="1067338417">
      <w:bodyDiv w:val="1"/>
      <w:marLeft w:val="0"/>
      <w:marRight w:val="0"/>
      <w:marTop w:val="0"/>
      <w:marBottom w:val="0"/>
      <w:divBdr>
        <w:top w:val="none" w:sz="0" w:space="0" w:color="auto"/>
        <w:left w:val="none" w:sz="0" w:space="0" w:color="auto"/>
        <w:bottom w:val="none" w:sz="0" w:space="0" w:color="auto"/>
        <w:right w:val="none" w:sz="0" w:space="0" w:color="auto"/>
      </w:divBdr>
    </w:div>
    <w:div w:id="1207181916">
      <w:bodyDiv w:val="1"/>
      <w:marLeft w:val="0"/>
      <w:marRight w:val="0"/>
      <w:marTop w:val="0"/>
      <w:marBottom w:val="0"/>
      <w:divBdr>
        <w:top w:val="none" w:sz="0" w:space="0" w:color="auto"/>
        <w:left w:val="none" w:sz="0" w:space="0" w:color="auto"/>
        <w:bottom w:val="none" w:sz="0" w:space="0" w:color="auto"/>
        <w:right w:val="none" w:sz="0" w:space="0" w:color="auto"/>
      </w:divBdr>
    </w:div>
    <w:div w:id="1238443005">
      <w:bodyDiv w:val="1"/>
      <w:marLeft w:val="0"/>
      <w:marRight w:val="0"/>
      <w:marTop w:val="0"/>
      <w:marBottom w:val="0"/>
      <w:divBdr>
        <w:top w:val="none" w:sz="0" w:space="0" w:color="auto"/>
        <w:left w:val="none" w:sz="0" w:space="0" w:color="auto"/>
        <w:bottom w:val="none" w:sz="0" w:space="0" w:color="auto"/>
        <w:right w:val="none" w:sz="0" w:space="0" w:color="auto"/>
      </w:divBdr>
    </w:div>
    <w:div w:id="1251626417">
      <w:bodyDiv w:val="1"/>
      <w:marLeft w:val="0"/>
      <w:marRight w:val="0"/>
      <w:marTop w:val="0"/>
      <w:marBottom w:val="0"/>
      <w:divBdr>
        <w:top w:val="none" w:sz="0" w:space="0" w:color="auto"/>
        <w:left w:val="none" w:sz="0" w:space="0" w:color="auto"/>
        <w:bottom w:val="none" w:sz="0" w:space="0" w:color="auto"/>
        <w:right w:val="none" w:sz="0" w:space="0" w:color="auto"/>
      </w:divBdr>
    </w:div>
    <w:div w:id="1573199075">
      <w:bodyDiv w:val="1"/>
      <w:marLeft w:val="0"/>
      <w:marRight w:val="0"/>
      <w:marTop w:val="0"/>
      <w:marBottom w:val="0"/>
      <w:divBdr>
        <w:top w:val="none" w:sz="0" w:space="0" w:color="auto"/>
        <w:left w:val="none" w:sz="0" w:space="0" w:color="auto"/>
        <w:bottom w:val="none" w:sz="0" w:space="0" w:color="auto"/>
        <w:right w:val="none" w:sz="0" w:space="0" w:color="auto"/>
      </w:divBdr>
    </w:div>
    <w:div w:id="1858810970">
      <w:bodyDiv w:val="1"/>
      <w:marLeft w:val="0"/>
      <w:marRight w:val="0"/>
      <w:marTop w:val="0"/>
      <w:marBottom w:val="0"/>
      <w:divBdr>
        <w:top w:val="none" w:sz="0" w:space="0" w:color="auto"/>
        <w:left w:val="none" w:sz="0" w:space="0" w:color="auto"/>
        <w:bottom w:val="none" w:sz="0" w:space="0" w:color="auto"/>
        <w:right w:val="none" w:sz="0" w:space="0" w:color="auto"/>
      </w:divBdr>
    </w:div>
    <w:div w:id="2018773928">
      <w:bodyDiv w:val="1"/>
      <w:marLeft w:val="0"/>
      <w:marRight w:val="0"/>
      <w:marTop w:val="0"/>
      <w:marBottom w:val="0"/>
      <w:divBdr>
        <w:top w:val="none" w:sz="0" w:space="0" w:color="auto"/>
        <w:left w:val="none" w:sz="0" w:space="0" w:color="auto"/>
        <w:bottom w:val="none" w:sz="0" w:space="0" w:color="auto"/>
        <w:right w:val="none" w:sz="0" w:space="0" w:color="auto"/>
      </w:divBdr>
    </w:div>
    <w:div w:id="2105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chart" Target="charts/chart4.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chart" Target="charts/chart3.xml"/><Relationship Id="rId30" Type="http://schemas.openxmlformats.org/officeDocument/2006/relationships/footer" Target="footer7.xml"/><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ossiers.dgt.cec.eu.int\dossiers\FPI\FPI-2020-80032\FPI-2020-80032-00-01-FR-SRC-00.202011270943532168380.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dossiers.dgt.cec.eu.int\dossiers\FPI\FPI-2020-80032\FPI-2020-80032-00-01-FR-SRC-00.202011270943532168380.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dossiers.dgt.cec.eu.int\dossiers\FPI\FPI-2020-80032\FPI-2020-80032-00-01-FR-SRC-00.202011270943532168380.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dossiers.dgt.cec.eu.int\dossiers\FPI\FPI-2020-80032\FPI-2020-80032-00-01-FR-SRC-00.2020112709435321683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'Annex 1'!$B$8</c:f>
              <c:strCache>
                <c:ptCount val="1"/>
                <c:pt idx="0">
                  <c:v>Annexe III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'Annex 1'!$A$9:$A$20</c:f>
              <c:strCache>
                <c:ptCount val="12"/>
                <c:pt idx="0">
                  <c:v>Tchéquie</c:v>
                </c:pt>
                <c:pt idx="1">
                  <c:v>Allemagne</c:v>
                </c:pt>
                <c:pt idx="2">
                  <c:v>Espagne</c:v>
                </c:pt>
                <c:pt idx="3">
                  <c:v>France</c:v>
                </c:pt>
                <c:pt idx="4">
                  <c:v>Italie</c:v>
                </c:pt>
                <c:pt idx="5">
                  <c:v>Pays-Bas</c:v>
                </c:pt>
                <c:pt idx="6">
                  <c:v>Autriche</c:v>
                </c:pt>
                <c:pt idx="7">
                  <c:v>Pologne</c:v>
                </c:pt>
                <c:pt idx="8">
                  <c:v>Portugal</c:v>
                </c:pt>
                <c:pt idx="9">
                  <c:v>Suède</c:v>
                </c:pt>
                <c:pt idx="10">
                  <c:v>Royaume-Uni</c:v>
                </c:pt>
                <c:pt idx="11">
                  <c:v>Total</c:v>
                </c:pt>
              </c:strCache>
            </c:strRef>
          </c:cat>
          <c:val>
            <c:numRef>
              <c:f>'Annex 1'!$B$9:$B$20</c:f>
              <c:numCache>
                <c:formatCode>General</c:formatCode>
                <c:ptCount val="12"/>
                <c:pt idx="0">
                  <c:v>14</c:v>
                </c:pt>
                <c:pt idx="1">
                  <c:v>134</c:v>
                </c:pt>
                <c:pt idx="2">
                  <c:v>3</c:v>
                </c:pt>
                <c:pt idx="3">
                  <c:v>8</c:v>
                </c:pt>
                <c:pt idx="4">
                  <c:v>0</c:v>
                </c:pt>
                <c:pt idx="5">
                  <c:v>8</c:v>
                </c:pt>
                <c:pt idx="6">
                  <c:v>0</c:v>
                </c:pt>
                <c:pt idx="7">
                  <c:v>2</c:v>
                </c:pt>
                <c:pt idx="8">
                  <c:v>0</c:v>
                </c:pt>
                <c:pt idx="9">
                  <c:v>6</c:v>
                </c:pt>
                <c:pt idx="10">
                  <c:v>11</c:v>
                </c:pt>
                <c:pt idx="11">
                  <c:v>186</c:v>
                </c:pt>
              </c:numCache>
            </c:numRef>
          </c:val>
          <c:extLst xmlns:c16r2="http://schemas.microsoft.com/office/drawing/2015/06/chart">
            <c:ext xmlns:c16="http://schemas.microsoft.com/office/drawing/2014/chart" uri="{C3380CC4-5D6E-409C-BE32-E72D297353CC}">
              <c16:uniqueId val="{00000000-9166-4F50-9AAD-D791412D972B}"/>
            </c:ext>
          </c:extLst>
        </c:ser>
        <c:ser>
          <c:idx val="1"/>
          <c:order val="1"/>
          <c:tx>
            <c:strRef>
              <c:f>'Annex 1'!$C$8</c:f>
              <c:strCache>
                <c:ptCount val="1"/>
                <c:pt idx="0">
                  <c:v>Annexe IV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'Annex 1'!$A$9:$A$20</c:f>
              <c:strCache>
                <c:ptCount val="12"/>
                <c:pt idx="0">
                  <c:v>Tchéquie</c:v>
                </c:pt>
                <c:pt idx="1">
                  <c:v>Allemagne</c:v>
                </c:pt>
                <c:pt idx="2">
                  <c:v>Espagne</c:v>
                </c:pt>
                <c:pt idx="3">
                  <c:v>France</c:v>
                </c:pt>
                <c:pt idx="4">
                  <c:v>Italie</c:v>
                </c:pt>
                <c:pt idx="5">
                  <c:v>Pays-Bas</c:v>
                </c:pt>
                <c:pt idx="6">
                  <c:v>Autriche</c:v>
                </c:pt>
                <c:pt idx="7">
                  <c:v>Pologne</c:v>
                </c:pt>
                <c:pt idx="8">
                  <c:v>Portugal</c:v>
                </c:pt>
                <c:pt idx="9">
                  <c:v>Suède</c:v>
                </c:pt>
                <c:pt idx="10">
                  <c:v>Royaume-Uni</c:v>
                </c:pt>
                <c:pt idx="11">
                  <c:v>Total</c:v>
                </c:pt>
              </c:strCache>
            </c:strRef>
          </c:cat>
          <c:val>
            <c:numRef>
              <c:f>'Annex 1'!$C$9:$C$20</c:f>
              <c:numCache>
                <c:formatCode>General</c:formatCode>
                <c:ptCount val="12"/>
                <c:pt idx="0">
                  <c:v>4</c:v>
                </c:pt>
                <c:pt idx="1">
                  <c:v>41</c:v>
                </c:pt>
                <c:pt idx="2">
                  <c:v>0</c:v>
                </c:pt>
                <c:pt idx="3">
                  <c:v>1</c:v>
                </c:pt>
                <c:pt idx="4">
                  <c:v>11</c:v>
                </c:pt>
                <c:pt idx="5">
                  <c:v>18</c:v>
                </c:pt>
                <c:pt idx="6">
                  <c:v>6</c:v>
                </c:pt>
                <c:pt idx="7">
                  <c:v>0</c:v>
                </c:pt>
                <c:pt idx="8">
                  <c:v>4</c:v>
                </c:pt>
                <c:pt idx="9">
                  <c:v>0</c:v>
                </c:pt>
                <c:pt idx="10">
                  <c:v>14</c:v>
                </c:pt>
                <c:pt idx="11">
                  <c:v>99</c:v>
                </c:pt>
              </c:numCache>
            </c:numRef>
          </c:val>
          <c:extLst xmlns:c16r2="http://schemas.microsoft.com/office/drawing/2015/06/chart">
            <c:ext xmlns:c16="http://schemas.microsoft.com/office/drawing/2014/chart" uri="{C3380CC4-5D6E-409C-BE32-E72D297353CC}">
              <c16:uniqueId val="{00000001-9166-4F50-9AAD-D791412D972B}"/>
            </c:ext>
          </c:extLst>
        </c:ser>
        <c:dLbls>
          <c:dLblPos val="outEnd"/>
          <c:showLegendKey val="0"/>
          <c:showVal val="1"/>
          <c:showCatName val="0"/>
          <c:showSerName val="0"/>
          <c:showPercent val="0"/>
          <c:showBubbleSize val="0"/>
        </c:dLbls>
        <c:gapWidth val="219"/>
        <c:overlap val="-27"/>
        <c:axId val="43656704"/>
        <c:axId val="43658240"/>
      </c:barChart>
      <c:catAx>
        <c:axId val="4365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8240"/>
        <c:crosses val="autoZero"/>
        <c:auto val="1"/>
        <c:lblAlgn val="ctr"/>
        <c:lblOffset val="100"/>
        <c:noMultiLvlLbl val="0"/>
      </c:catAx>
      <c:valAx>
        <c:axId val="4365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'Annex 2'!$A$7</c:f>
              <c:strCache>
                <c:ptCount val="1"/>
                <c:pt idx="0">
                  <c:v>Accordées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'Annex 2'!$B$6:$D$6</c:f>
              <c:numCache>
                <c:formatCode>General</c:formatCode>
                <c:ptCount val="3"/>
                <c:pt idx="0">
                  <c:v>2017</c:v>
                </c:pt>
                <c:pt idx="1">
                  <c:v>2018</c:v>
                </c:pt>
                <c:pt idx="2">
                  <c:v>2019</c:v>
                </c:pt>
              </c:numCache>
            </c:numRef>
          </c:cat>
          <c:val>
            <c:numRef>
              <c:f>'Annex 2'!$B$7:$D$7</c:f>
              <c:numCache>
                <c:formatCode>General</c:formatCode>
                <c:ptCount val="3"/>
                <c:pt idx="0">
                  <c:v>295</c:v>
                </c:pt>
                <c:pt idx="1">
                  <c:v>231</c:v>
                </c:pt>
                <c:pt idx="2">
                  <c:v>285</c:v>
                </c:pt>
              </c:numCache>
            </c:numRef>
          </c:val>
          <c:smooth val="0"/>
          <c:extLst xmlns:c16r2="http://schemas.microsoft.com/office/drawing/2015/06/chart">
            <c:ext xmlns:c16="http://schemas.microsoft.com/office/drawing/2014/chart" uri="{C3380CC4-5D6E-409C-BE32-E72D297353CC}">
              <c16:uniqueId val="{00000000-CE1B-4084-A5C5-68CA34C3C9E7}"/>
            </c:ext>
          </c:extLst>
        </c:ser>
        <c:ser>
          <c:idx val="1"/>
          <c:order val="1"/>
          <c:tx>
            <c:strRef>
              <c:f>'Annex 2'!$A$8</c:f>
              <c:strCache>
                <c:ptCount val="1"/>
                <c:pt idx="0">
                  <c:v>Rejetées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'Annex 2'!$B$6:$D$6</c:f>
              <c:numCache>
                <c:formatCode>General</c:formatCode>
                <c:ptCount val="3"/>
                <c:pt idx="0">
                  <c:v>2017</c:v>
                </c:pt>
                <c:pt idx="1">
                  <c:v>2018</c:v>
                </c:pt>
                <c:pt idx="2">
                  <c:v>2019</c:v>
                </c:pt>
              </c:numCache>
            </c:numRef>
          </c:cat>
          <c:val>
            <c:numRef>
              <c:f>'Annex 2'!$B$8:$D$8</c:f>
              <c:numCache>
                <c:formatCode>General</c:formatCode>
                <c:ptCount val="3"/>
                <c:pt idx="0">
                  <c:v>4</c:v>
                </c:pt>
                <c:pt idx="1">
                  <c:v>5</c:v>
                </c:pt>
                <c:pt idx="2">
                  <c:v>6</c:v>
                </c:pt>
              </c:numCache>
            </c:numRef>
          </c:val>
          <c:smooth val="0"/>
          <c:extLst xmlns:c16r2="http://schemas.microsoft.com/office/drawing/2015/06/chart">
            <c:ext xmlns:c16="http://schemas.microsoft.com/office/drawing/2014/chart" uri="{C3380CC4-5D6E-409C-BE32-E72D297353CC}">
              <c16:uniqueId val="{00000001-CE1B-4084-A5C5-68CA34C3C9E7}"/>
            </c:ext>
          </c:extLst>
        </c:ser>
        <c:dLbls>
          <c:dLblPos val="t"/>
          <c:showLegendKey val="0"/>
          <c:showVal val="1"/>
          <c:showCatName val="0"/>
          <c:showSerName val="0"/>
          <c:showPercent val="0"/>
          <c:showBubbleSize val="0"/>
        </c:dLbls>
        <c:marker val="1"/>
        <c:smooth val="0"/>
        <c:axId val="103953536"/>
        <c:axId val="103955072"/>
      </c:lineChart>
      <c:catAx>
        <c:axId val="1039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55072"/>
        <c:crosses val="autoZero"/>
        <c:auto val="1"/>
        <c:lblAlgn val="ctr"/>
        <c:lblOffset val="100"/>
        <c:noMultiLvlLbl val="0"/>
      </c:catAx>
      <c:valAx>
        <c:axId val="103955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Nombre</a:t>
                </a:r>
                <a:r>
                  <a:rPr lang="en-GB" baseline="0"/>
                  <a:t> d'autorisations d'exportation</a:t>
                </a:r>
                <a:endParaRPr lang="en-GB"/>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53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'Annex 3'!$C$5:$C$55</c:f>
              <c:strCache>
                <c:ptCount val="51"/>
                <c:pt idx="0">
                  <c:v>Suisse</c:v>
                </c:pt>
                <c:pt idx="1">
                  <c:v>Andorre</c:v>
                </c:pt>
                <c:pt idx="2">
                  <c:v>Inde</c:v>
                </c:pt>
                <c:pt idx="3">
                  <c:v>Afrique du Sud</c:v>
                </c:pt>
                <c:pt idx="4">
                  <c:v>Ukraine</c:v>
                </c:pt>
                <c:pt idx="5">
                  <c:v>Australie</c:v>
                </c:pt>
                <c:pt idx="6">
                  <c:v>États-Unis</c:v>
                </c:pt>
                <c:pt idx="7">
                  <c:v>Bosnie-Herzégovine</c:v>
                </c:pt>
                <c:pt idx="8">
                  <c:v>Turquie</c:v>
                </c:pt>
                <c:pt idx="9">
                  <c:v>Japon </c:v>
                </c:pt>
                <c:pt idx="10">
                  <c:v>Norvège</c:v>
                </c:pt>
                <c:pt idx="11">
                  <c:v>Argentine</c:v>
                </c:pt>
                <c:pt idx="12">
                  <c:v>Brésil</c:v>
                </c:pt>
                <c:pt idx="13">
                  <c:v>République populaire de Chine</c:v>
                </c:pt>
                <c:pt idx="14">
                  <c:v>Mexique</c:v>
                </c:pt>
                <c:pt idx="15">
                  <c:v>Monténégro </c:v>
                </c:pt>
                <c:pt idx="16">
                  <c:v>Macédoine du Nord</c:v>
                </c:pt>
                <c:pt idx="17">
                  <c:v>Singapour</c:v>
                </c:pt>
                <c:pt idx="18">
                  <c:v>Émirats arabes unis</c:v>
                </c:pt>
                <c:pt idx="19">
                  <c:v>Aruba (NL)</c:v>
                </c:pt>
                <c:pt idx="20">
                  <c:v>Chili</c:v>
                </c:pt>
                <c:pt idx="21">
                  <c:v>Curaçao (NL) </c:v>
                </c:pt>
                <c:pt idx="22">
                  <c:v>Moldavie</c:v>
                </c:pt>
                <c:pt idx="23">
                  <c:v>Russie</c:v>
                </c:pt>
                <c:pt idx="24">
                  <c:v>Angola</c:v>
                </c:pt>
                <c:pt idx="25">
                  <c:v>Bonaire, Saint-Eustache et Saba (NL)</c:v>
                </c:pt>
                <c:pt idx="26">
                  <c:v>Canada</c:v>
                </c:pt>
                <c:pt idx="27">
                  <c:v>Colombie</c:v>
                </c:pt>
                <c:pt idx="28">
                  <c:v>Égypte</c:v>
                </c:pt>
                <c:pt idx="29">
                  <c:v>Hong Kong</c:v>
                </c:pt>
                <c:pt idx="30">
                  <c:v>Malaisie</c:v>
                </c:pt>
                <c:pt idx="31">
                  <c:v>Nigeria</c:v>
                </c:pt>
                <c:pt idx="32">
                  <c:v>Oman </c:v>
                </c:pt>
                <c:pt idx="33">
                  <c:v>Serbie</c:v>
                </c:pt>
                <c:pt idx="34">
                  <c:v>Sierra Leone</c:v>
                </c:pt>
                <c:pt idx="35">
                  <c:v>Somalie</c:v>
                </c:pt>
                <c:pt idx="36">
                  <c:v>Corée du Sud</c:v>
                </c:pt>
                <c:pt idx="37">
                  <c:v>Bahreïn</c:v>
                </c:pt>
                <c:pt idx="38">
                  <c:v>Ghana</c:v>
                </c:pt>
                <c:pt idx="39">
                  <c:v>Iran</c:v>
                </c:pt>
                <c:pt idx="40">
                  <c:v>Israël</c:v>
                </c:pt>
                <c:pt idx="41">
                  <c:v>Jordanie</c:v>
                </c:pt>
                <c:pt idx="42">
                  <c:v>Kenya</c:v>
                </c:pt>
                <c:pt idx="43">
                  <c:v>Namibie</c:v>
                </c:pt>
                <c:pt idx="44">
                  <c:v>Nouvelle-Calédonie (FR)</c:v>
                </c:pt>
                <c:pt idx="45">
                  <c:v>Nouvelle-Zélande</c:v>
                </c:pt>
                <c:pt idx="46">
                  <c:v>Pérou</c:v>
                </c:pt>
                <c:pt idx="47">
                  <c:v>Sénégal</c:v>
                </c:pt>
                <c:pt idx="48">
                  <c:v>Tunisie</c:v>
                </c:pt>
                <c:pt idx="49">
                  <c:v>Zimbabwe</c:v>
                </c:pt>
                <c:pt idx="50">
                  <c:v>Autre</c:v>
                </c:pt>
              </c:strCache>
            </c:strRef>
          </c:cat>
          <c:val>
            <c:numRef>
              <c:f>'Annex 3'!$E$5:$E$55</c:f>
              <c:numCache>
                <c:formatCode>General</c:formatCode>
                <c:ptCount val="51"/>
                <c:pt idx="0">
                  <c:v>31</c:v>
                </c:pt>
                <c:pt idx="1">
                  <c:v>16</c:v>
                </c:pt>
                <c:pt idx="2">
                  <c:v>13</c:v>
                </c:pt>
                <c:pt idx="3">
                  <c:v>12</c:v>
                </c:pt>
                <c:pt idx="4">
                  <c:v>11</c:v>
                </c:pt>
                <c:pt idx="5">
                  <c:v>10</c:v>
                </c:pt>
                <c:pt idx="6">
                  <c:v>10</c:v>
                </c:pt>
                <c:pt idx="7">
                  <c:v>9</c:v>
                </c:pt>
                <c:pt idx="8">
                  <c:v>9</c:v>
                </c:pt>
                <c:pt idx="9">
                  <c:v>8</c:v>
                </c:pt>
                <c:pt idx="10">
                  <c:v>7</c:v>
                </c:pt>
                <c:pt idx="11">
                  <c:v>7</c:v>
                </c:pt>
                <c:pt idx="12">
                  <c:v>7</c:v>
                </c:pt>
                <c:pt idx="13">
                  <c:v>7</c:v>
                </c:pt>
                <c:pt idx="14">
                  <c:v>5</c:v>
                </c:pt>
                <c:pt idx="15">
                  <c:v>5</c:v>
                </c:pt>
                <c:pt idx="16">
                  <c:v>5</c:v>
                </c:pt>
                <c:pt idx="17">
                  <c:v>5</c:v>
                </c:pt>
                <c:pt idx="18">
                  <c:v>5</c:v>
                </c:pt>
                <c:pt idx="19">
                  <c:v>4</c:v>
                </c:pt>
                <c:pt idx="20">
                  <c:v>4</c:v>
                </c:pt>
                <c:pt idx="21">
                  <c:v>4</c:v>
                </c:pt>
                <c:pt idx="22">
                  <c:v>4</c:v>
                </c:pt>
                <c:pt idx="23">
                  <c:v>4</c:v>
                </c:pt>
                <c:pt idx="24">
                  <c:v>3</c:v>
                </c:pt>
                <c:pt idx="25">
                  <c:v>3</c:v>
                </c:pt>
                <c:pt idx="26">
                  <c:v>3</c:v>
                </c:pt>
                <c:pt idx="27">
                  <c:v>3</c:v>
                </c:pt>
                <c:pt idx="28">
                  <c:v>3</c:v>
                </c:pt>
                <c:pt idx="29">
                  <c:v>3</c:v>
                </c:pt>
                <c:pt idx="30">
                  <c:v>3</c:v>
                </c:pt>
                <c:pt idx="31">
                  <c:v>3</c:v>
                </c:pt>
                <c:pt idx="32">
                  <c:v>3</c:v>
                </c:pt>
                <c:pt idx="33">
                  <c:v>3</c:v>
                </c:pt>
                <c:pt idx="34">
                  <c:v>3</c:v>
                </c:pt>
                <c:pt idx="35">
                  <c:v>3</c:v>
                </c:pt>
                <c:pt idx="36">
                  <c:v>3</c:v>
                </c:pt>
                <c:pt idx="37">
                  <c:v>2</c:v>
                </c:pt>
                <c:pt idx="38">
                  <c:v>2</c:v>
                </c:pt>
                <c:pt idx="39">
                  <c:v>2</c:v>
                </c:pt>
                <c:pt idx="40">
                  <c:v>2</c:v>
                </c:pt>
                <c:pt idx="41">
                  <c:v>2</c:v>
                </c:pt>
                <c:pt idx="42">
                  <c:v>2</c:v>
                </c:pt>
                <c:pt idx="43">
                  <c:v>2</c:v>
                </c:pt>
                <c:pt idx="44">
                  <c:v>2</c:v>
                </c:pt>
                <c:pt idx="45">
                  <c:v>2</c:v>
                </c:pt>
                <c:pt idx="46">
                  <c:v>2</c:v>
                </c:pt>
                <c:pt idx="47">
                  <c:v>2</c:v>
                </c:pt>
                <c:pt idx="48">
                  <c:v>2</c:v>
                </c:pt>
                <c:pt idx="49">
                  <c:v>2</c:v>
                </c:pt>
                <c:pt idx="50">
                  <c:v>22</c:v>
                </c:pt>
              </c:numCache>
            </c:numRef>
          </c:val>
          <c:extLst xmlns:c16r2="http://schemas.microsoft.com/office/drawing/2015/06/chart">
            <c:ext xmlns:c16="http://schemas.microsoft.com/office/drawing/2014/chart" uri="{C3380CC4-5D6E-409C-BE32-E72D297353CC}">
              <c16:uniqueId val="{00000000-7631-4DE2-BE7C-85104A663AD3}"/>
            </c:ext>
          </c:extLst>
        </c:ser>
        <c:dLbls>
          <c:dLblPos val="outEnd"/>
          <c:showLegendKey val="0"/>
          <c:showVal val="1"/>
          <c:showCatName val="0"/>
          <c:showSerName val="0"/>
          <c:showPercent val="0"/>
          <c:showBubbleSize val="0"/>
        </c:dLbls>
        <c:gapWidth val="219"/>
        <c:overlap val="-27"/>
        <c:axId val="103975168"/>
        <c:axId val="104010880"/>
      </c:barChart>
      <c:catAx>
        <c:axId val="10397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10880"/>
        <c:crosses val="autoZero"/>
        <c:auto val="1"/>
        <c:lblAlgn val="ctr"/>
        <c:lblOffset val="100"/>
        <c:noMultiLvlLbl val="0"/>
      </c:catAx>
      <c:valAx>
        <c:axId val="1040108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Nombre d'autorisations d'exportation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7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573512685914269"/>
          <c:y val="5.0925925925925923E-2"/>
          <c:w val="0.5849315398075241"/>
          <c:h val="0.8638735783027121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'Annex 6'!$D$5:$D$11</c:f>
              <c:strCache>
                <c:ptCount val="7"/>
                <c:pt idx="0">
                  <c:v>Usage médical et pharmaceutique</c:v>
                </c:pt>
                <c:pt idx="1">
                  <c:v>Application de la loi</c:v>
                </c:pt>
                <c:pt idx="2">
                  <c:v>Usage clinique et en laboratoire</c:v>
                </c:pt>
                <c:pt idx="3">
                  <c:v>Usage vétérinaire</c:v>
                </c:pt>
                <c:pt idx="4">
                  <c:v>Commerçants</c:v>
                </c:pt>
                <c:pt idx="5">
                  <c:v>Sociétés de sécurité</c:v>
                </c:pt>
                <c:pt idx="6">
                  <c:v>Autre</c:v>
                </c:pt>
              </c:strCache>
            </c:strRef>
          </c:cat>
          <c:val>
            <c:numRef>
              <c:f>'Annex 6'!$E$5:$E$11</c:f>
              <c:numCache>
                <c:formatCode>General</c:formatCode>
                <c:ptCount val="7"/>
                <c:pt idx="0">
                  <c:v>42</c:v>
                </c:pt>
                <c:pt idx="1">
                  <c:v>24</c:v>
                </c:pt>
                <c:pt idx="2">
                  <c:v>12</c:v>
                </c:pt>
                <c:pt idx="3">
                  <c:v>10</c:v>
                </c:pt>
                <c:pt idx="4">
                  <c:v>10</c:v>
                </c:pt>
                <c:pt idx="5">
                  <c:v>7</c:v>
                </c:pt>
                <c:pt idx="6">
                  <c:v>13</c:v>
                </c:pt>
              </c:numCache>
            </c:numRef>
          </c:val>
          <c:extLst xmlns:c16r2="http://schemas.microsoft.com/office/drawing/2015/06/chart">
            <c:ext xmlns:c16="http://schemas.microsoft.com/office/drawing/2014/chart" uri="{C3380CC4-5D6E-409C-BE32-E72D297353CC}">
              <c16:uniqueId val="{00000000-E007-44A5-A5DE-CDAFE8D73153}"/>
            </c:ext>
          </c:extLst>
        </c:ser>
        <c:dLbls>
          <c:dLblPos val="outEnd"/>
          <c:showLegendKey val="0"/>
          <c:showVal val="1"/>
          <c:showCatName val="0"/>
          <c:showSerName val="0"/>
          <c:showPercent val="0"/>
          <c:showBubbleSize val="0"/>
        </c:dLbls>
        <c:gapWidth val="182"/>
        <c:axId val="104019072"/>
        <c:axId val="104045952"/>
      </c:barChart>
      <c:catAx>
        <c:axId val="104019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Utilisation finale signalée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45952"/>
        <c:crosses val="autoZero"/>
        <c:auto val="1"/>
        <c:lblAlgn val="ctr"/>
        <c:lblOffset val="100"/>
        <c:noMultiLvlLbl val="0"/>
      </c:catAx>
      <c:valAx>
        <c:axId val="10404595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1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CDA7-BA33-4B5C-9D55-6B827DE9A28D}">
  <ds:schemaRefs>
    <ds:schemaRef ds:uri="http://schemas.microsoft.com/sharepoint/v3/contenttype/forms"/>
  </ds:schemaRefs>
</ds:datastoreItem>
</file>

<file path=customXml/itemProps2.xml><?xml version="1.0" encoding="utf-8"?>
<ds:datastoreItem xmlns:ds="http://schemas.openxmlformats.org/officeDocument/2006/customXml" ds:itemID="{3EABD7B2-DCF9-44E8-B652-391B4CF67773}">
  <ds:schemaRefs>
    <ds:schemaRef ds:uri="http://purl.org/dc/dcmitype/"/>
    <ds:schemaRef ds:uri="http://schemas.microsoft.com/office/2006/documentManagement/types"/>
    <ds:schemaRef ds:uri="541a8a8b-b856-4d35-a5c7-7f2c0ec3d49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8AD081-2DFC-47B6-AFA6-D51CD993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65CD7-8B32-498C-BABC-2B13EB43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898</Words>
  <Characters>5124</Characters>
  <Application>Microsoft Office Word</Application>
  <DocSecurity>0</DocSecurity>
  <Lines>427</Lines>
  <Paragraphs>223</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WES PDFC Administrator</cp:lastModifiedBy>
  <cp:revision>12</cp:revision>
  <cp:lastPrinted>2020-10-19T12:23:00Z</cp:lastPrinted>
  <dcterms:created xsi:type="dcterms:W3CDTF">2020-11-08T12:01:00Z</dcterms:created>
  <dcterms:modified xsi:type="dcterms:W3CDTF">2020-12-03T09:53:00Z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6</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y fmtid="{D5CDD505-2E9C-101B-9397-08002B2CF9AE}" pid="12" name="_LW_INVALIDATED__LW_INVALIDATED__LW_INVALIDATED__LW_INVALIDATED__LW_INVALIDATED__LW_INVALIDATED__LW_INVALIDATED__LW_INVALIDATED_ContentTypeId">
    <vt:lpwstr>0x010100087E4EC354ADFB40AC5D4FC129E379BA</vt:lpwstr>
  </property>
</Properties>
</file>