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D98" w:rsidRDefault="000A22C0">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9E71E3A-06AC-4D21-8FD2-1B1B4B390ACF" style="width:450.6pt;height:333.6pt">
            <v:imagedata r:id="rId11" o:title=""/>
          </v:shape>
        </w:pict>
      </w:r>
    </w:p>
    <w:bookmarkEnd w:id="0"/>
    <w:p w:rsidR="00D65D98" w:rsidRDefault="00D65D98">
      <w:pPr>
        <w:rPr>
          <w:noProof/>
        </w:rPr>
        <w:sectPr w:rsidR="00D65D98">
          <w:headerReference w:type="even" r:id="rId12"/>
          <w:headerReference w:type="default" r:id="rId13"/>
          <w:footerReference w:type="even" r:id="rId14"/>
          <w:footerReference w:type="default" r:id="rId15"/>
          <w:headerReference w:type="first" r:id="rId16"/>
          <w:footerReference w:type="first" r:id="rId17"/>
          <w:pgSz w:w="11907" w:h="16839" w:code="9"/>
          <w:pgMar w:top="1134" w:right="1417" w:bottom="1134" w:left="1417" w:header="709" w:footer="709" w:gutter="0"/>
          <w:pgNumType w:start="0"/>
          <w:cols w:space="720"/>
          <w:docGrid w:linePitch="360"/>
        </w:sectPr>
      </w:pPr>
    </w:p>
    <w:p w:rsidR="00D65D98" w:rsidRDefault="000A22C0">
      <w:pPr>
        <w:pStyle w:val="ListParagraph"/>
        <w:numPr>
          <w:ilvl w:val="0"/>
          <w:numId w:val="2"/>
        </w:numPr>
        <w:spacing w:before="100" w:beforeAutospacing="1"/>
        <w:ind w:left="0"/>
        <w:jc w:val="both"/>
        <w:rPr>
          <w:b/>
          <w:noProof/>
        </w:rPr>
      </w:pPr>
      <w:r>
        <w:rPr>
          <w:b/>
          <w:bCs/>
          <w:noProof/>
        </w:rPr>
        <w:lastRenderedPageBreak/>
        <w:t>Въведение</w:t>
      </w:r>
    </w:p>
    <w:p w:rsidR="00D65D98" w:rsidRDefault="000A22C0">
      <w:pPr>
        <w:pStyle w:val="Body"/>
        <w:spacing w:before="100" w:beforeAutospacing="1" w:after="0"/>
        <w:rPr>
          <w:rFonts w:ascii="Times New Roman" w:hAnsi="Times New Roman"/>
          <w:noProof/>
        </w:rPr>
      </w:pPr>
      <w:r>
        <w:rPr>
          <w:rFonts w:ascii="Times New Roman" w:hAnsi="Times New Roman"/>
          <w:noProof/>
        </w:rPr>
        <w:t xml:space="preserve">Целта на Регламент (ЕС) 2019/125 относно търговията с някои стоки, които биха могли да бъдат използвани с цел изпълнение на смъртно </w:t>
      </w:r>
      <w:r>
        <w:rPr>
          <w:rFonts w:ascii="Times New Roman" w:hAnsi="Times New Roman"/>
          <w:noProof/>
        </w:rPr>
        <w:t>наказание, изтезания или други форми на жестоко, нечовешко или унизително отношение или наказание (</w:t>
      </w:r>
      <w:r>
        <w:rPr>
          <w:rFonts w:ascii="Times New Roman" w:hAnsi="Times New Roman"/>
          <w:noProof/>
          <w:vertAlign w:val="superscript"/>
        </w:rPr>
        <w:footnoteReference w:id="1"/>
      </w:r>
      <w:r>
        <w:rPr>
          <w:rFonts w:ascii="Times New Roman" w:hAnsi="Times New Roman"/>
          <w:noProof/>
        </w:rPr>
        <w:t>) (наричан по-нататък „Регламента“), е предотвратяването на смъртното наказание, от една страна, и на изтезанията и други форми на жестоко, нечовешко или ун</w:t>
      </w:r>
      <w:r>
        <w:rPr>
          <w:rFonts w:ascii="Times New Roman" w:hAnsi="Times New Roman"/>
          <w:noProof/>
        </w:rPr>
        <w:t>изително отношение или наказание в държави извън ЕС, от друга страна. В него се прави следното разграничение на стоките:</w:t>
      </w:r>
    </w:p>
    <w:p w:rsidR="00D65D98" w:rsidRDefault="000A22C0">
      <w:pPr>
        <w:pStyle w:val="Body"/>
        <w:numPr>
          <w:ilvl w:val="0"/>
          <w:numId w:val="3"/>
        </w:numPr>
        <w:spacing w:before="100" w:beforeAutospacing="1" w:after="0"/>
        <w:rPr>
          <w:rFonts w:ascii="Times New Roman" w:hAnsi="Times New Roman"/>
          <w:noProof/>
        </w:rPr>
      </w:pPr>
      <w:r>
        <w:rPr>
          <w:rFonts w:ascii="Times New Roman" w:hAnsi="Times New Roman"/>
          <w:noProof/>
        </w:rPr>
        <w:t>такива, които по своята същност служат за насилие и които изобщо не трябва да се търгуват (приложение II), или</w:t>
      </w:r>
    </w:p>
    <w:p w:rsidR="00D65D98" w:rsidRDefault="000A22C0">
      <w:pPr>
        <w:pStyle w:val="Body"/>
        <w:numPr>
          <w:ilvl w:val="0"/>
          <w:numId w:val="3"/>
        </w:numPr>
        <w:spacing w:before="100" w:beforeAutospacing="1" w:after="0"/>
        <w:rPr>
          <w:rFonts w:ascii="Times New Roman" w:hAnsi="Times New Roman"/>
          <w:noProof/>
        </w:rPr>
      </w:pPr>
      <w:r>
        <w:rPr>
          <w:rFonts w:ascii="Times New Roman" w:hAnsi="Times New Roman"/>
          <w:noProof/>
        </w:rPr>
        <w:t>такива, които могат да и</w:t>
      </w:r>
      <w:r>
        <w:rPr>
          <w:rFonts w:ascii="Times New Roman" w:hAnsi="Times New Roman"/>
          <w:noProof/>
        </w:rPr>
        <w:t>мат законна употреба като например оборудване, което се използва за целите на правоприлагането (приложение III), или стоки с терапевтична употреба (приложение IV).</w:t>
      </w:r>
    </w:p>
    <w:p w:rsidR="00D65D98" w:rsidRDefault="000A22C0">
      <w:pPr>
        <w:pStyle w:val="Body"/>
        <w:spacing w:before="100" w:beforeAutospacing="1" w:after="0"/>
        <w:rPr>
          <w:rFonts w:ascii="Times New Roman" w:hAnsi="Times New Roman"/>
          <w:noProof/>
        </w:rPr>
      </w:pPr>
      <w:r>
        <w:rPr>
          <w:rFonts w:ascii="Times New Roman" w:hAnsi="Times New Roman"/>
          <w:noProof/>
        </w:rPr>
        <w:t>Търговията с такива стоки подлежи на определени ограничения.</w:t>
      </w:r>
    </w:p>
    <w:p w:rsidR="00D65D98" w:rsidRDefault="000A22C0">
      <w:pPr>
        <w:spacing w:before="100" w:beforeAutospacing="1"/>
        <w:jc w:val="both"/>
        <w:rPr>
          <w:noProof/>
        </w:rPr>
      </w:pPr>
      <w:r>
        <w:rPr>
          <w:noProof/>
        </w:rPr>
        <w:t>В член 26, параграф 3 от Реглам</w:t>
      </w:r>
      <w:r>
        <w:rPr>
          <w:noProof/>
        </w:rPr>
        <w:t>ента се посочва, че държавите членки изготвят публичен годишен доклад. Докладът трябва да съдържа информация за броя на получените заявления, за стоките и държавите, посочени в тях, както и за решенията, които са били взети по заявленията. В член 26, параг</w:t>
      </w:r>
      <w:r>
        <w:rPr>
          <w:noProof/>
        </w:rPr>
        <w:t>раф 4 се посочва, че Комисията трябва да изготви годишен доклад, включващ годишните доклади за дейността, публикувани от държавите членки. Тя трябва да оповестява този доклад публично.</w:t>
      </w:r>
    </w:p>
    <w:p w:rsidR="00D65D98" w:rsidRDefault="000A22C0">
      <w:pPr>
        <w:spacing w:before="100" w:beforeAutospacing="1"/>
        <w:jc w:val="both"/>
        <w:rPr>
          <w:noProof/>
        </w:rPr>
      </w:pPr>
      <w:r>
        <w:rPr>
          <w:noProof/>
        </w:rPr>
        <w:t xml:space="preserve">В настоящия доклад на Комисията се предоставя информация за издадените </w:t>
      </w:r>
      <w:r>
        <w:rPr>
          <w:noProof/>
        </w:rPr>
        <w:t>от държавите членки през 2019 г. разрешения за износ на стоки(</w:t>
      </w:r>
      <w:r>
        <w:rPr>
          <w:noProof/>
          <w:color w:val="000000" w:themeColor="text1"/>
          <w:vertAlign w:val="superscript"/>
        </w:rPr>
        <w:footnoteReference w:id="2"/>
      </w:r>
      <w:r>
        <w:rPr>
          <w:noProof/>
        </w:rPr>
        <w:t>), които биха могли да бъдат използвани с цел изтезания или изпълнение на смъртно наказание, през 2019 г.</w:t>
      </w:r>
    </w:p>
    <w:p w:rsidR="00D65D98" w:rsidRDefault="000A22C0">
      <w:pPr>
        <w:spacing w:before="100" w:beforeAutospacing="1"/>
        <w:jc w:val="both"/>
        <w:rPr>
          <w:noProof/>
        </w:rPr>
      </w:pPr>
      <w:r>
        <w:rPr>
          <w:noProof/>
        </w:rPr>
        <w:t xml:space="preserve">Всички държави членки докладваха за броя на издадените и отказаните съгласно член 11, </w:t>
      </w:r>
      <w:r>
        <w:rPr>
          <w:noProof/>
        </w:rPr>
        <w:t>параграф 1 и член 16, параграф 1 разрешения за износ, както и за стоките и съответните страни на местоназначение, включени в тях. В повечето случаи компетентните органи в държавите членки докладваха също така относно броя или количествата на стоките, разре</w:t>
      </w:r>
      <w:r>
        <w:rPr>
          <w:noProof/>
        </w:rPr>
        <w:t>шени за износ, и категорията крайни потребители, на които тези стоки ще бъдат доставени.</w:t>
      </w:r>
    </w:p>
    <w:p w:rsidR="00D65D98" w:rsidRDefault="00D65D98">
      <w:pPr>
        <w:spacing w:before="100" w:beforeAutospacing="1"/>
        <w:jc w:val="both"/>
        <w:rPr>
          <w:noProof/>
        </w:rPr>
      </w:pPr>
    </w:p>
    <w:tbl>
      <w:tblPr>
        <w:tblStyle w:val="TableGrid"/>
        <w:tblW w:w="0" w:type="auto"/>
        <w:tblInd w:w="468" w:type="dxa"/>
        <w:tblLook w:val="04A0" w:firstRow="1" w:lastRow="0" w:firstColumn="1" w:lastColumn="0" w:noHBand="0" w:noVBand="1"/>
      </w:tblPr>
      <w:tblGrid>
        <w:gridCol w:w="7560"/>
      </w:tblGrid>
      <w:tr w:rsidR="00D65D98">
        <w:tc>
          <w:tcPr>
            <w:tcW w:w="7560" w:type="dxa"/>
          </w:tcPr>
          <w:p w:rsidR="00D65D98" w:rsidRDefault="000A22C0">
            <w:pPr>
              <w:spacing w:before="100" w:beforeAutospacing="1"/>
              <w:jc w:val="both"/>
              <w:rPr>
                <w:noProof/>
              </w:rPr>
            </w:pPr>
            <w:r>
              <w:rPr>
                <w:b/>
                <w:noProof/>
              </w:rPr>
              <w:t>Разрешения съгласно Регламент (ЕС) 2019/125</w:t>
            </w:r>
          </w:p>
          <w:p w:rsidR="00D65D98" w:rsidRDefault="000A22C0">
            <w:pPr>
              <w:spacing w:before="100" w:beforeAutospacing="1" w:line="240" w:lineRule="exact"/>
              <w:jc w:val="both"/>
              <w:rPr>
                <w:noProof/>
              </w:rPr>
            </w:pPr>
            <w:r>
              <w:rPr>
                <w:noProof/>
              </w:rPr>
              <w:t>Съгласно член 11, параграф 1 и член 16, параграф 1 от Регламент (ЕС) 2019/125 се изисква разрешение за износа (</w:t>
            </w:r>
            <w:r>
              <w:rPr>
                <w:noProof/>
                <w:vertAlign w:val="superscript"/>
              </w:rPr>
              <w:footnoteReference w:id="3"/>
            </w:r>
            <w:r>
              <w:rPr>
                <w:noProof/>
              </w:rPr>
              <w:t>) на стоки</w:t>
            </w:r>
            <w:r>
              <w:rPr>
                <w:noProof/>
              </w:rPr>
              <w:t>, изброени съответно в приложение III (11(1) и приложение IV (16(1).</w:t>
            </w:r>
          </w:p>
          <w:p w:rsidR="00D65D98" w:rsidRDefault="000A22C0">
            <w:pPr>
              <w:spacing w:before="100" w:beforeAutospacing="1" w:line="240" w:lineRule="exact"/>
              <w:jc w:val="both"/>
              <w:rPr>
                <w:noProof/>
                <w:spacing w:val="-6"/>
              </w:rPr>
            </w:pPr>
            <w:r>
              <w:rPr>
                <w:noProof/>
                <w:spacing w:val="-6"/>
              </w:rPr>
              <w:t>В приложение III са посочени някои стоки, които биха могли да бъдат използвани за изтезания и други форми на жестоко, нечовешко или унизително отношение или наказание. Стоките от приложен</w:t>
            </w:r>
            <w:r>
              <w:rPr>
                <w:noProof/>
                <w:spacing w:val="-6"/>
              </w:rPr>
              <w:t>ие III попадат в следните позиции: стоки, предназначени за задържане на хора; оръжия и устройства, предназначени за контрол на безредици или за самозащита, и оръжия и оборудване за разпространяване на химически вещества, причиняващи временна недееспособнос</w:t>
            </w:r>
            <w:r>
              <w:rPr>
                <w:noProof/>
                <w:spacing w:val="-6"/>
              </w:rPr>
              <w:t>т или дразнене и предназначени за контрол на безредици или самозащита, и свързаните с тях вещества.</w:t>
            </w:r>
          </w:p>
          <w:p w:rsidR="00D65D98" w:rsidRDefault="000A22C0">
            <w:pPr>
              <w:spacing w:before="100" w:beforeAutospacing="1" w:line="240" w:lineRule="exact"/>
              <w:jc w:val="both"/>
              <w:rPr>
                <w:noProof/>
              </w:rPr>
            </w:pPr>
            <w:r>
              <w:rPr>
                <w:noProof/>
              </w:rPr>
              <w:t>В приложение IV са изброени някои химикали, които биха могли да се използват за поставянето на инжекция със смъртоносна доза.</w:t>
            </w:r>
          </w:p>
          <w:p w:rsidR="00D65D98" w:rsidRDefault="000A22C0">
            <w:pPr>
              <w:spacing w:before="100" w:beforeAutospacing="1" w:line="240" w:lineRule="exact"/>
              <w:jc w:val="both"/>
              <w:rPr>
                <w:noProof/>
              </w:rPr>
            </w:pPr>
            <w:r>
              <w:rPr>
                <w:noProof/>
              </w:rPr>
              <w:t>С изключение на случаите, кога</w:t>
            </w:r>
            <w:r>
              <w:rPr>
                <w:noProof/>
              </w:rPr>
              <w:t>то за износа на стоки, изброени в приложение IV, се използва генералното разрешение на Съюза за износ, посочено в приложение V, разрешението за износ трябва да се получи от компетентните органи в съответната държава членка, посочени в приложение I към регл</w:t>
            </w:r>
            <w:r>
              <w:rPr>
                <w:noProof/>
              </w:rPr>
              <w:t>амента.</w:t>
            </w:r>
          </w:p>
          <w:p w:rsidR="00D65D98" w:rsidRDefault="000A22C0">
            <w:pPr>
              <w:spacing w:before="100" w:beforeAutospacing="1" w:line="240" w:lineRule="exact"/>
              <w:jc w:val="both"/>
              <w:rPr>
                <w:noProof/>
                <w:spacing w:val="-4"/>
              </w:rPr>
            </w:pPr>
            <w:r>
              <w:rPr>
                <w:noProof/>
                <w:spacing w:val="-4"/>
              </w:rPr>
              <w:t xml:space="preserve">Износът за местоназначенията, изброени в генералното разрешение на Съюза за износ, обикновено може да се осъществи без да е необходимо да се получи индивидуално или общо разрешение, издадено от държава членка. Досега подходът се състоеше в </w:t>
            </w:r>
            <w:r>
              <w:rPr>
                <w:noProof/>
                <w:spacing w:val="-4"/>
              </w:rPr>
              <w:t>включването на държава извън ЕС в приложение V, ако тя е ратифицирала съответното международно споразумение с ангажимент за премахване на смъртното наказание за всички престъпления. За държави, които не са членки на Съвета на Европа, това означава, че въпр</w:t>
            </w:r>
            <w:r>
              <w:rPr>
                <w:noProof/>
                <w:spacing w:val="-4"/>
              </w:rPr>
              <w:t>осната държава трябва да е ратифицирала Втория факултативен протокол към Международния пакт за граждански и политически права (МПГПП) без резерви.</w:t>
            </w:r>
          </w:p>
          <w:p w:rsidR="00D65D98" w:rsidRDefault="000A22C0">
            <w:pPr>
              <w:spacing w:before="100" w:beforeAutospacing="1" w:line="240" w:lineRule="exact"/>
              <w:jc w:val="both"/>
              <w:rPr>
                <w:noProof/>
                <w:spacing w:val="-4"/>
              </w:rPr>
            </w:pPr>
            <w:r>
              <w:rPr>
                <w:noProof/>
                <w:spacing w:val="-4"/>
              </w:rPr>
              <w:t xml:space="preserve">Въпреки това, ако съществува основателно подозрение относно способността на износителя да спази условията на </w:t>
            </w:r>
            <w:r>
              <w:rPr>
                <w:noProof/>
                <w:spacing w:val="-4"/>
              </w:rPr>
              <w:t>разрешението или на законодателството за контрол върху износа, компетентният орган може да забрани на износителя да използва генералното разрешение на Съюза за износ.</w:t>
            </w:r>
          </w:p>
          <w:p w:rsidR="00D65D98" w:rsidRDefault="000A22C0">
            <w:pPr>
              <w:spacing w:before="100" w:beforeAutospacing="1" w:line="240" w:lineRule="exact"/>
              <w:jc w:val="both"/>
              <w:rPr>
                <w:noProof/>
                <w:spacing w:val="-6"/>
              </w:rPr>
            </w:pPr>
            <w:r>
              <w:rPr>
                <w:noProof/>
                <w:spacing w:val="-6"/>
              </w:rPr>
              <w:t>В член 20, параграф 2 от Регламент (ЕС) № 2019/125 се посочва, че разрешение за износ, ко</w:t>
            </w:r>
            <w:r>
              <w:rPr>
                <w:noProof/>
                <w:spacing w:val="-6"/>
              </w:rPr>
              <w:t>ето се издава от държава членка, може да бъде индивидуално разрешение (разрешение за износ към един краен потребител или получател в държава извън ЕС) или общо разрешение (разрешение за износ към един или повече конкретни крайни потребители или дистрибутор</w:t>
            </w:r>
            <w:r>
              <w:rPr>
                <w:noProof/>
                <w:spacing w:val="-6"/>
              </w:rPr>
              <w:t>и в една или повече конкретни държави извън ЕС) (</w:t>
            </w:r>
            <w:r>
              <w:rPr>
                <w:noProof/>
                <w:spacing w:val="-6"/>
                <w:vertAlign w:val="superscript"/>
              </w:rPr>
              <w:footnoteReference w:id="4"/>
            </w:r>
            <w:r>
              <w:rPr>
                <w:noProof/>
                <w:spacing w:val="-6"/>
              </w:rPr>
              <w:t>).</w:t>
            </w:r>
          </w:p>
          <w:p w:rsidR="00D65D98" w:rsidRDefault="000A22C0">
            <w:pPr>
              <w:spacing w:before="100" w:beforeAutospacing="1" w:line="240" w:lineRule="exact"/>
              <w:jc w:val="both"/>
              <w:rPr>
                <w:noProof/>
              </w:rPr>
            </w:pPr>
            <w:r>
              <w:rPr>
                <w:noProof/>
              </w:rPr>
              <w:t>С членове 3, 4 и 5 от регламента се забраняват износът, вносът и транзитът на стоките, изброени в приложение II. Компетентните органи могат да предоставят дерогация от забраната, но само ако се докаже, ч</w:t>
            </w:r>
            <w:r>
              <w:rPr>
                <w:noProof/>
              </w:rPr>
              <w:t>е въпросните стоки ще бъдат използвани изключително за целите на излагането им в музей (в държава извън ЕС или, в съответствие с член 4, в държава членка) предвид тяхната историческа стойност.</w:t>
            </w:r>
          </w:p>
        </w:tc>
      </w:tr>
    </w:tbl>
    <w:p w:rsidR="00D65D98" w:rsidRDefault="00D65D98">
      <w:pPr>
        <w:spacing w:before="100" w:beforeAutospacing="1"/>
        <w:rPr>
          <w:b/>
          <w:bCs/>
          <w:noProof/>
        </w:rPr>
      </w:pPr>
    </w:p>
    <w:p w:rsidR="00D65D98" w:rsidRDefault="000A22C0">
      <w:pPr>
        <w:pStyle w:val="ListParagraph"/>
        <w:numPr>
          <w:ilvl w:val="0"/>
          <w:numId w:val="2"/>
        </w:numPr>
        <w:spacing w:before="100" w:beforeAutospacing="1"/>
        <w:ind w:left="0"/>
        <w:jc w:val="both"/>
        <w:rPr>
          <w:b/>
          <w:bCs/>
          <w:noProof/>
        </w:rPr>
      </w:pPr>
      <w:r>
        <w:rPr>
          <w:b/>
          <w:bCs/>
          <w:noProof/>
        </w:rPr>
        <w:t>Издадени и отказани разрешения</w:t>
      </w:r>
    </w:p>
    <w:p w:rsidR="00D65D98" w:rsidRPr="000A22C0" w:rsidRDefault="000A22C0">
      <w:pPr>
        <w:spacing w:before="100" w:beforeAutospacing="1"/>
        <w:jc w:val="both"/>
        <w:rPr>
          <w:b/>
          <w:bCs/>
          <w:noProof/>
        </w:rPr>
      </w:pPr>
      <w:r>
        <w:rPr>
          <w:noProof/>
        </w:rPr>
        <w:t>През 2019 г. общият брой на до</w:t>
      </w:r>
      <w:r>
        <w:rPr>
          <w:noProof/>
        </w:rPr>
        <w:t xml:space="preserve">кладваните разрешения възлиза на </w:t>
      </w:r>
      <w:r w:rsidRPr="000A22C0">
        <w:rPr>
          <w:noProof/>
        </w:rPr>
        <w:t>285</w:t>
      </w:r>
      <w:r w:rsidRPr="000A22C0">
        <w:rPr>
          <w:noProof/>
        </w:rPr>
        <w:t>, като те са били издадени от 11 държави членки. Останалите държави членки са уведомили Комисията, че не са получили заявления за разрешение съгласно регламента.</w:t>
      </w:r>
    </w:p>
    <w:p w:rsidR="00D65D98" w:rsidRPr="000A22C0" w:rsidRDefault="000A22C0">
      <w:pPr>
        <w:spacing w:before="100" w:beforeAutospacing="1"/>
        <w:jc w:val="both"/>
        <w:rPr>
          <w:noProof/>
        </w:rPr>
      </w:pPr>
      <w:r w:rsidRPr="000A22C0">
        <w:rPr>
          <w:noProof/>
        </w:rPr>
        <w:t>Тъй като определението за индивидуално разрешение и общо р</w:t>
      </w:r>
      <w:r w:rsidRPr="000A22C0">
        <w:rPr>
          <w:noProof/>
        </w:rPr>
        <w:t>азрешение в член 2 от Регламента, не включва количествен елемент, посочването на броя на издадените разрешения не дава информация за броя или количеството на стоките, обхванати от съответните разрешения. В информацията, която държавите членки са предостави</w:t>
      </w:r>
      <w:r w:rsidRPr="000A22C0">
        <w:rPr>
          <w:noProof/>
        </w:rPr>
        <w:t>ли на Комисията, обикновено не се прави разграничение между индивидуални и общи разрешения.</w:t>
      </w:r>
    </w:p>
    <w:p w:rsidR="00D65D98" w:rsidRPr="000A22C0" w:rsidRDefault="000A22C0">
      <w:pPr>
        <w:spacing w:before="100" w:beforeAutospacing="1"/>
        <w:jc w:val="both"/>
        <w:rPr>
          <w:noProof/>
        </w:rPr>
      </w:pPr>
      <w:r w:rsidRPr="000A22C0">
        <w:rPr>
          <w:noProof/>
        </w:rPr>
        <w:t xml:space="preserve">Регламентът изисква компетентните органи да проверяват дали в дадено разрешение за износ са налице признаци, че ако бъдат изнесени, съответните стоки може да бъдат </w:t>
      </w:r>
      <w:r w:rsidRPr="000A22C0">
        <w:rPr>
          <w:noProof/>
        </w:rPr>
        <w:t>използвани за изтезания или други форми на жестоко, нечовешко или унизително отношение или наказание (приложение III) или с цел изпълнение на смъртно наказание (приложение IV). Ето защо в член 20, параграф 8 от Регламента се посочва, че компетентният орган</w:t>
      </w:r>
      <w:r w:rsidRPr="000A22C0">
        <w:rPr>
          <w:noProof/>
        </w:rPr>
        <w:t xml:space="preserve"> трябва да получава „цялата информация, по-специално относно крайния потребител, държавата на местоназначение и крайната употреба на стоките“.</w:t>
      </w:r>
    </w:p>
    <w:p w:rsidR="00D65D98" w:rsidRDefault="000A22C0">
      <w:pPr>
        <w:spacing w:before="100" w:beforeAutospacing="1"/>
        <w:jc w:val="both"/>
        <w:rPr>
          <w:noProof/>
        </w:rPr>
      </w:pPr>
      <w:r w:rsidRPr="000A22C0">
        <w:rPr>
          <w:noProof/>
        </w:rPr>
        <w:t xml:space="preserve">През 2019 г. беше докладвано, че са били отказани шест заявления </w:t>
      </w:r>
      <w:r w:rsidRPr="000A22C0">
        <w:rPr>
          <w:noProof/>
        </w:rPr>
        <w:t>(</w:t>
      </w:r>
      <w:r w:rsidRPr="000A22C0">
        <w:rPr>
          <w:noProof/>
          <w:vertAlign w:val="superscript"/>
        </w:rPr>
        <w:footnoteReference w:id="5"/>
      </w:r>
      <w:r w:rsidRPr="000A22C0">
        <w:rPr>
          <w:noProof/>
        </w:rPr>
        <w:t>)</w:t>
      </w:r>
      <w:r w:rsidRPr="000A22C0">
        <w:rPr>
          <w:noProof/>
        </w:rPr>
        <w:t xml:space="preserve"> за разрешение за износ. Докладваните случаи на отказ през 2019 г. се отнасяха до някои планирани сделки с клиенти в Босна и Херцеговина, Китай, Индия, Израел, Нигерия и Нигер. Неразрешените сделки засягат главно стоки, изброени в приложение III под код 3.</w:t>
      </w:r>
      <w:r w:rsidRPr="000A22C0">
        <w:rPr>
          <w:noProof/>
        </w:rPr>
        <w:t>1(</w:t>
      </w:r>
      <w:r w:rsidRPr="000A22C0">
        <w:rPr>
          <w:noProof/>
          <w:vertAlign w:val="superscript"/>
        </w:rPr>
        <w:footnoteReference w:id="6"/>
      </w:r>
      <w:r w:rsidRPr="000A22C0">
        <w:rPr>
          <w:noProof/>
        </w:rPr>
        <w:t>). Планираният износ за Нигерия засяга стоки, изброени в приложение III, под код 3.6 (</w:t>
      </w:r>
      <w:r w:rsidRPr="000A22C0">
        <w:rPr>
          <w:noProof/>
          <w:vertAlign w:val="superscript"/>
        </w:rPr>
        <w:footnoteReference w:id="7"/>
      </w:r>
      <w:r w:rsidRPr="000A22C0">
        <w:rPr>
          <w:noProof/>
        </w:rPr>
        <w:t>). Планираният износ за Индия засега</w:t>
      </w:r>
      <w:bookmarkStart w:id="1" w:name="_GoBack"/>
      <w:bookmarkEnd w:id="1"/>
      <w:r>
        <w:rPr>
          <w:noProof/>
        </w:rPr>
        <w:t xml:space="preserve"> стоки, изброени в приложение IV (</w:t>
      </w:r>
      <w:r>
        <w:rPr>
          <w:i/>
          <w:iCs/>
          <w:noProof/>
        </w:rPr>
        <w:t>тиопентал</w:t>
      </w:r>
      <w:r>
        <w:rPr>
          <w:noProof/>
        </w:rPr>
        <w:t>).</w:t>
      </w:r>
    </w:p>
    <w:p w:rsidR="00D65D98" w:rsidRDefault="000A22C0">
      <w:pPr>
        <w:spacing w:before="100" w:beforeAutospacing="1"/>
        <w:jc w:val="both"/>
        <w:rPr>
          <w:noProof/>
        </w:rPr>
      </w:pPr>
      <w:r>
        <w:rPr>
          <w:noProof/>
        </w:rPr>
        <w:t>С членове 3, 4 и 5 от регламента се забраняват съответно износът, вносът и транзитът</w:t>
      </w:r>
      <w:r>
        <w:rPr>
          <w:noProof/>
        </w:rPr>
        <w:t xml:space="preserve"> на стоките, изброени в приложение II. Регламентът позволява на компетентните национални органи да предоставят дерогация от забраната, но само ако бъде доказано, че съответните стоки ще бъдат използвани изключително за излагането им в музей (или в държава </w:t>
      </w:r>
      <w:r>
        <w:rPr>
          <w:noProof/>
        </w:rPr>
        <w:t>извън ЕС, или, в съответствие с член 4, в държава членка) с оглед на тяхната историческа стойност. Компетентните органи докладваха, че са предоставили такива дерогации през 2019 г.</w:t>
      </w:r>
    </w:p>
    <w:p w:rsidR="00D65D98" w:rsidRDefault="000A22C0">
      <w:pPr>
        <w:spacing w:before="100" w:beforeAutospacing="1"/>
        <w:jc w:val="both"/>
        <w:rPr>
          <w:noProof/>
        </w:rPr>
      </w:pPr>
      <w:r>
        <w:rPr>
          <w:noProof/>
        </w:rPr>
        <w:t xml:space="preserve">В </w:t>
      </w:r>
      <w:r>
        <w:rPr>
          <w:i/>
          <w:noProof/>
        </w:rPr>
        <w:t>приложение 1</w:t>
      </w:r>
      <w:r>
        <w:rPr>
          <w:noProof/>
        </w:rPr>
        <w:t xml:space="preserve"> към настоящия доклад е представена информация относно броя н</w:t>
      </w:r>
      <w:r>
        <w:rPr>
          <w:noProof/>
        </w:rPr>
        <w:t>а разрешенията за износ, издадени от националните компетентни органи през 2019 г., по категории стоки (приложения III и IV). Износът по силата на генералното разрешение на Съюза за износ (приложение V към Регламент (ЕС) 2019/125) не е включен в информацият</w:t>
      </w:r>
      <w:r>
        <w:rPr>
          <w:noProof/>
        </w:rPr>
        <w:t>а за броя на издадените разрешения.</w:t>
      </w:r>
    </w:p>
    <w:p w:rsidR="00D65D98" w:rsidRDefault="000A22C0">
      <w:pPr>
        <w:spacing w:before="100" w:beforeAutospacing="1"/>
        <w:jc w:val="both"/>
        <w:rPr>
          <w:noProof/>
        </w:rPr>
      </w:pPr>
      <w:r>
        <w:rPr>
          <w:noProof/>
        </w:rPr>
        <w:t xml:space="preserve">В </w:t>
      </w:r>
      <w:r>
        <w:rPr>
          <w:i/>
          <w:noProof/>
        </w:rPr>
        <w:t>приложение 2</w:t>
      </w:r>
      <w:r>
        <w:rPr>
          <w:noProof/>
        </w:rPr>
        <w:t xml:space="preserve"> е представена информация за броя разрешени и отказани заявления през периода 2017—2019 г.</w:t>
      </w:r>
    </w:p>
    <w:p w:rsidR="00D65D98" w:rsidRDefault="000A22C0">
      <w:pPr>
        <w:spacing w:before="100" w:beforeAutospacing="1"/>
        <w:jc w:val="both"/>
        <w:rPr>
          <w:noProof/>
          <w:color w:val="00B050"/>
        </w:rPr>
      </w:pPr>
      <w:r>
        <w:rPr>
          <w:noProof/>
        </w:rPr>
        <w:t xml:space="preserve">В </w:t>
      </w:r>
      <w:r>
        <w:rPr>
          <w:i/>
          <w:noProof/>
        </w:rPr>
        <w:t>приложение 3</w:t>
      </w:r>
      <w:r>
        <w:rPr>
          <w:noProof/>
        </w:rPr>
        <w:t xml:space="preserve"> е представена информация за основните декларирани местоназначения на разрешения износ.</w:t>
      </w:r>
    </w:p>
    <w:p w:rsidR="00D65D98" w:rsidRDefault="000A22C0">
      <w:pPr>
        <w:spacing w:before="100" w:beforeAutospacing="1"/>
        <w:jc w:val="both"/>
        <w:rPr>
          <w:noProof/>
        </w:rPr>
      </w:pPr>
      <w:r>
        <w:rPr>
          <w:noProof/>
        </w:rPr>
        <w:t xml:space="preserve">В </w:t>
      </w:r>
      <w:r>
        <w:rPr>
          <w:i/>
          <w:iCs/>
          <w:noProof/>
        </w:rPr>
        <w:t>приложения </w:t>
      </w:r>
      <w:r>
        <w:rPr>
          <w:i/>
          <w:iCs/>
          <w:noProof/>
        </w:rPr>
        <w:t>4 и 5</w:t>
      </w:r>
      <w:r>
        <w:rPr>
          <w:noProof/>
        </w:rPr>
        <w:t xml:space="preserve"> е представен преглед на стоките, разрешени за износ, техните местоназначения и декларираното им крайна употреба.</w:t>
      </w:r>
    </w:p>
    <w:p w:rsidR="00D65D98" w:rsidRDefault="000A22C0">
      <w:pPr>
        <w:pStyle w:val="ListParagraph"/>
        <w:numPr>
          <w:ilvl w:val="0"/>
          <w:numId w:val="2"/>
        </w:numPr>
        <w:spacing w:before="100" w:beforeAutospacing="1"/>
        <w:ind w:left="0"/>
        <w:jc w:val="both"/>
        <w:rPr>
          <w:b/>
          <w:bCs/>
          <w:noProof/>
        </w:rPr>
      </w:pPr>
      <w:r>
        <w:rPr>
          <w:b/>
          <w:bCs/>
          <w:noProof/>
        </w:rPr>
        <w:t>Крайни потребители</w:t>
      </w:r>
    </w:p>
    <w:p w:rsidR="00D65D98" w:rsidRDefault="000A22C0">
      <w:pPr>
        <w:spacing w:before="100" w:beforeAutospacing="1"/>
        <w:jc w:val="both"/>
        <w:rPr>
          <w:noProof/>
        </w:rPr>
      </w:pPr>
      <w:r>
        <w:rPr>
          <w:noProof/>
        </w:rPr>
        <w:t xml:space="preserve">Информацията, получена от Комисията, дава възможност да се направи разграничение между крайната употреба за целите на </w:t>
      </w:r>
      <w:r>
        <w:rPr>
          <w:noProof/>
        </w:rPr>
        <w:t>правоприлагането, науката и здравеопазването (в болници и ветеринарна употреба) и крайната употреба от дружества, извършващи дейност в областта на сигурността, и от търговски предприятия.</w:t>
      </w:r>
    </w:p>
    <w:p w:rsidR="00D65D98" w:rsidRDefault="000A22C0">
      <w:pPr>
        <w:spacing w:before="100" w:beforeAutospacing="1"/>
        <w:jc w:val="both"/>
        <w:rPr>
          <w:noProof/>
        </w:rPr>
      </w:pPr>
      <w:r>
        <w:rPr>
          <w:noProof/>
        </w:rPr>
        <w:t xml:space="preserve">В </w:t>
      </w:r>
      <w:r>
        <w:rPr>
          <w:i/>
          <w:noProof/>
        </w:rPr>
        <w:t>приложение 6</w:t>
      </w:r>
      <w:r>
        <w:rPr>
          <w:noProof/>
        </w:rPr>
        <w:t xml:space="preserve"> е обобщена информацията, предоставена на Комисията от</w:t>
      </w:r>
      <w:r>
        <w:rPr>
          <w:noProof/>
        </w:rPr>
        <w:t>носно докладваната крайна употреба на разрешения износ през 2019 г.</w:t>
      </w:r>
    </w:p>
    <w:sectPr w:rsidR="00D65D98">
      <w:headerReference w:type="even" r:id="rId18"/>
      <w:headerReference w:type="default" r:id="rId19"/>
      <w:footerReference w:type="even" r:id="rId20"/>
      <w:footerReference w:type="default" r:id="rId21"/>
      <w:headerReference w:type="first" r:id="rId22"/>
      <w:footerReference w:type="first" r:id="rId23"/>
      <w:pgSz w:w="11907" w:h="16839" w:code="9"/>
      <w:pgMar w:top="1440" w:right="1800" w:bottom="1440" w:left="1800" w:header="708" w:footer="708"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04BF425" w16cex:dateUtc="2020-09-27T10:34:45.219Z"/>
  <w16cex:commentExtensible w16cex:durableId="31DD6F08" w16cex:dateUtc="2020-09-27T11:54:15.826Z"/>
  <w16cex:commentExtensible w16cex:durableId="42BD0ABF" w16cex:dateUtc="2020-09-27T11:55:20.934Z"/>
</w16cex:commentsExtensible>
</file>

<file path=word/commentsIds.xml><?xml version="1.0" encoding="utf-8"?>
<w16cid:commentsIds xmlns:mc="http://schemas.openxmlformats.org/markup-compatibility/2006" xmlns:w16cid="http://schemas.microsoft.com/office/word/2016/wordml/cid" mc:Ignorable="w16cid">
  <w16cid:commentId w16cid:paraId="7FAACFCA" w16cid:durableId="204BF425"/>
  <w16cid:commentId w16cid:paraId="5D514095" w16cid:durableId="31DD6F08"/>
  <w16cid:commentId w16cid:paraId="1A21E914" w16cid:durableId="42BD0AB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D98" w:rsidRDefault="000A22C0">
      <w:r>
        <w:separator/>
      </w:r>
    </w:p>
  </w:endnote>
  <w:endnote w:type="continuationSeparator" w:id="0">
    <w:p w:rsidR="00D65D98" w:rsidRDefault="000A2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D98" w:rsidRDefault="00D65D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D98" w:rsidRDefault="000A22C0">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D98" w:rsidRDefault="00D65D9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D98" w:rsidRDefault="00D65D9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4810965"/>
      <w:docPartObj>
        <w:docPartGallery w:val="Page Numbers (Bottom of Page)"/>
        <w:docPartUnique/>
      </w:docPartObj>
    </w:sdtPr>
    <w:sdtEndPr>
      <w:rPr>
        <w:noProof/>
      </w:rPr>
    </w:sdtEndPr>
    <w:sdtContent>
      <w:p w:rsidR="00D65D98" w:rsidRDefault="000A22C0">
        <w:pPr>
          <w:pStyle w:val="Footer"/>
          <w:jc w:val="center"/>
        </w:pPr>
        <w:r>
          <w:fldChar w:fldCharType="begin"/>
        </w:r>
        <w:r>
          <w:instrText xml:space="preserve"> PAGE   \* MERGEFORMAT </w:instrText>
        </w:r>
        <w:r>
          <w:fldChar w:fldCharType="separate"/>
        </w:r>
        <w:r>
          <w:rPr>
            <w:noProof/>
          </w:rPr>
          <w:t>3</w:t>
        </w:r>
        <w:r>
          <w:fldChar w:fldCharType="end"/>
        </w:r>
      </w:p>
    </w:sdtContent>
  </w:sdt>
  <w:p w:rsidR="00D65D98" w:rsidRDefault="00D65D9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D98" w:rsidRDefault="00D65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D98" w:rsidRDefault="000A22C0">
      <w:r>
        <w:separator/>
      </w:r>
    </w:p>
  </w:footnote>
  <w:footnote w:type="continuationSeparator" w:id="0">
    <w:p w:rsidR="00D65D98" w:rsidRDefault="000A22C0">
      <w:r>
        <w:continuationSeparator/>
      </w:r>
    </w:p>
  </w:footnote>
  <w:footnote w:id="1">
    <w:p w:rsidR="00D65D98" w:rsidRDefault="000A22C0">
      <w:pPr>
        <w:pStyle w:val="FootnoteText"/>
        <w:tabs>
          <w:tab w:val="left" w:pos="284"/>
        </w:tabs>
        <w:jc w:val="both"/>
      </w:pPr>
      <w:r>
        <w:footnoteRef/>
      </w:r>
      <w:r>
        <w:rPr>
          <w:lang w:val="en-US"/>
        </w:rPr>
        <w:t xml:space="preserve"> </w:t>
      </w:r>
      <w:r>
        <w:tab/>
        <w:t>OВ L 30, 31.1.2019 г., стр. 1.</w:t>
      </w:r>
    </w:p>
  </w:footnote>
  <w:footnote w:id="2">
    <w:p w:rsidR="00D65D98" w:rsidRDefault="000A22C0">
      <w:pPr>
        <w:pStyle w:val="FootnoteText"/>
        <w:ind w:left="284" w:hanging="284"/>
        <w:jc w:val="both"/>
      </w:pPr>
      <w:r>
        <w:footnoteRef/>
      </w:r>
      <w:r>
        <w:rPr>
          <w:lang w:val="en-US"/>
        </w:rPr>
        <w:t xml:space="preserve"> </w:t>
      </w:r>
      <w:r>
        <w:tab/>
        <w:t xml:space="preserve">Настоящият доклад не предоставя информация относно използването от износителите на генералното разрешение на </w:t>
      </w:r>
      <w:r>
        <w:t>Съюза за износ на стоки, изброени в приложение IV (приложение V към Регламент (ЕС) 2019/125).</w:t>
      </w:r>
    </w:p>
  </w:footnote>
  <w:footnote w:id="3">
    <w:p w:rsidR="00D65D98" w:rsidRDefault="000A22C0">
      <w:pPr>
        <w:pStyle w:val="FootnoteText"/>
        <w:ind w:left="284" w:hanging="284"/>
        <w:jc w:val="both"/>
      </w:pPr>
      <w:r>
        <w:footnoteRef/>
      </w:r>
      <w:r>
        <w:t xml:space="preserve"> </w:t>
      </w:r>
      <w:r>
        <w:tab/>
        <w:t>В член 2, буква г) от Регламент (ЕС) 2019/125 понятието „износ“ се определя като „всяко изпращане на стоки от митническата територия на Съюза, включително изпр</w:t>
      </w:r>
      <w:r>
        <w:t>ащането на стоки, за които се изисква митническа декларация, както и изпращането на стоки, след като са били на съхранение в свободна зона по смисъла на Регламент (ЕС) № 952/2013 на Европейския парламент и на Съвета“.</w:t>
      </w:r>
    </w:p>
  </w:footnote>
  <w:footnote w:id="4">
    <w:p w:rsidR="00D65D98" w:rsidRDefault="000A22C0">
      <w:pPr>
        <w:pStyle w:val="FootnoteText"/>
        <w:ind w:left="240" w:hanging="240"/>
        <w:jc w:val="both"/>
      </w:pPr>
      <w:r>
        <w:footnoteRef/>
      </w:r>
      <w:r>
        <w:t xml:space="preserve"> </w:t>
      </w:r>
      <w:r>
        <w:tab/>
        <w:t>В член 2, буква п) се посочва пълно</w:t>
      </w:r>
      <w:r>
        <w:t xml:space="preserve"> определение на понятието „индивидуално разрешение“. В член 2, буква р) се посочва пълно определение на понятието „общо разрешение“.</w:t>
      </w:r>
    </w:p>
  </w:footnote>
  <w:footnote w:id="5">
    <w:p w:rsidR="00D65D98" w:rsidRDefault="000A22C0">
      <w:pPr>
        <w:pStyle w:val="FootnoteText"/>
        <w:ind w:left="240" w:hanging="240"/>
        <w:jc w:val="both"/>
      </w:pPr>
      <w:r>
        <w:footnoteRef/>
      </w:r>
      <w:r>
        <w:t xml:space="preserve"> </w:t>
      </w:r>
      <w:r>
        <w:tab/>
        <w:t>Броят на отказите за 2019 г. е различен от броя в доклада за преглед (СОМ (2020) 343), тъй като той взема предвид данни,</w:t>
      </w:r>
      <w:r>
        <w:t xml:space="preserve"> които не са били налични към момента на финализирането на доклада.</w:t>
      </w:r>
    </w:p>
  </w:footnote>
  <w:footnote w:id="6">
    <w:p w:rsidR="00D65D98" w:rsidRDefault="000A22C0">
      <w:pPr>
        <w:pStyle w:val="FootnoteText"/>
        <w:ind w:left="240" w:hanging="240"/>
        <w:jc w:val="both"/>
      </w:pPr>
      <w:r>
        <w:footnoteRef/>
      </w:r>
      <w:r>
        <w:t xml:space="preserve"> </w:t>
      </w:r>
      <w:r>
        <w:tab/>
        <w:t>Стоки, изброени в приложение III под код 3.1: преносими оръжия и оборудване за пускане или разпространяване на доза химично вещество, причиняващо временна недееспособност или дразнене.</w:t>
      </w:r>
    </w:p>
  </w:footnote>
  <w:footnote w:id="7">
    <w:p w:rsidR="00D65D98" w:rsidRDefault="000A22C0">
      <w:pPr>
        <w:pStyle w:val="FootnoteText"/>
        <w:ind w:left="240" w:hanging="240"/>
        <w:jc w:val="both"/>
      </w:pPr>
      <w:r>
        <w:footnoteRef/>
      </w:r>
      <w:r>
        <w:t xml:space="preserve"> </w:t>
      </w:r>
      <w:r>
        <w:tab/>
        <w:t>Стоки, изброени в приложение III под код 3.6: фиксирано или сглобяемо оборудване за разпространяване на химични вещества, причиняващи временна недееспособност или дразнене, върху значителна площ.</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D98" w:rsidRDefault="00D65D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D98" w:rsidRDefault="00D65D9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D98" w:rsidRDefault="00D65D9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D98" w:rsidRDefault="00D65D9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D98" w:rsidRDefault="00D65D9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D98" w:rsidRDefault="00D65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949D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61E1094"/>
    <w:multiLevelType w:val="hybridMultilevel"/>
    <w:tmpl w:val="29EC9D3E"/>
    <w:lvl w:ilvl="0" w:tplc="1BA25B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1D3D19"/>
    <w:multiLevelType w:val="multilevel"/>
    <w:tmpl w:val="1194D20C"/>
    <w:lvl w:ilvl="0">
      <w:start w:val="1"/>
      <w:numFmt w:val="decimal"/>
      <w:pStyle w:val="HeaderSensitivityRigh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26235FC"/>
    <w:multiLevelType w:val="hybridMultilevel"/>
    <w:tmpl w:val="287098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9E71E3A-06AC-4D21-8FD2-1B1B4B390ACF"/>
    <w:docVar w:name="LW_COVERPAGE_TYPE" w:val="1"/>
    <w:docVar w:name="LW_CROSSREFERENCE" w:val="&lt;UNUSED&gt;"/>
    <w:docVar w:name="LW_DocType" w:val="NORMAL"/>
    <w:docVar w:name="LW_EMISSION" w:val="14.12.2020"/>
    <w:docVar w:name="LW_EMISSION_ISODATE" w:val="2020-12-14"/>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7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44?\u1086?\u1082?\u1083?\u1072?\u1076? \u1079?\u1072? \u1080?\u1079?\u1076?\u1072?\u1076?\u1077?\u1085?\u1080?\u1090?\u1077? \u1087?\u1088?\u1077?\u1079? 2019 \u1075?. \u1088?\u1072?\u1079?\u1088?\u1077?\u1096?\u1077?\u1085?\u1080?\u1103? \u1079?\u1072? \u1080?\u1079?\u1085?\u1086?\u1089? \u1074? \u1089?\u1098?\u1086?\u1090?\u1074?\u1077?\u1090?\u1089?\u1090?\u1074?\u1080?\u1077? \u1089? \u1088?\u1077?\u1075?\u1083?\u1072?\u1084?\u1077?\u1085?\u1090?\u1072? \u1086?\u1090?\u1085?\u1086?\u1089?\u1085?\u1086? \u1090?\u1098?\u1088?\u1075?\u1086?\u1074?\u1080?\u1103?\u1090?\u1072? \u1089? \u1085?\u1103?\u1082?\u1086?\u1080? \u1089?\u1090?\u1086?\u1082?\u1080?, \u1082?\u1086?\u1080?\u1090?\u1086? \u1073?\u1080?\u1093?\u1072? \u1084?\u1086?\u1075?\u1083?\u1080? \u1076?\u1072? \u1073?\u1098?\u1076?\u1072?\u1090? \u1080?\u1079?\u1087?\u1086?\u1083?\u1079?\u1074?\u1072?\u1085?\u1080? \u1089? \u1094?\u1077?\u1083? \u1080?\u1079?\u1087?\u1098?\u1083?\u1085?\u1077?\u1085?\u1080?\u1077? \u1085?\u1072? \u1089?\u1084?\u1098?\u1088?\u1090?\u1085?\u1086? \u1085?\u1072?\u1082?\u1072?\u1079?\u1072?\u1085?\u1080?\u1077?, \u1080?\u1079?\u1090?\u1077?\u1079?\u1072?\u1085?\u1080?\u1103? \u1080?\u1083?\u1080? \u1076?\u1088?\u1091?\u1075?\u1080? \u1092?\u1086?\u1088?\u1084?\u1080? \u1085?\u1072? \u1078?\u1077?\u1089?\u1090?\u1086?\u1082?\u1086?, \u1085?\u1077?\u1095?\u1086?\u1074?\u1077?\u1096?\u1082?\u1086? \u1080?\u1083?\u1080? \u1091?\u1085?\u1080?\u1079?\u1080?\u1090?\u1077?\u1083?\u1085?\u1086? \u1086?\u1090?\u1085?\u1086?\u1096?\u1077?\u1085?\u1080?\u1077? \u1080?\u1083?\u1080? \u1085?\u1072?\u1082?\u1072?\u1079?\u1072?\u1085?\u1080?\u1077?"/>
    <w:docVar w:name="LW_TYPE.DOC.CP" w:val="\u1044?\u1054?\u1050?\u1051?\u1040?\u1044? \u1053?\u1040? \u1050?\u1054?\u1052?\u1048?\u1057?\u1048?\u1071?\u1058?\u1040? \u1044?\u1054? \u1045?\u1042?\u1056?\u1054?\u1055?\u1045?\u1049?\u1057?\u1050?\u1048?\u1071? \u1055?\u1040?\u1056?\u1051?\u1040?\u1052?\u1045?\u1053?\u1058? \u1048? \u1057?\u1066?\u1042?\u1045?\u1058?\u1040?"/>
  </w:docVars>
  <w:rsids>
    <w:rsidRoot w:val="00D65D98"/>
    <w:rsid w:val="000A22C0"/>
    <w:rsid w:val="00D65D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B0F24CE3-2462-4590-863E-477DBCAC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1 Char Char,Footnote Text Char Char Char Char,Footnote Text Char Char1,Footnote Text Char1 Char,Footnote Text Char Char Char,Footnote,n,footnotes,SUPERS,ftx,Char,C,f, Char"/>
    <w:basedOn w:val="Normal"/>
    <w:link w:val="FootnoteTextChar"/>
    <w:unhideWhenUsed/>
    <w:rPr>
      <w:sz w:val="20"/>
      <w:szCs w:val="20"/>
    </w:rPr>
  </w:style>
  <w:style w:type="character" w:customStyle="1" w:styleId="FootnoteTextChar">
    <w:name w:val="Footnote Text Char"/>
    <w:aliases w:val="Footnote Text Char1 Char1,Footnote Text Char Char Char1,Footnote Text Char1 Char Char Char,Footnote Text Char Char Char Char Char,Footnote Text Char Char1 Char,Footnote Text Char1 Char Char1,Footnote Text Char Char Char Char1,n Char"/>
    <w:basedOn w:val="DefaultParagraphFont"/>
    <w:link w:val="FootnoteText"/>
    <w:rPr>
      <w:rFonts w:ascii="Times New Roman" w:eastAsia="Times New Roman" w:hAnsi="Times New Roman" w:cs="Times New Roman"/>
      <w:sz w:val="20"/>
      <w:szCs w:val="20"/>
      <w:lang w:val="bg-BG"/>
    </w:rPr>
  </w:style>
  <w:style w:type="paragraph" w:styleId="ListParagraph">
    <w:name w:val="List Paragraph"/>
    <w:basedOn w:val="Normal"/>
    <w:link w:val="ListParagraphChar"/>
    <w:uiPriority w:val="34"/>
    <w:qFormat/>
    <w:pPr>
      <w:ind w:left="720"/>
      <w:contextualSpacing/>
    </w:p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rFonts w:ascii="Times New Roman" w:eastAsia="Times New Roman" w:hAnsi="Times New Roman" w:cs="Times New Roman"/>
      <w:sz w:val="24"/>
      <w:szCs w:val="24"/>
      <w:lang w:val="bg-BG"/>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bg-BG"/>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Pr>
      <w:rFonts w:ascii="Times New Roman" w:eastAsia="Times New Roman" w:hAnsi="Times New Roman" w:cs="Times New Roman"/>
      <w:sz w:val="24"/>
      <w:szCs w:val="24"/>
      <w:lang w:val="bg-BG"/>
    </w:rPr>
  </w:style>
  <w:style w:type="paragraph" w:customStyle="1" w:styleId="Body">
    <w:name w:val="Body"/>
    <w:basedOn w:val="Normal"/>
    <w:link w:val="BodyChar"/>
    <w:qFormat/>
    <w:pPr>
      <w:spacing w:before="120" w:after="120"/>
      <w:jc w:val="both"/>
    </w:pPr>
    <w:rPr>
      <w:rFonts w:ascii="EC Square Sans Pro" w:hAnsi="EC Square Sans Pro"/>
    </w:rPr>
  </w:style>
  <w:style w:type="character" w:customStyle="1" w:styleId="BodyChar">
    <w:name w:val="Body Char"/>
    <w:link w:val="Body"/>
    <w:rPr>
      <w:rFonts w:ascii="EC Square Sans Pro" w:eastAsia="Times New Roman" w:hAnsi="EC Square Sans Pro" w:cs="Times New Roman"/>
      <w:sz w:val="24"/>
      <w:szCs w:val="24"/>
      <w:lang w:val="bg-BG"/>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bg-BG"/>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hanging="360"/>
    </w:pPr>
  </w:style>
  <w:style w:type="character" w:customStyle="1" w:styleId="FooterCoverPageChar">
    <w:name w:val="Footer Cover Page Char"/>
    <w:basedOn w:val="ListParagraphChar"/>
    <w:link w:val="FooterCoverPage"/>
    <w:rPr>
      <w:rFonts w:ascii="Times New Roman" w:eastAsia="Times New Roman" w:hAnsi="Times New Roman" w:cs="Times New Roman"/>
      <w:sz w:val="24"/>
      <w:szCs w:val="24"/>
      <w:lang w:val="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hanging="360"/>
      <w:jc w:val="center"/>
    </w:pPr>
    <w:rPr>
      <w:b/>
      <w:sz w:val="32"/>
    </w:rPr>
  </w:style>
  <w:style w:type="character" w:customStyle="1" w:styleId="FooterSensitivityChar">
    <w:name w:val="Footer Sensitivity Char"/>
    <w:basedOn w:val="ListParagraphChar"/>
    <w:link w:val="FooterSensitivity"/>
    <w:rPr>
      <w:rFonts w:ascii="Times New Roman" w:eastAsia="Times New Roman" w:hAnsi="Times New Roman" w:cs="Times New Roman"/>
      <w:b/>
      <w:sz w:val="32"/>
      <w:szCs w:val="24"/>
      <w:lang w:val="bg-BG"/>
    </w:rPr>
  </w:style>
  <w:style w:type="paragraph" w:customStyle="1" w:styleId="HeaderCoverPage">
    <w:name w:val="Header Cover Page"/>
    <w:basedOn w:val="Normal"/>
    <w:link w:val="HeaderCoverPageChar"/>
    <w:pPr>
      <w:tabs>
        <w:tab w:val="center" w:pos="4535"/>
        <w:tab w:val="right" w:pos="9071"/>
      </w:tabs>
      <w:spacing w:after="120"/>
      <w:ind w:hanging="360"/>
      <w:jc w:val="both"/>
    </w:pPr>
  </w:style>
  <w:style w:type="character" w:customStyle="1" w:styleId="HeaderCoverPageChar">
    <w:name w:val="Header Cover Page Char"/>
    <w:basedOn w:val="ListParagraphChar"/>
    <w:link w:val="HeaderCoverPage"/>
    <w:rPr>
      <w:rFonts w:ascii="Times New Roman" w:eastAsia="Times New Roman" w:hAnsi="Times New Roman" w:cs="Times New Roman"/>
      <w:sz w:val="24"/>
      <w:szCs w:val="24"/>
      <w:lang w:val="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hanging="360"/>
      <w:jc w:val="center"/>
    </w:pPr>
    <w:rPr>
      <w:b/>
      <w:sz w:val="32"/>
    </w:rPr>
  </w:style>
  <w:style w:type="character" w:customStyle="1" w:styleId="HeaderSensitivityChar">
    <w:name w:val="Header Sensitivity Char"/>
    <w:basedOn w:val="ListParagraphChar"/>
    <w:link w:val="HeaderSensitivity"/>
    <w:rPr>
      <w:rFonts w:ascii="Times New Roman" w:eastAsia="Times New Roman" w:hAnsi="Times New Roman" w:cs="Times New Roman"/>
      <w:b/>
      <w:sz w:val="32"/>
      <w:szCs w:val="24"/>
      <w:lang w:val="bg-BG"/>
    </w:rPr>
  </w:style>
  <w:style w:type="paragraph" w:customStyle="1" w:styleId="HeaderSensitivityRight">
    <w:name w:val="Header Sensitivity Right"/>
    <w:basedOn w:val="Normal"/>
    <w:link w:val="HeaderSensitivityRightChar"/>
    <w:pPr>
      <w:numPr>
        <w:numId w:val="2"/>
      </w:numPr>
      <w:spacing w:after="120"/>
      <w:ind w:left="0"/>
      <w:jc w:val="right"/>
    </w:pPr>
    <w:rPr>
      <w:sz w:val="28"/>
    </w:rPr>
  </w:style>
  <w:style w:type="character" w:customStyle="1" w:styleId="HeaderSensitivityRightChar">
    <w:name w:val="Header Sensitivity Right Char"/>
    <w:basedOn w:val="ListParagraphChar"/>
    <w:link w:val="HeaderSensitivityRight"/>
    <w:rPr>
      <w:rFonts w:ascii="Times New Roman" w:eastAsia="Times New Roman" w:hAnsi="Times New Roman" w:cs="Times New Roman"/>
      <w:sz w:val="28"/>
      <w:szCs w:val="24"/>
      <w:lang w:val="bg-BG"/>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styleId="FootnoteReference">
    <w:name w:val="foot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92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8b698e5af7714af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e5619ebe48d94140"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4" ma:contentTypeDescription="Create a new document." ma:contentTypeScope="" ma:versionID="8b1fa9895b09e2b4c7f2f4e458e5ee26">
  <xsd:schema xmlns:xsd="http://www.w3.org/2001/XMLSchema" xmlns:xs="http://www.w3.org/2001/XMLSchema" xmlns:p="http://schemas.microsoft.com/office/2006/metadata/properties" xmlns:ns2="541a8a8b-b856-4d35-a5c7-7f2c0ec3d499" targetNamespace="http://schemas.microsoft.com/office/2006/metadata/properties" ma:root="true" ma:fieldsID="4e000a0c0ec7ccb5532d969111d19074" ns2:_="">
    <xsd:import namespace="541a8a8b-b856-4d35-a5c7-7f2c0ec3d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7D851-38A7-4BE9-BAFB-64AA813A1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77211F-EEB3-499F-8F72-9F60E9A07B25}">
  <ds:schemaRefs>
    <ds:schemaRef ds:uri="http://schemas.microsoft.com/sharepoint/v3/contenttype/forms"/>
  </ds:schemaRefs>
</ds:datastoreItem>
</file>

<file path=customXml/itemProps3.xml><?xml version="1.0" encoding="utf-8"?>
<ds:datastoreItem xmlns:ds="http://schemas.openxmlformats.org/officeDocument/2006/customXml" ds:itemID="{7F02FDBA-E5D2-40DB-8FE9-3A3BEB14646C}">
  <ds:schemaRefs>
    <ds:schemaRef ds:uri="http://schemas.openxmlformats.org/package/2006/metadata/core-properties"/>
    <ds:schemaRef ds:uri="http://schemas.microsoft.com/office/2006/documentManagement/types"/>
    <ds:schemaRef ds:uri="http://schemas.microsoft.com/office/infopath/2007/PartnerControls"/>
    <ds:schemaRef ds:uri="541a8a8b-b856-4d35-a5c7-7f2c0ec3d499"/>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A25ACD50-E966-4175-942A-723099584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1255</Words>
  <Characters>7096</Characters>
  <Application>Microsoft Office Word</Application>
  <DocSecurity>0</DocSecurity>
  <Lines>136</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LAGES CARVALHO Patrick (SG)</cp:lastModifiedBy>
  <cp:revision>23</cp:revision>
  <dcterms:created xsi:type="dcterms:W3CDTF">2020-12-11T08:25:00Z</dcterms:created>
  <dcterms:modified xsi:type="dcterms:W3CDTF">2020-12-14T10:01:00Z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_LW_INVALIDATED__LW_INVALIDATED__LW_INVALIDATED__LW_INVALIDATED_ContentTypeId">
    <vt:lpwstr>0x010100087E4EC354ADFB40AC5D4FC129E379BA</vt:lpwstr>
  </property>
</Properties>
</file>