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217" w:rsidRDefault="008669B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793009C-A8FF-48C7-BB8B-C2AAF7E0C167" style="width:450.6pt;height:333.6pt">
            <v:imagedata r:id="rId11" o:title=""/>
          </v:shape>
        </w:pict>
      </w:r>
    </w:p>
    <w:bookmarkEnd w:id="0"/>
    <w:p w:rsidR="00AF6217" w:rsidRDefault="00AF6217">
      <w:pPr>
        <w:rPr>
          <w:noProof/>
        </w:rPr>
        <w:sectPr w:rsidR="00AF6217">
          <w:headerReference w:type="even" r:id="rId12"/>
          <w:headerReference w:type="default" r:id="rId13"/>
          <w:footerReference w:type="even" r:id="rId14"/>
          <w:footerReference w:type="default" r:id="rId15"/>
          <w:headerReference w:type="first" r:id="rId16"/>
          <w:footerReference w:type="first" r:id="rId17"/>
          <w:pgSz w:w="11907" w:h="16839" w:code="9"/>
          <w:pgMar w:top="1134" w:right="1417" w:bottom="1134" w:left="1417" w:header="709" w:footer="709" w:gutter="0"/>
          <w:pgNumType w:start="0"/>
          <w:cols w:space="720"/>
          <w:docGrid w:linePitch="360"/>
        </w:sectPr>
      </w:pPr>
    </w:p>
    <w:p w:rsidR="00AF6217" w:rsidRDefault="00725B63">
      <w:pPr>
        <w:pStyle w:val="ListParagraph"/>
        <w:numPr>
          <w:ilvl w:val="0"/>
          <w:numId w:val="2"/>
        </w:numPr>
        <w:spacing w:before="100" w:beforeAutospacing="1"/>
        <w:ind w:left="0"/>
        <w:jc w:val="both"/>
        <w:rPr>
          <w:b/>
          <w:noProof/>
        </w:rPr>
      </w:pPr>
      <w:r>
        <w:rPr>
          <w:b/>
          <w:bCs/>
          <w:noProof/>
        </w:rPr>
        <w:lastRenderedPageBreak/>
        <w:t>I</w:t>
      </w:r>
      <w:r>
        <w:rPr>
          <w:b/>
          <w:bCs/>
          <w:noProof/>
        </w:rPr>
        <w:t>ntroduction</w:t>
      </w:r>
    </w:p>
    <w:p w:rsidR="00AF6217" w:rsidRDefault="00725B63">
      <w:pPr>
        <w:pStyle w:val="Body"/>
        <w:spacing w:before="100" w:beforeAutospacing="1" w:after="0"/>
        <w:rPr>
          <w:rFonts w:ascii="Times New Roman" w:hAnsi="Times New Roman"/>
          <w:noProof/>
        </w:rPr>
      </w:pPr>
      <w:r>
        <w:rPr>
          <w:rFonts w:ascii="Times New Roman" w:hAnsi="Times New Roman"/>
          <w:noProof/>
        </w:rPr>
        <w:t xml:space="preserve">The objective of Regulation (EU) 2019/125 concerning trade in certain goods which could be </w:t>
      </w:r>
      <w:r>
        <w:rPr>
          <w:rFonts w:ascii="Times New Roman" w:hAnsi="Times New Roman"/>
          <w:noProof/>
        </w:rPr>
        <w:t>used for capital punishment, torture or other cruel, inhuman or degrading treatment or punishment (</w:t>
      </w:r>
      <w:r>
        <w:rPr>
          <w:rFonts w:ascii="Times New Roman" w:hAnsi="Times New Roman"/>
          <w:noProof/>
          <w:vertAlign w:val="superscript"/>
        </w:rPr>
        <w:footnoteReference w:id="1"/>
      </w:r>
      <w:r>
        <w:rPr>
          <w:rFonts w:ascii="Times New Roman" w:hAnsi="Times New Roman"/>
          <w:noProof/>
        </w:rPr>
        <w:t>) (the Regulation) is to prevent capital punishment, on the one hand, and torture and other cruel, inhuman or degrading treatment or punishment in countries</w:t>
      </w:r>
      <w:r>
        <w:rPr>
          <w:rFonts w:ascii="Times New Roman" w:hAnsi="Times New Roman"/>
          <w:noProof/>
        </w:rPr>
        <w:t xml:space="preserve"> outside the EU, on the other. It distinguishes between goods that:</w:t>
      </w:r>
    </w:p>
    <w:p w:rsidR="00AF6217" w:rsidRDefault="00725B63">
      <w:pPr>
        <w:pStyle w:val="Body"/>
        <w:numPr>
          <w:ilvl w:val="0"/>
          <w:numId w:val="3"/>
        </w:numPr>
        <w:spacing w:before="100" w:beforeAutospacing="1" w:after="0"/>
        <w:rPr>
          <w:rFonts w:ascii="Times New Roman" w:hAnsi="Times New Roman"/>
          <w:noProof/>
        </w:rPr>
      </w:pPr>
      <w:r>
        <w:rPr>
          <w:rFonts w:ascii="Times New Roman" w:hAnsi="Times New Roman"/>
          <w:noProof/>
        </w:rPr>
        <w:t xml:space="preserve">are inherently abusive and should not be traded at all (Annex II), or </w:t>
      </w:r>
    </w:p>
    <w:p w:rsidR="00AF6217" w:rsidRDefault="00725B63">
      <w:pPr>
        <w:pStyle w:val="Body"/>
        <w:numPr>
          <w:ilvl w:val="0"/>
          <w:numId w:val="3"/>
        </w:numPr>
        <w:spacing w:before="100" w:beforeAutospacing="1" w:after="0"/>
        <w:rPr>
          <w:rFonts w:ascii="Times New Roman" w:hAnsi="Times New Roman"/>
          <w:noProof/>
        </w:rPr>
      </w:pPr>
      <w:r>
        <w:rPr>
          <w:rFonts w:ascii="Times New Roman" w:hAnsi="Times New Roman"/>
          <w:noProof/>
        </w:rPr>
        <w:t xml:space="preserve">can have legitimate uses, such as law enforcement equipment (Annex III) or goods for therapeutic use (Annex IV). </w:t>
      </w:r>
    </w:p>
    <w:p w:rsidR="00AF6217" w:rsidRDefault="00725B63">
      <w:pPr>
        <w:pStyle w:val="Body"/>
        <w:spacing w:before="100" w:beforeAutospacing="1" w:after="0"/>
        <w:rPr>
          <w:rFonts w:ascii="Times New Roman" w:hAnsi="Times New Roman"/>
          <w:noProof/>
        </w:rPr>
      </w:pPr>
      <w:r>
        <w:rPr>
          <w:rFonts w:ascii="Times New Roman" w:hAnsi="Times New Roman"/>
          <w:noProof/>
        </w:rPr>
        <w:t>Tra</w:t>
      </w:r>
      <w:r>
        <w:rPr>
          <w:rFonts w:ascii="Times New Roman" w:hAnsi="Times New Roman"/>
          <w:noProof/>
        </w:rPr>
        <w:t>de in such goods is subject to certain restrictions.</w:t>
      </w:r>
    </w:p>
    <w:p w:rsidR="00AF6217" w:rsidRDefault="00725B63">
      <w:pPr>
        <w:spacing w:before="100" w:beforeAutospacing="1"/>
        <w:jc w:val="both"/>
        <w:rPr>
          <w:noProof/>
        </w:rPr>
      </w:pPr>
      <w:r>
        <w:rPr>
          <w:noProof/>
        </w:rPr>
        <w:t>Article 26(3) of the Regulation states that the Member States must draw up a public, annual activity report. The report must provide information on the number of applications received, the goods and coun</w:t>
      </w:r>
      <w:r>
        <w:rPr>
          <w:noProof/>
        </w:rPr>
        <w:t>tries concerned, and the decisions taken on the applications. Article 26(4) states that the Commission must draw up an annual report comprised of the annual activity reports published by the Member States. It must make the report publicly available.</w:t>
      </w:r>
    </w:p>
    <w:p w:rsidR="00AF6217" w:rsidRDefault="00725B63">
      <w:pPr>
        <w:spacing w:before="100" w:beforeAutospacing="1"/>
        <w:jc w:val="both"/>
        <w:rPr>
          <w:noProof/>
        </w:rPr>
      </w:pPr>
      <w:r>
        <w:rPr>
          <w:noProof/>
        </w:rPr>
        <w:t>This C</w:t>
      </w:r>
      <w:r>
        <w:rPr>
          <w:noProof/>
        </w:rPr>
        <w:t xml:space="preserve">ommission report provides information on Member States’ </w:t>
      </w:r>
      <w:r>
        <w:rPr>
          <w:noProof/>
          <w:color w:val="000000" w:themeColor="text1"/>
        </w:rPr>
        <w:t>authorisation activities concerning exports of goods in 2019(</w:t>
      </w:r>
      <w:r>
        <w:rPr>
          <w:noProof/>
          <w:color w:val="000000" w:themeColor="text1"/>
          <w:vertAlign w:val="superscript"/>
        </w:rPr>
        <w:footnoteReference w:id="2"/>
      </w:r>
      <w:r>
        <w:rPr>
          <w:noProof/>
          <w:color w:val="000000" w:themeColor="text1"/>
        </w:rPr>
        <w:t xml:space="preserve">). which could be used for torture or for capital punishment in 2019 </w:t>
      </w:r>
    </w:p>
    <w:p w:rsidR="00AF6217" w:rsidRDefault="00725B63">
      <w:pPr>
        <w:spacing w:before="100" w:beforeAutospacing="1"/>
        <w:jc w:val="both"/>
        <w:rPr>
          <w:noProof/>
        </w:rPr>
      </w:pPr>
      <w:r>
        <w:rPr>
          <w:noProof/>
        </w:rPr>
        <w:t>All Member States have reported on the number of export authorisatio</w:t>
      </w:r>
      <w:r>
        <w:rPr>
          <w:noProof/>
        </w:rPr>
        <w:t>ns granted and refused under Articles 11(1) and 16(1) and on the goods and countries of destination in question. In most cases, the competent authorities in the Member States have also reported on the numbers or quantities of goods authorised for export an</w:t>
      </w:r>
      <w:r>
        <w:rPr>
          <w:noProof/>
        </w:rPr>
        <w:t>d the category of end-user to whom the goods were supplied.</w:t>
      </w:r>
    </w:p>
    <w:p w:rsidR="00AF6217" w:rsidRDefault="00AF6217">
      <w:pPr>
        <w:spacing w:before="100" w:beforeAutospacing="1"/>
        <w:jc w:val="both"/>
        <w:rPr>
          <w:noProof/>
        </w:rPr>
      </w:pPr>
    </w:p>
    <w:tbl>
      <w:tblPr>
        <w:tblStyle w:val="TableGrid"/>
        <w:tblW w:w="0" w:type="auto"/>
        <w:tblInd w:w="468" w:type="dxa"/>
        <w:tblLook w:val="04A0" w:firstRow="1" w:lastRow="0" w:firstColumn="1" w:lastColumn="0" w:noHBand="0" w:noVBand="1"/>
      </w:tblPr>
      <w:tblGrid>
        <w:gridCol w:w="7560"/>
      </w:tblGrid>
      <w:tr w:rsidR="00AF6217">
        <w:tc>
          <w:tcPr>
            <w:tcW w:w="7560" w:type="dxa"/>
          </w:tcPr>
          <w:p w:rsidR="00AF6217" w:rsidRDefault="00725B63">
            <w:pPr>
              <w:spacing w:before="100" w:beforeAutospacing="1"/>
              <w:jc w:val="both"/>
              <w:rPr>
                <w:noProof/>
              </w:rPr>
            </w:pPr>
            <w:r>
              <w:rPr>
                <w:b/>
                <w:noProof/>
              </w:rPr>
              <w:t>Authorisations under Regulation (EU) 2019/125</w:t>
            </w:r>
          </w:p>
          <w:p w:rsidR="00AF6217" w:rsidRDefault="00725B63">
            <w:pPr>
              <w:spacing w:before="100" w:beforeAutospacing="1"/>
              <w:jc w:val="both"/>
              <w:rPr>
                <w:noProof/>
              </w:rPr>
            </w:pPr>
            <w:r>
              <w:rPr>
                <w:noProof/>
              </w:rPr>
              <w:t>Articles 11(1) and 16(1) of Regulation (EU) 2019/125 require an authorisation for exports (</w:t>
            </w:r>
            <w:r>
              <w:rPr>
                <w:noProof/>
                <w:vertAlign w:val="superscript"/>
              </w:rPr>
              <w:footnoteReference w:id="3"/>
            </w:r>
            <w:r>
              <w:rPr>
                <w:noProof/>
              </w:rPr>
              <w:t>) of goods listed in Annex III (11(1) and Annex IV (16(1)</w:t>
            </w:r>
            <w:r>
              <w:rPr>
                <w:noProof/>
              </w:rPr>
              <w:t xml:space="preserve">. </w:t>
            </w:r>
          </w:p>
          <w:p w:rsidR="00AF6217" w:rsidRDefault="00725B63">
            <w:pPr>
              <w:spacing w:before="100" w:beforeAutospacing="1"/>
              <w:jc w:val="both"/>
              <w:rPr>
                <w:noProof/>
              </w:rPr>
            </w:pPr>
            <w:r>
              <w:rPr>
                <w:noProof/>
              </w:rPr>
              <w:t>Annex III lists certain goods that could be used for torture or other cruel, inhuman or degrading treatment or punishment. Goods in Annex III fall under the following headings: goods designed for restraining human beings; weapons and devices designed fo</w:t>
            </w:r>
            <w:r>
              <w:rPr>
                <w:noProof/>
              </w:rPr>
              <w:t>r the purpose of riot control or self-protection, and weapons and equipment disseminating incapacitating or irritating chemical substances for the purpose of riot control or self-protection, and certain related substances.</w:t>
            </w:r>
          </w:p>
          <w:p w:rsidR="00AF6217" w:rsidRDefault="00725B63">
            <w:pPr>
              <w:spacing w:before="100" w:beforeAutospacing="1"/>
              <w:jc w:val="both"/>
              <w:rPr>
                <w:noProof/>
              </w:rPr>
            </w:pPr>
            <w:r>
              <w:rPr>
                <w:noProof/>
              </w:rPr>
              <w:t xml:space="preserve">Annex IV lists certain chemicals </w:t>
            </w:r>
            <w:r>
              <w:rPr>
                <w:noProof/>
              </w:rPr>
              <w:t>that could be used in lethal injections.</w:t>
            </w:r>
          </w:p>
          <w:p w:rsidR="00AF6217" w:rsidRDefault="00725B63">
            <w:pPr>
              <w:spacing w:before="100" w:beforeAutospacing="1"/>
              <w:jc w:val="both"/>
              <w:rPr>
                <w:noProof/>
              </w:rPr>
            </w:pPr>
            <w:r>
              <w:rPr>
                <w:noProof/>
              </w:rPr>
              <w:t xml:space="preserve">Except where the Union General Export Authorisation set out in Annex V is used for exports of goods listed in Annex IV, the authorisation to export has to be obtained from the competent authorities of the Member </w:t>
            </w:r>
            <w:r>
              <w:rPr>
                <w:noProof/>
              </w:rPr>
              <w:t>State concerned, as listed in Annex I to the Regulation.</w:t>
            </w:r>
          </w:p>
          <w:p w:rsidR="00AF6217" w:rsidRDefault="00725B63">
            <w:pPr>
              <w:spacing w:before="100" w:beforeAutospacing="1"/>
              <w:jc w:val="both"/>
              <w:rPr>
                <w:noProof/>
              </w:rPr>
            </w:pPr>
            <w:r>
              <w:rPr>
                <w:noProof/>
              </w:rPr>
              <w:t xml:space="preserve">Exports to destinations listed in the Union General Export Authorisation can usually take place without obtaining an individual or global authorisation granted by a Member State. The approach so far </w:t>
            </w:r>
            <w:r>
              <w:rPr>
                <w:noProof/>
              </w:rPr>
              <w:t>has been to include a non-EU country in Annex V if it has ratified a relevant international agreement with a commitment to abolishing the death penalty for all crimes. For countries outside the Council of Europe, that means the country in question must hav</w:t>
            </w:r>
            <w:r>
              <w:rPr>
                <w:noProof/>
              </w:rPr>
              <w:t xml:space="preserve">e ratified the Second Optional Protocol to the International Covenant on Civil and Political Rights (ICCPR) without reservation. </w:t>
            </w:r>
          </w:p>
          <w:p w:rsidR="00AF6217" w:rsidRDefault="00725B63">
            <w:pPr>
              <w:spacing w:before="100" w:beforeAutospacing="1"/>
              <w:jc w:val="both"/>
              <w:rPr>
                <w:noProof/>
              </w:rPr>
            </w:pPr>
            <w:r>
              <w:rPr>
                <w:noProof/>
              </w:rPr>
              <w:t>However, if there is reasonable suspicion about the exporter’s ability to comply with the terms of the authorisation or with e</w:t>
            </w:r>
            <w:r>
              <w:rPr>
                <w:noProof/>
              </w:rPr>
              <w:t>xport control legislation, the competent authority may prohibit the exporter from using the Union General Export Authorisation.</w:t>
            </w:r>
          </w:p>
          <w:p w:rsidR="00AF6217" w:rsidRDefault="00725B63">
            <w:pPr>
              <w:spacing w:before="100" w:beforeAutospacing="1"/>
              <w:jc w:val="both"/>
              <w:rPr>
                <w:noProof/>
              </w:rPr>
            </w:pPr>
            <w:r>
              <w:rPr>
                <w:noProof/>
              </w:rPr>
              <w:t xml:space="preserve">Article 20(2) of Regulation (EU) No 2019/125 states that an export authorisation granted by a Member State can be an individual </w:t>
            </w:r>
            <w:r>
              <w:rPr>
                <w:noProof/>
              </w:rPr>
              <w:t xml:space="preserve">authorisation (an authorisation for exports to </w:t>
            </w:r>
            <w:r>
              <w:rPr>
                <w:noProof/>
                <w:color w:val="000000"/>
              </w:rPr>
              <w:t xml:space="preserve">one end-user or consignee in a non-EU country) </w:t>
            </w:r>
            <w:r>
              <w:rPr>
                <w:noProof/>
              </w:rPr>
              <w:t>or a global authorisation (an authorisation for exports to one or more specified end-users or distributors in one or more specified non-EU countries) (</w:t>
            </w:r>
            <w:r>
              <w:rPr>
                <w:noProof/>
                <w:vertAlign w:val="superscript"/>
              </w:rPr>
              <w:footnoteReference w:id="4"/>
            </w:r>
            <w:r>
              <w:rPr>
                <w:noProof/>
              </w:rPr>
              <w:t>).</w:t>
            </w:r>
          </w:p>
          <w:p w:rsidR="00AF6217" w:rsidRDefault="00725B63">
            <w:pPr>
              <w:spacing w:before="100" w:beforeAutospacing="1"/>
              <w:jc w:val="both"/>
              <w:rPr>
                <w:noProof/>
              </w:rPr>
            </w:pPr>
            <w:r>
              <w:rPr>
                <w:noProof/>
              </w:rPr>
              <w:t>Article</w:t>
            </w:r>
            <w:r>
              <w:rPr>
                <w:noProof/>
              </w:rPr>
              <w:t xml:space="preserve">s 3, 4 and 5 of the Regulation prohibit the export, import and transit of the goods listed in Annex II. Competent authorities may grant a derogation from the prohibition, but only if it is demonstrated that the goods concerned will be used exclusively for </w:t>
            </w:r>
            <w:r>
              <w:rPr>
                <w:noProof/>
              </w:rPr>
              <w:t xml:space="preserve">public display in a museum (either in a non-EU country or, in accordance with Article 4, in a Member State) given their historic significance. </w:t>
            </w:r>
          </w:p>
        </w:tc>
      </w:tr>
    </w:tbl>
    <w:p w:rsidR="00AF6217" w:rsidRDefault="00AF6217">
      <w:pPr>
        <w:spacing w:before="100" w:beforeAutospacing="1"/>
        <w:rPr>
          <w:b/>
          <w:bCs/>
          <w:noProof/>
        </w:rPr>
      </w:pPr>
    </w:p>
    <w:p w:rsidR="00AF6217" w:rsidRDefault="00725B63">
      <w:pPr>
        <w:pStyle w:val="ListParagraph"/>
        <w:numPr>
          <w:ilvl w:val="0"/>
          <w:numId w:val="2"/>
        </w:numPr>
        <w:spacing w:before="100" w:beforeAutospacing="1"/>
        <w:ind w:left="0"/>
        <w:jc w:val="both"/>
        <w:rPr>
          <w:b/>
          <w:bCs/>
          <w:noProof/>
        </w:rPr>
      </w:pPr>
      <w:r>
        <w:rPr>
          <w:b/>
          <w:bCs/>
          <w:noProof/>
        </w:rPr>
        <w:t>Authorisations granted and refused</w:t>
      </w:r>
    </w:p>
    <w:p w:rsidR="00AF6217" w:rsidRDefault="00725B63">
      <w:pPr>
        <w:spacing w:before="100" w:beforeAutospacing="1"/>
        <w:jc w:val="both"/>
        <w:rPr>
          <w:b/>
          <w:bCs/>
          <w:noProof/>
        </w:rPr>
      </w:pPr>
      <w:r>
        <w:rPr>
          <w:noProof/>
        </w:rPr>
        <w:t xml:space="preserve">In 2019, the total number of reported authorisations amounted </w:t>
      </w:r>
      <w:r w:rsidRPr="00725B63">
        <w:rPr>
          <w:noProof/>
        </w:rPr>
        <w:t xml:space="preserve">to </w:t>
      </w:r>
      <w:r w:rsidRPr="00725B63">
        <w:rPr>
          <w:noProof/>
        </w:rPr>
        <w:t>285</w:t>
      </w:r>
      <w:r>
        <w:rPr>
          <w:noProof/>
        </w:rPr>
        <w:t xml:space="preserve"> with 11 Member States reporting that they had granted authorisations. The remaining Member States informed the Commission that they had not received any applications for authorisations pursuant to the Regulation.</w:t>
      </w:r>
    </w:p>
    <w:p w:rsidR="00AF6217" w:rsidRDefault="00725B63">
      <w:pPr>
        <w:spacing w:before="100" w:beforeAutospacing="1"/>
        <w:jc w:val="both"/>
        <w:rPr>
          <w:noProof/>
        </w:rPr>
      </w:pPr>
      <w:r>
        <w:rPr>
          <w:noProof/>
        </w:rPr>
        <w:t>As the definition of an individual authori</w:t>
      </w:r>
      <w:r>
        <w:rPr>
          <w:noProof/>
        </w:rPr>
        <w:t>sation and a global authorisation in Article 2 of the Regulation does not include a quantitative component, an indication of the number of authorisations granted does not give an indication of the number or quantity of goods concerned by these authorisatio</w:t>
      </w:r>
      <w:r>
        <w:rPr>
          <w:noProof/>
        </w:rPr>
        <w:t>ns. Nor does the information Member States provide to the Commission typically distinguish between individual authorisations and global authorisations.</w:t>
      </w:r>
      <w:r>
        <w:rPr>
          <w:noProof/>
          <w:highlight w:val="yellow"/>
        </w:rPr>
        <w:t xml:space="preserve"> </w:t>
      </w:r>
    </w:p>
    <w:p w:rsidR="00AF6217" w:rsidRDefault="00725B63">
      <w:pPr>
        <w:spacing w:before="100" w:beforeAutospacing="1"/>
        <w:jc w:val="both"/>
        <w:rPr>
          <w:noProof/>
        </w:rPr>
      </w:pPr>
      <w:r>
        <w:rPr>
          <w:noProof/>
        </w:rPr>
        <w:t>The Regulation requires the competent authorities to check if an export authorisation has indications t</w:t>
      </w:r>
      <w:r>
        <w:rPr>
          <w:noProof/>
        </w:rPr>
        <w:t>hat, if exported, the goods in question might be used for torture or other cruel, inhuman or degrading treatment or punishment (Annex III) or for capital punishment (Annex IV). This is why Article 20(8) of the Regulation states that the competent authority</w:t>
      </w:r>
      <w:r>
        <w:rPr>
          <w:noProof/>
        </w:rPr>
        <w:t xml:space="preserve"> should ‘receive complete information in particular on the end-user, the country of destination and the end-use of the goods’.</w:t>
      </w:r>
    </w:p>
    <w:p w:rsidR="00AF6217" w:rsidRDefault="00725B63">
      <w:pPr>
        <w:spacing w:before="100" w:beforeAutospacing="1"/>
        <w:jc w:val="both"/>
        <w:rPr>
          <w:noProof/>
        </w:rPr>
      </w:pPr>
      <w:r w:rsidRPr="00725B63">
        <w:rPr>
          <w:noProof/>
        </w:rPr>
        <w:t xml:space="preserve">In 2019, six applications </w:t>
      </w:r>
      <w:r w:rsidRPr="00725B63">
        <w:rPr>
          <w:noProof/>
        </w:rPr>
        <w:t>(</w:t>
      </w:r>
      <w:r w:rsidRPr="00725B63">
        <w:rPr>
          <w:noProof/>
          <w:vertAlign w:val="superscript"/>
        </w:rPr>
        <w:footnoteReference w:id="5"/>
      </w:r>
      <w:r w:rsidRPr="00725B63">
        <w:rPr>
          <w:noProof/>
        </w:rPr>
        <w:t>)</w:t>
      </w:r>
      <w:r w:rsidRPr="00725B63">
        <w:rPr>
          <w:noProof/>
        </w:rPr>
        <w:t xml:space="preserve"> for an export authorisation were reported as denied. The reported cases of denial in 2019 concerned</w:t>
      </w:r>
      <w:r w:rsidRPr="00725B63">
        <w:rPr>
          <w:noProof/>
        </w:rPr>
        <w:t xml:space="preserve"> certain intended transactions with customers in Bosnia and Herzegovina, China, India, Israel, Nigeria and Niger. The unauthorised transactions primarily concerned goods listed in Annex III code 3.1 (</w:t>
      </w:r>
      <w:r w:rsidRPr="00725B63">
        <w:rPr>
          <w:noProof/>
          <w:vertAlign w:val="superscript"/>
        </w:rPr>
        <w:footnoteReference w:id="6"/>
      </w:r>
      <w:r w:rsidRPr="00725B63">
        <w:rPr>
          <w:noProof/>
        </w:rPr>
        <w:t>). The intended export to Nigeria concerned goods liste</w:t>
      </w:r>
      <w:r w:rsidRPr="00725B63">
        <w:rPr>
          <w:noProof/>
        </w:rPr>
        <w:t>d in Annex III code 3.6 (</w:t>
      </w:r>
      <w:r w:rsidRPr="00725B63">
        <w:rPr>
          <w:noProof/>
          <w:vertAlign w:val="superscript"/>
        </w:rPr>
        <w:footnoteReference w:id="7"/>
      </w:r>
      <w:r w:rsidRPr="00725B63">
        <w:rPr>
          <w:noProof/>
        </w:rPr>
        <w:t>) The intended export to India concerned goods listed in Annex IV (</w:t>
      </w:r>
      <w:r w:rsidRPr="00725B63">
        <w:rPr>
          <w:i/>
          <w:iCs/>
          <w:noProof/>
        </w:rPr>
        <w:t>thiopental</w:t>
      </w:r>
      <w:r w:rsidRPr="00725B63">
        <w:rPr>
          <w:noProof/>
        </w:rPr>
        <w:t>).</w:t>
      </w:r>
    </w:p>
    <w:p w:rsidR="00AF6217" w:rsidRDefault="00725B63">
      <w:pPr>
        <w:spacing w:before="100" w:beforeAutospacing="1"/>
        <w:jc w:val="both"/>
        <w:rPr>
          <w:noProof/>
        </w:rPr>
      </w:pPr>
      <w:r>
        <w:rPr>
          <w:noProof/>
        </w:rPr>
        <w:t>Articles 3, 4 and 5 of the Regulation prohibit the export, import and transit of the goods listed in Annex II, respectively. The Regulation allows the</w:t>
      </w:r>
      <w:r>
        <w:rPr>
          <w:noProof/>
        </w:rPr>
        <w:t xml:space="preserve"> competent national </w:t>
      </w:r>
      <w:bookmarkStart w:id="1" w:name="_GoBack"/>
      <w:bookmarkEnd w:id="1"/>
      <w:r>
        <w:rPr>
          <w:noProof/>
        </w:rPr>
        <w:t>authorities to grant a derogation from the prohibition, but only if it is demonstrated that the goods concerned will be used exclusively for public display in a museum (either in a non-EU country or, in accordance with Article 4, in a M</w:t>
      </w:r>
      <w:r>
        <w:rPr>
          <w:noProof/>
        </w:rPr>
        <w:t>ember State) in view of their historic significance. The competent authorities reported that they had not granted such derogations in 2019.</w:t>
      </w:r>
    </w:p>
    <w:p w:rsidR="00AF6217" w:rsidRDefault="00725B63">
      <w:pPr>
        <w:spacing w:before="100" w:beforeAutospacing="1"/>
        <w:jc w:val="both"/>
        <w:rPr>
          <w:noProof/>
        </w:rPr>
      </w:pPr>
      <w:r>
        <w:rPr>
          <w:i/>
          <w:noProof/>
        </w:rPr>
        <w:t>Annex 1</w:t>
      </w:r>
      <w:r>
        <w:rPr>
          <w:noProof/>
        </w:rPr>
        <w:t xml:space="preserve"> to this report provides information on the number of export authorisations granted by the national competent</w:t>
      </w:r>
      <w:r>
        <w:rPr>
          <w:noProof/>
        </w:rPr>
        <w:t xml:space="preserve"> authorities in 2019, by category of goods (Annex III and Annex IV). Exports pursuant to the Union General Export Authorisation (Annex V to Regulation (EU) 2019/125) are not included in the information on the number of authorisations granted.</w:t>
      </w:r>
    </w:p>
    <w:p w:rsidR="00AF6217" w:rsidRDefault="00725B63">
      <w:pPr>
        <w:spacing w:before="100" w:beforeAutospacing="1"/>
        <w:jc w:val="both"/>
        <w:rPr>
          <w:noProof/>
        </w:rPr>
      </w:pPr>
      <w:r>
        <w:rPr>
          <w:i/>
          <w:noProof/>
        </w:rPr>
        <w:t>Annex 2</w:t>
      </w:r>
      <w:r>
        <w:rPr>
          <w:noProof/>
        </w:rPr>
        <w:t xml:space="preserve"> provi</w:t>
      </w:r>
      <w:r>
        <w:rPr>
          <w:noProof/>
        </w:rPr>
        <w:t>des information on the number of applications authorised and denied over the period 2017-2019.</w:t>
      </w:r>
    </w:p>
    <w:p w:rsidR="00AF6217" w:rsidRDefault="00725B63">
      <w:pPr>
        <w:spacing w:before="100" w:beforeAutospacing="1"/>
        <w:jc w:val="both"/>
        <w:rPr>
          <w:noProof/>
          <w:color w:val="00B050"/>
        </w:rPr>
      </w:pPr>
      <w:r>
        <w:rPr>
          <w:i/>
          <w:noProof/>
        </w:rPr>
        <w:t>Annex 3</w:t>
      </w:r>
      <w:r>
        <w:rPr>
          <w:noProof/>
        </w:rPr>
        <w:t xml:space="preserve"> provides information on the main reported destinations of authorised exports.</w:t>
      </w:r>
    </w:p>
    <w:p w:rsidR="00AF6217" w:rsidRDefault="00725B63">
      <w:pPr>
        <w:spacing w:before="100" w:beforeAutospacing="1"/>
        <w:jc w:val="both"/>
        <w:rPr>
          <w:noProof/>
        </w:rPr>
      </w:pPr>
      <w:r>
        <w:rPr>
          <w:i/>
          <w:iCs/>
          <w:noProof/>
        </w:rPr>
        <w:t>Annexes 4 and 5</w:t>
      </w:r>
      <w:r>
        <w:rPr>
          <w:noProof/>
        </w:rPr>
        <w:t xml:space="preserve"> provide an overview of the goods authorised for export, the</w:t>
      </w:r>
      <w:r>
        <w:rPr>
          <w:noProof/>
        </w:rPr>
        <w:t>ir destinations and their reported end-use.</w:t>
      </w:r>
    </w:p>
    <w:p w:rsidR="00AF6217" w:rsidRDefault="00725B63">
      <w:pPr>
        <w:pStyle w:val="ListParagraph"/>
        <w:numPr>
          <w:ilvl w:val="0"/>
          <w:numId w:val="2"/>
        </w:numPr>
        <w:spacing w:before="100" w:beforeAutospacing="1"/>
        <w:ind w:left="0"/>
        <w:jc w:val="both"/>
        <w:rPr>
          <w:b/>
          <w:bCs/>
          <w:noProof/>
        </w:rPr>
      </w:pPr>
      <w:r>
        <w:rPr>
          <w:b/>
          <w:bCs/>
          <w:noProof/>
        </w:rPr>
        <w:t>End-users</w:t>
      </w:r>
    </w:p>
    <w:p w:rsidR="00AF6217" w:rsidRDefault="00725B63">
      <w:pPr>
        <w:spacing w:before="100" w:beforeAutospacing="1"/>
        <w:jc w:val="both"/>
        <w:rPr>
          <w:noProof/>
        </w:rPr>
      </w:pPr>
      <w:r>
        <w:rPr>
          <w:noProof/>
        </w:rPr>
        <w:t>The information received by the Commission makes it possible to draw a distinction between end use for law enforcement, science and healthcare (in hospitals and for veterinary use) and end use by securi</w:t>
      </w:r>
      <w:r>
        <w:rPr>
          <w:noProof/>
        </w:rPr>
        <w:t xml:space="preserve">ty and trading firms. </w:t>
      </w:r>
    </w:p>
    <w:p w:rsidR="00AF6217" w:rsidRDefault="00725B63">
      <w:pPr>
        <w:spacing w:before="100" w:beforeAutospacing="1"/>
        <w:jc w:val="both"/>
        <w:rPr>
          <w:noProof/>
        </w:rPr>
      </w:pPr>
      <w:r>
        <w:rPr>
          <w:i/>
          <w:noProof/>
        </w:rPr>
        <w:t>Annex 6</w:t>
      </w:r>
      <w:r>
        <w:rPr>
          <w:noProof/>
        </w:rPr>
        <w:t xml:space="preserve"> summarises the information provided to the Commission on the reported end-use of authorised exports in 2019.</w:t>
      </w:r>
    </w:p>
    <w:sectPr w:rsidR="00AF6217">
      <w:headerReference w:type="even" r:id="rId18"/>
      <w:headerReference w:type="default" r:id="rId19"/>
      <w:footerReference w:type="even" r:id="rId20"/>
      <w:footerReference w:type="default" r:id="rId21"/>
      <w:headerReference w:type="first" r:id="rId22"/>
      <w:footerReference w:type="first" r:id="rId23"/>
      <w:pgSz w:w="11907" w:h="16839" w:code="9"/>
      <w:pgMar w:top="1440" w:right="1800" w:bottom="1440" w:left="1800" w:header="708" w:footer="708"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4BF425" w16cex:dateUtc="2020-09-27T10:34:45.219Z"/>
  <w16cex:commentExtensible w16cex:durableId="31DD6F08" w16cex:dateUtc="2020-09-27T11:54:15.826Z"/>
  <w16cex:commentExtensible w16cex:durableId="42BD0ABF" w16cex:dateUtc="2020-09-27T11:55:20.934Z"/>
</w16cex:commentsExtensible>
</file>

<file path=word/commentsIds.xml><?xml version="1.0" encoding="utf-8"?>
<w16cid:commentsIds xmlns:mc="http://schemas.openxmlformats.org/markup-compatibility/2006" xmlns:w16cid="http://schemas.microsoft.com/office/word/2016/wordml/cid" mc:Ignorable="w16cid">
  <w16cid:commentId w16cid:paraId="7FAACFCA" w16cid:durableId="204BF425"/>
  <w16cid:commentId w16cid:paraId="5D514095" w16cid:durableId="31DD6F08"/>
  <w16cid:commentId w16cid:paraId="1A21E914" w16cid:durableId="42BD0A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217" w:rsidRDefault="00725B63">
      <w:r>
        <w:separator/>
      </w:r>
    </w:p>
  </w:endnote>
  <w:endnote w:type="continuationSeparator" w:id="0">
    <w:p w:rsidR="00AF6217" w:rsidRDefault="0072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17" w:rsidRDefault="00AF6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17" w:rsidRDefault="00725B63">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17" w:rsidRDefault="00AF621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17" w:rsidRDefault="00AF62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810965"/>
      <w:docPartObj>
        <w:docPartGallery w:val="Page Numbers (Bottom of Page)"/>
        <w:docPartUnique/>
      </w:docPartObj>
    </w:sdtPr>
    <w:sdtEndPr>
      <w:rPr>
        <w:noProof/>
      </w:rPr>
    </w:sdtEndPr>
    <w:sdtContent>
      <w:p w:rsidR="00AF6217" w:rsidRDefault="00725B6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AF6217" w:rsidRDefault="00AF62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17" w:rsidRDefault="00AF6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217" w:rsidRDefault="00725B63">
      <w:r>
        <w:separator/>
      </w:r>
    </w:p>
  </w:footnote>
  <w:footnote w:type="continuationSeparator" w:id="0">
    <w:p w:rsidR="00AF6217" w:rsidRDefault="00725B63">
      <w:r>
        <w:continuationSeparator/>
      </w:r>
    </w:p>
  </w:footnote>
  <w:footnote w:id="1">
    <w:p w:rsidR="00AF6217" w:rsidRDefault="00725B63">
      <w:pPr>
        <w:pStyle w:val="FootnoteText"/>
        <w:tabs>
          <w:tab w:val="left" w:pos="284"/>
        </w:tabs>
        <w:jc w:val="both"/>
      </w:pPr>
      <w:r>
        <w:footnoteRef/>
      </w:r>
      <w:r>
        <w:t xml:space="preserve"> </w:t>
      </w:r>
      <w:r>
        <w:tab/>
        <w:t>OJ L 30, 31.1.2019, p. 1.</w:t>
      </w:r>
    </w:p>
  </w:footnote>
  <w:footnote w:id="2">
    <w:p w:rsidR="00AF6217" w:rsidRDefault="00725B63">
      <w:pPr>
        <w:pStyle w:val="FootnoteText"/>
        <w:ind w:left="284" w:hanging="284"/>
        <w:jc w:val="both"/>
      </w:pPr>
      <w:r>
        <w:footnoteRef/>
      </w:r>
      <w:r>
        <w:t xml:space="preserve"> </w:t>
      </w:r>
      <w:r>
        <w:tab/>
        <w:t xml:space="preserve">This report does not provide information on </w:t>
      </w:r>
      <w:r>
        <w:t>exporters’ use of the Union General Export Authorisation for exports of goods listed in Annex IV (Annex V to Regulation (EU) 2019/125).</w:t>
      </w:r>
    </w:p>
  </w:footnote>
  <w:footnote w:id="3">
    <w:p w:rsidR="00AF6217" w:rsidRDefault="00725B63">
      <w:pPr>
        <w:pStyle w:val="FootnoteText"/>
        <w:ind w:left="284" w:hanging="284"/>
        <w:jc w:val="both"/>
      </w:pPr>
      <w:r>
        <w:footnoteRef/>
      </w:r>
      <w:r>
        <w:t xml:space="preserve"> </w:t>
      </w:r>
      <w:r>
        <w:tab/>
        <w:t>Article 2(d) of Regulation (EU) 2019/125 defines ‘export’ as ‘</w:t>
      </w:r>
      <w:r>
        <w:rPr>
          <w:color w:val="000000"/>
        </w:rPr>
        <w:t>any departure of goods from the customs territory of th</w:t>
      </w:r>
      <w:r>
        <w:rPr>
          <w:color w:val="000000"/>
        </w:rPr>
        <w:t>e Union, including the departure of goods that requires a customs declaration and the departure of goods after their storage in a free zone within the meaning of Regulation (EU) No 952/2013 of the European Parliament and of the Council’.</w:t>
      </w:r>
    </w:p>
  </w:footnote>
  <w:footnote w:id="4">
    <w:p w:rsidR="00AF6217" w:rsidRDefault="00725B63">
      <w:pPr>
        <w:pStyle w:val="FootnoteText"/>
        <w:jc w:val="both"/>
      </w:pPr>
      <w:r>
        <w:footnoteRef/>
      </w:r>
      <w:r>
        <w:t xml:space="preserve"> Article 2(p) ful</w:t>
      </w:r>
      <w:r>
        <w:t xml:space="preserve">ly defines ‘individual authorisation’. Article 2(q) fully defines ‘global authorisation’. </w:t>
      </w:r>
    </w:p>
  </w:footnote>
  <w:footnote w:id="5">
    <w:p w:rsidR="00AF6217" w:rsidRDefault="00725B63">
      <w:pPr>
        <w:pStyle w:val="FootnoteText"/>
        <w:jc w:val="both"/>
      </w:pPr>
      <w:r>
        <w:footnoteRef/>
      </w:r>
      <w:r>
        <w:t xml:space="preserve"> The number of ‘denials’ for 2019 differs from the number in the review report (COM (2020) 343), as it takes into account data not available at the time of finalisi</w:t>
      </w:r>
      <w:r>
        <w:t>ng the report.</w:t>
      </w:r>
    </w:p>
  </w:footnote>
  <w:footnote w:id="6">
    <w:p w:rsidR="00AF6217" w:rsidRDefault="00725B63">
      <w:pPr>
        <w:pStyle w:val="FootnoteText"/>
        <w:jc w:val="both"/>
      </w:pPr>
      <w:r>
        <w:footnoteRef/>
      </w:r>
      <w:r>
        <w:t xml:space="preserve"> Goods listed in Annex III under code 3.1: </w:t>
      </w:r>
      <w:r>
        <w:rPr>
          <w:rFonts w:cs="Calibri"/>
          <w:lang w:eastAsia="lv-LV"/>
        </w:rPr>
        <w:t>portable weapons and equipment for the administration or dissemination of a dose of an incapacitating or irritating chemical substance.</w:t>
      </w:r>
    </w:p>
  </w:footnote>
  <w:footnote w:id="7">
    <w:p w:rsidR="00AF6217" w:rsidRDefault="00725B63">
      <w:pPr>
        <w:pStyle w:val="FootnoteText"/>
        <w:jc w:val="both"/>
      </w:pPr>
      <w:r>
        <w:footnoteRef/>
      </w:r>
      <w:r>
        <w:t xml:space="preserve"> Goods listed in Annex III under code 3.6: fixed or mountabl</w:t>
      </w:r>
      <w:r>
        <w:t>e equipment for the dissemination of incapacitating or irritating agents over a wide area.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17" w:rsidRDefault="00AF6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17" w:rsidRDefault="00AF621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17" w:rsidRDefault="00AF621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17" w:rsidRDefault="00AF62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17" w:rsidRDefault="00AF62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17" w:rsidRDefault="00AF6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9D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1E1094"/>
    <w:multiLevelType w:val="hybridMultilevel"/>
    <w:tmpl w:val="29EC9D3E"/>
    <w:lvl w:ilvl="0" w:tplc="1BA25B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D3D19"/>
    <w:multiLevelType w:val="multilevel"/>
    <w:tmpl w:val="1194D20C"/>
    <w:lvl w:ilvl="0">
      <w:start w:val="1"/>
      <w:numFmt w:val="decimal"/>
      <w:pStyle w:val="HeaderSensitivityRigh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6235FC"/>
    <w:multiLevelType w:val="hybridMultilevel"/>
    <w:tmpl w:val="28709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793009C-A8FF-48C7-BB8B-C2AAF7E0C167"/>
    <w:docVar w:name="LW_COVERPAGE_TYPE" w:val="1"/>
    <w:docVar w:name="LW_CROSSREFERENCE" w:val="&lt;UNUSED&gt;"/>
    <w:docVar w:name="LW_DocType" w:val="NORMAL"/>
    <w:docVar w:name="LW_EMISSION" w:val="14.12.2020"/>
    <w:docVar w:name="LW_EMISSION_ISODATE" w:val="2020-12-1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port on export authorisation in 2019 pursuant to the Regulation concerning trade in certain goods which could be used for capital punishment, torture or other cruel, inhuman or degrading treatment or punishment&lt;/FMT&gt;"/>
    <w:docVar w:name="LW_TYPE.DOC.CP" w:val="REPORT FROM THE COMMISSION TO THE EUROPEAN PARLIAMENT AND THE COUNCIL"/>
  </w:docVars>
  <w:rsids>
    <w:rsidRoot w:val="00AF6217"/>
    <w:rsid w:val="00725B63"/>
    <w:rsid w:val="008669BD"/>
    <w:rsid w:val="00AF6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088E97E7-514A-48A5-84EA-FDC951C4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Pr>
      <w:rFonts w:ascii="Times New Roman" w:eastAsia="Times New Roman" w:hAnsi="Times New Roman" w:cs="Times New Roman"/>
      <w:sz w:val="20"/>
      <w:szCs w:val="20"/>
      <w:lang w:val="en-GB"/>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lang w:val="en-GB"/>
    </w:rPr>
  </w:style>
  <w:style w:type="paragraph" w:customStyle="1" w:styleId="Body">
    <w:name w:val="Body"/>
    <w:basedOn w:val="Normal"/>
    <w:link w:val="BodyChar"/>
    <w:qFormat/>
    <w:pPr>
      <w:spacing w:before="120" w:after="120"/>
      <w:jc w:val="both"/>
    </w:pPr>
    <w:rPr>
      <w:rFonts w:ascii="EC Square Sans Pro" w:hAnsi="EC Square Sans Pro"/>
    </w:rPr>
  </w:style>
  <w:style w:type="character" w:customStyle="1" w:styleId="BodyChar">
    <w:name w:val="Body Char"/>
    <w:link w:val="Body"/>
    <w:rPr>
      <w:rFonts w:ascii="EC Square Sans Pro" w:eastAsia="Times New Roman" w:hAnsi="EC Square Sans Pro" w:cs="Times New Roman"/>
      <w:sz w:val="24"/>
      <w:szCs w:val="24"/>
      <w:lang w:val="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FooterCoverPageChar">
    <w:name w:val="Footer Cover Page Char"/>
    <w:basedOn w:val="ListParagraphChar"/>
    <w:link w:val="FooterCoverPage"/>
    <w:rPr>
      <w:rFonts w:ascii="Times New Roman" w:eastAsia="Times New Roman" w:hAnsi="Times New Roman" w:cs="Times New Roman"/>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ListParagraphChar"/>
    <w:link w:val="FooterSensitivity"/>
    <w:rPr>
      <w:rFonts w:ascii="Times New Roman" w:eastAsia="Times New Roman" w:hAnsi="Times New Roman" w:cs="Times New Roman"/>
      <w:b/>
      <w:sz w:val="32"/>
      <w:szCs w:val="24"/>
      <w:lang w:val="en-GB"/>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ListParagraphChar"/>
    <w:link w:val="HeaderCoverPage"/>
    <w:rPr>
      <w:rFonts w:ascii="Times New Roman" w:eastAsia="Times New Roman" w:hAnsi="Times New Roman" w:cs="Times New Roman"/>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360"/>
      <w:jc w:val="center"/>
    </w:pPr>
    <w:rPr>
      <w:b/>
      <w:sz w:val="32"/>
    </w:rPr>
  </w:style>
  <w:style w:type="character" w:customStyle="1" w:styleId="HeaderSensitivityChar">
    <w:name w:val="Header Sensitivity Char"/>
    <w:basedOn w:val="ListParagraphChar"/>
    <w:link w:val="HeaderSensitivity"/>
    <w:rPr>
      <w:rFonts w:ascii="Times New Roman" w:eastAsia="Times New Roman" w:hAnsi="Times New Roman" w:cs="Times New Roman"/>
      <w:b/>
      <w:sz w:val="32"/>
      <w:szCs w:val="24"/>
      <w:lang w:val="en-GB"/>
    </w:rPr>
  </w:style>
  <w:style w:type="paragraph" w:customStyle="1" w:styleId="HeaderSensitivityRight">
    <w:name w:val="Header Sensitivity Right"/>
    <w:basedOn w:val="Normal"/>
    <w:link w:val="HeaderSensitivityRightChar"/>
    <w:pPr>
      <w:numPr>
        <w:numId w:val="2"/>
      </w:numPr>
      <w:spacing w:after="120"/>
      <w:ind w:left="0"/>
      <w:jc w:val="right"/>
    </w:pPr>
    <w:rPr>
      <w:sz w:val="28"/>
    </w:rPr>
  </w:style>
  <w:style w:type="character" w:customStyle="1" w:styleId="HeaderSensitivityRightChar">
    <w:name w:val="Header Sensitivity Right Char"/>
    <w:basedOn w:val="ListParagraphChar"/>
    <w:link w:val="HeaderSensitivityRight"/>
    <w:rPr>
      <w:rFonts w:ascii="Times New Roman" w:eastAsia="Times New Roman" w:hAnsi="Times New Roman" w:cs="Times New Roman"/>
      <w:sz w:val="28"/>
      <w:szCs w:val="24"/>
      <w:lang w:val="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2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8b698e5af7714af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e5619ebe48d941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4" ma:contentTypeDescription="Create a new document." ma:contentTypeScope="" ma:versionID="8b1fa9895b09e2b4c7f2f4e458e5ee26">
  <xsd:schema xmlns:xsd="http://www.w3.org/2001/XMLSchema" xmlns:xs="http://www.w3.org/2001/XMLSchema" xmlns:p="http://schemas.microsoft.com/office/2006/metadata/properties" xmlns:ns2="541a8a8b-b856-4d35-a5c7-7f2c0ec3d499" targetNamespace="http://schemas.microsoft.com/office/2006/metadata/properties" ma:root="true" ma:fieldsID="4e000a0c0ec7ccb5532d969111d19074"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2FDBA-E5D2-40DB-8FE9-3A3BEB14646C}">
  <ds:schemaRef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077211F-EEB3-499F-8F72-9F60E9A07B25}">
  <ds:schemaRefs>
    <ds:schemaRef ds:uri="http://schemas.microsoft.com/sharepoint/v3/contenttype/forms"/>
  </ds:schemaRefs>
</ds:datastoreItem>
</file>

<file path=customXml/itemProps3.xml><?xml version="1.0" encoding="utf-8"?>
<ds:datastoreItem xmlns:ds="http://schemas.openxmlformats.org/officeDocument/2006/customXml" ds:itemID="{D977D851-38A7-4BE9-BAFB-64AA813A1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F3553-287F-4CB5-85C8-0D461949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1200</Words>
  <Characters>6461</Characters>
  <Application>Microsoft Office Word</Application>
  <DocSecurity>0</DocSecurity>
  <Lines>117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16</cp:revision>
  <dcterms:created xsi:type="dcterms:W3CDTF">2020-12-11T08:25:00Z</dcterms:created>
  <dcterms:modified xsi:type="dcterms:W3CDTF">2020-12-14T09:56:00Z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ContentTypeId">
    <vt:lpwstr>0x010100087E4EC354ADFB40AC5D4FC129E379BA</vt:lpwstr>
  </property>
</Properties>
</file>