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0F8C635-246B-42EF-B38F-44D2A980261E" style="width:450.8pt;height:406.9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rPr>
          <w:b/>
          <w:bCs/>
          <w:i/>
          <w:iCs/>
          <w:noProof/>
        </w:rPr>
      </w:pPr>
      <w:bookmarkStart w:id="1" w:name="_GoBack"/>
      <w:bookmarkEnd w:id="1"/>
      <w:r>
        <w:rPr>
          <w:b/>
          <w:bCs/>
          <w:i/>
          <w:iCs/>
          <w:noProof/>
        </w:rPr>
        <w:lastRenderedPageBreak/>
        <w:t xml:space="preserve">Annex 1: </w:t>
      </w:r>
    </w:p>
    <w:p>
      <w:pPr>
        <w:rPr>
          <w:b/>
          <w:i/>
          <w:noProof/>
        </w:rPr>
      </w:pPr>
      <w:r>
        <w:rPr>
          <w:b/>
          <w:i/>
          <w:noProof/>
        </w:rPr>
        <w:t>Number of reported export authorisations issued by Member States pursuant to Article 20(2) of Regulation (EU) 2019/125 by Annex entry</w:t>
      </w:r>
    </w:p>
    <w:p>
      <w:pPr>
        <w:rPr>
          <w:noProof/>
        </w:rPr>
      </w:pPr>
    </w:p>
    <w:p>
      <w:pPr>
        <w:rPr>
          <w:noProof/>
        </w:rPr>
      </w:pPr>
      <w:r>
        <w:rPr>
          <w:noProof/>
          <w:lang w:eastAsia="en-GB"/>
        </w:rPr>
        <w:drawing>
          <wp:inline distT="0" distB="0" distL="0" distR="0">
            <wp:extent cx="4564380" cy="34747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rPr>
      </w:pPr>
    </w:p>
    <w:p>
      <w:pPr>
        <w:rPr>
          <w:noProof/>
        </w:rPr>
      </w:pPr>
    </w:p>
    <w:p>
      <w:pPr>
        <w:rPr>
          <w:b/>
          <w:bCs/>
          <w:i/>
          <w:iCs/>
          <w:noProof/>
          <w:highlight w:val="green"/>
        </w:rPr>
      </w:pPr>
      <w:r>
        <w:rPr>
          <w:b/>
          <w:bCs/>
          <w:i/>
          <w:iCs/>
          <w:noProof/>
        </w:rPr>
        <w:t xml:space="preserve">Annex 2: </w:t>
      </w:r>
    </w:p>
    <w:p>
      <w:pPr>
        <w:rPr>
          <w:b/>
          <w:i/>
          <w:noProof/>
        </w:rPr>
      </w:pPr>
      <w:r>
        <w:rPr>
          <w:b/>
          <w:i/>
          <w:noProof/>
        </w:rPr>
        <w:t>Number of reported export authorisations issued by Member States over the period 2017– 2019</w:t>
      </w:r>
    </w:p>
    <w:p>
      <w:pPr>
        <w:rPr>
          <w:noProof/>
        </w:rPr>
      </w:pPr>
    </w:p>
    <w:p>
      <w:pPr>
        <w:rPr>
          <w:noProof/>
        </w:rPr>
      </w:pPr>
      <w:r>
        <w:rPr>
          <w:noProof/>
          <w:lang w:eastAsia="en-GB"/>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highlight w:val="cyan"/>
        </w:rPr>
      </w:pPr>
    </w:p>
    <w:p>
      <w:pPr>
        <w:rPr>
          <w:noProof/>
          <w:highlight w:val="cyan"/>
        </w:rPr>
        <w:sectPr>
          <w:headerReference w:type="even" r:id="rId21"/>
          <w:headerReference w:type="default" r:id="rId22"/>
          <w:footerReference w:type="even" r:id="rId23"/>
          <w:footerReference w:type="default" r:id="rId24"/>
          <w:headerReference w:type="first" r:id="rId25"/>
          <w:footerReference w:type="first" r:id="rId26"/>
          <w:pgSz w:w="11906" w:h="16838" w:code="9"/>
          <w:pgMar w:top="1440" w:right="1800" w:bottom="1440" w:left="1800" w:header="708" w:footer="708" w:gutter="0"/>
          <w:cols w:space="720"/>
          <w:docGrid w:linePitch="360"/>
        </w:sectPr>
      </w:pPr>
    </w:p>
    <w:p>
      <w:pPr>
        <w:rPr>
          <w:b/>
          <w:bCs/>
          <w:i/>
          <w:iCs/>
          <w:noProof/>
        </w:rPr>
      </w:pPr>
      <w:r>
        <w:rPr>
          <w:b/>
          <w:bCs/>
          <w:i/>
          <w:iCs/>
          <w:noProof/>
        </w:rPr>
        <w:t>Annex 3:</w:t>
      </w:r>
    </w:p>
    <w:p>
      <w:pPr>
        <w:rPr>
          <w:b/>
          <w:i/>
          <w:noProof/>
          <w:highlight w:val="yellow"/>
        </w:rPr>
      </w:pPr>
      <w:r>
        <w:rPr>
          <w:b/>
          <w:i/>
          <w:noProof/>
        </w:rPr>
        <w:t>Reported destinations</w:t>
      </w:r>
      <w:r>
        <w:rPr>
          <w:rStyle w:val="FootnoteReference"/>
          <w:b/>
          <w:i/>
          <w:noProof/>
        </w:rPr>
        <w:footnoteReference w:id="1"/>
      </w:r>
      <w:r>
        <w:rPr>
          <w:b/>
          <w:i/>
          <w:noProof/>
        </w:rPr>
        <w:t xml:space="preserve"> of authorised exports in 2019</w:t>
      </w:r>
      <w:r>
        <w:rPr>
          <w:rStyle w:val="FootnoteReference"/>
          <w:b/>
          <w:i/>
          <w:noProof/>
        </w:rPr>
        <w:footnoteReference w:id="2"/>
      </w:r>
      <w:r>
        <w:rPr>
          <w:b/>
          <w:i/>
          <w:noProof/>
        </w:rPr>
        <w:t xml:space="preserve"> </w:t>
      </w:r>
    </w:p>
    <w:p>
      <w:pPr>
        <w:rPr>
          <w:noProof/>
        </w:rPr>
      </w:pPr>
    </w:p>
    <w:p>
      <w:pPr>
        <w:rPr>
          <w:noProof/>
        </w:rPr>
      </w:pPr>
      <w:r>
        <w:rPr>
          <w:noProof/>
          <w:lang w:eastAsia="en-GB"/>
        </w:rPr>
        <w:drawing>
          <wp:inline distT="0" distB="0" distL="0" distR="0">
            <wp:extent cx="8863330" cy="1915160"/>
            <wp:effectExtent l="0" t="0" r="1397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noProof/>
          <w:highlight w:val="cyan"/>
        </w:rPr>
      </w:pPr>
      <w:r>
        <w:rPr>
          <w:noProof/>
          <w:highlight w:val="cyan"/>
        </w:rPr>
        <w:br w:type="page"/>
      </w:r>
    </w:p>
    <w:p>
      <w:pPr>
        <w:rPr>
          <w:b/>
          <w:bCs/>
          <w:i/>
          <w:iCs/>
          <w:noProof/>
        </w:rPr>
      </w:pPr>
      <w:r>
        <w:rPr>
          <w:b/>
          <w:bCs/>
          <w:i/>
          <w:iCs/>
          <w:noProof/>
        </w:rPr>
        <w:t>Annex 4:</w:t>
      </w:r>
    </w:p>
    <w:p>
      <w:pPr>
        <w:rPr>
          <w:b/>
          <w:bCs/>
          <w:i/>
          <w:iCs/>
          <w:noProof/>
        </w:rPr>
      </w:pPr>
      <w:r>
        <w:rPr>
          <w:b/>
          <w:bCs/>
          <w:i/>
          <w:iCs/>
          <w:noProof/>
        </w:rPr>
        <w:t>Overview of reported authorised exports of Annex III goods in 2019</w:t>
      </w:r>
    </w:p>
    <w:p>
      <w:pPr>
        <w:rPr>
          <w:noProof/>
          <w:highlight w:val="yellow"/>
        </w:rPr>
      </w:pPr>
    </w:p>
    <w:tbl>
      <w:tblPr>
        <w:tblStyle w:val="TableGrid"/>
        <w:tblW w:w="13985" w:type="dxa"/>
        <w:tblLook w:val="04A0" w:firstRow="1" w:lastRow="0" w:firstColumn="1" w:lastColumn="0" w:noHBand="0" w:noVBand="1"/>
      </w:tblPr>
      <w:tblGrid>
        <w:gridCol w:w="960"/>
        <w:gridCol w:w="5540"/>
        <w:gridCol w:w="3060"/>
        <w:gridCol w:w="2880"/>
        <w:gridCol w:w="1545"/>
      </w:tblGrid>
      <w:tr>
        <w:trPr>
          <w:trHeight w:val="576"/>
        </w:trPr>
        <w:tc>
          <w:tcPr>
            <w:tcW w:w="960" w:type="dxa"/>
            <w:shd w:val="clear" w:color="auto" w:fill="F2F2F2" w:themeFill="background1" w:themeFillShade="F2"/>
            <w:noWrap/>
            <w:hideMark/>
          </w:tcPr>
          <w:p>
            <w:pPr>
              <w:rPr>
                <w:b/>
                <w:bCs/>
                <w:noProof/>
                <w:sz w:val="22"/>
                <w:szCs w:val="22"/>
              </w:rPr>
            </w:pPr>
            <w:r>
              <w:rPr>
                <w:b/>
                <w:bCs/>
                <w:noProof/>
                <w:sz w:val="22"/>
                <w:szCs w:val="22"/>
              </w:rPr>
              <w:t xml:space="preserve">Code </w:t>
            </w:r>
          </w:p>
        </w:tc>
        <w:tc>
          <w:tcPr>
            <w:tcW w:w="5540" w:type="dxa"/>
            <w:shd w:val="clear" w:color="auto" w:fill="F2F2F2" w:themeFill="background1" w:themeFillShade="F2"/>
            <w:noWrap/>
            <w:hideMark/>
          </w:tcPr>
          <w:p>
            <w:pPr>
              <w:rPr>
                <w:b/>
                <w:bCs/>
                <w:noProof/>
                <w:sz w:val="22"/>
                <w:szCs w:val="22"/>
              </w:rPr>
            </w:pPr>
            <w:r>
              <w:rPr>
                <w:b/>
                <w:bCs/>
                <w:noProof/>
                <w:sz w:val="22"/>
                <w:szCs w:val="22"/>
              </w:rPr>
              <w:t>Product Annex III</w:t>
            </w:r>
          </w:p>
        </w:tc>
        <w:tc>
          <w:tcPr>
            <w:tcW w:w="3060" w:type="dxa"/>
            <w:shd w:val="clear" w:color="auto" w:fill="F2F2F2" w:themeFill="background1" w:themeFillShade="F2"/>
            <w:noWrap/>
            <w:hideMark/>
          </w:tcPr>
          <w:p>
            <w:pPr>
              <w:rPr>
                <w:b/>
                <w:bCs/>
                <w:noProof/>
                <w:sz w:val="22"/>
                <w:szCs w:val="22"/>
              </w:rPr>
            </w:pPr>
            <w:r>
              <w:rPr>
                <w:b/>
                <w:bCs/>
                <w:noProof/>
                <w:sz w:val="22"/>
                <w:szCs w:val="22"/>
              </w:rPr>
              <w:t>Destination</w:t>
            </w:r>
          </w:p>
        </w:tc>
        <w:tc>
          <w:tcPr>
            <w:tcW w:w="2880" w:type="dxa"/>
            <w:shd w:val="clear" w:color="auto" w:fill="F2F2F2" w:themeFill="background1" w:themeFillShade="F2"/>
            <w:noWrap/>
            <w:hideMark/>
          </w:tcPr>
          <w:p>
            <w:pPr>
              <w:rPr>
                <w:b/>
                <w:bCs/>
                <w:noProof/>
                <w:sz w:val="22"/>
                <w:szCs w:val="22"/>
              </w:rPr>
            </w:pPr>
            <w:r>
              <w:rPr>
                <w:b/>
                <w:bCs/>
                <w:noProof/>
                <w:sz w:val="22"/>
                <w:szCs w:val="22"/>
              </w:rPr>
              <w:t>End use</w:t>
            </w:r>
          </w:p>
        </w:tc>
        <w:tc>
          <w:tcPr>
            <w:tcW w:w="1545" w:type="dxa"/>
            <w:shd w:val="clear" w:color="auto" w:fill="F2F2F2" w:themeFill="background1" w:themeFillShade="F2"/>
            <w:hideMark/>
          </w:tcPr>
          <w:p>
            <w:pPr>
              <w:rPr>
                <w:b/>
                <w:bCs/>
                <w:noProof/>
                <w:sz w:val="22"/>
                <w:szCs w:val="22"/>
              </w:rPr>
            </w:pPr>
            <w:r>
              <w:rPr>
                <w:b/>
                <w:bCs/>
                <w:noProof/>
                <w:sz w:val="22"/>
                <w:szCs w:val="22"/>
              </w:rPr>
              <w:t xml:space="preserve">Competent authority </w:t>
            </w:r>
          </w:p>
        </w:tc>
      </w:tr>
      <w:tr>
        <w:trPr>
          <w:trHeight w:val="288"/>
        </w:trPr>
        <w:tc>
          <w:tcPr>
            <w:tcW w:w="960" w:type="dxa"/>
            <w:vMerge w:val="restart"/>
            <w:noWrap/>
            <w:hideMark/>
          </w:tcPr>
          <w:p>
            <w:pPr>
              <w:rPr>
                <w:noProof/>
                <w:sz w:val="22"/>
                <w:szCs w:val="22"/>
              </w:rPr>
            </w:pPr>
            <w:r>
              <w:rPr>
                <w:noProof/>
                <w:sz w:val="22"/>
                <w:szCs w:val="22"/>
              </w:rPr>
              <w:t>1.1</w:t>
            </w:r>
          </w:p>
        </w:tc>
        <w:tc>
          <w:tcPr>
            <w:tcW w:w="5540" w:type="dxa"/>
            <w:vMerge w:val="restart"/>
            <w:noWrap/>
            <w:hideMark/>
          </w:tcPr>
          <w:p>
            <w:pPr>
              <w:rPr>
                <w:noProof/>
                <w:sz w:val="22"/>
                <w:szCs w:val="22"/>
              </w:rPr>
            </w:pPr>
            <w:r>
              <w:rPr>
                <w:noProof/>
                <w:sz w:val="22"/>
                <w:szCs w:val="22"/>
              </w:rPr>
              <w:t>Shackles and gang chains</w:t>
            </w:r>
          </w:p>
        </w:tc>
        <w:tc>
          <w:tcPr>
            <w:tcW w:w="3060" w:type="dxa"/>
            <w:vMerge w:val="restart"/>
            <w:hideMark/>
          </w:tcPr>
          <w:p>
            <w:pPr>
              <w:rPr>
                <w:noProof/>
                <w:sz w:val="22"/>
                <w:szCs w:val="22"/>
              </w:rPr>
            </w:pPr>
            <w:r>
              <w:rPr>
                <w:noProof/>
                <w:sz w:val="22"/>
                <w:szCs w:val="22"/>
              </w:rPr>
              <w:t>Bahrain (2), Serbia (1), Argentina (1)</w:t>
            </w:r>
          </w:p>
        </w:tc>
        <w:tc>
          <w:tcPr>
            <w:tcW w:w="2880" w:type="dxa"/>
            <w:vMerge w:val="restart"/>
            <w:hideMark/>
          </w:tcPr>
          <w:p>
            <w:pPr>
              <w:rPr>
                <w:noProof/>
                <w:sz w:val="22"/>
                <w:szCs w:val="22"/>
              </w:rPr>
            </w:pPr>
            <w:r>
              <w:rPr>
                <w:noProof/>
                <w:sz w:val="22"/>
                <w:szCs w:val="22"/>
              </w:rPr>
              <w:t>Law enforcement</w:t>
            </w:r>
          </w:p>
        </w:tc>
        <w:tc>
          <w:tcPr>
            <w:tcW w:w="1545" w:type="dxa"/>
            <w:vMerge w:val="restart"/>
            <w:noWrap/>
            <w:hideMark/>
          </w:tcPr>
          <w:p>
            <w:pPr>
              <w:rPr>
                <w:noProof/>
                <w:sz w:val="22"/>
                <w:szCs w:val="22"/>
              </w:rPr>
            </w:pPr>
            <w:r>
              <w:rPr>
                <w:noProof/>
                <w:sz w:val="22"/>
                <w:szCs w:val="22"/>
              </w:rPr>
              <w:t>CZ</w:t>
            </w:r>
          </w:p>
        </w:tc>
      </w:tr>
      <w:tr>
        <w:trPr>
          <w:trHeight w:val="288"/>
        </w:trPr>
        <w:tc>
          <w:tcPr>
            <w:tcW w:w="960" w:type="dxa"/>
            <w:vMerge/>
            <w:hideMark/>
          </w:tcPr>
          <w:p>
            <w:pPr>
              <w:rPr>
                <w:noProof/>
                <w:sz w:val="22"/>
                <w:szCs w:val="22"/>
              </w:rPr>
            </w:pPr>
          </w:p>
        </w:tc>
        <w:tc>
          <w:tcPr>
            <w:tcW w:w="5540" w:type="dxa"/>
            <w:vMerge/>
            <w:hideMark/>
          </w:tcPr>
          <w:p>
            <w:pPr>
              <w:rPr>
                <w:noProof/>
                <w:sz w:val="22"/>
                <w:szCs w:val="22"/>
              </w:rPr>
            </w:pPr>
          </w:p>
        </w:tc>
        <w:tc>
          <w:tcPr>
            <w:tcW w:w="3060" w:type="dxa"/>
            <w:vMerge/>
            <w:hideMark/>
          </w:tcPr>
          <w:p>
            <w:pPr>
              <w:rPr>
                <w:noProof/>
                <w:sz w:val="22"/>
                <w:szCs w:val="22"/>
              </w:rPr>
            </w:pPr>
          </w:p>
        </w:tc>
        <w:tc>
          <w:tcPr>
            <w:tcW w:w="2880" w:type="dxa"/>
            <w:vMerge/>
            <w:hideMark/>
          </w:tcPr>
          <w:p>
            <w:pPr>
              <w:rPr>
                <w:noProof/>
                <w:sz w:val="22"/>
                <w:szCs w:val="22"/>
              </w:rPr>
            </w:pPr>
          </w:p>
        </w:tc>
        <w:tc>
          <w:tcPr>
            <w:tcW w:w="1545" w:type="dxa"/>
            <w:vMerge/>
            <w:hideMark/>
          </w:tcPr>
          <w:p>
            <w:pPr>
              <w:rPr>
                <w:noProof/>
                <w:sz w:val="22"/>
                <w:szCs w:val="22"/>
              </w:rPr>
            </w:pPr>
          </w:p>
        </w:tc>
      </w:tr>
      <w:tr>
        <w:trPr>
          <w:trHeight w:val="276"/>
        </w:trPr>
        <w:tc>
          <w:tcPr>
            <w:tcW w:w="960" w:type="dxa"/>
            <w:vMerge/>
            <w:hideMark/>
          </w:tcPr>
          <w:p>
            <w:pPr>
              <w:rPr>
                <w:noProof/>
                <w:sz w:val="22"/>
                <w:szCs w:val="22"/>
              </w:rPr>
            </w:pPr>
          </w:p>
        </w:tc>
        <w:tc>
          <w:tcPr>
            <w:tcW w:w="5540" w:type="dxa"/>
            <w:vMerge/>
            <w:hideMark/>
          </w:tcPr>
          <w:p>
            <w:pPr>
              <w:rPr>
                <w:noProof/>
                <w:sz w:val="22"/>
                <w:szCs w:val="22"/>
              </w:rPr>
            </w:pPr>
          </w:p>
        </w:tc>
        <w:tc>
          <w:tcPr>
            <w:tcW w:w="3060" w:type="dxa"/>
            <w:vMerge/>
            <w:hideMark/>
          </w:tcPr>
          <w:p>
            <w:pPr>
              <w:rPr>
                <w:noProof/>
                <w:sz w:val="22"/>
                <w:szCs w:val="22"/>
              </w:rPr>
            </w:pPr>
          </w:p>
        </w:tc>
        <w:tc>
          <w:tcPr>
            <w:tcW w:w="2880" w:type="dxa"/>
            <w:vMerge/>
            <w:hideMark/>
          </w:tcPr>
          <w:p>
            <w:pPr>
              <w:rPr>
                <w:noProof/>
                <w:sz w:val="22"/>
                <w:szCs w:val="22"/>
              </w:rPr>
            </w:pPr>
          </w:p>
        </w:tc>
        <w:tc>
          <w:tcPr>
            <w:tcW w:w="1545" w:type="dxa"/>
            <w:vMerge/>
            <w:hideMark/>
          </w:tcPr>
          <w:p>
            <w:pPr>
              <w:rPr>
                <w:noProof/>
                <w:sz w:val="22"/>
                <w:szCs w:val="22"/>
              </w:rPr>
            </w:pPr>
          </w:p>
        </w:tc>
      </w:tr>
      <w:tr>
        <w:trPr>
          <w:trHeight w:val="86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Montenegro (1), North Macedonia (4), Oman (1), Switzerland (1), United States (1)</w:t>
            </w:r>
          </w:p>
          <w:p>
            <w:pPr>
              <w:rPr>
                <w:noProof/>
                <w:sz w:val="22"/>
                <w:szCs w:val="22"/>
              </w:rPr>
            </w:pPr>
          </w:p>
        </w:tc>
        <w:tc>
          <w:tcPr>
            <w:tcW w:w="2880" w:type="dxa"/>
            <w:hideMark/>
          </w:tcPr>
          <w:p>
            <w:pPr>
              <w:rPr>
                <w:noProof/>
                <w:sz w:val="22"/>
                <w:szCs w:val="22"/>
              </w:rPr>
            </w:pPr>
            <w:r>
              <w:rPr>
                <w:noProof/>
                <w:sz w:val="22"/>
                <w:szCs w:val="22"/>
              </w:rPr>
              <w:t>End use not stipulated</w:t>
            </w:r>
          </w:p>
        </w:tc>
        <w:tc>
          <w:tcPr>
            <w:tcW w:w="1545" w:type="dxa"/>
            <w:noWrap/>
            <w:hideMark/>
          </w:tcPr>
          <w:p>
            <w:pPr>
              <w:rPr>
                <w:noProof/>
                <w:sz w:val="22"/>
                <w:szCs w:val="22"/>
              </w:rPr>
            </w:pPr>
            <w:r>
              <w:rPr>
                <w:noProof/>
                <w:sz w:val="22"/>
                <w:szCs w:val="22"/>
              </w:rPr>
              <w:t>DE</w:t>
            </w:r>
          </w:p>
        </w:tc>
      </w:tr>
      <w:tr>
        <w:trPr>
          <w:trHeight w:val="720"/>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Hong Kong (1), Australia (2), New Zealand (1)</w:t>
            </w:r>
          </w:p>
        </w:tc>
        <w:tc>
          <w:tcPr>
            <w:tcW w:w="2880" w:type="dxa"/>
            <w:noWrap/>
            <w:hideMark/>
          </w:tcPr>
          <w:p>
            <w:pPr>
              <w:rPr>
                <w:noProof/>
                <w:sz w:val="22"/>
                <w:szCs w:val="22"/>
              </w:rPr>
            </w:pPr>
            <w:r>
              <w:rPr>
                <w:noProof/>
                <w:sz w:val="22"/>
                <w:szCs w:val="22"/>
              </w:rPr>
              <w:t>Law enforcement</w:t>
            </w:r>
          </w:p>
        </w:tc>
        <w:tc>
          <w:tcPr>
            <w:tcW w:w="1545" w:type="dxa"/>
            <w:noWrap/>
            <w:hideMark/>
          </w:tcPr>
          <w:p>
            <w:pPr>
              <w:rPr>
                <w:noProof/>
                <w:sz w:val="22"/>
                <w:szCs w:val="22"/>
              </w:rPr>
            </w:pPr>
            <w:r>
              <w:rPr>
                <w:noProof/>
                <w:sz w:val="22"/>
                <w:szCs w:val="22"/>
              </w:rPr>
              <w:t>UK</w:t>
            </w:r>
          </w:p>
        </w:tc>
      </w:tr>
      <w:tr>
        <w:trPr>
          <w:trHeight w:val="432"/>
        </w:trPr>
        <w:tc>
          <w:tcPr>
            <w:tcW w:w="960" w:type="dxa"/>
            <w:noWrap/>
            <w:hideMark/>
          </w:tcPr>
          <w:p>
            <w:pPr>
              <w:rPr>
                <w:noProof/>
                <w:sz w:val="22"/>
                <w:szCs w:val="22"/>
              </w:rPr>
            </w:pPr>
            <w:r>
              <w:rPr>
                <w:noProof/>
                <w:sz w:val="22"/>
                <w:szCs w:val="22"/>
              </w:rPr>
              <w:t>1.2</w:t>
            </w:r>
          </w:p>
        </w:tc>
        <w:tc>
          <w:tcPr>
            <w:tcW w:w="5540" w:type="dxa"/>
            <w:hideMark/>
          </w:tcPr>
          <w:p>
            <w:pPr>
              <w:rPr>
                <w:noProof/>
                <w:sz w:val="22"/>
                <w:szCs w:val="22"/>
              </w:rPr>
            </w:pPr>
            <w:r>
              <w:rPr>
                <w:noProof/>
                <w:sz w:val="22"/>
                <w:szCs w:val="22"/>
              </w:rPr>
              <w:t>Individual cuffs or rings fitted with a locking mechanism</w:t>
            </w:r>
          </w:p>
          <w:p>
            <w:pPr>
              <w:rPr>
                <w:noProof/>
                <w:sz w:val="22"/>
                <w:szCs w:val="22"/>
              </w:rPr>
            </w:pPr>
          </w:p>
        </w:tc>
        <w:tc>
          <w:tcPr>
            <w:tcW w:w="3060" w:type="dxa"/>
            <w:noWrap/>
            <w:hideMark/>
          </w:tcPr>
          <w:p>
            <w:pPr>
              <w:rPr>
                <w:noProof/>
                <w:sz w:val="22"/>
                <w:szCs w:val="22"/>
              </w:rPr>
            </w:pPr>
            <w:r>
              <w:rPr>
                <w:noProof/>
                <w:sz w:val="22"/>
                <w:szCs w:val="22"/>
              </w:rPr>
              <w:t>Barbados (1)</w:t>
            </w:r>
          </w:p>
        </w:tc>
        <w:tc>
          <w:tcPr>
            <w:tcW w:w="2880" w:type="dxa"/>
            <w:noWrap/>
            <w:hideMark/>
          </w:tcPr>
          <w:p>
            <w:pPr>
              <w:rPr>
                <w:noProof/>
                <w:sz w:val="22"/>
                <w:szCs w:val="22"/>
              </w:rPr>
            </w:pPr>
            <w:r>
              <w:rPr>
                <w:noProof/>
                <w:sz w:val="22"/>
                <w:szCs w:val="22"/>
              </w:rPr>
              <w:t>Law enforcement</w:t>
            </w:r>
          </w:p>
        </w:tc>
        <w:tc>
          <w:tcPr>
            <w:tcW w:w="1545" w:type="dxa"/>
            <w:noWrap/>
            <w:hideMark/>
          </w:tcPr>
          <w:p>
            <w:pPr>
              <w:rPr>
                <w:noProof/>
                <w:sz w:val="22"/>
                <w:szCs w:val="22"/>
              </w:rPr>
            </w:pPr>
            <w:r>
              <w:rPr>
                <w:noProof/>
                <w:sz w:val="22"/>
                <w:szCs w:val="22"/>
              </w:rPr>
              <w:t>UK</w:t>
            </w:r>
          </w:p>
        </w:tc>
      </w:tr>
      <w:tr>
        <w:trPr>
          <w:trHeight w:val="1020"/>
        </w:trPr>
        <w:tc>
          <w:tcPr>
            <w:tcW w:w="960" w:type="dxa"/>
            <w:vMerge w:val="restart"/>
            <w:noWrap/>
            <w:hideMark/>
          </w:tcPr>
          <w:p>
            <w:pPr>
              <w:rPr>
                <w:noProof/>
                <w:sz w:val="22"/>
                <w:szCs w:val="22"/>
              </w:rPr>
            </w:pPr>
            <w:r>
              <w:rPr>
                <w:noProof/>
                <w:sz w:val="22"/>
                <w:szCs w:val="22"/>
              </w:rPr>
              <w:t>2.1</w:t>
            </w:r>
          </w:p>
        </w:tc>
        <w:tc>
          <w:tcPr>
            <w:tcW w:w="5540" w:type="dxa"/>
            <w:vMerge w:val="restart"/>
            <w:hideMark/>
          </w:tcPr>
          <w:p>
            <w:pPr>
              <w:rPr>
                <w:noProof/>
                <w:sz w:val="22"/>
                <w:szCs w:val="22"/>
              </w:rPr>
            </w:pPr>
            <w:r>
              <w:rPr>
                <w:noProof/>
                <w:sz w:val="22"/>
                <w:szCs w:val="22"/>
              </w:rPr>
              <w:t>Portable electric discharge weapons, including but not limited to electric shock batons, electric shock shields, stun guns and electric shock dart guns</w:t>
            </w:r>
          </w:p>
        </w:tc>
        <w:tc>
          <w:tcPr>
            <w:tcW w:w="3060" w:type="dxa"/>
            <w:hideMark/>
          </w:tcPr>
          <w:p>
            <w:pPr>
              <w:rPr>
                <w:noProof/>
                <w:sz w:val="22"/>
                <w:szCs w:val="22"/>
              </w:rPr>
            </w:pPr>
            <w:r>
              <w:rPr>
                <w:noProof/>
                <w:sz w:val="22"/>
                <w:szCs w:val="22"/>
              </w:rPr>
              <w:t>Aruba (1), Moldova (1), Montenegro (1), Ukraine (1), UAE (1), Switzerland (1)</w:t>
            </w:r>
          </w:p>
        </w:tc>
        <w:tc>
          <w:tcPr>
            <w:tcW w:w="2880" w:type="dxa"/>
            <w:hideMark/>
          </w:tcPr>
          <w:p>
            <w:pPr>
              <w:rPr>
                <w:noProof/>
                <w:sz w:val="22"/>
                <w:szCs w:val="22"/>
              </w:rPr>
            </w:pPr>
            <w:r>
              <w:rPr>
                <w:noProof/>
                <w:sz w:val="22"/>
                <w:szCs w:val="22"/>
              </w:rPr>
              <w:t>Law enforcement (Aruba), Traders</w:t>
            </w:r>
          </w:p>
        </w:tc>
        <w:tc>
          <w:tcPr>
            <w:tcW w:w="1545" w:type="dxa"/>
            <w:noWrap/>
            <w:hideMark/>
          </w:tcPr>
          <w:p>
            <w:pPr>
              <w:rPr>
                <w:noProof/>
                <w:sz w:val="22"/>
                <w:szCs w:val="22"/>
              </w:rPr>
            </w:pPr>
            <w:r>
              <w:rPr>
                <w:noProof/>
                <w:sz w:val="22"/>
                <w:szCs w:val="22"/>
              </w:rPr>
              <w:t>CZ</w:t>
            </w:r>
          </w:p>
        </w:tc>
      </w:tr>
      <w:tr>
        <w:trPr>
          <w:trHeight w:val="68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New Caledonia (2), Central African Republic (1)</w:t>
            </w:r>
          </w:p>
        </w:tc>
        <w:tc>
          <w:tcPr>
            <w:tcW w:w="2880" w:type="dxa"/>
            <w:noWrap/>
            <w:hideMark/>
          </w:tcPr>
          <w:p>
            <w:pPr>
              <w:rPr>
                <w:noProof/>
                <w:sz w:val="22"/>
                <w:szCs w:val="22"/>
              </w:rPr>
            </w:pPr>
            <w:r>
              <w:rPr>
                <w:noProof/>
                <w:sz w:val="22"/>
                <w:szCs w:val="22"/>
              </w:rPr>
              <w:t>End use not stipulated</w:t>
            </w:r>
          </w:p>
        </w:tc>
        <w:tc>
          <w:tcPr>
            <w:tcW w:w="1545" w:type="dxa"/>
            <w:noWrap/>
            <w:hideMark/>
          </w:tcPr>
          <w:p>
            <w:pPr>
              <w:rPr>
                <w:noProof/>
                <w:sz w:val="22"/>
                <w:szCs w:val="22"/>
              </w:rPr>
            </w:pPr>
            <w:r>
              <w:rPr>
                <w:noProof/>
                <w:sz w:val="22"/>
                <w:szCs w:val="22"/>
              </w:rPr>
              <w:t>DE</w:t>
            </w:r>
          </w:p>
        </w:tc>
      </w:tr>
      <w:tr>
        <w:trPr>
          <w:trHeight w:val="396"/>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Andorra (1)</w:t>
            </w:r>
          </w:p>
        </w:tc>
        <w:tc>
          <w:tcPr>
            <w:tcW w:w="2880" w:type="dxa"/>
            <w:hideMark/>
          </w:tcPr>
          <w:p>
            <w:pPr>
              <w:rPr>
                <w:noProof/>
                <w:sz w:val="22"/>
                <w:szCs w:val="22"/>
              </w:rPr>
            </w:pPr>
            <w:r>
              <w:rPr>
                <w:noProof/>
                <w:sz w:val="22"/>
                <w:szCs w:val="22"/>
              </w:rPr>
              <w:t>Law enforcement</w:t>
            </w:r>
          </w:p>
        </w:tc>
        <w:tc>
          <w:tcPr>
            <w:tcW w:w="1545" w:type="dxa"/>
            <w:noWrap/>
            <w:hideMark/>
          </w:tcPr>
          <w:p>
            <w:pPr>
              <w:rPr>
                <w:noProof/>
                <w:sz w:val="22"/>
                <w:szCs w:val="22"/>
              </w:rPr>
            </w:pPr>
            <w:r>
              <w:rPr>
                <w:noProof/>
                <w:sz w:val="22"/>
                <w:szCs w:val="22"/>
              </w:rPr>
              <w:t>ES</w:t>
            </w:r>
          </w:p>
        </w:tc>
      </w:tr>
      <w:tr>
        <w:trPr>
          <w:trHeight w:val="408"/>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Andorra (1), Senegal (1)</w:t>
            </w:r>
          </w:p>
        </w:tc>
        <w:tc>
          <w:tcPr>
            <w:tcW w:w="2880" w:type="dxa"/>
            <w:noWrap/>
            <w:hideMark/>
          </w:tcPr>
          <w:p>
            <w:pPr>
              <w:rPr>
                <w:noProof/>
                <w:sz w:val="22"/>
                <w:szCs w:val="22"/>
              </w:rPr>
            </w:pPr>
            <w:r>
              <w:rPr>
                <w:noProof/>
                <w:sz w:val="22"/>
                <w:szCs w:val="22"/>
              </w:rPr>
              <w:t>Private security firm</w:t>
            </w:r>
          </w:p>
        </w:tc>
        <w:tc>
          <w:tcPr>
            <w:tcW w:w="1545" w:type="dxa"/>
            <w:noWrap/>
            <w:hideMark/>
          </w:tcPr>
          <w:p>
            <w:pPr>
              <w:rPr>
                <w:noProof/>
                <w:sz w:val="22"/>
                <w:szCs w:val="22"/>
              </w:rPr>
            </w:pPr>
            <w:r>
              <w:rPr>
                <w:noProof/>
                <w:sz w:val="22"/>
                <w:szCs w:val="22"/>
              </w:rPr>
              <w:t>FR</w:t>
            </w:r>
          </w:p>
        </w:tc>
      </w:tr>
      <w:tr>
        <w:trPr>
          <w:trHeight w:val="444"/>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United States (1)</w:t>
            </w:r>
          </w:p>
        </w:tc>
        <w:tc>
          <w:tcPr>
            <w:tcW w:w="2880" w:type="dxa"/>
            <w:noWrap/>
            <w:hideMark/>
          </w:tcPr>
          <w:p>
            <w:pPr>
              <w:rPr>
                <w:noProof/>
                <w:sz w:val="22"/>
                <w:szCs w:val="22"/>
              </w:rPr>
            </w:pPr>
            <w:r>
              <w:rPr>
                <w:noProof/>
                <w:sz w:val="22"/>
                <w:szCs w:val="22"/>
              </w:rPr>
              <w:t>Other</w:t>
            </w:r>
          </w:p>
        </w:tc>
        <w:tc>
          <w:tcPr>
            <w:tcW w:w="1545" w:type="dxa"/>
            <w:noWrap/>
            <w:hideMark/>
          </w:tcPr>
          <w:p>
            <w:pPr>
              <w:rPr>
                <w:noProof/>
                <w:sz w:val="22"/>
                <w:szCs w:val="22"/>
              </w:rPr>
            </w:pPr>
            <w:r>
              <w:rPr>
                <w:noProof/>
                <w:sz w:val="22"/>
                <w:szCs w:val="22"/>
              </w:rPr>
              <w:t>UK</w:t>
            </w:r>
          </w:p>
        </w:tc>
      </w:tr>
      <w:tr>
        <w:trPr>
          <w:trHeight w:val="1068"/>
        </w:trPr>
        <w:tc>
          <w:tcPr>
            <w:tcW w:w="960" w:type="dxa"/>
            <w:vMerge w:val="restart"/>
            <w:noWrap/>
            <w:hideMark/>
          </w:tcPr>
          <w:p>
            <w:pPr>
              <w:rPr>
                <w:noProof/>
                <w:sz w:val="22"/>
                <w:szCs w:val="22"/>
              </w:rPr>
            </w:pPr>
            <w:r>
              <w:rPr>
                <w:noProof/>
                <w:sz w:val="22"/>
                <w:szCs w:val="22"/>
              </w:rPr>
              <w:t>3.1</w:t>
            </w:r>
          </w:p>
        </w:tc>
        <w:tc>
          <w:tcPr>
            <w:tcW w:w="5540" w:type="dxa"/>
            <w:vMerge w:val="restart"/>
            <w:hideMark/>
          </w:tcPr>
          <w:p>
            <w:pPr>
              <w:rPr>
                <w:noProof/>
                <w:sz w:val="22"/>
                <w:szCs w:val="22"/>
              </w:rPr>
            </w:pPr>
            <w:r>
              <w:rPr>
                <w:noProof/>
                <w:sz w:val="22"/>
                <w:szCs w:val="22"/>
              </w:rPr>
              <w:t>Portable weapons and equipment for administration or dissemination of a dose of an incapacitating or irritating chemical substance.</w:t>
            </w:r>
          </w:p>
        </w:tc>
        <w:tc>
          <w:tcPr>
            <w:tcW w:w="3060" w:type="dxa"/>
            <w:hideMark/>
          </w:tcPr>
          <w:p>
            <w:pPr>
              <w:rPr>
                <w:noProof/>
                <w:sz w:val="22"/>
                <w:szCs w:val="22"/>
              </w:rPr>
            </w:pPr>
            <w:r>
              <w:rPr>
                <w:noProof/>
                <w:sz w:val="22"/>
                <w:szCs w:val="22"/>
              </w:rPr>
              <w:t>Aruba (1), Moldova (1), Montenegro (1), Ukraine (1), UAE (1), Switzerland (1)</w:t>
            </w:r>
          </w:p>
        </w:tc>
        <w:tc>
          <w:tcPr>
            <w:tcW w:w="2880" w:type="dxa"/>
            <w:hideMark/>
          </w:tcPr>
          <w:p>
            <w:pPr>
              <w:rPr>
                <w:noProof/>
                <w:sz w:val="22"/>
                <w:szCs w:val="22"/>
              </w:rPr>
            </w:pPr>
            <w:r>
              <w:rPr>
                <w:noProof/>
                <w:sz w:val="22"/>
                <w:szCs w:val="22"/>
              </w:rPr>
              <w:t>Law enforcement (Aruba), Traders</w:t>
            </w:r>
          </w:p>
        </w:tc>
        <w:tc>
          <w:tcPr>
            <w:tcW w:w="1545" w:type="dxa"/>
            <w:noWrap/>
            <w:hideMark/>
          </w:tcPr>
          <w:p>
            <w:pPr>
              <w:rPr>
                <w:noProof/>
                <w:sz w:val="22"/>
                <w:szCs w:val="22"/>
              </w:rPr>
            </w:pPr>
            <w:r>
              <w:rPr>
                <w:noProof/>
                <w:sz w:val="22"/>
                <w:szCs w:val="22"/>
              </w:rPr>
              <w:t>CZ</w:t>
            </w:r>
          </w:p>
        </w:tc>
      </w:tr>
      <w:tr>
        <w:trPr>
          <w:trHeight w:val="38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Andorra (9), Bosnia and Herzegovina (4), Chile (1), Democratic Republic of the Congo (1), French Polynesia (1), Japan (4), Kosovo (1), Cuba (1), Mali (1), Montenegro (2), Namibia (1), New Caledonia (2), North Macedonia (1), Pakistan (1), Moldova (1), Switzerland (11) Serbia (1), Somalia (3), South Africa (7), Tunisia (1), Uruguay (1), United States (1), China (2).</w:t>
            </w:r>
          </w:p>
          <w:p>
            <w:pPr>
              <w:rPr>
                <w:noProof/>
                <w:sz w:val="22"/>
                <w:szCs w:val="22"/>
              </w:rPr>
            </w:pPr>
          </w:p>
        </w:tc>
        <w:tc>
          <w:tcPr>
            <w:tcW w:w="2880" w:type="dxa"/>
            <w:hideMark/>
          </w:tcPr>
          <w:p>
            <w:pPr>
              <w:rPr>
                <w:noProof/>
                <w:sz w:val="22"/>
                <w:szCs w:val="22"/>
              </w:rPr>
            </w:pPr>
            <w:r>
              <w:rPr>
                <w:noProof/>
                <w:sz w:val="22"/>
                <w:szCs w:val="22"/>
              </w:rPr>
              <w:t>End use not stipulated</w:t>
            </w:r>
          </w:p>
        </w:tc>
        <w:tc>
          <w:tcPr>
            <w:tcW w:w="1545" w:type="dxa"/>
            <w:noWrap/>
            <w:hideMark/>
          </w:tcPr>
          <w:p>
            <w:pPr>
              <w:rPr>
                <w:noProof/>
                <w:sz w:val="22"/>
                <w:szCs w:val="22"/>
              </w:rPr>
            </w:pPr>
            <w:r>
              <w:rPr>
                <w:noProof/>
                <w:sz w:val="22"/>
                <w:szCs w:val="22"/>
              </w:rPr>
              <w:t>DE</w:t>
            </w:r>
          </w:p>
        </w:tc>
      </w:tr>
      <w:tr>
        <w:trPr>
          <w:trHeight w:val="468"/>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Andorra (2)</w:t>
            </w:r>
          </w:p>
        </w:tc>
        <w:tc>
          <w:tcPr>
            <w:tcW w:w="2880" w:type="dxa"/>
            <w:hideMark/>
          </w:tcPr>
          <w:p>
            <w:pPr>
              <w:rPr>
                <w:noProof/>
                <w:sz w:val="22"/>
                <w:szCs w:val="22"/>
              </w:rPr>
            </w:pPr>
            <w:r>
              <w:rPr>
                <w:noProof/>
                <w:sz w:val="22"/>
                <w:szCs w:val="22"/>
              </w:rPr>
              <w:t>Law enforcement</w:t>
            </w:r>
          </w:p>
        </w:tc>
        <w:tc>
          <w:tcPr>
            <w:tcW w:w="1545" w:type="dxa"/>
            <w:noWrap/>
            <w:hideMark/>
          </w:tcPr>
          <w:p>
            <w:pPr>
              <w:rPr>
                <w:noProof/>
                <w:sz w:val="22"/>
                <w:szCs w:val="22"/>
              </w:rPr>
            </w:pPr>
            <w:r>
              <w:rPr>
                <w:noProof/>
                <w:sz w:val="22"/>
                <w:szCs w:val="22"/>
              </w:rPr>
              <w:t>ES</w:t>
            </w:r>
          </w:p>
        </w:tc>
      </w:tr>
      <w:tr>
        <w:trPr>
          <w:trHeight w:val="612"/>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Senegal (1), Andorra (2), Niger (1)</w:t>
            </w:r>
          </w:p>
        </w:tc>
        <w:tc>
          <w:tcPr>
            <w:tcW w:w="2880" w:type="dxa"/>
            <w:hideMark/>
          </w:tcPr>
          <w:p>
            <w:pPr>
              <w:rPr>
                <w:noProof/>
                <w:sz w:val="22"/>
                <w:szCs w:val="22"/>
              </w:rPr>
            </w:pPr>
            <w:r>
              <w:rPr>
                <w:noProof/>
                <w:sz w:val="22"/>
                <w:szCs w:val="22"/>
              </w:rPr>
              <w:t>Private security firm, law enforcement (customs) (Niger)</w:t>
            </w:r>
          </w:p>
          <w:p>
            <w:pPr>
              <w:rPr>
                <w:noProof/>
                <w:sz w:val="22"/>
                <w:szCs w:val="22"/>
              </w:rPr>
            </w:pPr>
          </w:p>
        </w:tc>
        <w:tc>
          <w:tcPr>
            <w:tcW w:w="1545" w:type="dxa"/>
            <w:noWrap/>
            <w:hideMark/>
          </w:tcPr>
          <w:p>
            <w:pPr>
              <w:rPr>
                <w:noProof/>
                <w:sz w:val="22"/>
                <w:szCs w:val="22"/>
              </w:rPr>
            </w:pPr>
            <w:r>
              <w:rPr>
                <w:noProof/>
                <w:sz w:val="22"/>
                <w:szCs w:val="22"/>
              </w:rPr>
              <w:t>FR</w:t>
            </w:r>
          </w:p>
        </w:tc>
      </w:tr>
      <w:tr>
        <w:trPr>
          <w:trHeight w:val="396"/>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United Arab Emirates (2)</w:t>
            </w:r>
          </w:p>
        </w:tc>
        <w:tc>
          <w:tcPr>
            <w:tcW w:w="2880" w:type="dxa"/>
            <w:noWrap/>
            <w:hideMark/>
          </w:tcPr>
          <w:p>
            <w:pPr>
              <w:rPr>
                <w:noProof/>
                <w:sz w:val="22"/>
                <w:szCs w:val="22"/>
              </w:rPr>
            </w:pPr>
            <w:r>
              <w:rPr>
                <w:noProof/>
                <w:sz w:val="22"/>
                <w:szCs w:val="22"/>
              </w:rPr>
              <w:t>Private security firm</w:t>
            </w:r>
          </w:p>
        </w:tc>
        <w:tc>
          <w:tcPr>
            <w:tcW w:w="1545" w:type="dxa"/>
            <w:noWrap/>
            <w:hideMark/>
          </w:tcPr>
          <w:p>
            <w:pPr>
              <w:rPr>
                <w:noProof/>
                <w:sz w:val="22"/>
                <w:szCs w:val="22"/>
              </w:rPr>
            </w:pPr>
            <w:r>
              <w:rPr>
                <w:noProof/>
                <w:sz w:val="22"/>
                <w:szCs w:val="22"/>
              </w:rPr>
              <w:t>PL</w:t>
            </w:r>
          </w:p>
        </w:tc>
      </w:tr>
      <w:tr>
        <w:trPr>
          <w:trHeight w:val="68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Andorra, Australia, Switzerland, South Africa, United States (total 6)</w:t>
            </w:r>
          </w:p>
          <w:p>
            <w:pPr>
              <w:rPr>
                <w:noProof/>
                <w:sz w:val="22"/>
                <w:szCs w:val="22"/>
              </w:rPr>
            </w:pPr>
          </w:p>
        </w:tc>
        <w:tc>
          <w:tcPr>
            <w:tcW w:w="2880" w:type="dxa"/>
            <w:noWrap/>
            <w:hideMark/>
          </w:tcPr>
          <w:p>
            <w:pPr>
              <w:rPr>
                <w:noProof/>
                <w:sz w:val="22"/>
                <w:szCs w:val="22"/>
              </w:rPr>
            </w:pPr>
            <w:r>
              <w:rPr>
                <w:noProof/>
                <w:sz w:val="22"/>
                <w:szCs w:val="22"/>
              </w:rPr>
              <w:t>Other</w:t>
            </w:r>
          </w:p>
        </w:tc>
        <w:tc>
          <w:tcPr>
            <w:tcW w:w="1545" w:type="dxa"/>
            <w:noWrap/>
            <w:hideMark/>
          </w:tcPr>
          <w:p>
            <w:pPr>
              <w:rPr>
                <w:noProof/>
                <w:sz w:val="22"/>
                <w:szCs w:val="22"/>
              </w:rPr>
            </w:pPr>
            <w:r>
              <w:rPr>
                <w:noProof/>
                <w:sz w:val="22"/>
                <w:szCs w:val="22"/>
              </w:rPr>
              <w:t>SE</w:t>
            </w:r>
          </w:p>
        </w:tc>
      </w:tr>
      <w:tr>
        <w:trPr>
          <w:trHeight w:val="444"/>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Australia (1)</w:t>
            </w:r>
          </w:p>
        </w:tc>
        <w:tc>
          <w:tcPr>
            <w:tcW w:w="2880" w:type="dxa"/>
            <w:noWrap/>
            <w:hideMark/>
          </w:tcPr>
          <w:p>
            <w:pPr>
              <w:rPr>
                <w:noProof/>
                <w:sz w:val="22"/>
                <w:szCs w:val="22"/>
              </w:rPr>
            </w:pPr>
            <w:r>
              <w:rPr>
                <w:noProof/>
                <w:sz w:val="22"/>
                <w:szCs w:val="22"/>
              </w:rPr>
              <w:t>Law enforcement</w:t>
            </w:r>
          </w:p>
        </w:tc>
        <w:tc>
          <w:tcPr>
            <w:tcW w:w="1545" w:type="dxa"/>
            <w:noWrap/>
            <w:hideMark/>
          </w:tcPr>
          <w:p>
            <w:pPr>
              <w:rPr>
                <w:noProof/>
                <w:sz w:val="22"/>
                <w:szCs w:val="22"/>
              </w:rPr>
            </w:pPr>
            <w:r>
              <w:rPr>
                <w:noProof/>
                <w:sz w:val="22"/>
                <w:szCs w:val="22"/>
              </w:rPr>
              <w:t>UK</w:t>
            </w:r>
          </w:p>
        </w:tc>
      </w:tr>
      <w:tr>
        <w:trPr>
          <w:trHeight w:val="348"/>
        </w:trPr>
        <w:tc>
          <w:tcPr>
            <w:tcW w:w="960" w:type="dxa"/>
            <w:vMerge w:val="restart"/>
            <w:noWrap/>
            <w:hideMark/>
          </w:tcPr>
          <w:p>
            <w:pPr>
              <w:rPr>
                <w:noProof/>
                <w:sz w:val="22"/>
                <w:szCs w:val="22"/>
              </w:rPr>
            </w:pPr>
            <w:r>
              <w:rPr>
                <w:noProof/>
                <w:sz w:val="22"/>
                <w:szCs w:val="22"/>
              </w:rPr>
              <w:t>3.2</w:t>
            </w:r>
          </w:p>
        </w:tc>
        <w:tc>
          <w:tcPr>
            <w:tcW w:w="5540" w:type="dxa"/>
            <w:vMerge w:val="restart"/>
            <w:noWrap/>
            <w:hideMark/>
          </w:tcPr>
          <w:p>
            <w:pPr>
              <w:rPr>
                <w:noProof/>
                <w:sz w:val="22"/>
                <w:szCs w:val="22"/>
              </w:rPr>
            </w:pPr>
            <w:r>
              <w:rPr>
                <w:noProof/>
                <w:sz w:val="22"/>
                <w:szCs w:val="22"/>
              </w:rPr>
              <w:t>Pelargonic acid vanillylamide (PAVA)</w:t>
            </w:r>
          </w:p>
        </w:tc>
        <w:tc>
          <w:tcPr>
            <w:tcW w:w="3060" w:type="dxa"/>
            <w:hideMark/>
          </w:tcPr>
          <w:p>
            <w:pPr>
              <w:rPr>
                <w:noProof/>
                <w:sz w:val="22"/>
                <w:szCs w:val="22"/>
              </w:rPr>
            </w:pPr>
            <w:r>
              <w:rPr>
                <w:noProof/>
                <w:sz w:val="22"/>
                <w:szCs w:val="22"/>
              </w:rPr>
              <w:t>Brazil (4), India (13), Japan (1), South Korea (3), Singapore (1), Sri Lanka (1), South Africa (1), Thailand (1), Turkey (2), China (3)</w:t>
            </w:r>
          </w:p>
          <w:p>
            <w:pPr>
              <w:rPr>
                <w:noProof/>
                <w:sz w:val="22"/>
                <w:szCs w:val="22"/>
              </w:rPr>
            </w:pPr>
            <w:r>
              <w:rPr>
                <w:noProof/>
                <w:sz w:val="22"/>
                <w:szCs w:val="22"/>
              </w:rPr>
              <w:t>(30)</w:t>
            </w:r>
          </w:p>
          <w:p>
            <w:pPr>
              <w:rPr>
                <w:noProof/>
                <w:sz w:val="22"/>
                <w:szCs w:val="22"/>
              </w:rPr>
            </w:pPr>
          </w:p>
        </w:tc>
        <w:tc>
          <w:tcPr>
            <w:tcW w:w="2880" w:type="dxa"/>
            <w:noWrap/>
            <w:hideMark/>
          </w:tcPr>
          <w:p>
            <w:pPr>
              <w:rPr>
                <w:noProof/>
                <w:sz w:val="22"/>
                <w:szCs w:val="22"/>
              </w:rPr>
            </w:pPr>
            <w:r>
              <w:rPr>
                <w:noProof/>
                <w:sz w:val="22"/>
                <w:szCs w:val="22"/>
              </w:rPr>
              <w:t>End use not stipulated</w:t>
            </w:r>
          </w:p>
        </w:tc>
        <w:tc>
          <w:tcPr>
            <w:tcW w:w="1545" w:type="dxa"/>
            <w:noWrap/>
            <w:hideMark/>
          </w:tcPr>
          <w:p>
            <w:pPr>
              <w:rPr>
                <w:noProof/>
                <w:sz w:val="22"/>
                <w:szCs w:val="22"/>
              </w:rPr>
            </w:pPr>
            <w:r>
              <w:rPr>
                <w:noProof/>
                <w:sz w:val="22"/>
                <w:szCs w:val="22"/>
              </w:rPr>
              <w:t>DE</w:t>
            </w:r>
          </w:p>
        </w:tc>
      </w:tr>
      <w:tr>
        <w:trPr>
          <w:trHeight w:val="86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Costa Rica (1), Gibraltar (1), United States (1)</w:t>
            </w:r>
          </w:p>
        </w:tc>
        <w:tc>
          <w:tcPr>
            <w:tcW w:w="2880" w:type="dxa"/>
            <w:hideMark/>
          </w:tcPr>
          <w:p>
            <w:pPr>
              <w:rPr>
                <w:noProof/>
                <w:sz w:val="22"/>
                <w:szCs w:val="22"/>
              </w:rPr>
            </w:pPr>
            <w:r>
              <w:rPr>
                <w:noProof/>
                <w:sz w:val="22"/>
                <w:szCs w:val="22"/>
              </w:rPr>
              <w:t>Clinical and laboratory use (Costa Rica and US), law enforcement (Gibraltar)</w:t>
            </w:r>
          </w:p>
          <w:p>
            <w:pPr>
              <w:rPr>
                <w:noProof/>
                <w:sz w:val="22"/>
                <w:szCs w:val="22"/>
              </w:rPr>
            </w:pPr>
          </w:p>
        </w:tc>
        <w:tc>
          <w:tcPr>
            <w:tcW w:w="1545" w:type="dxa"/>
            <w:noWrap/>
            <w:hideMark/>
          </w:tcPr>
          <w:p>
            <w:pPr>
              <w:rPr>
                <w:noProof/>
                <w:sz w:val="22"/>
                <w:szCs w:val="22"/>
              </w:rPr>
            </w:pPr>
            <w:r>
              <w:rPr>
                <w:noProof/>
                <w:sz w:val="22"/>
                <w:szCs w:val="22"/>
              </w:rPr>
              <w:t>UK</w:t>
            </w:r>
          </w:p>
        </w:tc>
      </w:tr>
      <w:tr>
        <w:trPr>
          <w:trHeight w:val="468"/>
        </w:trPr>
        <w:tc>
          <w:tcPr>
            <w:tcW w:w="960" w:type="dxa"/>
            <w:vMerge w:val="restart"/>
            <w:noWrap/>
            <w:hideMark/>
          </w:tcPr>
          <w:p>
            <w:pPr>
              <w:rPr>
                <w:noProof/>
                <w:sz w:val="22"/>
                <w:szCs w:val="22"/>
              </w:rPr>
            </w:pPr>
            <w:r>
              <w:rPr>
                <w:noProof/>
                <w:sz w:val="22"/>
                <w:szCs w:val="22"/>
              </w:rPr>
              <w:t>3.3</w:t>
            </w:r>
          </w:p>
        </w:tc>
        <w:tc>
          <w:tcPr>
            <w:tcW w:w="5540" w:type="dxa"/>
            <w:vMerge w:val="restart"/>
            <w:noWrap/>
            <w:hideMark/>
          </w:tcPr>
          <w:p>
            <w:pPr>
              <w:rPr>
                <w:noProof/>
                <w:sz w:val="22"/>
                <w:szCs w:val="22"/>
              </w:rPr>
            </w:pPr>
            <w:r>
              <w:rPr>
                <w:noProof/>
                <w:sz w:val="22"/>
                <w:szCs w:val="22"/>
              </w:rPr>
              <w:t>Oleoresin capsicum (OC)</w:t>
            </w:r>
          </w:p>
        </w:tc>
        <w:tc>
          <w:tcPr>
            <w:tcW w:w="3060" w:type="dxa"/>
            <w:hideMark/>
          </w:tcPr>
          <w:p>
            <w:pPr>
              <w:rPr>
                <w:noProof/>
                <w:sz w:val="22"/>
                <w:szCs w:val="22"/>
              </w:rPr>
            </w:pPr>
            <w:r>
              <w:rPr>
                <w:noProof/>
                <w:sz w:val="22"/>
                <w:szCs w:val="22"/>
              </w:rPr>
              <w:t>Egypt (1), Argentine (2), Australia (1), Japan (1), Kenya (1), Russia (2), Switzerland (5), South Africa (1), Tunisia (1), Ukraine (4), China (1)</w:t>
            </w:r>
          </w:p>
          <w:p>
            <w:pPr>
              <w:rPr>
                <w:noProof/>
                <w:sz w:val="22"/>
                <w:szCs w:val="22"/>
              </w:rPr>
            </w:pPr>
          </w:p>
        </w:tc>
        <w:tc>
          <w:tcPr>
            <w:tcW w:w="2880" w:type="dxa"/>
            <w:noWrap/>
            <w:hideMark/>
          </w:tcPr>
          <w:p>
            <w:pPr>
              <w:rPr>
                <w:noProof/>
                <w:sz w:val="22"/>
                <w:szCs w:val="22"/>
              </w:rPr>
            </w:pPr>
            <w:r>
              <w:rPr>
                <w:noProof/>
                <w:sz w:val="22"/>
                <w:szCs w:val="22"/>
              </w:rPr>
              <w:t>End-use not stipulated</w:t>
            </w:r>
          </w:p>
        </w:tc>
        <w:tc>
          <w:tcPr>
            <w:tcW w:w="1545" w:type="dxa"/>
            <w:noWrap/>
            <w:hideMark/>
          </w:tcPr>
          <w:p>
            <w:pPr>
              <w:rPr>
                <w:noProof/>
                <w:sz w:val="22"/>
                <w:szCs w:val="22"/>
              </w:rPr>
            </w:pPr>
            <w:r>
              <w:rPr>
                <w:noProof/>
                <w:sz w:val="22"/>
                <w:szCs w:val="22"/>
              </w:rPr>
              <w:t>DE</w:t>
            </w:r>
          </w:p>
        </w:tc>
      </w:tr>
      <w:tr>
        <w:trPr>
          <w:trHeight w:val="1152"/>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Aruba (1), BES Islands (3), Curaçao (2), Sint Marteen (1) and global licence to referred destinations</w:t>
            </w:r>
          </w:p>
        </w:tc>
        <w:tc>
          <w:tcPr>
            <w:tcW w:w="2880" w:type="dxa"/>
            <w:hideMark/>
          </w:tcPr>
          <w:p>
            <w:pPr>
              <w:rPr>
                <w:noProof/>
                <w:sz w:val="22"/>
                <w:szCs w:val="22"/>
              </w:rPr>
            </w:pPr>
            <w:r>
              <w:rPr>
                <w:noProof/>
                <w:sz w:val="22"/>
                <w:szCs w:val="22"/>
              </w:rPr>
              <w:t>Law enforcement</w:t>
            </w:r>
          </w:p>
        </w:tc>
        <w:tc>
          <w:tcPr>
            <w:tcW w:w="1545" w:type="dxa"/>
            <w:noWrap/>
            <w:hideMark/>
          </w:tcPr>
          <w:p>
            <w:pPr>
              <w:rPr>
                <w:noProof/>
                <w:sz w:val="22"/>
                <w:szCs w:val="22"/>
              </w:rPr>
            </w:pPr>
            <w:r>
              <w:rPr>
                <w:noProof/>
                <w:sz w:val="22"/>
                <w:szCs w:val="22"/>
              </w:rPr>
              <w:t>NL</w:t>
            </w:r>
          </w:p>
        </w:tc>
      </w:tr>
      <w:tr>
        <w:trPr>
          <w:trHeight w:val="1411"/>
        </w:trPr>
        <w:tc>
          <w:tcPr>
            <w:tcW w:w="960" w:type="dxa"/>
            <w:vMerge w:val="restart"/>
            <w:noWrap/>
            <w:hideMark/>
          </w:tcPr>
          <w:p>
            <w:pPr>
              <w:rPr>
                <w:noProof/>
                <w:sz w:val="22"/>
                <w:szCs w:val="22"/>
              </w:rPr>
            </w:pPr>
            <w:r>
              <w:rPr>
                <w:noProof/>
                <w:sz w:val="22"/>
                <w:szCs w:val="22"/>
              </w:rPr>
              <w:t>3.4</w:t>
            </w:r>
          </w:p>
        </w:tc>
        <w:tc>
          <w:tcPr>
            <w:tcW w:w="5540" w:type="dxa"/>
            <w:vMerge w:val="restart"/>
            <w:hideMark/>
          </w:tcPr>
          <w:p>
            <w:pPr>
              <w:rPr>
                <w:noProof/>
                <w:sz w:val="22"/>
                <w:szCs w:val="22"/>
              </w:rPr>
            </w:pPr>
            <w:r>
              <w:rPr>
                <w:noProof/>
                <w:sz w:val="22"/>
                <w:szCs w:val="22"/>
              </w:rPr>
              <w:t>3.4 Mixtures containing at least 0.3 % of PAVA by weight or OC and a solvent (pepper spray)</w:t>
            </w:r>
          </w:p>
        </w:tc>
        <w:tc>
          <w:tcPr>
            <w:tcW w:w="3060" w:type="dxa"/>
            <w:hideMark/>
          </w:tcPr>
          <w:p>
            <w:pPr>
              <w:rPr>
                <w:noProof/>
                <w:sz w:val="22"/>
                <w:szCs w:val="22"/>
              </w:rPr>
            </w:pPr>
            <w:r>
              <w:rPr>
                <w:noProof/>
                <w:sz w:val="22"/>
                <w:szCs w:val="22"/>
              </w:rPr>
              <w:t>Brazil (1), Japan (1), Russia (1), Switzerland (4), Ukraine (5), United States (1), China (1).</w:t>
            </w:r>
          </w:p>
        </w:tc>
        <w:tc>
          <w:tcPr>
            <w:tcW w:w="2880" w:type="dxa"/>
            <w:noWrap/>
            <w:hideMark/>
          </w:tcPr>
          <w:p>
            <w:pPr>
              <w:rPr>
                <w:noProof/>
                <w:sz w:val="22"/>
                <w:szCs w:val="22"/>
              </w:rPr>
            </w:pPr>
            <w:r>
              <w:rPr>
                <w:noProof/>
                <w:sz w:val="22"/>
                <w:szCs w:val="22"/>
              </w:rPr>
              <w:t>End-use not stipulated</w:t>
            </w:r>
          </w:p>
        </w:tc>
        <w:tc>
          <w:tcPr>
            <w:tcW w:w="1545" w:type="dxa"/>
            <w:noWrap/>
            <w:hideMark/>
          </w:tcPr>
          <w:p>
            <w:pPr>
              <w:rPr>
                <w:noProof/>
                <w:sz w:val="22"/>
                <w:szCs w:val="22"/>
              </w:rPr>
            </w:pPr>
            <w:r>
              <w:rPr>
                <w:noProof/>
                <w:sz w:val="22"/>
                <w:szCs w:val="22"/>
              </w:rPr>
              <w:t>DE</w:t>
            </w:r>
          </w:p>
        </w:tc>
      </w:tr>
      <w:tr>
        <w:trPr>
          <w:trHeight w:val="432"/>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Saint Helena (1)</w:t>
            </w:r>
          </w:p>
        </w:tc>
        <w:tc>
          <w:tcPr>
            <w:tcW w:w="2880" w:type="dxa"/>
            <w:noWrap/>
            <w:hideMark/>
          </w:tcPr>
          <w:p>
            <w:pPr>
              <w:rPr>
                <w:noProof/>
                <w:sz w:val="22"/>
                <w:szCs w:val="22"/>
              </w:rPr>
            </w:pPr>
            <w:r>
              <w:rPr>
                <w:noProof/>
                <w:sz w:val="22"/>
                <w:szCs w:val="22"/>
              </w:rPr>
              <w:t>Law enforcement</w:t>
            </w:r>
          </w:p>
        </w:tc>
        <w:tc>
          <w:tcPr>
            <w:tcW w:w="1545" w:type="dxa"/>
            <w:noWrap/>
            <w:hideMark/>
          </w:tcPr>
          <w:p>
            <w:pPr>
              <w:rPr>
                <w:noProof/>
                <w:sz w:val="22"/>
                <w:szCs w:val="22"/>
              </w:rPr>
            </w:pPr>
            <w:r>
              <w:rPr>
                <w:noProof/>
                <w:sz w:val="22"/>
                <w:szCs w:val="22"/>
              </w:rPr>
              <w:t>UK</w:t>
            </w:r>
          </w:p>
        </w:tc>
      </w:tr>
      <w:tr>
        <w:trPr>
          <w:trHeight w:val="720"/>
        </w:trPr>
        <w:tc>
          <w:tcPr>
            <w:tcW w:w="960" w:type="dxa"/>
            <w:noWrap/>
            <w:hideMark/>
          </w:tcPr>
          <w:p>
            <w:pPr>
              <w:rPr>
                <w:noProof/>
                <w:sz w:val="22"/>
                <w:szCs w:val="22"/>
              </w:rPr>
            </w:pPr>
            <w:r>
              <w:rPr>
                <w:noProof/>
                <w:sz w:val="22"/>
                <w:szCs w:val="22"/>
              </w:rPr>
              <w:t>3.6</w:t>
            </w:r>
          </w:p>
        </w:tc>
        <w:tc>
          <w:tcPr>
            <w:tcW w:w="5540" w:type="dxa"/>
            <w:hideMark/>
          </w:tcPr>
          <w:p>
            <w:pPr>
              <w:rPr>
                <w:noProof/>
                <w:sz w:val="22"/>
                <w:szCs w:val="22"/>
              </w:rPr>
            </w:pPr>
            <w:r>
              <w:rPr>
                <w:noProof/>
                <w:sz w:val="22"/>
                <w:szCs w:val="22"/>
              </w:rPr>
              <w:t>Fixed or mountable equipment for the dissemination of incapacitating or irritating agents covering a wide area</w:t>
            </w:r>
          </w:p>
        </w:tc>
        <w:tc>
          <w:tcPr>
            <w:tcW w:w="3060" w:type="dxa"/>
            <w:hideMark/>
          </w:tcPr>
          <w:p>
            <w:pPr>
              <w:rPr>
                <w:noProof/>
                <w:sz w:val="22"/>
                <w:szCs w:val="22"/>
              </w:rPr>
            </w:pPr>
            <w:r>
              <w:rPr>
                <w:noProof/>
                <w:sz w:val="22"/>
                <w:szCs w:val="22"/>
              </w:rPr>
              <w:t>Switzerland (2), United Arab Emirates (1).</w:t>
            </w:r>
          </w:p>
          <w:p>
            <w:pPr>
              <w:rPr>
                <w:noProof/>
                <w:sz w:val="22"/>
                <w:szCs w:val="22"/>
              </w:rPr>
            </w:pPr>
          </w:p>
          <w:p>
            <w:pPr>
              <w:rPr>
                <w:noProof/>
                <w:sz w:val="22"/>
                <w:szCs w:val="22"/>
              </w:rPr>
            </w:pPr>
          </w:p>
        </w:tc>
        <w:tc>
          <w:tcPr>
            <w:tcW w:w="2880" w:type="dxa"/>
            <w:noWrap/>
            <w:hideMark/>
          </w:tcPr>
          <w:p>
            <w:pPr>
              <w:rPr>
                <w:noProof/>
                <w:sz w:val="22"/>
                <w:szCs w:val="22"/>
              </w:rPr>
            </w:pPr>
            <w:r>
              <w:rPr>
                <w:noProof/>
                <w:sz w:val="22"/>
                <w:szCs w:val="22"/>
              </w:rPr>
              <w:t>End use not stipulated</w:t>
            </w:r>
          </w:p>
        </w:tc>
        <w:tc>
          <w:tcPr>
            <w:tcW w:w="1545" w:type="dxa"/>
            <w:noWrap/>
            <w:hideMark/>
          </w:tcPr>
          <w:p>
            <w:pPr>
              <w:rPr>
                <w:noProof/>
                <w:sz w:val="22"/>
                <w:szCs w:val="22"/>
              </w:rPr>
            </w:pPr>
            <w:r>
              <w:rPr>
                <w:noProof/>
                <w:sz w:val="22"/>
                <w:szCs w:val="22"/>
              </w:rPr>
              <w:t>DE</w:t>
            </w:r>
          </w:p>
        </w:tc>
      </w:tr>
    </w:tbl>
    <w:p>
      <w:pPr>
        <w:rPr>
          <w:noProof/>
          <w:sz w:val="22"/>
          <w:szCs w:val="22"/>
        </w:rPr>
      </w:pPr>
    </w:p>
    <w:p>
      <w:pPr>
        <w:rPr>
          <w:b/>
          <w:bCs/>
          <w:i/>
          <w:iCs/>
          <w:noProof/>
          <w:sz w:val="22"/>
          <w:szCs w:val="22"/>
        </w:rPr>
      </w:pPr>
      <w:r>
        <w:rPr>
          <w:b/>
          <w:bCs/>
          <w:i/>
          <w:iCs/>
          <w:noProof/>
          <w:sz w:val="22"/>
          <w:szCs w:val="22"/>
        </w:rPr>
        <w:t>Annex 5:</w:t>
      </w:r>
    </w:p>
    <w:p>
      <w:pPr>
        <w:rPr>
          <w:b/>
          <w:i/>
          <w:noProof/>
          <w:sz w:val="22"/>
          <w:szCs w:val="22"/>
        </w:rPr>
      </w:pPr>
      <w:r>
        <w:rPr>
          <w:b/>
          <w:i/>
          <w:noProof/>
          <w:sz w:val="22"/>
          <w:szCs w:val="22"/>
        </w:rPr>
        <w:t xml:space="preserve">Detailed overview of reported authorised exports of Annex IV goods in 2019 </w:t>
      </w:r>
    </w:p>
    <w:p>
      <w:pPr>
        <w:rPr>
          <w:noProof/>
          <w:sz w:val="22"/>
          <w:szCs w:val="22"/>
          <w:highlight w:val="yellow"/>
        </w:rPr>
      </w:pPr>
    </w:p>
    <w:tbl>
      <w:tblPr>
        <w:tblStyle w:val="TableGrid"/>
        <w:tblW w:w="13925" w:type="dxa"/>
        <w:tblLook w:val="04A0" w:firstRow="1" w:lastRow="0" w:firstColumn="1" w:lastColumn="0" w:noHBand="0" w:noVBand="1"/>
      </w:tblPr>
      <w:tblGrid>
        <w:gridCol w:w="960"/>
        <w:gridCol w:w="5540"/>
        <w:gridCol w:w="3060"/>
        <w:gridCol w:w="2880"/>
        <w:gridCol w:w="1485"/>
      </w:tblGrid>
      <w:tr>
        <w:trPr>
          <w:trHeight w:val="576"/>
        </w:trPr>
        <w:tc>
          <w:tcPr>
            <w:tcW w:w="960" w:type="dxa"/>
            <w:shd w:val="clear" w:color="auto" w:fill="F2F2F2" w:themeFill="background1" w:themeFillShade="F2"/>
            <w:noWrap/>
            <w:hideMark/>
          </w:tcPr>
          <w:p>
            <w:pPr>
              <w:rPr>
                <w:b/>
                <w:bCs/>
                <w:noProof/>
                <w:sz w:val="22"/>
                <w:szCs w:val="22"/>
              </w:rPr>
            </w:pPr>
            <w:r>
              <w:rPr>
                <w:b/>
                <w:bCs/>
                <w:noProof/>
                <w:sz w:val="22"/>
                <w:szCs w:val="22"/>
              </w:rPr>
              <w:t xml:space="preserve">Code </w:t>
            </w:r>
          </w:p>
        </w:tc>
        <w:tc>
          <w:tcPr>
            <w:tcW w:w="5540" w:type="dxa"/>
            <w:shd w:val="clear" w:color="auto" w:fill="F2F2F2" w:themeFill="background1" w:themeFillShade="F2"/>
            <w:noWrap/>
            <w:hideMark/>
          </w:tcPr>
          <w:p>
            <w:pPr>
              <w:rPr>
                <w:b/>
                <w:bCs/>
                <w:noProof/>
                <w:sz w:val="22"/>
                <w:szCs w:val="22"/>
              </w:rPr>
            </w:pPr>
            <w:r>
              <w:rPr>
                <w:b/>
                <w:bCs/>
                <w:noProof/>
                <w:sz w:val="22"/>
                <w:szCs w:val="22"/>
              </w:rPr>
              <w:t>Product Annex IV</w:t>
            </w:r>
          </w:p>
        </w:tc>
        <w:tc>
          <w:tcPr>
            <w:tcW w:w="3060" w:type="dxa"/>
            <w:shd w:val="clear" w:color="auto" w:fill="F2F2F2" w:themeFill="background1" w:themeFillShade="F2"/>
            <w:noWrap/>
            <w:hideMark/>
          </w:tcPr>
          <w:p>
            <w:pPr>
              <w:rPr>
                <w:b/>
                <w:bCs/>
                <w:noProof/>
                <w:sz w:val="22"/>
                <w:szCs w:val="22"/>
              </w:rPr>
            </w:pPr>
            <w:r>
              <w:rPr>
                <w:b/>
                <w:bCs/>
                <w:noProof/>
                <w:sz w:val="22"/>
                <w:szCs w:val="22"/>
              </w:rPr>
              <w:t>Destination</w:t>
            </w:r>
          </w:p>
        </w:tc>
        <w:tc>
          <w:tcPr>
            <w:tcW w:w="2880" w:type="dxa"/>
            <w:shd w:val="clear" w:color="auto" w:fill="F2F2F2" w:themeFill="background1" w:themeFillShade="F2"/>
            <w:noWrap/>
            <w:hideMark/>
          </w:tcPr>
          <w:p>
            <w:pPr>
              <w:rPr>
                <w:b/>
                <w:bCs/>
                <w:noProof/>
                <w:sz w:val="22"/>
                <w:szCs w:val="22"/>
              </w:rPr>
            </w:pPr>
            <w:r>
              <w:rPr>
                <w:b/>
                <w:bCs/>
                <w:noProof/>
                <w:sz w:val="22"/>
                <w:szCs w:val="22"/>
              </w:rPr>
              <w:t xml:space="preserve">End use </w:t>
            </w:r>
          </w:p>
        </w:tc>
        <w:tc>
          <w:tcPr>
            <w:tcW w:w="1485" w:type="dxa"/>
            <w:shd w:val="clear" w:color="auto" w:fill="F2F2F2" w:themeFill="background1" w:themeFillShade="F2"/>
            <w:hideMark/>
          </w:tcPr>
          <w:p>
            <w:pPr>
              <w:rPr>
                <w:b/>
                <w:bCs/>
                <w:noProof/>
                <w:sz w:val="22"/>
                <w:szCs w:val="22"/>
              </w:rPr>
            </w:pPr>
            <w:r>
              <w:rPr>
                <w:b/>
                <w:bCs/>
                <w:noProof/>
                <w:sz w:val="22"/>
                <w:szCs w:val="22"/>
              </w:rPr>
              <w:t xml:space="preserve">Competent authority </w:t>
            </w:r>
          </w:p>
        </w:tc>
      </w:tr>
      <w:tr>
        <w:trPr>
          <w:trHeight w:val="540"/>
        </w:trPr>
        <w:tc>
          <w:tcPr>
            <w:tcW w:w="960" w:type="dxa"/>
            <w:noWrap/>
            <w:hideMark/>
          </w:tcPr>
          <w:p>
            <w:pPr>
              <w:rPr>
                <w:noProof/>
                <w:sz w:val="22"/>
                <w:szCs w:val="22"/>
              </w:rPr>
            </w:pPr>
            <w:r>
              <w:rPr>
                <w:noProof/>
                <w:sz w:val="22"/>
                <w:szCs w:val="22"/>
              </w:rPr>
              <w:t>1.1 (a)</w:t>
            </w:r>
          </w:p>
        </w:tc>
        <w:tc>
          <w:tcPr>
            <w:tcW w:w="5540" w:type="dxa"/>
            <w:noWrap/>
            <w:hideMark/>
          </w:tcPr>
          <w:p>
            <w:pPr>
              <w:rPr>
                <w:noProof/>
                <w:sz w:val="22"/>
                <w:szCs w:val="22"/>
              </w:rPr>
            </w:pPr>
            <w:r>
              <w:rPr>
                <w:noProof/>
                <w:sz w:val="22"/>
                <w:szCs w:val="22"/>
              </w:rPr>
              <w:t>Amobarbital</w:t>
            </w:r>
          </w:p>
        </w:tc>
        <w:tc>
          <w:tcPr>
            <w:tcW w:w="3060" w:type="dxa"/>
            <w:noWrap/>
            <w:hideMark/>
          </w:tcPr>
          <w:p>
            <w:pPr>
              <w:rPr>
                <w:noProof/>
                <w:sz w:val="22"/>
                <w:szCs w:val="22"/>
              </w:rPr>
            </w:pPr>
            <w:r>
              <w:rPr>
                <w:noProof/>
                <w:sz w:val="22"/>
                <w:szCs w:val="22"/>
              </w:rPr>
              <w:t>Norway (1)</w:t>
            </w:r>
          </w:p>
          <w:p>
            <w:pPr>
              <w:rPr>
                <w:noProof/>
                <w:sz w:val="20"/>
                <w:szCs w:val="20"/>
              </w:rPr>
            </w:pPr>
            <w:r>
              <w:rPr>
                <w:noProof/>
                <w:sz w:val="20"/>
                <w:szCs w:val="20"/>
              </w:rPr>
              <w:t>(Same authorisation is used for all listed goods exported from the UK destined for Norway).</w:t>
            </w:r>
          </w:p>
          <w:p>
            <w:pPr>
              <w:rPr>
                <w:noProof/>
                <w:sz w:val="22"/>
                <w:szCs w:val="22"/>
              </w:rPr>
            </w:pPr>
          </w:p>
        </w:tc>
        <w:tc>
          <w:tcPr>
            <w:tcW w:w="2880" w:type="dxa"/>
            <w:noWrap/>
            <w:hideMark/>
          </w:tcPr>
          <w:p>
            <w:pPr>
              <w:rPr>
                <w:noProof/>
                <w:sz w:val="22"/>
                <w:szCs w:val="22"/>
              </w:rPr>
            </w:pPr>
            <w:r>
              <w:rPr>
                <w:noProof/>
                <w:sz w:val="22"/>
                <w:szCs w:val="22"/>
              </w:rPr>
              <w:t>Clinical and laboratory use</w:t>
            </w:r>
          </w:p>
        </w:tc>
        <w:tc>
          <w:tcPr>
            <w:tcW w:w="1485" w:type="dxa"/>
            <w:noWrap/>
            <w:hideMark/>
          </w:tcPr>
          <w:p>
            <w:pPr>
              <w:rPr>
                <w:noProof/>
                <w:sz w:val="22"/>
                <w:szCs w:val="22"/>
              </w:rPr>
            </w:pPr>
            <w:r>
              <w:rPr>
                <w:noProof/>
                <w:sz w:val="22"/>
                <w:szCs w:val="22"/>
              </w:rPr>
              <w:t>UK</w:t>
            </w:r>
          </w:p>
        </w:tc>
      </w:tr>
      <w:tr>
        <w:trPr>
          <w:trHeight w:val="600"/>
        </w:trPr>
        <w:tc>
          <w:tcPr>
            <w:tcW w:w="960" w:type="dxa"/>
            <w:noWrap/>
            <w:hideMark/>
          </w:tcPr>
          <w:p>
            <w:pPr>
              <w:rPr>
                <w:noProof/>
                <w:sz w:val="22"/>
                <w:szCs w:val="22"/>
              </w:rPr>
            </w:pPr>
            <w:r>
              <w:rPr>
                <w:noProof/>
                <w:sz w:val="22"/>
                <w:szCs w:val="22"/>
              </w:rPr>
              <w:t xml:space="preserve">1.1 ( c) </w:t>
            </w:r>
          </w:p>
        </w:tc>
        <w:tc>
          <w:tcPr>
            <w:tcW w:w="5540" w:type="dxa"/>
            <w:noWrap/>
            <w:hideMark/>
          </w:tcPr>
          <w:p>
            <w:pPr>
              <w:rPr>
                <w:noProof/>
                <w:sz w:val="22"/>
                <w:szCs w:val="22"/>
              </w:rPr>
            </w:pPr>
            <w:r>
              <w:rPr>
                <w:noProof/>
                <w:sz w:val="22"/>
                <w:szCs w:val="22"/>
              </w:rPr>
              <w:t>Pentobarbital</w:t>
            </w:r>
          </w:p>
        </w:tc>
        <w:tc>
          <w:tcPr>
            <w:tcW w:w="3060" w:type="dxa"/>
            <w:noWrap/>
            <w:hideMark/>
          </w:tcPr>
          <w:p>
            <w:pPr>
              <w:rPr>
                <w:noProof/>
                <w:sz w:val="22"/>
                <w:szCs w:val="22"/>
              </w:rPr>
            </w:pPr>
            <w:r>
              <w:rPr>
                <w:noProof/>
                <w:sz w:val="22"/>
                <w:szCs w:val="22"/>
              </w:rPr>
              <w:t xml:space="preserve">Norway </w:t>
            </w:r>
          </w:p>
        </w:tc>
        <w:tc>
          <w:tcPr>
            <w:tcW w:w="2880" w:type="dxa"/>
            <w:noWrap/>
            <w:hideMark/>
          </w:tcPr>
          <w:p>
            <w:pPr>
              <w:rPr>
                <w:noProof/>
                <w:sz w:val="22"/>
                <w:szCs w:val="22"/>
              </w:rPr>
            </w:pPr>
            <w:r>
              <w:rPr>
                <w:noProof/>
                <w:sz w:val="22"/>
                <w:szCs w:val="22"/>
              </w:rPr>
              <w:t>Clinical and laboratory use</w:t>
            </w:r>
          </w:p>
        </w:tc>
        <w:tc>
          <w:tcPr>
            <w:tcW w:w="1485" w:type="dxa"/>
            <w:noWrap/>
            <w:hideMark/>
          </w:tcPr>
          <w:p>
            <w:pPr>
              <w:rPr>
                <w:noProof/>
                <w:sz w:val="22"/>
                <w:szCs w:val="22"/>
              </w:rPr>
            </w:pPr>
            <w:r>
              <w:rPr>
                <w:noProof/>
                <w:sz w:val="22"/>
                <w:szCs w:val="22"/>
              </w:rPr>
              <w:t>UK</w:t>
            </w:r>
          </w:p>
        </w:tc>
      </w:tr>
      <w:tr>
        <w:trPr>
          <w:trHeight w:val="1008"/>
        </w:trPr>
        <w:tc>
          <w:tcPr>
            <w:tcW w:w="960" w:type="dxa"/>
            <w:vMerge w:val="restart"/>
            <w:hideMark/>
          </w:tcPr>
          <w:p>
            <w:pPr>
              <w:rPr>
                <w:noProof/>
                <w:sz w:val="22"/>
                <w:szCs w:val="22"/>
              </w:rPr>
            </w:pPr>
            <w:r>
              <w:rPr>
                <w:noProof/>
                <w:sz w:val="22"/>
                <w:szCs w:val="22"/>
              </w:rPr>
              <w:t>1.1 (d)</w:t>
            </w:r>
          </w:p>
        </w:tc>
        <w:tc>
          <w:tcPr>
            <w:tcW w:w="5540" w:type="dxa"/>
            <w:vMerge w:val="restart"/>
            <w:noWrap/>
            <w:hideMark/>
          </w:tcPr>
          <w:p>
            <w:pPr>
              <w:rPr>
                <w:noProof/>
                <w:sz w:val="22"/>
                <w:szCs w:val="22"/>
              </w:rPr>
            </w:pPr>
            <w:r>
              <w:rPr>
                <w:noProof/>
                <w:sz w:val="22"/>
                <w:szCs w:val="22"/>
              </w:rPr>
              <w:t xml:space="preserve">Pentobarbital sodium salt </w:t>
            </w:r>
          </w:p>
        </w:tc>
        <w:tc>
          <w:tcPr>
            <w:tcW w:w="3060" w:type="dxa"/>
            <w:hideMark/>
          </w:tcPr>
          <w:p>
            <w:pPr>
              <w:rPr>
                <w:noProof/>
                <w:sz w:val="22"/>
                <w:szCs w:val="22"/>
                <w:lang w:val="es-ES"/>
              </w:rPr>
            </w:pPr>
            <w:r>
              <w:rPr>
                <w:noProof/>
                <w:sz w:val="22"/>
                <w:szCs w:val="22"/>
                <w:lang w:val="es-ES"/>
              </w:rPr>
              <w:t>Aruba (1), Canada (2), Curaçao (2), Hong Kong (2), Malaysia (1), Switzerland (2)</w:t>
            </w:r>
          </w:p>
        </w:tc>
        <w:tc>
          <w:tcPr>
            <w:tcW w:w="2880" w:type="dxa"/>
            <w:hideMark/>
          </w:tcPr>
          <w:p>
            <w:pPr>
              <w:rPr>
                <w:noProof/>
                <w:sz w:val="22"/>
                <w:szCs w:val="22"/>
              </w:rPr>
            </w:pPr>
            <w:r>
              <w:rPr>
                <w:noProof/>
                <w:sz w:val="22"/>
                <w:szCs w:val="22"/>
              </w:rPr>
              <w:t>Veterinary use</w:t>
            </w:r>
          </w:p>
        </w:tc>
        <w:tc>
          <w:tcPr>
            <w:tcW w:w="1485" w:type="dxa"/>
            <w:noWrap/>
            <w:hideMark/>
          </w:tcPr>
          <w:p>
            <w:pPr>
              <w:rPr>
                <w:noProof/>
                <w:sz w:val="22"/>
                <w:szCs w:val="22"/>
              </w:rPr>
            </w:pPr>
            <w:r>
              <w:rPr>
                <w:noProof/>
                <w:sz w:val="22"/>
                <w:szCs w:val="22"/>
              </w:rPr>
              <w:t>NL</w:t>
            </w:r>
          </w:p>
        </w:tc>
      </w:tr>
      <w:tr>
        <w:trPr>
          <w:trHeight w:val="372"/>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United States (1)</w:t>
            </w:r>
          </w:p>
        </w:tc>
        <w:tc>
          <w:tcPr>
            <w:tcW w:w="2880" w:type="dxa"/>
            <w:noWrap/>
            <w:hideMark/>
          </w:tcPr>
          <w:p>
            <w:pPr>
              <w:rPr>
                <w:noProof/>
                <w:sz w:val="22"/>
                <w:szCs w:val="22"/>
              </w:rPr>
            </w:pPr>
            <w:r>
              <w:rPr>
                <w:noProof/>
                <w:sz w:val="22"/>
                <w:szCs w:val="22"/>
              </w:rPr>
              <w:t>Clinical and laboratory use</w:t>
            </w:r>
          </w:p>
        </w:tc>
        <w:tc>
          <w:tcPr>
            <w:tcW w:w="1485" w:type="dxa"/>
            <w:noWrap/>
            <w:hideMark/>
          </w:tcPr>
          <w:p>
            <w:pPr>
              <w:rPr>
                <w:noProof/>
                <w:sz w:val="22"/>
                <w:szCs w:val="22"/>
              </w:rPr>
            </w:pPr>
            <w:r>
              <w:rPr>
                <w:noProof/>
                <w:sz w:val="22"/>
                <w:szCs w:val="22"/>
              </w:rPr>
              <w:t>UK</w:t>
            </w:r>
          </w:p>
        </w:tc>
      </w:tr>
      <w:tr>
        <w:trPr>
          <w:trHeight w:val="456"/>
        </w:trPr>
        <w:tc>
          <w:tcPr>
            <w:tcW w:w="960" w:type="dxa"/>
            <w:noWrap/>
            <w:hideMark/>
          </w:tcPr>
          <w:p>
            <w:pPr>
              <w:rPr>
                <w:noProof/>
                <w:sz w:val="22"/>
                <w:szCs w:val="22"/>
              </w:rPr>
            </w:pPr>
            <w:r>
              <w:rPr>
                <w:noProof/>
                <w:sz w:val="22"/>
                <w:szCs w:val="22"/>
              </w:rPr>
              <w:t>1.1 ( e)</w:t>
            </w:r>
          </w:p>
        </w:tc>
        <w:tc>
          <w:tcPr>
            <w:tcW w:w="5540" w:type="dxa"/>
            <w:noWrap/>
            <w:hideMark/>
          </w:tcPr>
          <w:p>
            <w:pPr>
              <w:rPr>
                <w:noProof/>
                <w:sz w:val="22"/>
                <w:szCs w:val="22"/>
              </w:rPr>
            </w:pPr>
            <w:r>
              <w:rPr>
                <w:noProof/>
                <w:sz w:val="22"/>
                <w:szCs w:val="22"/>
              </w:rPr>
              <w:t>Secobarbital</w:t>
            </w:r>
          </w:p>
        </w:tc>
        <w:tc>
          <w:tcPr>
            <w:tcW w:w="3060" w:type="dxa"/>
            <w:noWrap/>
            <w:hideMark/>
          </w:tcPr>
          <w:p>
            <w:pPr>
              <w:rPr>
                <w:noProof/>
                <w:sz w:val="22"/>
                <w:szCs w:val="22"/>
              </w:rPr>
            </w:pPr>
            <w:r>
              <w:rPr>
                <w:noProof/>
                <w:sz w:val="22"/>
                <w:szCs w:val="22"/>
              </w:rPr>
              <w:t>Jordan (1), Norway, United States (1)</w:t>
            </w:r>
          </w:p>
        </w:tc>
        <w:tc>
          <w:tcPr>
            <w:tcW w:w="2880" w:type="dxa"/>
            <w:noWrap/>
            <w:hideMark/>
          </w:tcPr>
          <w:p>
            <w:pPr>
              <w:rPr>
                <w:noProof/>
                <w:sz w:val="22"/>
                <w:szCs w:val="22"/>
              </w:rPr>
            </w:pPr>
            <w:r>
              <w:rPr>
                <w:noProof/>
                <w:sz w:val="22"/>
                <w:szCs w:val="22"/>
              </w:rPr>
              <w:t>Clinical and laboratory use</w:t>
            </w:r>
          </w:p>
        </w:tc>
        <w:tc>
          <w:tcPr>
            <w:tcW w:w="1485" w:type="dxa"/>
            <w:noWrap/>
            <w:hideMark/>
          </w:tcPr>
          <w:p>
            <w:pPr>
              <w:rPr>
                <w:noProof/>
                <w:sz w:val="22"/>
                <w:szCs w:val="22"/>
              </w:rPr>
            </w:pPr>
            <w:r>
              <w:rPr>
                <w:noProof/>
                <w:sz w:val="22"/>
                <w:szCs w:val="22"/>
              </w:rPr>
              <w:t>UK</w:t>
            </w:r>
          </w:p>
        </w:tc>
      </w:tr>
      <w:tr>
        <w:trPr>
          <w:trHeight w:val="696"/>
        </w:trPr>
        <w:tc>
          <w:tcPr>
            <w:tcW w:w="960" w:type="dxa"/>
            <w:vMerge w:val="restart"/>
            <w:hideMark/>
          </w:tcPr>
          <w:p>
            <w:pPr>
              <w:rPr>
                <w:noProof/>
                <w:sz w:val="22"/>
                <w:szCs w:val="22"/>
              </w:rPr>
            </w:pPr>
            <w:r>
              <w:rPr>
                <w:noProof/>
                <w:sz w:val="22"/>
                <w:szCs w:val="22"/>
              </w:rPr>
              <w:t>1.1 (g)</w:t>
            </w:r>
          </w:p>
        </w:tc>
        <w:tc>
          <w:tcPr>
            <w:tcW w:w="5540" w:type="dxa"/>
            <w:vMerge w:val="restart"/>
            <w:hideMark/>
          </w:tcPr>
          <w:p>
            <w:pPr>
              <w:rPr>
                <w:noProof/>
                <w:sz w:val="22"/>
                <w:szCs w:val="22"/>
              </w:rPr>
            </w:pPr>
            <w:r>
              <w:rPr>
                <w:noProof/>
                <w:sz w:val="22"/>
                <w:szCs w:val="22"/>
              </w:rPr>
              <w:t>Thiopental</w:t>
            </w:r>
          </w:p>
        </w:tc>
        <w:tc>
          <w:tcPr>
            <w:tcW w:w="3060" w:type="dxa"/>
            <w:hideMark/>
          </w:tcPr>
          <w:p>
            <w:pPr>
              <w:rPr>
                <w:noProof/>
                <w:sz w:val="22"/>
                <w:szCs w:val="22"/>
                <w:lang w:val="es-ES"/>
              </w:rPr>
            </w:pPr>
            <w:r>
              <w:rPr>
                <w:noProof/>
                <w:sz w:val="22"/>
                <w:szCs w:val="22"/>
                <w:lang w:val="es-ES"/>
              </w:rPr>
              <w:t>Saudi Arabia (1), Iran (1), Albania (1), Iraq (1)</w:t>
            </w:r>
          </w:p>
        </w:tc>
        <w:tc>
          <w:tcPr>
            <w:tcW w:w="2880" w:type="dxa"/>
            <w:hideMark/>
          </w:tcPr>
          <w:p>
            <w:pPr>
              <w:rPr>
                <w:noProof/>
                <w:sz w:val="22"/>
                <w:szCs w:val="22"/>
              </w:rPr>
            </w:pPr>
            <w:r>
              <w:rPr>
                <w:noProof/>
                <w:sz w:val="22"/>
                <w:szCs w:val="22"/>
              </w:rPr>
              <w:t>Medical use</w:t>
            </w:r>
          </w:p>
        </w:tc>
        <w:tc>
          <w:tcPr>
            <w:tcW w:w="1485" w:type="dxa"/>
            <w:noWrap/>
            <w:hideMark/>
          </w:tcPr>
          <w:p>
            <w:pPr>
              <w:rPr>
                <w:noProof/>
                <w:sz w:val="22"/>
                <w:szCs w:val="22"/>
              </w:rPr>
            </w:pPr>
            <w:r>
              <w:rPr>
                <w:noProof/>
                <w:sz w:val="22"/>
                <w:szCs w:val="22"/>
              </w:rPr>
              <w:t>CZ</w:t>
            </w:r>
          </w:p>
        </w:tc>
      </w:tr>
      <w:tr>
        <w:trPr>
          <w:trHeight w:val="396"/>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Bosnia and Herzegovina (5), Serbia (1)</w:t>
            </w:r>
          </w:p>
        </w:tc>
        <w:tc>
          <w:tcPr>
            <w:tcW w:w="2880" w:type="dxa"/>
            <w:noWrap/>
            <w:hideMark/>
          </w:tcPr>
          <w:p>
            <w:pPr>
              <w:rPr>
                <w:noProof/>
                <w:sz w:val="22"/>
                <w:szCs w:val="22"/>
              </w:rPr>
            </w:pPr>
            <w:r>
              <w:rPr>
                <w:noProof/>
                <w:sz w:val="22"/>
                <w:szCs w:val="22"/>
              </w:rPr>
              <w:t>Medical use</w:t>
            </w:r>
          </w:p>
        </w:tc>
        <w:tc>
          <w:tcPr>
            <w:tcW w:w="1485" w:type="dxa"/>
            <w:noWrap/>
            <w:hideMark/>
          </w:tcPr>
          <w:p>
            <w:pPr>
              <w:rPr>
                <w:noProof/>
                <w:sz w:val="22"/>
                <w:szCs w:val="22"/>
              </w:rPr>
            </w:pPr>
            <w:r>
              <w:rPr>
                <w:noProof/>
                <w:sz w:val="22"/>
                <w:szCs w:val="22"/>
              </w:rPr>
              <w:t>AT</w:t>
            </w:r>
          </w:p>
        </w:tc>
      </w:tr>
      <w:tr>
        <w:trPr>
          <w:trHeight w:val="372"/>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Angola (3)</w:t>
            </w:r>
          </w:p>
        </w:tc>
        <w:tc>
          <w:tcPr>
            <w:tcW w:w="2880" w:type="dxa"/>
            <w:noWrap/>
            <w:hideMark/>
          </w:tcPr>
          <w:p>
            <w:pPr>
              <w:rPr>
                <w:noProof/>
                <w:sz w:val="22"/>
                <w:szCs w:val="22"/>
              </w:rPr>
            </w:pPr>
            <w:r>
              <w:rPr>
                <w:noProof/>
                <w:sz w:val="22"/>
                <w:szCs w:val="22"/>
              </w:rPr>
              <w:t>Medical/pharmaceutical use</w:t>
            </w:r>
          </w:p>
        </w:tc>
        <w:tc>
          <w:tcPr>
            <w:tcW w:w="1485" w:type="dxa"/>
            <w:noWrap/>
            <w:hideMark/>
          </w:tcPr>
          <w:p>
            <w:pPr>
              <w:rPr>
                <w:noProof/>
                <w:sz w:val="22"/>
                <w:szCs w:val="22"/>
              </w:rPr>
            </w:pPr>
            <w:r>
              <w:rPr>
                <w:noProof/>
                <w:sz w:val="22"/>
                <w:szCs w:val="22"/>
              </w:rPr>
              <w:t>PT</w:t>
            </w:r>
          </w:p>
        </w:tc>
      </w:tr>
      <w:tr>
        <w:trPr>
          <w:trHeight w:val="372"/>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 xml:space="preserve">Norway </w:t>
            </w:r>
          </w:p>
        </w:tc>
        <w:tc>
          <w:tcPr>
            <w:tcW w:w="2880" w:type="dxa"/>
            <w:noWrap/>
            <w:hideMark/>
          </w:tcPr>
          <w:p>
            <w:pPr>
              <w:rPr>
                <w:noProof/>
                <w:sz w:val="22"/>
                <w:szCs w:val="22"/>
              </w:rPr>
            </w:pPr>
            <w:r>
              <w:rPr>
                <w:noProof/>
                <w:sz w:val="22"/>
                <w:szCs w:val="22"/>
              </w:rPr>
              <w:t>Clinical and laboratory use</w:t>
            </w:r>
          </w:p>
        </w:tc>
        <w:tc>
          <w:tcPr>
            <w:tcW w:w="1485" w:type="dxa"/>
            <w:noWrap/>
            <w:hideMark/>
          </w:tcPr>
          <w:p>
            <w:pPr>
              <w:rPr>
                <w:noProof/>
                <w:sz w:val="22"/>
                <w:szCs w:val="22"/>
              </w:rPr>
            </w:pPr>
            <w:r>
              <w:rPr>
                <w:noProof/>
                <w:sz w:val="22"/>
                <w:szCs w:val="22"/>
              </w:rPr>
              <w:t>UK</w:t>
            </w:r>
          </w:p>
        </w:tc>
      </w:tr>
      <w:tr>
        <w:trPr>
          <w:trHeight w:val="360"/>
        </w:trPr>
        <w:tc>
          <w:tcPr>
            <w:tcW w:w="960" w:type="dxa"/>
            <w:vMerge w:val="restart"/>
            <w:noWrap/>
            <w:hideMark/>
          </w:tcPr>
          <w:p>
            <w:pPr>
              <w:rPr>
                <w:noProof/>
                <w:sz w:val="22"/>
                <w:szCs w:val="22"/>
              </w:rPr>
            </w:pPr>
            <w:r>
              <w:rPr>
                <w:noProof/>
                <w:sz w:val="22"/>
                <w:szCs w:val="22"/>
              </w:rPr>
              <w:t>1.1 (h)</w:t>
            </w:r>
          </w:p>
        </w:tc>
        <w:tc>
          <w:tcPr>
            <w:tcW w:w="5540" w:type="dxa"/>
            <w:vMerge w:val="restart"/>
            <w:noWrap/>
            <w:hideMark/>
          </w:tcPr>
          <w:p>
            <w:pPr>
              <w:rPr>
                <w:noProof/>
                <w:sz w:val="22"/>
                <w:szCs w:val="22"/>
              </w:rPr>
            </w:pPr>
            <w:r>
              <w:rPr>
                <w:noProof/>
                <w:sz w:val="22"/>
                <w:szCs w:val="22"/>
              </w:rPr>
              <w:t>Thiopental sodium salt</w:t>
            </w:r>
          </w:p>
        </w:tc>
        <w:tc>
          <w:tcPr>
            <w:tcW w:w="3060" w:type="dxa"/>
            <w:noWrap/>
            <w:hideMark/>
          </w:tcPr>
          <w:p>
            <w:pPr>
              <w:rPr>
                <w:noProof/>
                <w:sz w:val="22"/>
                <w:szCs w:val="22"/>
              </w:rPr>
            </w:pPr>
            <w:r>
              <w:rPr>
                <w:noProof/>
                <w:sz w:val="22"/>
                <w:szCs w:val="22"/>
              </w:rPr>
              <w:t>Lebanon (1)</w:t>
            </w:r>
          </w:p>
        </w:tc>
        <w:tc>
          <w:tcPr>
            <w:tcW w:w="2880" w:type="dxa"/>
            <w:hideMark/>
          </w:tcPr>
          <w:p>
            <w:pPr>
              <w:rPr>
                <w:noProof/>
                <w:sz w:val="22"/>
                <w:szCs w:val="22"/>
              </w:rPr>
            </w:pPr>
            <w:r>
              <w:rPr>
                <w:noProof/>
                <w:sz w:val="22"/>
                <w:szCs w:val="22"/>
              </w:rPr>
              <w:t>Medical use</w:t>
            </w:r>
          </w:p>
        </w:tc>
        <w:tc>
          <w:tcPr>
            <w:tcW w:w="1485" w:type="dxa"/>
            <w:noWrap/>
            <w:hideMark/>
          </w:tcPr>
          <w:p>
            <w:pPr>
              <w:rPr>
                <w:noProof/>
                <w:sz w:val="22"/>
                <w:szCs w:val="22"/>
              </w:rPr>
            </w:pPr>
            <w:r>
              <w:rPr>
                <w:noProof/>
                <w:sz w:val="22"/>
                <w:szCs w:val="22"/>
              </w:rPr>
              <w:t>FR</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Argentina (2)</w:t>
            </w:r>
          </w:p>
        </w:tc>
        <w:tc>
          <w:tcPr>
            <w:tcW w:w="2880" w:type="dxa"/>
            <w:hideMark/>
          </w:tcPr>
          <w:p>
            <w:pPr>
              <w:rPr>
                <w:noProof/>
                <w:sz w:val="22"/>
                <w:szCs w:val="22"/>
              </w:rPr>
            </w:pPr>
            <w:r>
              <w:rPr>
                <w:noProof/>
                <w:sz w:val="22"/>
                <w:szCs w:val="22"/>
              </w:rPr>
              <w:t>Medical/pharmaceutical use</w:t>
            </w:r>
          </w:p>
        </w:tc>
        <w:tc>
          <w:tcPr>
            <w:tcW w:w="1485" w:type="dxa"/>
            <w:noWrap/>
            <w:hideMark/>
          </w:tcPr>
          <w:p>
            <w:pPr>
              <w:rPr>
                <w:noProof/>
                <w:sz w:val="22"/>
                <w:szCs w:val="22"/>
              </w:rPr>
            </w:pPr>
            <w:r>
              <w:rPr>
                <w:noProof/>
                <w:sz w:val="22"/>
                <w:szCs w:val="22"/>
              </w:rPr>
              <w:t>IT</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Brazil (2)</w:t>
            </w:r>
          </w:p>
        </w:tc>
        <w:tc>
          <w:tcPr>
            <w:tcW w:w="2880" w:type="dxa"/>
            <w:hideMark/>
          </w:tcPr>
          <w:p>
            <w:pPr>
              <w:rPr>
                <w:noProof/>
                <w:sz w:val="22"/>
                <w:szCs w:val="22"/>
              </w:rPr>
            </w:pPr>
            <w:r>
              <w:rPr>
                <w:noProof/>
                <w:sz w:val="22"/>
                <w:szCs w:val="22"/>
              </w:rPr>
              <w:t>Medical/pharmaceutical use</w:t>
            </w:r>
          </w:p>
        </w:tc>
        <w:tc>
          <w:tcPr>
            <w:tcW w:w="1485" w:type="dxa"/>
            <w:noWrap/>
            <w:hideMark/>
          </w:tcPr>
          <w:p>
            <w:pPr>
              <w:rPr>
                <w:noProof/>
                <w:sz w:val="22"/>
                <w:szCs w:val="22"/>
              </w:rPr>
            </w:pPr>
            <w:r>
              <w:rPr>
                <w:noProof/>
                <w:sz w:val="22"/>
                <w:szCs w:val="22"/>
              </w:rPr>
              <w:t>IT</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Mexico (2)</w:t>
            </w:r>
          </w:p>
        </w:tc>
        <w:tc>
          <w:tcPr>
            <w:tcW w:w="2880" w:type="dxa"/>
            <w:hideMark/>
          </w:tcPr>
          <w:p>
            <w:pPr>
              <w:rPr>
                <w:noProof/>
                <w:sz w:val="22"/>
                <w:szCs w:val="22"/>
              </w:rPr>
            </w:pPr>
            <w:r>
              <w:rPr>
                <w:noProof/>
                <w:sz w:val="22"/>
                <w:szCs w:val="22"/>
              </w:rPr>
              <w:t>Medical/pharmaceutical use</w:t>
            </w:r>
          </w:p>
        </w:tc>
        <w:tc>
          <w:tcPr>
            <w:tcW w:w="1485" w:type="dxa"/>
            <w:noWrap/>
            <w:hideMark/>
          </w:tcPr>
          <w:p>
            <w:pPr>
              <w:rPr>
                <w:noProof/>
                <w:sz w:val="22"/>
                <w:szCs w:val="22"/>
              </w:rPr>
            </w:pPr>
            <w:r>
              <w:rPr>
                <w:noProof/>
                <w:sz w:val="22"/>
                <w:szCs w:val="22"/>
              </w:rPr>
              <w:t>IT</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Moldova (1)</w:t>
            </w:r>
          </w:p>
        </w:tc>
        <w:tc>
          <w:tcPr>
            <w:tcW w:w="2880" w:type="dxa"/>
            <w:hideMark/>
          </w:tcPr>
          <w:p>
            <w:pPr>
              <w:rPr>
                <w:noProof/>
                <w:sz w:val="22"/>
                <w:szCs w:val="22"/>
              </w:rPr>
            </w:pPr>
            <w:r>
              <w:rPr>
                <w:noProof/>
                <w:sz w:val="22"/>
                <w:szCs w:val="22"/>
              </w:rPr>
              <w:t>Medical/pharmaceutical use</w:t>
            </w:r>
          </w:p>
        </w:tc>
        <w:tc>
          <w:tcPr>
            <w:tcW w:w="1485" w:type="dxa"/>
            <w:noWrap/>
            <w:hideMark/>
          </w:tcPr>
          <w:p>
            <w:pPr>
              <w:rPr>
                <w:noProof/>
                <w:sz w:val="22"/>
                <w:szCs w:val="22"/>
              </w:rPr>
            </w:pPr>
            <w:r>
              <w:rPr>
                <w:noProof/>
                <w:sz w:val="22"/>
                <w:szCs w:val="22"/>
              </w:rPr>
              <w:t>IT</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Turkey (4)</w:t>
            </w:r>
          </w:p>
        </w:tc>
        <w:tc>
          <w:tcPr>
            <w:tcW w:w="2880" w:type="dxa"/>
            <w:hideMark/>
          </w:tcPr>
          <w:p>
            <w:pPr>
              <w:rPr>
                <w:noProof/>
                <w:sz w:val="22"/>
                <w:szCs w:val="22"/>
              </w:rPr>
            </w:pPr>
            <w:r>
              <w:rPr>
                <w:noProof/>
                <w:sz w:val="22"/>
                <w:szCs w:val="22"/>
              </w:rPr>
              <w:t>Medical/pharmaceutical use</w:t>
            </w:r>
          </w:p>
        </w:tc>
        <w:tc>
          <w:tcPr>
            <w:tcW w:w="1485" w:type="dxa"/>
            <w:noWrap/>
            <w:hideMark/>
          </w:tcPr>
          <w:p>
            <w:pPr>
              <w:rPr>
                <w:noProof/>
                <w:sz w:val="22"/>
                <w:szCs w:val="22"/>
              </w:rPr>
            </w:pPr>
            <w:r>
              <w:rPr>
                <w:noProof/>
                <w:sz w:val="22"/>
                <w:szCs w:val="22"/>
              </w:rPr>
              <w:t>IT</w:t>
            </w:r>
          </w:p>
        </w:tc>
      </w:tr>
      <w:tr>
        <w:trPr>
          <w:trHeight w:val="855"/>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lang w:val="es-ES"/>
              </w:rPr>
            </w:pPr>
            <w:r>
              <w:rPr>
                <w:noProof/>
                <w:sz w:val="22"/>
                <w:szCs w:val="22"/>
                <w:lang w:val="es-ES"/>
              </w:rPr>
              <w:t>Ghana (2), Malaysia (1), Sierra Leone (2), Singapore (3)</w:t>
            </w:r>
          </w:p>
        </w:tc>
        <w:tc>
          <w:tcPr>
            <w:tcW w:w="2880" w:type="dxa"/>
            <w:hideMark/>
          </w:tcPr>
          <w:p>
            <w:pPr>
              <w:rPr>
                <w:noProof/>
                <w:sz w:val="22"/>
                <w:szCs w:val="22"/>
              </w:rPr>
            </w:pPr>
            <w:r>
              <w:rPr>
                <w:noProof/>
                <w:sz w:val="22"/>
                <w:szCs w:val="22"/>
              </w:rPr>
              <w:t>Medical use</w:t>
            </w:r>
          </w:p>
        </w:tc>
        <w:tc>
          <w:tcPr>
            <w:tcW w:w="1485" w:type="dxa"/>
            <w:noWrap/>
            <w:hideMark/>
          </w:tcPr>
          <w:p>
            <w:pPr>
              <w:rPr>
                <w:noProof/>
                <w:sz w:val="22"/>
                <w:szCs w:val="22"/>
              </w:rPr>
            </w:pPr>
            <w:r>
              <w:rPr>
                <w:noProof/>
                <w:sz w:val="22"/>
                <w:szCs w:val="22"/>
              </w:rPr>
              <w:t>NL</w:t>
            </w:r>
          </w:p>
        </w:tc>
      </w:tr>
      <w:tr>
        <w:trPr>
          <w:trHeight w:val="675"/>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 xml:space="preserve">Nigeria (3) </w:t>
            </w:r>
          </w:p>
        </w:tc>
        <w:tc>
          <w:tcPr>
            <w:tcW w:w="2880" w:type="dxa"/>
            <w:noWrap/>
            <w:hideMark/>
          </w:tcPr>
          <w:p>
            <w:pPr>
              <w:rPr>
                <w:noProof/>
                <w:sz w:val="22"/>
                <w:szCs w:val="22"/>
              </w:rPr>
            </w:pPr>
            <w:r>
              <w:rPr>
                <w:noProof/>
                <w:sz w:val="22"/>
                <w:szCs w:val="22"/>
              </w:rPr>
              <w:t>Medical/pharmaceutical use</w:t>
            </w:r>
          </w:p>
          <w:p>
            <w:pPr>
              <w:rPr>
                <w:noProof/>
                <w:sz w:val="22"/>
                <w:szCs w:val="22"/>
              </w:rPr>
            </w:pPr>
          </w:p>
        </w:tc>
        <w:tc>
          <w:tcPr>
            <w:tcW w:w="1485" w:type="dxa"/>
            <w:noWrap/>
            <w:hideMark/>
          </w:tcPr>
          <w:p>
            <w:pPr>
              <w:rPr>
                <w:noProof/>
                <w:sz w:val="22"/>
                <w:szCs w:val="22"/>
              </w:rPr>
            </w:pPr>
            <w:r>
              <w:rPr>
                <w:noProof/>
                <w:sz w:val="22"/>
                <w:szCs w:val="22"/>
              </w:rPr>
              <w:t>PT</w:t>
            </w:r>
          </w:p>
        </w:tc>
      </w:tr>
      <w:tr>
        <w:trPr>
          <w:trHeight w:val="104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Sierra Leone (1), Australia (3), Falkland Islands (1), Singapore (1), Zimbabwe (1)</w:t>
            </w:r>
          </w:p>
        </w:tc>
        <w:tc>
          <w:tcPr>
            <w:tcW w:w="2880" w:type="dxa"/>
            <w:noWrap/>
            <w:hideMark/>
          </w:tcPr>
          <w:p>
            <w:pPr>
              <w:rPr>
                <w:noProof/>
                <w:sz w:val="22"/>
                <w:szCs w:val="22"/>
              </w:rPr>
            </w:pPr>
            <w:r>
              <w:rPr>
                <w:noProof/>
                <w:sz w:val="22"/>
                <w:szCs w:val="22"/>
              </w:rPr>
              <w:t>Health care/medical use</w:t>
            </w:r>
          </w:p>
        </w:tc>
        <w:tc>
          <w:tcPr>
            <w:tcW w:w="1485" w:type="dxa"/>
            <w:noWrap/>
            <w:hideMark/>
          </w:tcPr>
          <w:p>
            <w:pPr>
              <w:rPr>
                <w:noProof/>
                <w:sz w:val="22"/>
                <w:szCs w:val="22"/>
              </w:rPr>
            </w:pPr>
            <w:r>
              <w:rPr>
                <w:noProof/>
                <w:sz w:val="22"/>
                <w:szCs w:val="22"/>
              </w:rPr>
              <w:t>UK</w:t>
            </w:r>
          </w:p>
        </w:tc>
      </w:tr>
      <w:tr>
        <w:trPr>
          <w:trHeight w:val="456"/>
        </w:trPr>
        <w:tc>
          <w:tcPr>
            <w:tcW w:w="960" w:type="dxa"/>
            <w:vMerge w:val="restart"/>
            <w:noWrap/>
            <w:hideMark/>
          </w:tcPr>
          <w:p>
            <w:pPr>
              <w:rPr>
                <w:noProof/>
                <w:sz w:val="22"/>
                <w:szCs w:val="22"/>
              </w:rPr>
            </w:pPr>
            <w:r>
              <w:rPr>
                <w:noProof/>
                <w:sz w:val="22"/>
                <w:szCs w:val="22"/>
              </w:rPr>
              <w:t>1.1</w:t>
            </w:r>
          </w:p>
        </w:tc>
        <w:tc>
          <w:tcPr>
            <w:tcW w:w="5540" w:type="dxa"/>
            <w:vMerge w:val="restart"/>
            <w:hideMark/>
          </w:tcPr>
          <w:p>
            <w:pPr>
              <w:rPr>
                <w:noProof/>
                <w:sz w:val="22"/>
                <w:szCs w:val="22"/>
              </w:rPr>
            </w:pPr>
            <w:r>
              <w:rPr>
                <w:noProof/>
                <w:sz w:val="22"/>
                <w:szCs w:val="22"/>
              </w:rPr>
              <w:t>Other short and intermediate acting barbiturate anaesthetic agents</w:t>
            </w:r>
          </w:p>
        </w:tc>
        <w:tc>
          <w:tcPr>
            <w:tcW w:w="3060" w:type="dxa"/>
            <w:hideMark/>
          </w:tcPr>
          <w:p>
            <w:pPr>
              <w:rPr>
                <w:noProof/>
                <w:sz w:val="22"/>
                <w:szCs w:val="22"/>
              </w:rPr>
            </w:pPr>
            <w:r>
              <w:rPr>
                <w:noProof/>
                <w:sz w:val="22"/>
                <w:szCs w:val="22"/>
              </w:rPr>
              <w:t>Egypt (2),Antarctic (1), Argentina (2), Australia (2), Chile (3), Iran (1), Israel (2), Japan (1), Jordan (1), Canada (1), Kenya (1), Colombia (3), Malaysia (1), Mexico (3), Namibia (1), Norway (2), New Zealand (1), Oman (2), Peru (2), Russia (1), Switzerland (2), Zimbabwe (1), South Africa (2), Turkey (3).</w:t>
            </w:r>
          </w:p>
          <w:p>
            <w:pPr>
              <w:rPr>
                <w:noProof/>
                <w:sz w:val="22"/>
                <w:szCs w:val="22"/>
              </w:rPr>
            </w:pPr>
          </w:p>
        </w:tc>
        <w:tc>
          <w:tcPr>
            <w:tcW w:w="2880" w:type="dxa"/>
            <w:noWrap/>
            <w:hideMark/>
          </w:tcPr>
          <w:p>
            <w:pPr>
              <w:rPr>
                <w:noProof/>
                <w:sz w:val="22"/>
                <w:szCs w:val="22"/>
              </w:rPr>
            </w:pPr>
            <w:r>
              <w:rPr>
                <w:noProof/>
                <w:sz w:val="22"/>
                <w:szCs w:val="22"/>
              </w:rPr>
              <w:t>End use not stipulated</w:t>
            </w:r>
          </w:p>
        </w:tc>
        <w:tc>
          <w:tcPr>
            <w:tcW w:w="1485" w:type="dxa"/>
            <w:noWrap/>
            <w:hideMark/>
          </w:tcPr>
          <w:p>
            <w:pPr>
              <w:rPr>
                <w:noProof/>
                <w:sz w:val="22"/>
                <w:szCs w:val="22"/>
              </w:rPr>
            </w:pPr>
            <w:r>
              <w:rPr>
                <w:noProof/>
                <w:sz w:val="22"/>
                <w:szCs w:val="22"/>
              </w:rPr>
              <w:t>DE</w:t>
            </w:r>
          </w:p>
        </w:tc>
      </w:tr>
      <w:tr>
        <w:trPr>
          <w:trHeight w:val="86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Norway, United States (2), Belize (1), Switzerland (1)</w:t>
            </w:r>
          </w:p>
        </w:tc>
        <w:tc>
          <w:tcPr>
            <w:tcW w:w="2880" w:type="dxa"/>
            <w:hideMark/>
          </w:tcPr>
          <w:p>
            <w:pPr>
              <w:rPr>
                <w:noProof/>
                <w:sz w:val="22"/>
                <w:szCs w:val="22"/>
              </w:rPr>
            </w:pPr>
            <w:r>
              <w:rPr>
                <w:noProof/>
                <w:sz w:val="22"/>
                <w:szCs w:val="22"/>
              </w:rPr>
              <w:t>Clinical and laboratory use (Norway, United States, Switzerland), veterinary use (Belize)</w:t>
            </w:r>
          </w:p>
          <w:p>
            <w:pPr>
              <w:rPr>
                <w:noProof/>
                <w:sz w:val="22"/>
                <w:szCs w:val="22"/>
              </w:rPr>
            </w:pPr>
          </w:p>
        </w:tc>
        <w:tc>
          <w:tcPr>
            <w:tcW w:w="1485" w:type="dxa"/>
            <w:noWrap/>
            <w:hideMark/>
          </w:tcPr>
          <w:p>
            <w:pPr>
              <w:rPr>
                <w:noProof/>
                <w:sz w:val="22"/>
                <w:szCs w:val="22"/>
              </w:rPr>
            </w:pPr>
            <w:r>
              <w:rPr>
                <w:noProof/>
                <w:sz w:val="22"/>
                <w:szCs w:val="22"/>
              </w:rPr>
              <w:t>UK</w:t>
            </w:r>
          </w:p>
        </w:tc>
      </w:tr>
    </w:tbl>
    <w:p>
      <w:pPr>
        <w:rPr>
          <w:noProof/>
        </w:rPr>
      </w:pPr>
    </w:p>
    <w:p>
      <w:pPr>
        <w:rPr>
          <w:noProof/>
          <w:color w:val="00B050"/>
          <w:u w:val="single"/>
        </w:rPr>
      </w:pPr>
    </w:p>
    <w:p>
      <w:pPr>
        <w:rPr>
          <w:noProof/>
          <w:color w:val="00B050"/>
          <w:u w:val="single"/>
        </w:rPr>
        <w:sectPr>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800" w:right="1440" w:bottom="1800" w:left="1440" w:header="708" w:footer="708" w:gutter="0"/>
          <w:cols w:space="708"/>
          <w:docGrid w:linePitch="360"/>
        </w:sectPr>
      </w:pPr>
    </w:p>
    <w:p>
      <w:pPr>
        <w:rPr>
          <w:noProof/>
          <w:color w:val="00B050"/>
          <w:u w:val="single"/>
        </w:rPr>
      </w:pPr>
    </w:p>
    <w:p>
      <w:pPr>
        <w:rPr>
          <w:b/>
          <w:i/>
          <w:noProof/>
        </w:rPr>
      </w:pPr>
      <w:r>
        <w:rPr>
          <w:b/>
          <w:i/>
          <w:noProof/>
        </w:rPr>
        <w:t xml:space="preserve">Annex 6: </w:t>
      </w:r>
    </w:p>
    <w:p>
      <w:pPr>
        <w:rPr>
          <w:b/>
          <w:i/>
          <w:noProof/>
        </w:rPr>
      </w:pPr>
      <w:r>
        <w:rPr>
          <w:b/>
          <w:i/>
          <w:noProof/>
        </w:rPr>
        <w:t>Reported end-use of authorised exports to third countries in 2019</w:t>
      </w:r>
      <w:r>
        <w:rPr>
          <w:rStyle w:val="FootnoteReference"/>
          <w:b/>
          <w:i/>
          <w:noProof/>
        </w:rPr>
        <w:footnoteReference w:id="3"/>
      </w:r>
    </w:p>
    <w:p>
      <w:pPr>
        <w:rPr>
          <w:noProof/>
        </w:rPr>
      </w:pPr>
    </w:p>
    <w:p>
      <w:pPr>
        <w:rPr>
          <w:noProof/>
        </w:rPr>
      </w:pPr>
      <w:r>
        <w:rPr>
          <w:noProof/>
          <w:lang w:eastAsia="en-GB"/>
        </w:rPr>
        <w:drawing>
          <wp:inline distT="0" distB="0" distL="0" distR="0">
            <wp:extent cx="4572000" cy="3448050"/>
            <wp:effectExtent l="0" t="0" r="0" b="0"/>
            <wp:docPr id="1292209219" name="Picture 129220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09219"/>
                    <pic:cNvPicPr/>
                  </pic:nvPicPr>
                  <pic:blipFill>
                    <a:blip r:embed="rId34">
                      <a:extLst>
                        <a:ext uri="{28A0092B-C50C-407E-A947-70E740481C1C}">
                          <a14:useLocalDpi xmlns:a14="http://schemas.microsoft.com/office/drawing/2010/main" val="0"/>
                        </a:ext>
                      </a:extLst>
                    </a:blip>
                    <a:stretch>
                      <a:fillRect/>
                    </a:stretch>
                  </pic:blipFill>
                  <pic:spPr>
                    <a:xfrm>
                      <a:off x="0" y="0"/>
                      <a:ext cx="4572000" cy="3448050"/>
                    </a:xfrm>
                    <a:prstGeom prst="rect">
                      <a:avLst/>
                    </a:prstGeom>
                  </pic:spPr>
                </pic:pic>
              </a:graphicData>
            </a:graphic>
          </wp:inline>
        </w:drawing>
      </w:r>
    </w:p>
    <w:sectPr>
      <w:headerReference w:type="even" r:id="rId35"/>
      <w:headerReference w:type="default" r:id="rId36"/>
      <w:footerReference w:type="even" r:id="rId37"/>
      <w:footerReference w:type="default" r:id="rId38"/>
      <w:headerReference w:type="first" r:id="rId39"/>
      <w:footerReference w:type="first" r:id="rId40"/>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8712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27301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9555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sz w:val="22"/>
          <w:szCs w:val="22"/>
        </w:rPr>
      </w:pPr>
      <w:r>
        <w:rPr>
          <w:rStyle w:val="FootnoteReference"/>
        </w:rPr>
        <w:footnoteRef/>
      </w:r>
      <w:r>
        <w:t xml:space="preserve"> </w:t>
      </w:r>
      <w:r>
        <w:rPr>
          <w:sz w:val="22"/>
          <w:szCs w:val="22"/>
        </w:rPr>
        <w:t>If a particular name is used in the list of destinations, it should not be construed as going beyond referring to a (customs) territory commonly known by that name.</w:t>
      </w:r>
    </w:p>
  </w:footnote>
  <w:footnote w:id="2">
    <w:p>
      <w:pPr>
        <w:jc w:val="both"/>
        <w:rPr>
          <w:sz w:val="22"/>
          <w:szCs w:val="22"/>
        </w:rPr>
      </w:pPr>
      <w:r>
        <w:rPr>
          <w:rStyle w:val="FootnoteReference"/>
          <w:sz w:val="22"/>
          <w:szCs w:val="22"/>
        </w:rPr>
        <w:footnoteRef/>
      </w:r>
      <w:r>
        <w:rPr>
          <w:sz w:val="22"/>
          <w:szCs w:val="22"/>
        </w:rPr>
        <w:t xml:space="preserve"> ‘</w:t>
      </w:r>
      <w:r>
        <w:rPr>
          <w:i/>
          <w:iCs/>
          <w:sz w:val="22"/>
          <w:szCs w:val="22"/>
        </w:rPr>
        <w:t>Other destinations’</w:t>
      </w:r>
      <w:r>
        <w:rPr>
          <w:sz w:val="22"/>
          <w:szCs w:val="22"/>
        </w:rPr>
        <w:t xml:space="preserve"> include those to which one export authorisation only was reported, namely: Albania, Antarctic, Barbados, Belize, Central African Republic, Costa Rica, Cuba, Democratic Republic of the Congo, Falklands Islands, French Polynesia, Gibraltar, Iraq, Kosovo, Lebanon, Mali, Niger, Pakistan, Saudi Arabia, Saint Helena (UK), Sint Marteen, Sri Lanka, Thailand and Uruguay. One reported authorisation to one of the Channel Islands has not been accounted for the purposes of this report, as it does not qualify as an export within the meaning of Article 2(d) of Regulation (EU) 2019/125.</w:t>
      </w:r>
    </w:p>
    <w:p>
      <w:pPr>
        <w:pStyle w:val="FootnoteText"/>
        <w:jc w:val="both"/>
      </w:pPr>
    </w:p>
  </w:footnote>
  <w:footnote w:id="3">
    <w:p>
      <w:pPr>
        <w:pStyle w:val="FootnoteText"/>
        <w:jc w:val="both"/>
      </w:pPr>
      <w:r>
        <w:rPr>
          <w:rStyle w:val="FootnoteReference"/>
        </w:rPr>
        <w:footnoteRef/>
      </w:r>
      <w:r>
        <w:t xml:space="preserve"> The number of export authorisation does not match the number referred to in in previous Annexes, as not all authorities in the Member States stipulate the end-use.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7D3"/>
    <w:multiLevelType w:val="multilevel"/>
    <w:tmpl w:val="17441560"/>
    <w:lvl w:ilvl="0">
      <w:start w:val="1"/>
      <w:numFmt w:val="decimal"/>
      <w:pStyle w:val="HeaderSensitivityRight"/>
      <w:lvlText w:val="%1."/>
      <w:lvlJc w:val="left"/>
      <w:pPr>
        <w:ind w:left="1352" w:hanging="360"/>
      </w:pPr>
      <w:rPr>
        <w:rFonts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
    <w:nsid w:val="06674B3B"/>
    <w:multiLevelType w:val="multilevel"/>
    <w:tmpl w:val="9384C05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F5762"/>
    <w:multiLevelType w:val="hybridMultilevel"/>
    <w:tmpl w:val="441C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B3227"/>
    <w:multiLevelType w:val="multilevel"/>
    <w:tmpl w:val="203A97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949DE"/>
    <w:multiLevelType w:val="multilevel"/>
    <w:tmpl w:val="41282A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558D0"/>
    <w:multiLevelType w:val="hybridMultilevel"/>
    <w:tmpl w:val="203A9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A423C"/>
    <w:multiLevelType w:val="hybridMultilevel"/>
    <w:tmpl w:val="78F4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1D82A76"/>
    <w:multiLevelType w:val="multilevel"/>
    <w:tmpl w:val="5D44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6"/>
    <w:docVar w:name="LW_ANNEX_UNIQUE" w:val="0"/>
    <w:docVar w:name="LW_CORRIGENDUM" w:val="&lt;UNUSED&gt;"/>
    <w:docVar w:name="LW_COVERPAGE_EXISTS" w:val="True"/>
    <w:docVar w:name="LW_COVERPAGE_GUID" w:val="A0F8C635-246B-42EF-B38F-44D2A980261E"/>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Report on export authorisation in 2019 pursuant to the Regulation concerning trade in certain goods which could be used for capital punishment, torture or other cruel, inhuman or degrading treatment or punishment"/>
    <w:docVar w:name="LW_PART_NBR" w:val="&lt;UNUSED&gt;"/>
    <w:docVar w:name="LW_PART_NBR_TOTAL" w:val="&lt;UNUSED&gt;"/>
    <w:docVar w:name="LW_REF.INST.NEW" w:val="COM"/>
    <w:docVar w:name="LW_REF.INST.NEW_ADOPTED" w:val="final"/>
    <w:docVar w:name="LW_REF.INST.NEW_TEXT" w:val="(2020)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6"/>
      </w:numPr>
      <w:spacing w:line="360" w:lineRule="auto"/>
    </w:pPr>
  </w:style>
  <w:style w:type="paragraph" w:customStyle="1" w:styleId="LegalNumPar2">
    <w:name w:val="LegalNumPar2"/>
    <w:basedOn w:val="Normal"/>
    <w:pPr>
      <w:numPr>
        <w:ilvl w:val="1"/>
        <w:numId w:val="6"/>
      </w:numPr>
      <w:spacing w:line="360" w:lineRule="auto"/>
    </w:pPr>
  </w:style>
  <w:style w:type="paragraph" w:customStyle="1" w:styleId="LegalNumPar3">
    <w:name w:val="LegalNumPar3"/>
    <w:basedOn w:val="Normal"/>
    <w:pPr>
      <w:numPr>
        <w:ilvl w:val="2"/>
        <w:numId w:val="6"/>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Normal2">
    <w:name w:val="Normal2"/>
    <w:basedOn w:val="Normal"/>
    <w:pPr>
      <w:spacing w:before="100" w:beforeAutospacing="1" w:after="100" w:afterAutospacing="1"/>
    </w:pPr>
    <w:rPr>
      <w:lang w:eastAsia="en-GB"/>
    </w:rPr>
  </w:style>
  <w:style w:type="paragraph" w:customStyle="1" w:styleId="Normal3">
    <w:name w:val="Normal3"/>
    <w:basedOn w:val="Normal"/>
    <w:pPr>
      <w:spacing w:before="100" w:beforeAutospacing="1" w:after="100" w:afterAutospacing="1"/>
    </w:pPr>
    <w:rPr>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6"/>
      </w:numPr>
      <w:spacing w:line="360" w:lineRule="auto"/>
    </w:pPr>
  </w:style>
  <w:style w:type="paragraph" w:customStyle="1" w:styleId="LegalNumPar2">
    <w:name w:val="LegalNumPar2"/>
    <w:basedOn w:val="Normal"/>
    <w:pPr>
      <w:numPr>
        <w:ilvl w:val="1"/>
        <w:numId w:val="6"/>
      </w:numPr>
      <w:spacing w:line="360" w:lineRule="auto"/>
    </w:pPr>
  </w:style>
  <w:style w:type="paragraph" w:customStyle="1" w:styleId="LegalNumPar3">
    <w:name w:val="LegalNumPar3"/>
    <w:basedOn w:val="Normal"/>
    <w:pPr>
      <w:numPr>
        <w:ilvl w:val="2"/>
        <w:numId w:val="6"/>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Normal2">
    <w:name w:val="Normal2"/>
    <w:basedOn w:val="Normal"/>
    <w:pPr>
      <w:spacing w:before="100" w:beforeAutospacing="1" w:after="100" w:afterAutospacing="1"/>
    </w:pPr>
    <w:rPr>
      <w:lang w:eastAsia="en-GB"/>
    </w:rPr>
  </w:style>
  <w:style w:type="paragraph" w:customStyle="1" w:styleId="Normal3">
    <w:name w:val="Normal3"/>
    <w:basedOn w:val="Normal"/>
    <w:pPr>
      <w:spacing w:before="100" w:beforeAutospacing="1" w:after="100" w:afterAutospacing="1"/>
    </w:pPr>
    <w:rPr>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701">
      <w:bodyDiv w:val="1"/>
      <w:marLeft w:val="0"/>
      <w:marRight w:val="0"/>
      <w:marTop w:val="0"/>
      <w:marBottom w:val="0"/>
      <w:divBdr>
        <w:top w:val="none" w:sz="0" w:space="0" w:color="auto"/>
        <w:left w:val="none" w:sz="0" w:space="0" w:color="auto"/>
        <w:bottom w:val="none" w:sz="0" w:space="0" w:color="auto"/>
        <w:right w:val="none" w:sz="0" w:space="0" w:color="auto"/>
      </w:divBdr>
    </w:div>
    <w:div w:id="267976901">
      <w:bodyDiv w:val="1"/>
      <w:marLeft w:val="0"/>
      <w:marRight w:val="0"/>
      <w:marTop w:val="0"/>
      <w:marBottom w:val="0"/>
      <w:divBdr>
        <w:top w:val="none" w:sz="0" w:space="0" w:color="auto"/>
        <w:left w:val="none" w:sz="0" w:space="0" w:color="auto"/>
        <w:bottom w:val="none" w:sz="0" w:space="0" w:color="auto"/>
        <w:right w:val="none" w:sz="0" w:space="0" w:color="auto"/>
      </w:divBdr>
    </w:div>
    <w:div w:id="383914028">
      <w:bodyDiv w:val="1"/>
      <w:marLeft w:val="0"/>
      <w:marRight w:val="0"/>
      <w:marTop w:val="0"/>
      <w:marBottom w:val="0"/>
      <w:divBdr>
        <w:top w:val="none" w:sz="0" w:space="0" w:color="auto"/>
        <w:left w:val="none" w:sz="0" w:space="0" w:color="auto"/>
        <w:bottom w:val="none" w:sz="0" w:space="0" w:color="auto"/>
        <w:right w:val="none" w:sz="0" w:space="0" w:color="auto"/>
      </w:divBdr>
    </w:div>
    <w:div w:id="651443549">
      <w:bodyDiv w:val="1"/>
      <w:marLeft w:val="0"/>
      <w:marRight w:val="0"/>
      <w:marTop w:val="0"/>
      <w:marBottom w:val="0"/>
      <w:divBdr>
        <w:top w:val="none" w:sz="0" w:space="0" w:color="auto"/>
        <w:left w:val="none" w:sz="0" w:space="0" w:color="auto"/>
        <w:bottom w:val="none" w:sz="0" w:space="0" w:color="auto"/>
        <w:right w:val="none" w:sz="0" w:space="0" w:color="auto"/>
      </w:divBdr>
    </w:div>
    <w:div w:id="721172686">
      <w:bodyDiv w:val="1"/>
      <w:marLeft w:val="0"/>
      <w:marRight w:val="0"/>
      <w:marTop w:val="0"/>
      <w:marBottom w:val="0"/>
      <w:divBdr>
        <w:top w:val="none" w:sz="0" w:space="0" w:color="auto"/>
        <w:left w:val="none" w:sz="0" w:space="0" w:color="auto"/>
        <w:bottom w:val="none" w:sz="0" w:space="0" w:color="auto"/>
        <w:right w:val="none" w:sz="0" w:space="0" w:color="auto"/>
      </w:divBdr>
    </w:div>
    <w:div w:id="978805420">
      <w:bodyDiv w:val="1"/>
      <w:marLeft w:val="0"/>
      <w:marRight w:val="0"/>
      <w:marTop w:val="0"/>
      <w:marBottom w:val="0"/>
      <w:divBdr>
        <w:top w:val="none" w:sz="0" w:space="0" w:color="auto"/>
        <w:left w:val="none" w:sz="0" w:space="0" w:color="auto"/>
        <w:bottom w:val="none" w:sz="0" w:space="0" w:color="auto"/>
        <w:right w:val="none" w:sz="0" w:space="0" w:color="auto"/>
      </w:divBdr>
    </w:div>
    <w:div w:id="1010450308">
      <w:bodyDiv w:val="1"/>
      <w:marLeft w:val="0"/>
      <w:marRight w:val="0"/>
      <w:marTop w:val="0"/>
      <w:marBottom w:val="0"/>
      <w:divBdr>
        <w:top w:val="none" w:sz="0" w:space="0" w:color="auto"/>
        <w:left w:val="none" w:sz="0" w:space="0" w:color="auto"/>
        <w:bottom w:val="none" w:sz="0" w:space="0" w:color="auto"/>
        <w:right w:val="none" w:sz="0" w:space="0" w:color="auto"/>
      </w:divBdr>
    </w:div>
    <w:div w:id="1067338417">
      <w:bodyDiv w:val="1"/>
      <w:marLeft w:val="0"/>
      <w:marRight w:val="0"/>
      <w:marTop w:val="0"/>
      <w:marBottom w:val="0"/>
      <w:divBdr>
        <w:top w:val="none" w:sz="0" w:space="0" w:color="auto"/>
        <w:left w:val="none" w:sz="0" w:space="0" w:color="auto"/>
        <w:bottom w:val="none" w:sz="0" w:space="0" w:color="auto"/>
        <w:right w:val="none" w:sz="0" w:space="0" w:color="auto"/>
      </w:divBdr>
    </w:div>
    <w:div w:id="1207181916">
      <w:bodyDiv w:val="1"/>
      <w:marLeft w:val="0"/>
      <w:marRight w:val="0"/>
      <w:marTop w:val="0"/>
      <w:marBottom w:val="0"/>
      <w:divBdr>
        <w:top w:val="none" w:sz="0" w:space="0" w:color="auto"/>
        <w:left w:val="none" w:sz="0" w:space="0" w:color="auto"/>
        <w:bottom w:val="none" w:sz="0" w:space="0" w:color="auto"/>
        <w:right w:val="none" w:sz="0" w:space="0" w:color="auto"/>
      </w:divBdr>
    </w:div>
    <w:div w:id="1238443005">
      <w:bodyDiv w:val="1"/>
      <w:marLeft w:val="0"/>
      <w:marRight w:val="0"/>
      <w:marTop w:val="0"/>
      <w:marBottom w:val="0"/>
      <w:divBdr>
        <w:top w:val="none" w:sz="0" w:space="0" w:color="auto"/>
        <w:left w:val="none" w:sz="0" w:space="0" w:color="auto"/>
        <w:bottom w:val="none" w:sz="0" w:space="0" w:color="auto"/>
        <w:right w:val="none" w:sz="0" w:space="0" w:color="auto"/>
      </w:divBdr>
    </w:div>
    <w:div w:id="1251626417">
      <w:bodyDiv w:val="1"/>
      <w:marLeft w:val="0"/>
      <w:marRight w:val="0"/>
      <w:marTop w:val="0"/>
      <w:marBottom w:val="0"/>
      <w:divBdr>
        <w:top w:val="none" w:sz="0" w:space="0" w:color="auto"/>
        <w:left w:val="none" w:sz="0" w:space="0" w:color="auto"/>
        <w:bottom w:val="none" w:sz="0" w:space="0" w:color="auto"/>
        <w:right w:val="none" w:sz="0" w:space="0" w:color="auto"/>
      </w:divBdr>
    </w:div>
    <w:div w:id="1573199075">
      <w:bodyDiv w:val="1"/>
      <w:marLeft w:val="0"/>
      <w:marRight w:val="0"/>
      <w:marTop w:val="0"/>
      <w:marBottom w:val="0"/>
      <w:divBdr>
        <w:top w:val="none" w:sz="0" w:space="0" w:color="auto"/>
        <w:left w:val="none" w:sz="0" w:space="0" w:color="auto"/>
        <w:bottom w:val="none" w:sz="0" w:space="0" w:color="auto"/>
        <w:right w:val="none" w:sz="0" w:space="0" w:color="auto"/>
      </w:divBdr>
    </w:div>
    <w:div w:id="1858810970">
      <w:bodyDiv w:val="1"/>
      <w:marLeft w:val="0"/>
      <w:marRight w:val="0"/>
      <w:marTop w:val="0"/>
      <w:marBottom w:val="0"/>
      <w:divBdr>
        <w:top w:val="none" w:sz="0" w:space="0" w:color="auto"/>
        <w:left w:val="none" w:sz="0" w:space="0" w:color="auto"/>
        <w:bottom w:val="none" w:sz="0" w:space="0" w:color="auto"/>
        <w:right w:val="none" w:sz="0" w:space="0" w:color="auto"/>
      </w:divBdr>
    </w:div>
    <w:div w:id="2105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2.png"/><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chart" Target="charts/chart3.xml"/><Relationship Id="rId30" Type="http://schemas.openxmlformats.org/officeDocument/2006/relationships/footer" Target="footer7.xml"/><Relationship Id="rId35" Type="http://schemas.openxmlformats.org/officeDocument/2006/relationships/header" Target="header10.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 licenses granted by Annex '!$G$22</c:f>
              <c:strCache>
                <c:ptCount val="1"/>
                <c:pt idx="0">
                  <c:v>Annex III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 licenses granted by Annex '!$F$23:$F$34</c:f>
              <c:strCache>
                <c:ptCount val="12"/>
                <c:pt idx="0">
                  <c:v>Czech Republic</c:v>
                </c:pt>
                <c:pt idx="1">
                  <c:v>Germany </c:v>
                </c:pt>
                <c:pt idx="2">
                  <c:v>Spain</c:v>
                </c:pt>
                <c:pt idx="3">
                  <c:v>France</c:v>
                </c:pt>
                <c:pt idx="4">
                  <c:v>Italy</c:v>
                </c:pt>
                <c:pt idx="5">
                  <c:v>Netherlands</c:v>
                </c:pt>
                <c:pt idx="6">
                  <c:v>Austria</c:v>
                </c:pt>
                <c:pt idx="7">
                  <c:v>Poland</c:v>
                </c:pt>
                <c:pt idx="8">
                  <c:v>Portugal</c:v>
                </c:pt>
                <c:pt idx="9">
                  <c:v>Sweden</c:v>
                </c:pt>
                <c:pt idx="10">
                  <c:v>United Kingdom</c:v>
                </c:pt>
                <c:pt idx="11">
                  <c:v>Total</c:v>
                </c:pt>
              </c:strCache>
            </c:strRef>
          </c:cat>
          <c:val>
            <c:numRef>
              <c:f>'N° licenses granted by Annex '!$G$23:$G$34</c:f>
              <c:numCache>
                <c:formatCode>General</c:formatCode>
                <c:ptCount val="12"/>
                <c:pt idx="0">
                  <c:v>14</c:v>
                </c:pt>
                <c:pt idx="1">
                  <c:v>134</c:v>
                </c:pt>
                <c:pt idx="2">
                  <c:v>3</c:v>
                </c:pt>
                <c:pt idx="3">
                  <c:v>8</c:v>
                </c:pt>
                <c:pt idx="4">
                  <c:v>0</c:v>
                </c:pt>
                <c:pt idx="5">
                  <c:v>8</c:v>
                </c:pt>
                <c:pt idx="6">
                  <c:v>0</c:v>
                </c:pt>
                <c:pt idx="7">
                  <c:v>2</c:v>
                </c:pt>
                <c:pt idx="8">
                  <c:v>0</c:v>
                </c:pt>
                <c:pt idx="9">
                  <c:v>6</c:v>
                </c:pt>
                <c:pt idx="10">
                  <c:v>11</c:v>
                </c:pt>
                <c:pt idx="11">
                  <c:v>186</c:v>
                </c:pt>
              </c:numCache>
            </c:numRef>
          </c:val>
          <c:extLst xmlns:c16r2="http://schemas.microsoft.com/office/drawing/2015/06/chart">
            <c:ext xmlns:c16="http://schemas.microsoft.com/office/drawing/2014/chart" uri="{C3380CC4-5D6E-409C-BE32-E72D297353CC}">
              <c16:uniqueId val="{00000000-50C4-499C-B63D-51467A541301}"/>
            </c:ext>
          </c:extLst>
        </c:ser>
        <c:ser>
          <c:idx val="1"/>
          <c:order val="1"/>
          <c:tx>
            <c:strRef>
              <c:f>'N° licenses granted by Annex '!$H$22</c:f>
              <c:strCache>
                <c:ptCount val="1"/>
                <c:pt idx="0">
                  <c:v>Annex IV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 licenses granted by Annex '!$F$23:$F$34</c:f>
              <c:strCache>
                <c:ptCount val="12"/>
                <c:pt idx="0">
                  <c:v>Czech Republic</c:v>
                </c:pt>
                <c:pt idx="1">
                  <c:v>Germany </c:v>
                </c:pt>
                <c:pt idx="2">
                  <c:v>Spain</c:v>
                </c:pt>
                <c:pt idx="3">
                  <c:v>France</c:v>
                </c:pt>
                <c:pt idx="4">
                  <c:v>Italy</c:v>
                </c:pt>
                <c:pt idx="5">
                  <c:v>Netherlands</c:v>
                </c:pt>
                <c:pt idx="6">
                  <c:v>Austria</c:v>
                </c:pt>
                <c:pt idx="7">
                  <c:v>Poland</c:v>
                </c:pt>
                <c:pt idx="8">
                  <c:v>Portugal</c:v>
                </c:pt>
                <c:pt idx="9">
                  <c:v>Sweden</c:v>
                </c:pt>
                <c:pt idx="10">
                  <c:v>United Kingdom</c:v>
                </c:pt>
                <c:pt idx="11">
                  <c:v>Total</c:v>
                </c:pt>
              </c:strCache>
            </c:strRef>
          </c:cat>
          <c:val>
            <c:numRef>
              <c:f>'N° licenses granted by Annex '!$H$23:$H$34</c:f>
              <c:numCache>
                <c:formatCode>General</c:formatCode>
                <c:ptCount val="12"/>
                <c:pt idx="0">
                  <c:v>4</c:v>
                </c:pt>
                <c:pt idx="1">
                  <c:v>41</c:v>
                </c:pt>
                <c:pt idx="2">
                  <c:v>0</c:v>
                </c:pt>
                <c:pt idx="3">
                  <c:v>1</c:v>
                </c:pt>
                <c:pt idx="4">
                  <c:v>11</c:v>
                </c:pt>
                <c:pt idx="5">
                  <c:v>18</c:v>
                </c:pt>
                <c:pt idx="6">
                  <c:v>6</c:v>
                </c:pt>
                <c:pt idx="7">
                  <c:v>0</c:v>
                </c:pt>
                <c:pt idx="8">
                  <c:v>4</c:v>
                </c:pt>
                <c:pt idx="9">
                  <c:v>0</c:v>
                </c:pt>
                <c:pt idx="10">
                  <c:v>14</c:v>
                </c:pt>
                <c:pt idx="11">
                  <c:v>99</c:v>
                </c:pt>
              </c:numCache>
            </c:numRef>
          </c:val>
          <c:extLst xmlns:c16r2="http://schemas.microsoft.com/office/drawing/2015/06/chart">
            <c:ext xmlns:c16="http://schemas.microsoft.com/office/drawing/2014/chart" uri="{C3380CC4-5D6E-409C-BE32-E72D297353CC}">
              <c16:uniqueId val="{00000001-50C4-499C-B63D-51467A541301}"/>
            </c:ext>
          </c:extLst>
        </c:ser>
        <c:dLbls>
          <c:dLblPos val="outEnd"/>
          <c:showLegendKey val="0"/>
          <c:showVal val="1"/>
          <c:showCatName val="0"/>
          <c:showSerName val="0"/>
          <c:showPercent val="0"/>
          <c:showBubbleSize val="0"/>
        </c:dLbls>
        <c:gapWidth val="219"/>
        <c:overlap val="-27"/>
        <c:axId val="83310848"/>
        <c:axId val="44054784"/>
      </c:barChart>
      <c:catAx>
        <c:axId val="833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54784"/>
        <c:crosses val="autoZero"/>
        <c:auto val="1"/>
        <c:lblAlgn val="ctr"/>
        <c:lblOffset val="100"/>
        <c:noMultiLvlLbl val="0"/>
      </c:catAx>
      <c:valAx>
        <c:axId val="4405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10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 licenses evolution years'!$A$7</c:f>
              <c:strCache>
                <c:ptCount val="1"/>
                <c:pt idx="0">
                  <c:v>Granted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 licenses evolution years'!$B$6:$D$6</c:f>
              <c:numCache>
                <c:formatCode>General</c:formatCode>
                <c:ptCount val="3"/>
                <c:pt idx="0">
                  <c:v>2017</c:v>
                </c:pt>
                <c:pt idx="1">
                  <c:v>2018</c:v>
                </c:pt>
                <c:pt idx="2">
                  <c:v>2019</c:v>
                </c:pt>
              </c:numCache>
            </c:numRef>
          </c:cat>
          <c:val>
            <c:numRef>
              <c:f>'N° licenses evolution years'!$B$7:$D$7</c:f>
              <c:numCache>
                <c:formatCode>General</c:formatCode>
                <c:ptCount val="3"/>
                <c:pt idx="0">
                  <c:v>295</c:v>
                </c:pt>
                <c:pt idx="1">
                  <c:v>231</c:v>
                </c:pt>
                <c:pt idx="2">
                  <c:v>285</c:v>
                </c:pt>
              </c:numCache>
            </c:numRef>
          </c:val>
          <c:smooth val="0"/>
          <c:extLst xmlns:c16r2="http://schemas.microsoft.com/office/drawing/2015/06/chart">
            <c:ext xmlns:c16="http://schemas.microsoft.com/office/drawing/2014/chart" uri="{C3380CC4-5D6E-409C-BE32-E72D297353CC}">
              <c16:uniqueId val="{00000000-E681-4B3E-9349-CB5EE896512D}"/>
            </c:ext>
          </c:extLst>
        </c:ser>
        <c:ser>
          <c:idx val="1"/>
          <c:order val="1"/>
          <c:tx>
            <c:strRef>
              <c:f>'N° licenses evolution years'!$A$8</c:f>
              <c:strCache>
                <c:ptCount val="1"/>
                <c:pt idx="0">
                  <c:v>Refused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 licenses evolution years'!$B$6:$D$6</c:f>
              <c:numCache>
                <c:formatCode>General</c:formatCode>
                <c:ptCount val="3"/>
                <c:pt idx="0">
                  <c:v>2017</c:v>
                </c:pt>
                <c:pt idx="1">
                  <c:v>2018</c:v>
                </c:pt>
                <c:pt idx="2">
                  <c:v>2019</c:v>
                </c:pt>
              </c:numCache>
            </c:numRef>
          </c:cat>
          <c:val>
            <c:numRef>
              <c:f>'N° licenses evolution years'!$B$8:$D$8</c:f>
              <c:numCache>
                <c:formatCode>General</c:formatCode>
                <c:ptCount val="3"/>
                <c:pt idx="0">
                  <c:v>4</c:v>
                </c:pt>
                <c:pt idx="1">
                  <c:v>5</c:v>
                </c:pt>
                <c:pt idx="2">
                  <c:v>6</c:v>
                </c:pt>
              </c:numCache>
            </c:numRef>
          </c:val>
          <c:smooth val="0"/>
          <c:extLst xmlns:c16r2="http://schemas.microsoft.com/office/drawing/2015/06/chart">
            <c:ext xmlns:c16="http://schemas.microsoft.com/office/drawing/2014/chart" uri="{C3380CC4-5D6E-409C-BE32-E72D297353CC}">
              <c16:uniqueId val="{00000001-E681-4B3E-9349-CB5EE896512D}"/>
            </c:ext>
          </c:extLst>
        </c:ser>
        <c:dLbls>
          <c:dLblPos val="t"/>
          <c:showLegendKey val="0"/>
          <c:showVal val="1"/>
          <c:showCatName val="0"/>
          <c:showSerName val="0"/>
          <c:showPercent val="0"/>
          <c:showBubbleSize val="0"/>
        </c:dLbls>
        <c:marker val="1"/>
        <c:smooth val="0"/>
        <c:axId val="101183872"/>
        <c:axId val="101185408"/>
      </c:lineChart>
      <c:catAx>
        <c:axId val="1011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85408"/>
        <c:crosses val="autoZero"/>
        <c:auto val="1"/>
        <c:lblAlgn val="ctr"/>
        <c:lblOffset val="100"/>
        <c:noMultiLvlLbl val="0"/>
      </c:catAx>
      <c:valAx>
        <c:axId val="1011854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a:t>
                </a:r>
                <a:r>
                  <a:rPr lang="en-GB" baseline="0"/>
                  <a:t> of export authorisations </a:t>
                </a:r>
                <a:endParaRPr lang="en-GB"/>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83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'DESTINATIONS FINAL'!$C$6:$C$56</c:f>
              <c:strCache>
                <c:ptCount val="51"/>
                <c:pt idx="0">
                  <c:v>Switzerland </c:v>
                </c:pt>
                <c:pt idx="1">
                  <c:v>Andorra </c:v>
                </c:pt>
                <c:pt idx="2">
                  <c:v>India</c:v>
                </c:pt>
                <c:pt idx="3">
                  <c:v>South Africa </c:v>
                </c:pt>
                <c:pt idx="4">
                  <c:v>Ukraine</c:v>
                </c:pt>
                <c:pt idx="5">
                  <c:v>Australia</c:v>
                </c:pt>
                <c:pt idx="6">
                  <c:v>USA</c:v>
                </c:pt>
                <c:pt idx="7">
                  <c:v>Bosnia and Herzegovina</c:v>
                </c:pt>
                <c:pt idx="8">
                  <c:v>Turkey </c:v>
                </c:pt>
                <c:pt idx="9">
                  <c:v>Japan </c:v>
                </c:pt>
                <c:pt idx="10">
                  <c:v>Norway</c:v>
                </c:pt>
                <c:pt idx="11">
                  <c:v>Argentina</c:v>
                </c:pt>
                <c:pt idx="12">
                  <c:v>Brazil </c:v>
                </c:pt>
                <c:pt idx="13">
                  <c:v>People's Rep. of China</c:v>
                </c:pt>
                <c:pt idx="14">
                  <c:v>Mexico</c:v>
                </c:pt>
                <c:pt idx="15">
                  <c:v>Montenegro </c:v>
                </c:pt>
                <c:pt idx="16">
                  <c:v>North Macedonia </c:v>
                </c:pt>
                <c:pt idx="17">
                  <c:v>Singapore</c:v>
                </c:pt>
                <c:pt idx="18">
                  <c:v>UAE </c:v>
                </c:pt>
                <c:pt idx="19">
                  <c:v>Aruba (NL)</c:v>
                </c:pt>
                <c:pt idx="20">
                  <c:v>Chile </c:v>
                </c:pt>
                <c:pt idx="21">
                  <c:v>Curacao NL </c:v>
                </c:pt>
                <c:pt idx="22">
                  <c:v>Moldova</c:v>
                </c:pt>
                <c:pt idx="23">
                  <c:v>Russia</c:v>
                </c:pt>
                <c:pt idx="24">
                  <c:v>Angola</c:v>
                </c:pt>
                <c:pt idx="25">
                  <c:v>Bes Islands (NL)</c:v>
                </c:pt>
                <c:pt idx="26">
                  <c:v>Canada</c:v>
                </c:pt>
                <c:pt idx="27">
                  <c:v>Colombia</c:v>
                </c:pt>
                <c:pt idx="28">
                  <c:v>Egypt</c:v>
                </c:pt>
                <c:pt idx="29">
                  <c:v>Hong Kong</c:v>
                </c:pt>
                <c:pt idx="30">
                  <c:v>Malaysia</c:v>
                </c:pt>
                <c:pt idx="31">
                  <c:v>Nigeria</c:v>
                </c:pt>
                <c:pt idx="32">
                  <c:v>Oman </c:v>
                </c:pt>
                <c:pt idx="33">
                  <c:v>Serbia</c:v>
                </c:pt>
                <c:pt idx="34">
                  <c:v>Sierra Leone</c:v>
                </c:pt>
                <c:pt idx="35">
                  <c:v>Somalia</c:v>
                </c:pt>
                <c:pt idx="36">
                  <c:v>South Korea</c:v>
                </c:pt>
                <c:pt idx="37">
                  <c:v>Bahrain</c:v>
                </c:pt>
                <c:pt idx="38">
                  <c:v>Ghana</c:v>
                </c:pt>
                <c:pt idx="39">
                  <c:v>Iran</c:v>
                </c:pt>
                <c:pt idx="40">
                  <c:v>Israel</c:v>
                </c:pt>
                <c:pt idx="41">
                  <c:v>Jordan </c:v>
                </c:pt>
                <c:pt idx="42">
                  <c:v>Kenya</c:v>
                </c:pt>
                <c:pt idx="43">
                  <c:v>Namibia</c:v>
                </c:pt>
                <c:pt idx="44">
                  <c:v>New Caledonia (FR)</c:v>
                </c:pt>
                <c:pt idx="45">
                  <c:v>New Zealand </c:v>
                </c:pt>
                <c:pt idx="46">
                  <c:v>Peru</c:v>
                </c:pt>
                <c:pt idx="47">
                  <c:v>Senegal</c:v>
                </c:pt>
                <c:pt idx="48">
                  <c:v>Tunisia </c:v>
                </c:pt>
                <c:pt idx="49">
                  <c:v>Zimbabwe</c:v>
                </c:pt>
                <c:pt idx="50">
                  <c:v>Other</c:v>
                </c:pt>
              </c:strCache>
            </c:strRef>
          </c:cat>
          <c:val>
            <c:numRef>
              <c:f>'DESTINATIONS FINAL'!$D$6:$D$56</c:f>
              <c:numCache>
                <c:formatCode>General</c:formatCode>
                <c:ptCount val="51"/>
                <c:pt idx="0">
                  <c:v>31</c:v>
                </c:pt>
                <c:pt idx="1">
                  <c:v>16</c:v>
                </c:pt>
                <c:pt idx="2">
                  <c:v>13</c:v>
                </c:pt>
                <c:pt idx="3">
                  <c:v>12</c:v>
                </c:pt>
                <c:pt idx="4">
                  <c:v>11</c:v>
                </c:pt>
                <c:pt idx="5">
                  <c:v>10</c:v>
                </c:pt>
                <c:pt idx="6">
                  <c:v>10</c:v>
                </c:pt>
                <c:pt idx="7">
                  <c:v>9</c:v>
                </c:pt>
                <c:pt idx="8">
                  <c:v>9</c:v>
                </c:pt>
                <c:pt idx="9">
                  <c:v>8</c:v>
                </c:pt>
                <c:pt idx="10">
                  <c:v>7</c:v>
                </c:pt>
                <c:pt idx="11">
                  <c:v>7</c:v>
                </c:pt>
                <c:pt idx="12">
                  <c:v>7</c:v>
                </c:pt>
                <c:pt idx="13">
                  <c:v>7</c:v>
                </c:pt>
                <c:pt idx="14">
                  <c:v>5</c:v>
                </c:pt>
                <c:pt idx="15">
                  <c:v>5</c:v>
                </c:pt>
                <c:pt idx="16">
                  <c:v>5</c:v>
                </c:pt>
                <c:pt idx="17">
                  <c:v>5</c:v>
                </c:pt>
                <c:pt idx="18">
                  <c:v>5</c:v>
                </c:pt>
                <c:pt idx="19">
                  <c:v>4</c:v>
                </c:pt>
                <c:pt idx="20">
                  <c:v>4</c:v>
                </c:pt>
                <c:pt idx="21">
                  <c:v>4</c:v>
                </c:pt>
                <c:pt idx="22">
                  <c:v>4</c:v>
                </c:pt>
                <c:pt idx="23">
                  <c:v>4</c:v>
                </c:pt>
                <c:pt idx="24">
                  <c:v>3</c:v>
                </c:pt>
                <c:pt idx="25">
                  <c:v>3</c:v>
                </c:pt>
                <c:pt idx="26">
                  <c:v>3</c:v>
                </c:pt>
                <c:pt idx="27">
                  <c:v>3</c:v>
                </c:pt>
                <c:pt idx="28">
                  <c:v>3</c:v>
                </c:pt>
                <c:pt idx="29">
                  <c:v>3</c:v>
                </c:pt>
                <c:pt idx="30">
                  <c:v>3</c:v>
                </c:pt>
                <c:pt idx="31">
                  <c:v>3</c:v>
                </c:pt>
                <c:pt idx="32">
                  <c:v>3</c:v>
                </c:pt>
                <c:pt idx="33">
                  <c:v>3</c:v>
                </c:pt>
                <c:pt idx="34">
                  <c:v>3</c:v>
                </c:pt>
                <c:pt idx="35">
                  <c:v>3</c:v>
                </c:pt>
                <c:pt idx="36">
                  <c:v>3</c:v>
                </c:pt>
                <c:pt idx="37">
                  <c:v>2</c:v>
                </c:pt>
                <c:pt idx="38">
                  <c:v>2</c:v>
                </c:pt>
                <c:pt idx="39">
                  <c:v>2</c:v>
                </c:pt>
                <c:pt idx="40">
                  <c:v>2</c:v>
                </c:pt>
                <c:pt idx="41">
                  <c:v>2</c:v>
                </c:pt>
                <c:pt idx="42">
                  <c:v>2</c:v>
                </c:pt>
                <c:pt idx="43">
                  <c:v>2</c:v>
                </c:pt>
                <c:pt idx="44">
                  <c:v>2</c:v>
                </c:pt>
                <c:pt idx="45">
                  <c:v>2</c:v>
                </c:pt>
                <c:pt idx="46">
                  <c:v>2</c:v>
                </c:pt>
                <c:pt idx="47">
                  <c:v>2</c:v>
                </c:pt>
                <c:pt idx="48">
                  <c:v>2</c:v>
                </c:pt>
                <c:pt idx="49">
                  <c:v>2</c:v>
                </c:pt>
                <c:pt idx="50">
                  <c:v>22</c:v>
                </c:pt>
              </c:numCache>
            </c:numRef>
          </c:val>
          <c:extLst xmlns:c16r2="http://schemas.microsoft.com/office/drawing/2015/06/chart">
            <c:ext xmlns:c16="http://schemas.microsoft.com/office/drawing/2014/chart" uri="{C3380CC4-5D6E-409C-BE32-E72D297353CC}">
              <c16:uniqueId val="{00000000-F689-4CD2-9BB5-743B44CBB217}"/>
            </c:ext>
          </c:extLst>
        </c:ser>
        <c:dLbls>
          <c:dLblPos val="outEnd"/>
          <c:showLegendKey val="0"/>
          <c:showVal val="1"/>
          <c:showCatName val="0"/>
          <c:showSerName val="0"/>
          <c:showPercent val="0"/>
          <c:showBubbleSize val="0"/>
        </c:dLbls>
        <c:gapWidth val="219"/>
        <c:overlap val="-27"/>
        <c:axId val="101410304"/>
        <c:axId val="101437824"/>
      </c:barChart>
      <c:catAx>
        <c:axId val="10141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37824"/>
        <c:crosses val="autoZero"/>
        <c:auto val="1"/>
        <c:lblAlgn val="ctr"/>
        <c:lblOffset val="100"/>
        <c:noMultiLvlLbl val="0"/>
      </c:catAx>
      <c:valAx>
        <c:axId val="1014378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a:t>
                </a:r>
                <a:r>
                  <a:rPr lang="en-GB" baseline="0"/>
                  <a:t> of export authorizations</a:t>
                </a: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1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BD7B2-DCF9-44E8-B652-391B4CF677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8AD081-2DFC-47B6-AFA6-D51CD993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BCDA7-BA33-4B5C-9D55-6B827DE9A28D}">
  <ds:schemaRefs>
    <ds:schemaRef ds:uri="http://schemas.microsoft.com/sharepoint/v3/contenttype/forms"/>
  </ds:schemaRefs>
</ds:datastoreItem>
</file>

<file path=customXml/itemProps4.xml><?xml version="1.0" encoding="utf-8"?>
<ds:datastoreItem xmlns:ds="http://schemas.openxmlformats.org/officeDocument/2006/customXml" ds:itemID="{173D1849-81FE-4510-8D5F-C8834179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839</Words>
  <Characters>4583</Characters>
  <Application>Microsoft Office Word</Application>
  <DocSecurity>0</DocSecurity>
  <Lines>381</Lines>
  <Paragraphs>216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STRAVER Albertus (FPI)</dc:creator>
  <cp:lastModifiedBy>WES PDFC Administrator</cp:lastModifiedBy>
  <cp:revision>10</cp:revision>
  <cp:lastPrinted>2020-10-19T12:23:00Z</cp:lastPrinted>
  <dcterms:created xsi:type="dcterms:W3CDTF">2020-11-08T12:01:00Z</dcterms:created>
  <dcterms:modified xsi:type="dcterms:W3CDTF">2020-12-03T09:53:00Z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6</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y fmtid="{D5CDD505-2E9C-101B-9397-08002B2CF9AE}" pid="12" name="_LW_INVALIDATED__LW_INVALIDATED__LW_INVALIDATED__LW_INVALIDATED_ContentTypeId">
    <vt:lpwstr>0x010100087E4EC354ADFB40AC5D4FC129E379BA</vt:lpwstr>
  </property>
</Properties>
</file>