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26EE05B-ADA3-4BF9-ACB3-1338E2527F50" style="width:450.75pt;height:402.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ListParagraph"/>
        <w:numPr>
          <w:ilvl w:val="0"/>
          <w:numId w:val="1"/>
        </w:numPr>
        <w:spacing w:before="100" w:beforeAutospacing="1"/>
        <w:contextualSpacing w:val="0"/>
        <w:rPr>
          <w:b/>
          <w:noProof/>
        </w:rPr>
      </w:pPr>
      <w:bookmarkStart w:id="1" w:name="_GoBack"/>
      <w:bookmarkEnd w:id="1"/>
      <w:r>
        <w:rPr>
          <w:b/>
          <w:noProof/>
        </w:rPr>
        <w:lastRenderedPageBreak/>
        <w:t>Въведение</w:t>
      </w:r>
    </w:p>
    <w:p>
      <w:pPr>
        <w:spacing w:before="100" w:beforeAutospacing="1"/>
        <w:jc w:val="both"/>
        <w:rPr>
          <w:rFonts w:eastAsia="Times New Roman"/>
          <w:noProof/>
        </w:rPr>
      </w:pPr>
      <w:r>
        <w:rPr>
          <w:noProof/>
        </w:rPr>
        <w:t>Съгласно член 31, параграф 4 от Регламент (ЕС) 2019/125 от 16 януари 2019 г. относно търговията с някои стоки, които биха могли да бъдат използвани с цел изпълнение на смъртно наказание, изтезания или други форми на жестоко, нечовешко или унизително отношение или наказание (</w:t>
      </w:r>
      <w:r>
        <w:rPr>
          <w:rFonts w:eastAsia="Times New Roman"/>
          <w:noProof/>
          <w:vertAlign w:val="superscript"/>
          <w:lang w:eastAsia="en-GB"/>
        </w:rPr>
        <w:footnoteReference w:id="1"/>
      </w:r>
      <w:r>
        <w:rPr>
          <w:noProof/>
        </w:rPr>
        <w:t>) (наричан по-нататък „Регламента“), Комисията представя на Европейския парламент годишен доклад относно работата, проверките и консултациите на координационната група за борба с изтезанията. Докладът не трябва да накърнява търговските интереси на физически или юридически лица.</w:t>
      </w:r>
    </w:p>
    <w:p>
      <w:pPr>
        <w:spacing w:before="100" w:beforeAutospacing="1"/>
        <w:jc w:val="both"/>
        <w:rPr>
          <w:rFonts w:eastAsia="Times New Roman"/>
          <w:noProof/>
        </w:rPr>
      </w:pPr>
      <w:r>
        <w:rPr>
          <w:noProof/>
        </w:rPr>
        <w:t>Настоящият доклад съдържа информация за работата на координационната група за борба с изтезанията през 2019 г.</w:t>
      </w:r>
    </w:p>
    <w:p>
      <w:pPr>
        <w:pStyle w:val="ListParagraph"/>
        <w:numPr>
          <w:ilvl w:val="0"/>
          <w:numId w:val="1"/>
        </w:numPr>
        <w:spacing w:before="100" w:beforeAutospacing="1"/>
        <w:contextualSpacing w:val="0"/>
        <w:jc w:val="both"/>
        <w:rPr>
          <w:rFonts w:eastAsia="Times New Roman"/>
          <w:b/>
          <w:noProof/>
        </w:rPr>
      </w:pPr>
      <w:r>
        <w:rPr>
          <w:b/>
          <w:noProof/>
        </w:rPr>
        <w:t>Регулаторна рамка</w:t>
      </w:r>
    </w:p>
    <w:p>
      <w:pPr>
        <w:pStyle w:val="Body"/>
        <w:spacing w:before="100" w:beforeAutospacing="1" w:after="0"/>
        <w:rPr>
          <w:rFonts w:ascii="Times New Roman" w:hAnsi="Times New Roman"/>
          <w:noProof/>
        </w:rPr>
      </w:pPr>
      <w:r>
        <w:rPr>
          <w:rFonts w:ascii="Times New Roman" w:hAnsi="Times New Roman"/>
          <w:noProof/>
        </w:rPr>
        <w:t>С регламента се цели предотвратяването на смъртното наказание, от една страна, и на изтезанията и други форми на жестоко, нечовешко или унизително отношение или наказание в държави извън ЕС, от друга страна, чрез ограничаването на търговията на определени стоки. В него се прави следното разграничение на стоките:</w:t>
      </w:r>
    </w:p>
    <w:p>
      <w:pPr>
        <w:pStyle w:val="Body"/>
        <w:numPr>
          <w:ilvl w:val="0"/>
          <w:numId w:val="4"/>
        </w:numPr>
        <w:spacing w:before="100" w:beforeAutospacing="1" w:after="0"/>
        <w:rPr>
          <w:rFonts w:ascii="Times New Roman" w:hAnsi="Times New Roman"/>
          <w:noProof/>
        </w:rPr>
      </w:pPr>
      <w:r>
        <w:rPr>
          <w:rFonts w:ascii="Times New Roman" w:hAnsi="Times New Roman"/>
          <w:noProof/>
        </w:rPr>
        <w:t xml:space="preserve">такива, които по своята същност служат за насилие и които изобщо не трябва да се търгуват (приложение II), или </w:t>
      </w:r>
    </w:p>
    <w:p>
      <w:pPr>
        <w:pStyle w:val="Body"/>
        <w:numPr>
          <w:ilvl w:val="0"/>
          <w:numId w:val="4"/>
        </w:numPr>
        <w:spacing w:before="100" w:beforeAutospacing="1" w:after="0"/>
        <w:rPr>
          <w:rFonts w:ascii="Times New Roman" w:hAnsi="Times New Roman"/>
          <w:noProof/>
        </w:rPr>
      </w:pPr>
      <w:r>
        <w:rPr>
          <w:rFonts w:ascii="Times New Roman" w:hAnsi="Times New Roman"/>
          <w:noProof/>
        </w:rPr>
        <w:t xml:space="preserve">такива, които могат да имат законна употреба като например оборудване, което се използва за целите на правоприлагането (приложение III), или стоки с терапевтична употреба (приложение IV). </w:t>
      </w:r>
    </w:p>
    <w:p>
      <w:pPr>
        <w:pStyle w:val="Body"/>
        <w:spacing w:before="100" w:beforeAutospacing="1" w:after="0"/>
        <w:rPr>
          <w:rFonts w:ascii="Times New Roman" w:hAnsi="Times New Roman"/>
          <w:noProof/>
        </w:rPr>
      </w:pPr>
      <w:r>
        <w:rPr>
          <w:rFonts w:ascii="Times New Roman" w:hAnsi="Times New Roman"/>
          <w:noProof/>
        </w:rPr>
        <w:t>Търговията с такива стоки подлежи на определени ограничения.</w:t>
      </w:r>
    </w:p>
    <w:p>
      <w:pPr>
        <w:pStyle w:val="Body"/>
        <w:spacing w:before="100" w:beforeAutospacing="1" w:after="0"/>
        <w:rPr>
          <w:rFonts w:ascii="Times New Roman" w:hAnsi="Times New Roman"/>
          <w:noProof/>
        </w:rPr>
      </w:pPr>
      <w:r>
        <w:rPr>
          <w:rFonts w:ascii="Times New Roman" w:hAnsi="Times New Roman"/>
          <w:noProof/>
        </w:rPr>
        <w:t>За тази цел с регламента се ограничава търговията с държави извън ЕС. По-специално с него се постига следното:</w:t>
      </w:r>
    </w:p>
    <w:p>
      <w:pPr>
        <w:pStyle w:val="Body"/>
        <w:numPr>
          <w:ilvl w:val="0"/>
          <w:numId w:val="3"/>
        </w:numPr>
        <w:spacing w:before="100" w:beforeAutospacing="1" w:after="0"/>
        <w:rPr>
          <w:rFonts w:ascii="Times New Roman" w:hAnsi="Times New Roman"/>
          <w:noProof/>
        </w:rPr>
      </w:pPr>
      <w:r>
        <w:rPr>
          <w:rFonts w:ascii="Times New Roman" w:hAnsi="Times New Roman"/>
          <w:noProof/>
        </w:rPr>
        <w:t>забранява се вносът, износът и транзитът във, от или през ЕС на стоки, посочени в приложение II, които нямат друго практическо предназначение освен употребата им с цел изпълнение на смъртно наказание или с цел изтезания. Забранява се също предоставянето на техническа помощ по отношение на такива стоки, по-конкретно помощ, която включва обучение как да бъдат използвани. Рекламата на такива стоки в печатните медии или в интернет или рекламното време по телевизията или радиото, или излагането или предлагането за продажба на изложение или панаир също са забранени.</w:t>
      </w:r>
    </w:p>
    <w:p>
      <w:pPr>
        <w:pStyle w:val="Body"/>
        <w:numPr>
          <w:ilvl w:val="0"/>
          <w:numId w:val="3"/>
        </w:numPr>
        <w:spacing w:before="100" w:beforeAutospacing="1" w:after="0"/>
        <w:rPr>
          <w:rFonts w:ascii="Times New Roman" w:hAnsi="Times New Roman"/>
          <w:noProof/>
          <w:spacing w:val="-6"/>
        </w:rPr>
      </w:pPr>
      <w:r>
        <w:rPr>
          <w:rFonts w:ascii="Times New Roman" w:hAnsi="Times New Roman"/>
          <w:noProof/>
          <w:spacing w:val="-6"/>
        </w:rPr>
        <w:t>Стоки, посочени в приложение III, които биха могли да бъдат използвани с цел изпълнение на смъртно наказание или с цел изтезания, но могат да имат и друга законна употреба (правоприлагане), подлежат на предварително разрешение за износ за всеки отделен случай. Предварително разрешение за износ се изисква и по отношение на предоставянето на техническа помощ или на предоставянето на брокерски услуги, свързани с тази категория стоки. В приложение III не са обхванати: а) огнестрелните оръжия, които са предмет на Регламент (ЕС) № 258/2012</w:t>
      </w:r>
      <w:r>
        <w:rPr>
          <w:rFonts w:ascii="Times New Roman" w:hAnsi="Times New Roman"/>
          <w:noProof/>
          <w:spacing w:val="-6"/>
          <w:vertAlign w:val="superscript"/>
        </w:rPr>
        <w:footnoteReference w:id="2"/>
      </w:r>
      <w:r>
        <w:rPr>
          <w:rFonts w:ascii="Times New Roman" w:hAnsi="Times New Roman"/>
          <w:noProof/>
          <w:spacing w:val="-6"/>
        </w:rPr>
        <w:t>; б) изделията с двойна употреба, контролирани съгласно Регламент (ЕО) № 428/2009</w:t>
      </w:r>
      <w:r>
        <w:rPr>
          <w:rFonts w:ascii="Times New Roman" w:hAnsi="Times New Roman"/>
          <w:noProof/>
          <w:spacing w:val="-6"/>
          <w:vertAlign w:val="superscript"/>
        </w:rPr>
        <w:footnoteReference w:id="3"/>
      </w:r>
      <w:r>
        <w:rPr>
          <w:rFonts w:ascii="Times New Roman" w:hAnsi="Times New Roman"/>
          <w:noProof/>
          <w:spacing w:val="-6"/>
          <w:vertAlign w:val="superscript"/>
        </w:rPr>
        <w:t>;</w:t>
      </w:r>
      <w:r>
        <w:rPr>
          <w:rFonts w:ascii="Times New Roman" w:hAnsi="Times New Roman"/>
          <w:noProof/>
          <w:spacing w:val="-6"/>
        </w:rPr>
        <w:t xml:space="preserve"> в) стоки, които са предмет на разпоредбите на Обща позиция 2008/944/ОВППС</w:t>
      </w:r>
      <w:r>
        <w:rPr>
          <w:rFonts w:ascii="Times New Roman" w:hAnsi="Times New Roman"/>
          <w:noProof/>
          <w:spacing w:val="-6"/>
          <w:vertAlign w:val="superscript"/>
        </w:rPr>
        <w:footnoteReference w:id="4"/>
      </w:r>
      <w:r>
        <w:rPr>
          <w:rFonts w:ascii="Times New Roman" w:hAnsi="Times New Roman"/>
          <w:noProof/>
          <w:spacing w:val="-6"/>
          <w:vertAlign w:val="superscript"/>
        </w:rPr>
        <w:t>.</w:t>
      </w:r>
    </w:p>
    <w:p>
      <w:pPr>
        <w:pStyle w:val="Body"/>
        <w:numPr>
          <w:ilvl w:val="0"/>
          <w:numId w:val="3"/>
        </w:numPr>
        <w:spacing w:before="100" w:beforeAutospacing="1" w:after="0"/>
        <w:rPr>
          <w:noProof/>
        </w:rPr>
      </w:pPr>
      <w:r>
        <w:rPr>
          <w:rFonts w:ascii="Times New Roman" w:hAnsi="Times New Roman"/>
          <w:noProof/>
        </w:rPr>
        <w:t>Той регламентира търговията със стоки – химикали и фармацевтични вещества (приложение IV), които биха могли да се използват с цел изпълнение на смъртно наказание (напр. продукти, които биха могли да се използват за екзекутиране на хора чрез поставянето на инжекция със смъртоносна доза).</w:t>
      </w:r>
      <w:r>
        <w:rPr>
          <w:rFonts w:ascii="Times New Roman" w:hAnsi="Times New Roman"/>
          <w:noProof/>
          <w:sz w:val="20"/>
          <w:szCs w:val="20"/>
        </w:rPr>
        <w:t xml:space="preserve"> </w:t>
      </w:r>
      <w:r>
        <w:rPr>
          <w:rFonts w:ascii="Times New Roman" w:hAnsi="Times New Roman"/>
          <w:noProof/>
        </w:rPr>
        <w:t xml:space="preserve">Беше въведено конкретно разрешително с лиценз („генерално разрешение на ЕС за износ“), с което да се контролира износът на такива анестетични химикали и да се предотвратява тяхното предаване за употреба с цел екзекутиране чрез поставянето на инжекция със смъртоносна доза, без да се ограничава тяхната търговия за медицински, ветеринарни или други законни цели. </w:t>
      </w:r>
    </w:p>
    <w:p>
      <w:pPr>
        <w:pStyle w:val="Body"/>
        <w:spacing w:before="200" w:after="0"/>
        <w:rPr>
          <w:rFonts w:ascii="Times New Roman" w:hAnsi="Times New Roman"/>
          <w:noProof/>
        </w:rPr>
      </w:pPr>
      <w:r>
        <w:rPr>
          <w:rFonts w:ascii="Times New Roman" w:hAnsi="Times New Roman"/>
          <w:noProof/>
        </w:rPr>
        <w:t>В приложения II, III и IV към Регламента се съдържат списъци на забранените и контролираните стоки.</w:t>
      </w:r>
    </w:p>
    <w:p>
      <w:pPr>
        <w:pStyle w:val="ListParagraph"/>
        <w:numPr>
          <w:ilvl w:val="0"/>
          <w:numId w:val="1"/>
        </w:numPr>
        <w:spacing w:before="100" w:beforeAutospacing="1"/>
        <w:contextualSpacing w:val="0"/>
        <w:jc w:val="both"/>
        <w:rPr>
          <w:b/>
          <w:noProof/>
        </w:rPr>
      </w:pPr>
      <w:r>
        <w:rPr>
          <w:b/>
          <w:noProof/>
        </w:rPr>
        <w:t>Дейности на координационната група за борба с изтезанията</w:t>
      </w:r>
    </w:p>
    <w:p>
      <w:pPr>
        <w:pStyle w:val="ListParagraph"/>
        <w:spacing w:before="240"/>
        <w:ind w:left="0"/>
        <w:contextualSpacing w:val="0"/>
        <w:jc w:val="both"/>
        <w:rPr>
          <w:noProof/>
        </w:rPr>
      </w:pPr>
      <w:r>
        <w:rPr>
          <w:noProof/>
        </w:rPr>
        <w:t>Координационната група за борба с изтезанията бе създадена съгласно Регламент (ЕС) 2016/2134 на Европейския парламент и на Съвета, за да разглежда въпроси, свързани с прилагането на Регламента.</w:t>
      </w:r>
    </w:p>
    <w:p>
      <w:pPr>
        <w:pStyle w:val="ListParagraph"/>
        <w:spacing w:before="240"/>
        <w:ind w:left="0"/>
        <w:contextualSpacing w:val="0"/>
        <w:jc w:val="both"/>
        <w:rPr>
          <w:noProof/>
        </w:rPr>
      </w:pPr>
      <w:r>
        <w:rPr>
          <w:noProof/>
        </w:rPr>
        <w:t>Тя служи като средище за експертите на държавите членки и за Комисията за обмен на информация относно административни практики и за обсъждане на въпроси, свързани с тълкуването на Регламента, технически въпроси във връзка с изброените стоки, промени, свързани с Регламента, и други въпроси, които могат да възникнат. При изготвянето на делегирани актове Комисията също се консултира с групата в съответствие с принципите, заложени в Междуинституционалното споразумение от 13 април 2016 г. за по-добро законотворчество (</w:t>
      </w:r>
      <w:r>
        <w:rPr>
          <w:noProof/>
          <w:vertAlign w:val="superscript"/>
        </w:rPr>
        <w:footnoteReference w:id="5"/>
      </w:r>
      <w:r>
        <w:rPr>
          <w:noProof/>
        </w:rPr>
        <w:t>).</w:t>
      </w:r>
    </w:p>
    <w:p>
      <w:pPr>
        <w:spacing w:before="240"/>
        <w:jc w:val="both"/>
        <w:rPr>
          <w:noProof/>
        </w:rPr>
      </w:pPr>
      <w:r>
        <w:rPr>
          <w:noProof/>
        </w:rPr>
        <w:t>През 2019 г. Координационната група за борба с изтезанията проведе две заседания — на 29 април и 17 декември, с цел обмен на информация по редица обобщени по-долу въпроси във връзка с прилагането на регламента.</w:t>
      </w:r>
    </w:p>
    <w:p>
      <w:pPr>
        <w:pStyle w:val="ListParagraph"/>
        <w:numPr>
          <w:ilvl w:val="1"/>
          <w:numId w:val="1"/>
        </w:numPr>
        <w:spacing w:before="100" w:beforeAutospacing="1"/>
        <w:contextualSpacing w:val="0"/>
        <w:jc w:val="both"/>
        <w:rPr>
          <w:b/>
          <w:noProof/>
        </w:rPr>
      </w:pPr>
      <w:r>
        <w:rPr>
          <w:b/>
          <w:noProof/>
        </w:rPr>
        <w:t>Развития във връзка с основния акт</w:t>
      </w:r>
    </w:p>
    <w:p>
      <w:pPr>
        <w:spacing w:before="100" w:beforeAutospacing="1"/>
        <w:jc w:val="both"/>
        <w:rPr>
          <w:rFonts w:eastAsia="Times New Roman"/>
          <w:noProof/>
          <w:spacing w:val="-6"/>
        </w:rPr>
      </w:pPr>
      <w:r>
        <w:rPr>
          <w:noProof/>
        </w:rPr>
        <w:t xml:space="preserve">Координационната група за борба с изтезанията бе информирана за развитията във връзка с основния акт, а именно кодификацията на Регламент (ЕО) № 1236/2005 с </w:t>
      </w:r>
      <w:r>
        <w:rPr>
          <w:noProof/>
          <w:spacing w:val="-6"/>
        </w:rPr>
        <w:t>Регламент (ЕС) 2019/125 на Европейския парламент и на Съвета от 16 януари 2019 г. Първоначалният Регламент (ЕО) № 1236/2005 е бил неколкократно и съществено изменян в периода между 2005 и 2018 г. За по-голяма яснота и правна сигурност той бе кодифициран. С кодифицирания регламент се отменя Регламент (ЕО) № 1236/2005 и се консолидират всички негови изменения, но не се изменят списъците на контролираните стоки.</w:t>
      </w:r>
    </w:p>
    <w:p>
      <w:pPr>
        <w:spacing w:before="240"/>
        <w:jc w:val="both"/>
        <w:rPr>
          <w:rFonts w:eastAsia="Times New Roman"/>
          <w:noProof/>
          <w:spacing w:val="-4"/>
        </w:rPr>
      </w:pPr>
      <w:r>
        <w:rPr>
          <w:noProof/>
          <w:spacing w:val="-4"/>
        </w:rPr>
        <w:t>Комисията също така информира Координационната група за борба с изтезанията и впоследствие се консултира с нея по проект на делегиран акт за изменение на: i) списъка на компетентните органи (изброени в приложение I) и ii) списъка на местоназначенията, за които се прилага генералното разрешение на Съюза за износ (приложение V) (като се добавят Гамбия и Мадагаскар). Досега подходът се състоеше в включването на държава извън ЕС в приложение V, ако тя е ратифицирала съответното международно споразумение с ангажимент за премахване на смъртното наказание за всички престъпления. За държави, които не са членки на Съвета на Европа, това означава, че въпросната държава трябва да е ратифицирала Втория факултативен протокол към Международния пакт за граждански и политически права (МПГПП) без резерви (</w:t>
      </w:r>
      <w:r>
        <w:rPr>
          <w:rFonts w:eastAsia="Times New Roman"/>
          <w:noProof/>
          <w:spacing w:val="-4"/>
          <w:vertAlign w:val="superscript"/>
          <w:lang w:eastAsia="en-GB"/>
        </w:rPr>
        <w:footnoteReference w:id="6"/>
      </w:r>
      <w:r>
        <w:rPr>
          <w:noProof/>
          <w:spacing w:val="-4"/>
        </w:rPr>
        <w:t>). Гамбия ратифицира без резерви Втория факултативен протокол към МПГПП. Същото се отнася и за Мадагаскар и държавите, добавени преди това към списъка през 2017 г.</w:t>
      </w:r>
      <w:r>
        <w:rPr>
          <w:rStyle w:val="FootnoteReference"/>
          <w:rFonts w:eastAsia="Times New Roman"/>
          <w:noProof/>
          <w:spacing w:val="-4"/>
          <w:lang w:eastAsia="en-GB"/>
        </w:rPr>
        <w:footnoteReference w:id="7"/>
      </w:r>
      <w:r>
        <w:rPr>
          <w:noProof/>
          <w:spacing w:val="-4"/>
        </w:rPr>
        <w:t>.</w:t>
      </w:r>
    </w:p>
    <w:p>
      <w:pPr>
        <w:pStyle w:val="ListParagraph"/>
        <w:keepNext/>
        <w:numPr>
          <w:ilvl w:val="1"/>
          <w:numId w:val="1"/>
        </w:numPr>
        <w:spacing w:before="100" w:beforeAutospacing="1"/>
        <w:ind w:left="788" w:hanging="431"/>
        <w:contextualSpacing w:val="0"/>
        <w:jc w:val="both"/>
        <w:rPr>
          <w:b/>
          <w:noProof/>
        </w:rPr>
      </w:pPr>
      <w:r>
        <w:rPr>
          <w:b/>
          <w:noProof/>
        </w:rPr>
        <w:t>Търговска информация: докладване на данните</w:t>
      </w:r>
    </w:p>
    <w:p>
      <w:pPr>
        <w:spacing w:before="240"/>
        <w:jc w:val="both"/>
        <w:rPr>
          <w:rFonts w:eastAsia="Times New Roman"/>
          <w:noProof/>
        </w:rPr>
      </w:pPr>
      <w:r>
        <w:rPr>
          <w:noProof/>
        </w:rPr>
        <w:t>Заедно с членовете на Координационната група за борба с изтезанията Комисията направи преглед на състоянието на получените и неполучените данни от държавите — членки на ЕС, за предходните години (2017 г. и 2018 г.), за да подготви годишния доклад на Комисията в съответствие с член 31, параграф 4 от Регламент (ЕС) 2019/125. Комисията подчерта необходимостта всички държави членки да докладват, дори ако не е издадено или отказано разрешение за износ.</w:t>
      </w:r>
    </w:p>
    <w:p>
      <w:pPr>
        <w:spacing w:before="240"/>
        <w:jc w:val="both"/>
        <w:rPr>
          <w:rFonts w:eastAsia="Times New Roman"/>
          <w:noProof/>
        </w:rPr>
      </w:pPr>
      <w:r>
        <w:rPr>
          <w:noProof/>
        </w:rPr>
        <w:t>В по-широкия контекст на процеса на докладване Комисията заедно с Координационната група за борба с изтезанията разгледа възможността тя да обхване въпроси като: i) информация относно разрешенията във връзка с брокерските услуги и с техническата помощ и ii) информация относно използването на генералното разрешение на Съюза за износ. Координационната група за борба с изтезанията обсъди и възможността за включване на крайния потребител в редовното докладване. Един национален компетентен орган изрази мнение, че такава информация следва да се предоставя на Комисията само при поискване, в съответствие с член 26, параграф 2.</w:t>
      </w:r>
    </w:p>
    <w:p>
      <w:pPr>
        <w:spacing w:before="240"/>
        <w:jc w:val="both"/>
        <w:rPr>
          <w:rFonts w:eastAsia="Times New Roman"/>
          <w:noProof/>
        </w:rPr>
      </w:pPr>
      <w:r>
        <w:rPr>
          <w:noProof/>
        </w:rPr>
        <w:t>Въз основа на гореизложеното Комисията информира Координационната група за борба с изтезанията за намерението си да актуализира формуляра за докладване, за да включи по-широк набор от данни, при подготовката на докладването за 2019 г.</w:t>
      </w:r>
    </w:p>
    <w:p>
      <w:pPr>
        <w:pStyle w:val="ListParagraph"/>
        <w:numPr>
          <w:ilvl w:val="1"/>
          <w:numId w:val="1"/>
        </w:numPr>
        <w:spacing w:before="100" w:beforeAutospacing="1"/>
        <w:contextualSpacing w:val="0"/>
        <w:jc w:val="both"/>
        <w:rPr>
          <w:b/>
          <w:noProof/>
        </w:rPr>
      </w:pPr>
      <w:r>
        <w:rPr>
          <w:b/>
          <w:noProof/>
        </w:rPr>
        <w:t xml:space="preserve">Преразглеждане на Регламент (ЕС) № 2019/125 </w:t>
      </w:r>
    </w:p>
    <w:p>
      <w:pPr>
        <w:spacing w:before="100" w:beforeAutospacing="1"/>
        <w:jc w:val="both"/>
        <w:rPr>
          <w:rFonts w:eastAsia="Times New Roman"/>
          <w:noProof/>
        </w:rPr>
      </w:pPr>
      <w:r>
        <w:rPr>
          <w:noProof/>
        </w:rPr>
        <w:t xml:space="preserve">Комисията информира Координационната група за борба с изтезанията за процеса на преразглеждане на регламента, както е посочено в член 32. В съответствие с насоките за по-добро регулиране през юли 2019 г. Комисията публикува пътна карта, в която се очертават обхватът на дейността, условията на консултация и участието на заинтересованите страни, както и ориентировъчен график. Тя също така информира Координационната група за борба с изтезанията, че като част от прегледа (и в съответствие с член 32 от регламента) търси информация за конкретни части от регламента: санкциите, посочени в член 33, и допълнителните национални мерки, посочени в членове 10 и 14. </w:t>
      </w:r>
    </w:p>
    <w:p>
      <w:pPr>
        <w:spacing w:before="100" w:beforeAutospacing="1"/>
        <w:jc w:val="both"/>
        <w:rPr>
          <w:rFonts w:eastAsia="Times New Roman"/>
          <w:noProof/>
        </w:rPr>
      </w:pPr>
      <w:r>
        <w:rPr>
          <w:noProof/>
        </w:rPr>
        <w:t xml:space="preserve">Комисията прикани Координационната група за борба с изтезанията да участва в процеса на преглед, като ѝ предаде вижданията, коментарите, предложенията и информацията за най-добрите практики на държавите членки, както и пропуските, които е възможно те да са установили при ежедневното прилагане на регламента. Бяха направени предложения за изготвяне на насоки за оценка на риска или за въвеждане на система за обмен на мнения в подходящ формат относно местоназначенията за износ. </w:t>
      </w:r>
    </w:p>
    <w:p>
      <w:pPr>
        <w:spacing w:before="100" w:beforeAutospacing="1"/>
        <w:jc w:val="both"/>
        <w:rPr>
          <w:rFonts w:eastAsia="Times New Roman"/>
          <w:noProof/>
        </w:rPr>
      </w:pPr>
      <w:r>
        <w:rPr>
          <w:noProof/>
        </w:rPr>
        <w:t>Координационната група за борба с изтезанията беше приканена също така да повиши осведомеността относно обществената консултация и да получи информация от други части на техните администрации, когато това е целесъобразно.</w:t>
      </w:r>
    </w:p>
    <w:p>
      <w:pPr>
        <w:pStyle w:val="ListParagraph"/>
        <w:keepNext/>
        <w:numPr>
          <w:ilvl w:val="1"/>
          <w:numId w:val="1"/>
        </w:numPr>
        <w:spacing w:before="100" w:beforeAutospacing="1"/>
        <w:ind w:left="788" w:hanging="431"/>
        <w:contextualSpacing w:val="0"/>
        <w:jc w:val="both"/>
        <w:rPr>
          <w:b/>
          <w:noProof/>
        </w:rPr>
      </w:pPr>
      <w:r>
        <w:rPr>
          <w:b/>
          <w:noProof/>
        </w:rPr>
        <w:t>Алианс срещу търговията със стоки, използвани с цел изтезания</w:t>
      </w:r>
    </w:p>
    <w:p>
      <w:pPr>
        <w:spacing w:before="100" w:beforeAutospacing="1"/>
        <w:jc w:val="both"/>
        <w:rPr>
          <w:rFonts w:eastAsia="Times New Roman"/>
          <w:noProof/>
        </w:rPr>
      </w:pPr>
      <w:r>
        <w:rPr>
          <w:noProof/>
        </w:rPr>
        <w:t>Комисията представи осъвременена информация относно актуалното състояние на Алианса срещу търговията със стоки, използвани с цел изтезания, и по-специално приемането на 28 юни 2019 г. на резолюцията на Общото събрание на ООН „</w:t>
      </w:r>
      <w:r>
        <w:rPr>
          <w:i/>
          <w:noProof/>
        </w:rPr>
        <w:t>Към прекратяване на търговията със стоки, използвани за изтезания: проучване на осъществимостта, обхвата и параметрите на евентуални общи международни стандарти“</w:t>
      </w:r>
      <w:r>
        <w:rPr>
          <w:rFonts w:eastAsia="Times New Roman"/>
          <w:noProof/>
          <w:vertAlign w:val="superscript"/>
          <w:lang w:eastAsia="en-GB"/>
        </w:rPr>
        <w:footnoteReference w:id="8"/>
      </w:r>
      <w:r>
        <w:rPr>
          <w:noProof/>
        </w:rPr>
        <w:t>. Резолюцията постави основите на работата на ООН в тази област в бъдеще. Комисията демонстрира своя ангажимент за премахване на стоките, използвани с цел изтезания, от търговията, като подкрепи работата на Службата на върховния комисар на ООН по правата на човека за проследяване на изпълнението на резолюцията.</w:t>
      </w:r>
    </w:p>
    <w:p>
      <w:pPr>
        <w:spacing w:before="100" w:beforeAutospacing="1"/>
        <w:jc w:val="both"/>
        <w:rPr>
          <w:rFonts w:eastAsia="Times New Roman"/>
          <w:noProof/>
          <w:color w:val="00B050"/>
          <w:lang w:eastAsia="en-GB"/>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1844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pPr>
      <w:r>
        <w:rPr>
          <w:vertAlign w:val="superscript"/>
        </w:rPr>
        <w:footnoteRef/>
      </w:r>
      <w:r>
        <w:rPr>
          <w:vertAlign w:val="superscript"/>
        </w:rPr>
        <w:t xml:space="preserve"> </w:t>
      </w:r>
      <w:r>
        <w:t>Регламентът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отнасяне или наказание, беше приет на 30 юли 2005 г. (Регламент (ЕО) № 1236/2005). Той беше изменен няколко пъти, за последно с Регламент (ЕС) 2016/2134 от 23 ноември 2016 г. и впоследствие кодифициран като Регламент (ЕС) 2019/125 от 16 януари 2019 г. (OВ L 30, 31.1.2019 г., стр. 1).</w:t>
      </w:r>
    </w:p>
  </w:footnote>
  <w:footnote w:id="2">
    <w:p>
      <w:pPr>
        <w:pStyle w:val="FootnoteText"/>
        <w:jc w:val="both"/>
      </w:pPr>
      <w:r>
        <w:rPr>
          <w:vertAlign w:val="superscript"/>
        </w:rPr>
        <w:footnoteRef/>
      </w:r>
      <w:r>
        <w:rPr>
          <w:vertAlign w:val="superscript"/>
        </w:rPr>
        <w:t xml:space="preserve"> </w:t>
      </w:r>
      <w:r>
        <w:t>Регламент (ЕС) № 258/2012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 ОВ L 94, 30.3.2012 г., стр. 1.</w:t>
      </w:r>
    </w:p>
  </w:footnote>
  <w:footnote w:id="3">
    <w:p>
      <w:pPr>
        <w:pStyle w:val="FootnoteText"/>
        <w:jc w:val="both"/>
      </w:pPr>
      <w:r>
        <w:rPr>
          <w:sz w:val="22"/>
          <w:szCs w:val="22"/>
          <w:vertAlign w:val="superscript"/>
        </w:rPr>
        <w:footnoteRef/>
      </w:r>
      <w:r>
        <w:rPr>
          <w:sz w:val="22"/>
          <w:szCs w:val="22"/>
          <w:vertAlign w:val="superscript"/>
        </w:rPr>
        <w:t xml:space="preserve"> </w:t>
      </w:r>
      <w:r>
        <w:t>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 ОВ L 134, 29.5.2009 г., стр. 1.</w:t>
      </w:r>
    </w:p>
  </w:footnote>
  <w:footnote w:id="4">
    <w:p>
      <w:pPr>
        <w:pStyle w:val="FootnoteText"/>
        <w:jc w:val="both"/>
      </w:pPr>
      <w:r>
        <w:rPr>
          <w:vertAlign w:val="superscript"/>
        </w:rPr>
        <w:footnoteRef/>
      </w:r>
      <w:r>
        <w:t xml:space="preserve"> Обща позиция 2008/944/ОВППС на Съвета, определяща общи правила за режим на контрол върху износа на военни технологии и оборудване (ОВППС) (2020/C 85/01), ОВ, C 85, 13.3.2020 г., стр. 1–37</w:t>
      </w:r>
      <w:r>
        <w:rPr>
          <w:rFonts w:ascii="Calibri" w:hAnsi="Calibri"/>
          <w:color w:val="44546A" w:themeColor="text2"/>
        </w:rPr>
        <w:t>.</w:t>
      </w:r>
    </w:p>
  </w:footnote>
  <w:footnote w:id="5">
    <w:p>
      <w:pPr>
        <w:pStyle w:val="FootnoteText"/>
        <w:ind w:left="709" w:hanging="709"/>
        <w:jc w:val="both"/>
      </w:pPr>
      <w:r>
        <w:rPr>
          <w:vertAlign w:val="superscript"/>
        </w:rPr>
        <w:footnoteRef/>
      </w:r>
      <w:r>
        <w:t xml:space="preserve"> ОВ L 123, 12.5.2016 г., стр. 1.</w:t>
      </w:r>
    </w:p>
  </w:footnote>
  <w:footnote w:id="6">
    <w:p>
      <w:pPr>
        <w:pStyle w:val="FootnoteText"/>
        <w:jc w:val="both"/>
      </w:pPr>
      <w:r>
        <w:rPr>
          <w:vertAlign w:val="superscript"/>
        </w:rPr>
        <w:footnoteRef/>
      </w:r>
      <w:r>
        <w:t xml:space="preserve"> В член 2 от Втория факултативен протокол към Международния пакт за граждански и политически права се посочва, че към момента на ратификация или присъединяване дадена държава може да направи резерва, която предвижда прилагането на смъртно наказание по време на война (въз основа на присъда за най-тежко престъпление от военен характер, извършено по време на война).</w:t>
      </w:r>
    </w:p>
  </w:footnote>
  <w:footnote w:id="7">
    <w:p>
      <w:pPr>
        <w:pStyle w:val="FootnoteText"/>
        <w:jc w:val="both"/>
      </w:pPr>
      <w:r>
        <w:rPr>
          <w:rStyle w:val="FootnoteReference"/>
        </w:rPr>
        <w:footnoteRef/>
      </w:r>
      <w:r>
        <w:t xml:space="preserve"> Регламент (ЕО) № 2018/181 от 18 октомври 2017 г. за добавяне на Доминиканската република, Сао Томе и Принсипи и Того.</w:t>
      </w:r>
    </w:p>
  </w:footnote>
  <w:footnote w:id="8">
    <w:p>
      <w:pPr>
        <w:pStyle w:val="FootnoteText"/>
        <w:jc w:val="both"/>
      </w:pPr>
      <w:r>
        <w:rPr>
          <w:vertAlign w:val="superscript"/>
        </w:rPr>
        <w:footnoteRef/>
      </w:r>
      <w:r>
        <w:rPr>
          <w:vertAlign w:val="superscript"/>
        </w:rPr>
        <w:t xml:space="preserve"> </w:t>
      </w:r>
      <w:r>
        <w:t>Резолюция A/73/L.94: „</w:t>
      </w:r>
      <w:r>
        <w:rPr>
          <w:i/>
        </w:rPr>
        <w:t>Към прекратяване на търговията със стоки, използвани за изтезания: проучване на осъществимостта, обхвата и параметрите на евентуални общи международни стандарти“</w:t>
      </w:r>
      <w:r>
        <w:t>, приета от Общото събрание на ООН на 28 юни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E1094"/>
    <w:multiLevelType w:val="hybridMultilevel"/>
    <w:tmpl w:val="ACB41A52"/>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37447D"/>
    <w:multiLevelType w:val="multilevel"/>
    <w:tmpl w:val="C52EEA9C"/>
    <w:lvl w:ilvl="0">
      <w:start w:val="1"/>
      <w:numFmt w:val="decimal"/>
      <w:pStyle w:val="HeaderSensitivityRight"/>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26235FC"/>
    <w:multiLevelType w:val="hybridMultilevel"/>
    <w:tmpl w:val="F47A7C1C"/>
    <w:lvl w:ilvl="0" w:tplc="B57E49A0">
      <w:start w:val="1"/>
      <w:numFmt w:val="lowerRoman"/>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E744AC"/>
    <w:multiLevelType w:val="hybridMultilevel"/>
    <w:tmpl w:val="BF000A60"/>
    <w:lvl w:ilvl="0" w:tplc="FEA238E2">
      <w:start w:val="1"/>
      <w:numFmt w:val="lowerRoman"/>
      <w:lvlText w:val="%1)"/>
      <w:lvlJc w:val="left"/>
      <w:pPr>
        <w:ind w:left="1080" w:hanging="72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26EE05B-ADA3-4BF9-ACB3-1338E2527F50"/>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8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54? \u1045?\u1042?\u1056?\u1054?\u1055?\u1045?\u1049?\u1057?\u1050?\u1048?\u1071? \u1055?\u1040?\u1056?\u1051?\u1040?\u1052?\u1045?\u1053?\u1058?_x000b__x000d__x000d__x000b__x000d__x000d__x000b_\u1086?\u1090?\u1085?\u1086?\u1089?\u1085?\u1086? \u1076?\u1077?\u1081?\u1085?\u1086?\u1089?\u1090?\u1080?\u1090?\u1077? \u1080? \u1082?\u1086?\u1085?\u1089?\u1091?\u1083?\u1090?\u1072?\u1094?\u1080?\u1080?\u1090?\u1077? \u1085?\u1072? \u1082?\u1086?\u1086?\u1088?\u1076?\u1080?\u1085?\u1072?\u1094?\u1080?\u1086?\u1085?\u1085?\u1072?\u1090?\u1072? \u1075?\u1088?\u1091?\u1087?\u1072? \u1079?\u1072? \u1073?\u1086?\u1088?\u1073?\u1072? \u1089? \u1080?\u1079?\u1090?\u1077?\u1079?\u1072?\u1085?\u1080?\u1103?\u1090?\u1072?, \u1087?\u1086?\u1089?\u1086?\u1095?\u1077?\u1085?\u1072? \u1074? \u1095?\u1083?\u1077?\u1085? 31 \u1086?\u1090? \u1056?\u1077?\u1075?\u1083?\u1072?\u1084?\u1077?\u1085?\u1090? (\u1045?\u1057?) 2019/125 \u1086?\u1090?\u1085?\u1086?\u1089?\u1085?\u1086? \u1090?\u1098?\u1088?\u1075?\u1086?\u1074?\u1080?\u1103?\u1090?\u1072? \u1089? \u1085?\u1103?\u1082?\u1086?\u1080? \u1089?\u1090?\u1086?\u1082?\u1080?, \u1082?\u1086?\u1080?\u1090?\u1086? \u1073?\u1080?\u1093?\u1072? \u1084?\u1086?\u1075?\u1083?\u1080? \u1076?\u1072? \u1073?\u1098?\u1076?\u1072?\u1090? \u1080?\u1079?\u1087?\u1086?\u1083?\u1079?\u1074?\u1072?\u1085?\u1080? \u1089? \u1094?\u1077?\u1083? \u1080?\u1079?\u1087?\u1098?\u1083?\u1085?\u1077?\u1085?\u1080?\u1077? \u1085?\u1072? \u1089?\u1084?\u1098?\u1088?\u1090?\u1085?\u1086? \u1085?\u1072?\u1082?\u1072?\u1079?\u1072?\u1085?\u1080?\u1077?, \u1080?\u1079?\u1090?\u1077?\u1079?\u1072?\u1085?\u1080?\u1103? \u1080?\u1083?\u1080? \u1076?\u1088?\u1091?\u1075?\u1080? \u1092?\u1086?\u1088?\u1084?\u1080? \u1085?\u1072? \u1078?\u1077?\u1089?\u1090?\u1086?\u1082?\u1086?, \u1085?\u1077?\u1095?\u1086?\u1074?\u1077?\u1096?\u1082?\u1086? \u1080?\u1083?\u1080? \u1091?\u1085?\u1080?\u1079?\u1080?\u1090?\u1077?\u1083?\u1085?\u1086? \u1086?\u1090?\u1085?\u1086?\u1096?\u1077?\u1085?\u1080?\u1077? \u1080?\u1083?\u1080? \u1085?\u1072?\u1082?\u1072?\u1079?\u1072?\u1085?\u1080?\u1077?_x000b_"/>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hAnsi="Times New Roman" w:cs="Times New Roman"/>
      <w:sz w:val="20"/>
      <w:szCs w:val="20"/>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bg-BG"/>
    </w:rPr>
  </w:style>
  <w:style w:type="paragraph" w:styleId="NormalWeb">
    <w:name w:val="Normal (Web)"/>
    <w:basedOn w:val="Normal"/>
    <w:uiPriority w:val="99"/>
    <w:unhideWhenUsed/>
    <w:pPr>
      <w:spacing w:after="150"/>
    </w:pPr>
    <w:rPr>
      <w:rFonts w:eastAsia="Times New Roman"/>
      <w:lang w:eastAsia="en-GB"/>
    </w:rPr>
  </w:style>
  <w:style w:type="paragraph" w:customStyle="1" w:styleId="Body">
    <w:name w:val="Body"/>
    <w:basedOn w:val="Normal"/>
    <w:link w:val="BodyChar"/>
    <w:qFormat/>
    <w:pPr>
      <w:spacing w:before="120" w:after="120"/>
      <w:jc w:val="both"/>
    </w:pPr>
    <w:rPr>
      <w:rFonts w:ascii="EC Square Sans Pro" w:eastAsia="Times New Roman" w:hAnsi="EC Square Sans Pro"/>
    </w:rPr>
  </w:style>
  <w:style w:type="character" w:customStyle="1" w:styleId="BodyChar">
    <w:name w:val="Body Char"/>
    <w:link w:val="Body"/>
    <w:rPr>
      <w:rFonts w:ascii="EC Square Sans Pro" w:eastAsia="Times New Roman" w:hAnsi="EC Square Sans Pro" w:cs="Times New Roman"/>
      <w:sz w:val="24"/>
      <w:szCs w:val="24"/>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ListParagraphChar">
    <w:name w:val="List Paragraph Char"/>
    <w:basedOn w:val="DefaultParagraphFont"/>
    <w:link w:val="ListParagraph"/>
    <w:uiPriority w:val="34"/>
    <w:rPr>
      <w:rFonts w:ascii="Times New Roman" w:hAnsi="Times New Roman" w:cs="Times New Roman"/>
      <w:sz w:val="24"/>
      <w:szCs w:val="24"/>
      <w:lang w:val="bg-BG"/>
    </w:rPr>
  </w:style>
  <w:style w:type="character" w:customStyle="1" w:styleId="FooterCoverPageChar">
    <w:name w:val="Footer Cover Page Char"/>
    <w:basedOn w:val="ListParagraphChar"/>
    <w:link w:val="FooterCoverPage"/>
    <w:rPr>
      <w:rFonts w:ascii="Times New Roman" w:hAnsi="Times New Roman" w:cs="Times New Roman"/>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lang w:val="bg-BG"/>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hAnsi="Times New Roman" w:cs="Times New Roman"/>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lang w:val="bg-BG"/>
    </w:rPr>
  </w:style>
  <w:style w:type="paragraph" w:customStyle="1" w:styleId="HeaderSensitivityRight">
    <w:name w:val="Header Sensitivity Right"/>
    <w:basedOn w:val="Normal"/>
    <w:link w:val="HeaderSensitivityRightChar"/>
    <w:pPr>
      <w:numPr>
        <w:numId w:val="1"/>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szCs w:val="24"/>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hAnsi="Times New Roman" w:cs="Times New Roman"/>
      <w:sz w:val="20"/>
      <w:szCs w:val="20"/>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bg-BG"/>
    </w:rPr>
  </w:style>
  <w:style w:type="paragraph" w:styleId="NormalWeb">
    <w:name w:val="Normal (Web)"/>
    <w:basedOn w:val="Normal"/>
    <w:uiPriority w:val="99"/>
    <w:unhideWhenUsed/>
    <w:pPr>
      <w:spacing w:after="150"/>
    </w:pPr>
    <w:rPr>
      <w:rFonts w:eastAsia="Times New Roman"/>
      <w:lang w:eastAsia="en-GB"/>
    </w:rPr>
  </w:style>
  <w:style w:type="paragraph" w:customStyle="1" w:styleId="Body">
    <w:name w:val="Body"/>
    <w:basedOn w:val="Normal"/>
    <w:link w:val="BodyChar"/>
    <w:qFormat/>
    <w:pPr>
      <w:spacing w:before="120" w:after="120"/>
      <w:jc w:val="both"/>
    </w:pPr>
    <w:rPr>
      <w:rFonts w:ascii="EC Square Sans Pro" w:eastAsia="Times New Roman" w:hAnsi="EC Square Sans Pro"/>
    </w:rPr>
  </w:style>
  <w:style w:type="character" w:customStyle="1" w:styleId="BodyChar">
    <w:name w:val="Body Char"/>
    <w:link w:val="Body"/>
    <w:rPr>
      <w:rFonts w:ascii="EC Square Sans Pro" w:eastAsia="Times New Roman" w:hAnsi="EC Square Sans Pro" w:cs="Times New Roman"/>
      <w:sz w:val="24"/>
      <w:szCs w:val="24"/>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ListParagraphChar">
    <w:name w:val="List Paragraph Char"/>
    <w:basedOn w:val="DefaultParagraphFont"/>
    <w:link w:val="ListParagraph"/>
    <w:uiPriority w:val="34"/>
    <w:rPr>
      <w:rFonts w:ascii="Times New Roman" w:hAnsi="Times New Roman" w:cs="Times New Roman"/>
      <w:sz w:val="24"/>
      <w:szCs w:val="24"/>
      <w:lang w:val="bg-BG"/>
    </w:rPr>
  </w:style>
  <w:style w:type="character" w:customStyle="1" w:styleId="FooterCoverPageChar">
    <w:name w:val="Footer Cover Page Char"/>
    <w:basedOn w:val="ListParagraphChar"/>
    <w:link w:val="FooterCoverPage"/>
    <w:rPr>
      <w:rFonts w:ascii="Times New Roman" w:hAnsi="Times New Roman" w:cs="Times New Roman"/>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lang w:val="bg-BG"/>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hAnsi="Times New Roman" w:cs="Times New Roman"/>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lang w:val="bg-BG"/>
    </w:rPr>
  </w:style>
  <w:style w:type="paragraph" w:customStyle="1" w:styleId="HeaderSensitivityRight">
    <w:name w:val="Header Sensitivity Right"/>
    <w:basedOn w:val="Normal"/>
    <w:link w:val="HeaderSensitivityRightChar"/>
    <w:pPr>
      <w:numPr>
        <w:numId w:val="1"/>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szCs w:val="24"/>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1FCA-06F4-4F94-9A1E-9C8371F007EC}">
  <ds:schemaRefs>
    <ds:schemaRef ds:uri="http://schemas.microsoft.com/sharepoint/v3/contenttype/forms"/>
  </ds:schemaRefs>
</ds:datastoreItem>
</file>

<file path=customXml/itemProps2.xml><?xml version="1.0" encoding="utf-8"?>
<ds:datastoreItem xmlns:ds="http://schemas.openxmlformats.org/officeDocument/2006/customXml" ds:itemID="{DD26AA58-5102-453B-B1C0-9C00EA21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4D7BF-2FB1-4CA0-814A-20833CB0CEEB}">
  <ds:schemaRefs>
    <ds:schemaRef ds:uri="http://purl.org/dc/terms/"/>
    <ds:schemaRef ds:uri="http://schemas.microsoft.com/office/infopath/2007/PartnerControls"/>
    <ds:schemaRef ds:uri="541a8a8b-b856-4d35-a5c7-7f2c0ec3d499"/>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E3310A6-3061-4476-8EE2-D734E03F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1424</Words>
  <Characters>8166</Characters>
  <Application>Microsoft Office Word</Application>
  <DocSecurity>0</DocSecurity>
  <Lines>136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2020-12-10T08:41:00Z</dcterms:created>
  <dcterms:modified xsi:type="dcterms:W3CDTF">2020-12-14T11:40:00Z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0x010100087E4EC354ADFB40AC5D4FC129E379BA</vt:lpwstr>
  </property>
</Properties>
</file>