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4548C" w14:textId="71E0ED20" w:rsidR="00EA71B1" w:rsidRDefault="00B6517B" w:rsidP="00B6517B">
      <w:pPr>
        <w:pStyle w:val="Pagedecouverture"/>
        <w:rPr>
          <w:noProof/>
        </w:rPr>
      </w:pPr>
      <w:bookmarkStart w:id="0" w:name="LW_BM_COVERPAGE"/>
      <w:r>
        <w:rPr>
          <w:noProof/>
        </w:rPr>
        <w:pict w14:anchorId="50A3C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5C1725C-2B39-4B18-A74F-B9FB9BC6FBA8" style="width:450.5pt;height:375.5pt">
            <v:imagedata r:id="rId11" o:title=""/>
          </v:shape>
        </w:pict>
      </w:r>
    </w:p>
    <w:bookmarkEnd w:id="0"/>
    <w:p w14:paraId="542EDAE4" w14:textId="77777777" w:rsidR="00EA71B1" w:rsidRDefault="00EA71B1" w:rsidP="00EA71B1">
      <w:pPr>
        <w:rPr>
          <w:noProof/>
        </w:rPr>
        <w:sectPr w:rsidR="00EA71B1" w:rsidSect="00B6517B">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60"/>
        </w:sectPr>
      </w:pPr>
    </w:p>
    <w:p w14:paraId="3E7A9F1C" w14:textId="0FC358B5" w:rsidR="000162D3" w:rsidRDefault="000162D3" w:rsidP="00D44EAF">
      <w:pPr>
        <w:pStyle w:val="ListParagraph"/>
        <w:numPr>
          <w:ilvl w:val="0"/>
          <w:numId w:val="1"/>
        </w:numPr>
        <w:spacing w:before="100" w:beforeAutospacing="1"/>
        <w:contextualSpacing w:val="0"/>
        <w:rPr>
          <w:b/>
          <w:noProof/>
        </w:rPr>
      </w:pPr>
      <w:bookmarkStart w:id="1" w:name="_GoBack"/>
      <w:bookmarkEnd w:id="1"/>
      <w:r>
        <w:rPr>
          <w:b/>
          <w:noProof/>
        </w:rPr>
        <w:lastRenderedPageBreak/>
        <w:t>Introduction</w:t>
      </w:r>
    </w:p>
    <w:p w14:paraId="0CAA23BD" w14:textId="347BC160" w:rsidR="000162D3" w:rsidRDefault="000162D3" w:rsidP="00D44EAF">
      <w:pPr>
        <w:spacing w:before="100" w:beforeAutospacing="1"/>
        <w:jc w:val="both"/>
        <w:rPr>
          <w:rFonts w:eastAsia="Times New Roman"/>
          <w:noProof/>
          <w:lang w:eastAsia="en-GB"/>
        </w:rPr>
      </w:pPr>
      <w:r>
        <w:rPr>
          <w:rFonts w:eastAsia="Times New Roman"/>
          <w:noProof/>
          <w:lang w:eastAsia="en-GB"/>
        </w:rPr>
        <w:t>Article 31(4) of Regulation (EU) 2019/125 of 16 January 2019 concerning trade in certain goods which could be used for capital punishment, torture or other cruel, inhuman or degrading treatment or punishment</w:t>
      </w:r>
      <w:r w:rsidR="006063D7">
        <w:rPr>
          <w:rFonts w:eastAsia="Times New Roman"/>
          <w:noProof/>
          <w:lang w:eastAsia="en-GB"/>
        </w:rPr>
        <w:t xml:space="preserve"> (</w:t>
      </w:r>
      <w:r w:rsidRPr="0014597A">
        <w:rPr>
          <w:rFonts w:eastAsia="Times New Roman"/>
          <w:noProof/>
          <w:vertAlign w:val="superscript"/>
          <w:lang w:eastAsia="en-GB"/>
        </w:rPr>
        <w:footnoteReference w:id="1"/>
      </w:r>
      <w:r w:rsidR="006063D7">
        <w:rPr>
          <w:rFonts w:eastAsia="Times New Roman"/>
          <w:noProof/>
          <w:lang w:eastAsia="en-GB"/>
        </w:rPr>
        <w:t>)</w:t>
      </w:r>
      <w:r>
        <w:rPr>
          <w:rFonts w:eastAsia="Times New Roman"/>
          <w:noProof/>
          <w:lang w:eastAsia="en-GB"/>
        </w:rPr>
        <w:t xml:space="preserve"> (the Regulation) requires the Commission to submit a</w:t>
      </w:r>
      <w:r w:rsidR="007E035D">
        <w:rPr>
          <w:rFonts w:eastAsia="Times New Roman"/>
          <w:noProof/>
          <w:lang w:eastAsia="en-GB"/>
        </w:rPr>
        <w:t>n annual</w:t>
      </w:r>
      <w:r>
        <w:rPr>
          <w:rFonts w:eastAsia="Times New Roman"/>
          <w:noProof/>
          <w:lang w:eastAsia="en-GB"/>
        </w:rPr>
        <w:t xml:space="preserve"> report to the European Parliament on the activities, examinations and consultations of the Anti-Torture Coordination Group. </w:t>
      </w:r>
      <w:r w:rsidR="009E6CD7">
        <w:rPr>
          <w:rFonts w:eastAsia="Times New Roman"/>
          <w:noProof/>
          <w:lang w:eastAsia="en-GB"/>
        </w:rPr>
        <w:t>T</w:t>
      </w:r>
      <w:r>
        <w:rPr>
          <w:rFonts w:eastAsia="Times New Roman"/>
          <w:noProof/>
          <w:lang w:eastAsia="en-GB"/>
        </w:rPr>
        <w:t xml:space="preserve">he report </w:t>
      </w:r>
      <w:r w:rsidR="004E2FD8">
        <w:rPr>
          <w:rFonts w:eastAsia="Times New Roman"/>
          <w:noProof/>
          <w:lang w:eastAsia="en-GB"/>
        </w:rPr>
        <w:t xml:space="preserve">must </w:t>
      </w:r>
      <w:r>
        <w:rPr>
          <w:rFonts w:eastAsia="Times New Roman"/>
          <w:noProof/>
          <w:lang w:eastAsia="en-GB"/>
        </w:rPr>
        <w:t>not undermine the commercial interests of natural or legal persons.</w:t>
      </w:r>
    </w:p>
    <w:p w14:paraId="6916891E" w14:textId="77777777" w:rsidR="000162D3" w:rsidRDefault="0057777D" w:rsidP="00D44EAF">
      <w:pPr>
        <w:spacing w:before="100" w:beforeAutospacing="1"/>
        <w:jc w:val="both"/>
        <w:rPr>
          <w:rFonts w:eastAsia="Times New Roman"/>
          <w:noProof/>
          <w:lang w:eastAsia="en-GB"/>
        </w:rPr>
      </w:pPr>
      <w:r>
        <w:rPr>
          <w:noProof/>
        </w:rPr>
        <w:t>T</w:t>
      </w:r>
      <w:r w:rsidR="000162D3">
        <w:rPr>
          <w:noProof/>
        </w:rPr>
        <w:t xml:space="preserve">his report provides information on the activities of the </w:t>
      </w:r>
      <w:r w:rsidR="000162D3">
        <w:rPr>
          <w:rFonts w:eastAsia="Times New Roman"/>
          <w:noProof/>
          <w:lang w:eastAsia="en-GB"/>
        </w:rPr>
        <w:t>Anti-Torture Coordination Group in</w:t>
      </w:r>
      <w:r>
        <w:rPr>
          <w:rFonts w:eastAsia="Times New Roman"/>
          <w:noProof/>
          <w:lang w:eastAsia="en-GB"/>
        </w:rPr>
        <w:t xml:space="preserve"> 2019.</w:t>
      </w:r>
    </w:p>
    <w:p w14:paraId="3F08BCB5" w14:textId="0AB661BC" w:rsidR="000162D3" w:rsidRDefault="000162D3" w:rsidP="00D44EAF">
      <w:pPr>
        <w:pStyle w:val="ListParagraph"/>
        <w:numPr>
          <w:ilvl w:val="0"/>
          <w:numId w:val="1"/>
        </w:numPr>
        <w:spacing w:before="100" w:beforeAutospacing="1"/>
        <w:contextualSpacing w:val="0"/>
        <w:jc w:val="both"/>
        <w:rPr>
          <w:rFonts w:eastAsia="Times New Roman"/>
          <w:b/>
          <w:noProof/>
          <w:lang w:eastAsia="en-GB"/>
        </w:rPr>
      </w:pPr>
      <w:r>
        <w:rPr>
          <w:rFonts w:eastAsia="Times New Roman"/>
          <w:b/>
          <w:noProof/>
          <w:lang w:eastAsia="en-GB"/>
        </w:rPr>
        <w:t xml:space="preserve">Regulatory </w:t>
      </w:r>
      <w:r w:rsidR="004904DD">
        <w:rPr>
          <w:rFonts w:eastAsia="Times New Roman"/>
          <w:b/>
          <w:noProof/>
          <w:lang w:eastAsia="en-GB"/>
        </w:rPr>
        <w:t>f</w:t>
      </w:r>
      <w:r>
        <w:rPr>
          <w:rFonts w:eastAsia="Times New Roman"/>
          <w:b/>
          <w:noProof/>
          <w:lang w:eastAsia="en-GB"/>
        </w:rPr>
        <w:t>ramework</w:t>
      </w:r>
    </w:p>
    <w:p w14:paraId="32E9C995" w14:textId="79345ADB" w:rsidR="00AC523D" w:rsidRDefault="0057777D" w:rsidP="00AC523D">
      <w:pPr>
        <w:pStyle w:val="Body"/>
        <w:spacing w:before="100" w:beforeAutospacing="1" w:after="0"/>
        <w:rPr>
          <w:rFonts w:ascii="Times New Roman" w:hAnsi="Times New Roman"/>
        </w:rPr>
      </w:pPr>
      <w:r w:rsidRPr="002C2A4A">
        <w:rPr>
          <w:rFonts w:ascii="Times New Roman" w:hAnsi="Times New Roman"/>
        </w:rPr>
        <w:t>The Regulation</w:t>
      </w:r>
      <w:r>
        <w:rPr>
          <w:rFonts w:ascii="Times New Roman" w:hAnsi="Times New Roman"/>
        </w:rPr>
        <w:t>’s</w:t>
      </w:r>
      <w:r w:rsidRPr="002C2A4A">
        <w:rPr>
          <w:rFonts w:ascii="Times New Roman" w:hAnsi="Times New Roman"/>
        </w:rPr>
        <w:t xml:space="preserve"> objective is to prevent capital punishment, on the one hand, and torture and other cruel, inhuman or degrading treatment or punishment in countries</w:t>
      </w:r>
      <w:r w:rsidR="009E6CD7">
        <w:rPr>
          <w:rFonts w:ascii="Times New Roman" w:hAnsi="Times New Roman"/>
        </w:rPr>
        <w:t xml:space="preserve"> outside the EU</w:t>
      </w:r>
      <w:r w:rsidRPr="002C2A4A">
        <w:rPr>
          <w:rFonts w:ascii="Times New Roman" w:hAnsi="Times New Roman"/>
        </w:rPr>
        <w:t>, on the other</w:t>
      </w:r>
      <w:r w:rsidR="00480568">
        <w:rPr>
          <w:rFonts w:ascii="Times New Roman" w:hAnsi="Times New Roman"/>
        </w:rPr>
        <w:t>, by restricting trade in certain goods.</w:t>
      </w:r>
      <w:r>
        <w:rPr>
          <w:rFonts w:ascii="Times New Roman" w:hAnsi="Times New Roman"/>
        </w:rPr>
        <w:t xml:space="preserve"> </w:t>
      </w:r>
      <w:r w:rsidR="00AC523D">
        <w:rPr>
          <w:rFonts w:ascii="Times New Roman" w:hAnsi="Times New Roman"/>
        </w:rPr>
        <w:t xml:space="preserve">It </w:t>
      </w:r>
      <w:r w:rsidR="00AC523D" w:rsidRPr="00B23A71">
        <w:rPr>
          <w:rFonts w:ascii="Times New Roman" w:hAnsi="Times New Roman"/>
        </w:rPr>
        <w:t xml:space="preserve">distinguishes </w:t>
      </w:r>
      <w:r w:rsidR="00AC523D">
        <w:rPr>
          <w:rFonts w:ascii="Times New Roman" w:hAnsi="Times New Roman"/>
        </w:rPr>
        <w:t xml:space="preserve">between </w:t>
      </w:r>
      <w:r w:rsidR="00AC523D" w:rsidRPr="00B23A71">
        <w:rPr>
          <w:rFonts w:ascii="Times New Roman" w:hAnsi="Times New Roman"/>
        </w:rPr>
        <w:t xml:space="preserve">goods </w:t>
      </w:r>
      <w:r w:rsidR="00AC523D">
        <w:rPr>
          <w:rFonts w:ascii="Times New Roman" w:hAnsi="Times New Roman"/>
        </w:rPr>
        <w:t>that:</w:t>
      </w:r>
    </w:p>
    <w:p w14:paraId="4DE734D7" w14:textId="77777777" w:rsidR="00AC523D" w:rsidRDefault="00AC523D" w:rsidP="00AC523D">
      <w:pPr>
        <w:pStyle w:val="Body"/>
        <w:numPr>
          <w:ilvl w:val="0"/>
          <w:numId w:val="4"/>
        </w:numPr>
        <w:spacing w:before="100" w:beforeAutospacing="1" w:after="0"/>
        <w:rPr>
          <w:rFonts w:ascii="Times New Roman" w:hAnsi="Times New Roman"/>
        </w:rPr>
      </w:pPr>
      <w:r w:rsidRPr="005722F8">
        <w:rPr>
          <w:rFonts w:ascii="Times New Roman" w:hAnsi="Times New Roman"/>
        </w:rPr>
        <w:t xml:space="preserve">are inherently abusive and should not be traded at all (Annex II), or </w:t>
      </w:r>
    </w:p>
    <w:p w14:paraId="39E30288" w14:textId="77777777" w:rsidR="00AC523D" w:rsidRDefault="00AC523D" w:rsidP="00AC523D">
      <w:pPr>
        <w:pStyle w:val="Body"/>
        <w:numPr>
          <w:ilvl w:val="0"/>
          <w:numId w:val="4"/>
        </w:numPr>
        <w:spacing w:before="100" w:beforeAutospacing="1" w:after="0"/>
        <w:rPr>
          <w:rFonts w:ascii="Times New Roman" w:hAnsi="Times New Roman"/>
        </w:rPr>
      </w:pPr>
      <w:r w:rsidRPr="00285C70">
        <w:rPr>
          <w:rFonts w:ascii="Times New Roman" w:hAnsi="Times New Roman"/>
        </w:rPr>
        <w:t xml:space="preserve">can have legitimate uses, such as law enforcement equipment (Annex III) or </w:t>
      </w:r>
      <w:r>
        <w:rPr>
          <w:rFonts w:ascii="Times New Roman" w:hAnsi="Times New Roman"/>
        </w:rPr>
        <w:t xml:space="preserve">goods for </w:t>
      </w:r>
      <w:r w:rsidRPr="00285C70">
        <w:rPr>
          <w:rFonts w:ascii="Times New Roman" w:hAnsi="Times New Roman"/>
        </w:rPr>
        <w:t>therapeutic use (Annex IV)</w:t>
      </w:r>
      <w:r>
        <w:rPr>
          <w:rFonts w:ascii="Times New Roman" w:hAnsi="Times New Roman"/>
        </w:rPr>
        <w:t>.</w:t>
      </w:r>
      <w:r w:rsidRPr="00285C70">
        <w:rPr>
          <w:rFonts w:ascii="Times New Roman" w:hAnsi="Times New Roman"/>
        </w:rPr>
        <w:t xml:space="preserve"> </w:t>
      </w:r>
    </w:p>
    <w:p w14:paraId="119541C5" w14:textId="1F491C60" w:rsidR="0057777D" w:rsidRPr="005722F8" w:rsidRDefault="00AC523D" w:rsidP="00AC523D">
      <w:pPr>
        <w:pStyle w:val="Body"/>
        <w:spacing w:before="100" w:beforeAutospacing="1" w:after="0"/>
        <w:rPr>
          <w:rFonts w:ascii="Times New Roman" w:hAnsi="Times New Roman"/>
        </w:rPr>
      </w:pPr>
      <w:r>
        <w:rPr>
          <w:rFonts w:ascii="Times New Roman" w:hAnsi="Times New Roman"/>
        </w:rPr>
        <w:t>T</w:t>
      </w:r>
      <w:r w:rsidRPr="00285C70">
        <w:rPr>
          <w:rFonts w:ascii="Times New Roman" w:hAnsi="Times New Roman"/>
        </w:rPr>
        <w:t xml:space="preserve">rade in </w:t>
      </w:r>
      <w:r>
        <w:rPr>
          <w:rFonts w:ascii="Times New Roman" w:hAnsi="Times New Roman"/>
        </w:rPr>
        <w:t>such</w:t>
      </w:r>
      <w:r w:rsidRPr="00285C70">
        <w:rPr>
          <w:rFonts w:ascii="Times New Roman" w:hAnsi="Times New Roman"/>
        </w:rPr>
        <w:t xml:space="preserve"> goods is subject to certain restrictions.</w:t>
      </w:r>
    </w:p>
    <w:p w14:paraId="5AAA1DF3" w14:textId="570BB9E4" w:rsidR="0057777D" w:rsidRPr="00DE5C08" w:rsidRDefault="0057777D" w:rsidP="00D44EAF">
      <w:pPr>
        <w:pStyle w:val="Body"/>
        <w:spacing w:before="100" w:beforeAutospacing="1" w:after="0"/>
        <w:rPr>
          <w:rFonts w:ascii="Times New Roman" w:hAnsi="Times New Roman"/>
        </w:rPr>
      </w:pPr>
      <w:r w:rsidRPr="00DE5C08">
        <w:rPr>
          <w:rFonts w:ascii="Times New Roman" w:hAnsi="Times New Roman"/>
        </w:rPr>
        <w:t>T</w:t>
      </w:r>
      <w:r w:rsidR="00AE4C51">
        <w:rPr>
          <w:rFonts w:ascii="Times New Roman" w:hAnsi="Times New Roman"/>
        </w:rPr>
        <w:t xml:space="preserve">his is why </w:t>
      </w:r>
      <w:r w:rsidRPr="00DE5C08">
        <w:rPr>
          <w:rFonts w:ascii="Times New Roman" w:hAnsi="Times New Roman"/>
        </w:rPr>
        <w:t xml:space="preserve">the Regulation restricts trade with </w:t>
      </w:r>
      <w:r>
        <w:rPr>
          <w:rFonts w:ascii="Times New Roman" w:hAnsi="Times New Roman"/>
        </w:rPr>
        <w:t>non-EU</w:t>
      </w:r>
      <w:r w:rsidRPr="00DE5C08">
        <w:rPr>
          <w:rFonts w:ascii="Times New Roman" w:hAnsi="Times New Roman"/>
        </w:rPr>
        <w:t xml:space="preserve"> countries. </w:t>
      </w:r>
      <w:r w:rsidR="0038645C">
        <w:rPr>
          <w:rFonts w:ascii="Times New Roman" w:hAnsi="Times New Roman"/>
        </w:rPr>
        <w:t>I</w:t>
      </w:r>
      <w:r w:rsidRPr="00DE5C08">
        <w:rPr>
          <w:rFonts w:ascii="Times New Roman" w:hAnsi="Times New Roman"/>
        </w:rPr>
        <w:t>n particular</w:t>
      </w:r>
      <w:r w:rsidR="0089386B">
        <w:rPr>
          <w:rFonts w:ascii="Times New Roman" w:hAnsi="Times New Roman"/>
        </w:rPr>
        <w:t>, it does the following:</w:t>
      </w:r>
    </w:p>
    <w:p w14:paraId="4BBFC96C" w14:textId="76C5475C" w:rsidR="00587383" w:rsidRDefault="0014411A" w:rsidP="00D44EAF">
      <w:pPr>
        <w:pStyle w:val="Body"/>
        <w:numPr>
          <w:ilvl w:val="0"/>
          <w:numId w:val="3"/>
        </w:numPr>
        <w:spacing w:before="100" w:beforeAutospacing="1" w:after="0"/>
        <w:rPr>
          <w:rFonts w:ascii="Times New Roman" w:hAnsi="Times New Roman"/>
        </w:rPr>
      </w:pPr>
      <w:r>
        <w:rPr>
          <w:rFonts w:ascii="Times New Roman" w:hAnsi="Times New Roman"/>
        </w:rPr>
        <w:t xml:space="preserve">It </w:t>
      </w:r>
      <w:r w:rsidR="0057777D" w:rsidRPr="00DE5C08">
        <w:rPr>
          <w:rFonts w:ascii="Times New Roman" w:hAnsi="Times New Roman"/>
        </w:rPr>
        <w:t xml:space="preserve">prohibits </w:t>
      </w:r>
      <w:r w:rsidR="00094873">
        <w:rPr>
          <w:rFonts w:ascii="Times New Roman" w:hAnsi="Times New Roman"/>
        </w:rPr>
        <w:t xml:space="preserve">the </w:t>
      </w:r>
      <w:r w:rsidR="0057777D" w:rsidRPr="00DE5C08">
        <w:rPr>
          <w:rFonts w:ascii="Times New Roman" w:hAnsi="Times New Roman"/>
        </w:rPr>
        <w:t>import</w:t>
      </w:r>
      <w:r w:rsidR="00094873">
        <w:rPr>
          <w:rFonts w:ascii="Times New Roman" w:hAnsi="Times New Roman"/>
        </w:rPr>
        <w:t xml:space="preserve"> into</w:t>
      </w:r>
      <w:r w:rsidR="0057777D" w:rsidRPr="00DE5C08">
        <w:rPr>
          <w:rFonts w:ascii="Times New Roman" w:hAnsi="Times New Roman"/>
        </w:rPr>
        <w:t>, export</w:t>
      </w:r>
      <w:r w:rsidR="00094873">
        <w:rPr>
          <w:rFonts w:ascii="Times New Roman" w:hAnsi="Times New Roman"/>
        </w:rPr>
        <w:t xml:space="preserve"> from</w:t>
      </w:r>
      <w:r w:rsidR="0057777D" w:rsidRPr="00DE5C08">
        <w:rPr>
          <w:rFonts w:ascii="Times New Roman" w:hAnsi="Times New Roman"/>
        </w:rPr>
        <w:t xml:space="preserve"> and transit through</w:t>
      </w:r>
      <w:r w:rsidR="00094873">
        <w:rPr>
          <w:rFonts w:ascii="Times New Roman" w:hAnsi="Times New Roman"/>
        </w:rPr>
        <w:t>,</w:t>
      </w:r>
      <w:r w:rsidR="0057777D" w:rsidRPr="00DE5C08">
        <w:rPr>
          <w:rFonts w:ascii="Times New Roman" w:hAnsi="Times New Roman"/>
        </w:rPr>
        <w:t xml:space="preserve"> the EU of goods</w:t>
      </w:r>
      <w:r w:rsidR="00094873">
        <w:rPr>
          <w:rFonts w:ascii="Times New Roman" w:hAnsi="Times New Roman"/>
        </w:rPr>
        <w:t>,</w:t>
      </w:r>
      <w:r w:rsidR="0057777D">
        <w:rPr>
          <w:rFonts w:ascii="Times New Roman" w:hAnsi="Times New Roman"/>
        </w:rPr>
        <w:t xml:space="preserve"> listed in Annex II</w:t>
      </w:r>
      <w:r w:rsidR="00094873">
        <w:rPr>
          <w:rFonts w:ascii="Times New Roman" w:hAnsi="Times New Roman"/>
        </w:rPr>
        <w:t xml:space="preserve">, </w:t>
      </w:r>
      <w:r w:rsidR="0057777D" w:rsidRPr="00DE5C08">
        <w:rPr>
          <w:rFonts w:ascii="Times New Roman" w:hAnsi="Times New Roman"/>
        </w:rPr>
        <w:t xml:space="preserve">that have no practical use other than for the purposes of capital punishment or torture. The provision of any technical assistance related to such goods, specifically including training in </w:t>
      </w:r>
      <w:r w:rsidR="00094873">
        <w:rPr>
          <w:rFonts w:ascii="Times New Roman" w:hAnsi="Times New Roman"/>
        </w:rPr>
        <w:t>how to</w:t>
      </w:r>
      <w:r w:rsidR="00094873" w:rsidRPr="00DE5C08">
        <w:rPr>
          <w:rFonts w:ascii="Times New Roman" w:hAnsi="Times New Roman"/>
        </w:rPr>
        <w:t xml:space="preserve"> </w:t>
      </w:r>
      <w:r w:rsidR="0057777D" w:rsidRPr="00DE5C08">
        <w:rPr>
          <w:rFonts w:ascii="Times New Roman" w:hAnsi="Times New Roman"/>
        </w:rPr>
        <w:t>use</w:t>
      </w:r>
      <w:r w:rsidR="00094873">
        <w:rPr>
          <w:rFonts w:ascii="Times New Roman" w:hAnsi="Times New Roman"/>
        </w:rPr>
        <w:t xml:space="preserve"> them</w:t>
      </w:r>
      <w:r w:rsidR="0057777D" w:rsidRPr="00DE5C08">
        <w:rPr>
          <w:rFonts w:ascii="Times New Roman" w:hAnsi="Times New Roman"/>
        </w:rPr>
        <w:t xml:space="preserve">, is also prohibited. </w:t>
      </w:r>
      <w:r>
        <w:rPr>
          <w:rFonts w:ascii="Times New Roman" w:hAnsi="Times New Roman"/>
        </w:rPr>
        <w:t>T</w:t>
      </w:r>
      <w:r w:rsidR="0057777D" w:rsidRPr="00DE5C08">
        <w:rPr>
          <w:rFonts w:ascii="Times New Roman" w:hAnsi="Times New Roman"/>
        </w:rPr>
        <w:t xml:space="preserve">he advertising of such goods </w:t>
      </w:r>
      <w:r w:rsidR="00587383" w:rsidRPr="0014597A">
        <w:rPr>
          <w:rFonts w:ascii="Times New Roman" w:hAnsi="Times New Roman"/>
        </w:rPr>
        <w:t>in print media or on the Internet or advertising time on television or radio</w:t>
      </w:r>
      <w:r w:rsidR="0057777D" w:rsidRPr="00DE5C08">
        <w:rPr>
          <w:rFonts w:ascii="Times New Roman" w:hAnsi="Times New Roman"/>
        </w:rPr>
        <w:t xml:space="preserve">, or </w:t>
      </w:r>
      <w:r w:rsidR="00587383" w:rsidRPr="0014597A">
        <w:rPr>
          <w:rFonts w:ascii="Times New Roman" w:hAnsi="Times New Roman"/>
        </w:rPr>
        <w:t>the display or offer for sale in an exhibition or fair</w:t>
      </w:r>
      <w:r>
        <w:rPr>
          <w:rFonts w:ascii="Times New Roman" w:hAnsi="Times New Roman"/>
        </w:rPr>
        <w:t>,</w:t>
      </w:r>
      <w:r w:rsidR="0057777D" w:rsidRPr="00DE5C08">
        <w:rPr>
          <w:rFonts w:ascii="Times New Roman" w:hAnsi="Times New Roman"/>
        </w:rPr>
        <w:t xml:space="preserve"> </w:t>
      </w:r>
      <w:r w:rsidR="00587383">
        <w:rPr>
          <w:rFonts w:ascii="Times New Roman" w:hAnsi="Times New Roman"/>
        </w:rPr>
        <w:t xml:space="preserve">are </w:t>
      </w:r>
      <w:r>
        <w:rPr>
          <w:rFonts w:ascii="Times New Roman" w:hAnsi="Times New Roman"/>
        </w:rPr>
        <w:t xml:space="preserve">also </w:t>
      </w:r>
      <w:r w:rsidR="0057777D" w:rsidRPr="00DE5C08">
        <w:rPr>
          <w:rFonts w:ascii="Times New Roman" w:hAnsi="Times New Roman"/>
        </w:rPr>
        <w:t>prohibited</w:t>
      </w:r>
      <w:r w:rsidR="009408DA">
        <w:rPr>
          <w:rFonts w:ascii="Times New Roman" w:hAnsi="Times New Roman"/>
        </w:rPr>
        <w:t>.</w:t>
      </w:r>
    </w:p>
    <w:p w14:paraId="588466B7" w14:textId="71978889" w:rsidR="0057777D" w:rsidRPr="00AE6F99" w:rsidRDefault="00715E59" w:rsidP="0014597A">
      <w:pPr>
        <w:pStyle w:val="Body"/>
        <w:numPr>
          <w:ilvl w:val="0"/>
          <w:numId w:val="3"/>
        </w:numPr>
        <w:spacing w:before="100" w:beforeAutospacing="1" w:after="0"/>
        <w:rPr>
          <w:rFonts w:ascii="Times New Roman" w:hAnsi="Times New Roman"/>
        </w:rPr>
      </w:pPr>
      <w:r>
        <w:rPr>
          <w:rFonts w:ascii="Times New Roman" w:hAnsi="Times New Roman"/>
        </w:rPr>
        <w:t>G</w:t>
      </w:r>
      <w:r w:rsidR="0057777D" w:rsidRPr="00DE5C08">
        <w:rPr>
          <w:rFonts w:ascii="Times New Roman" w:hAnsi="Times New Roman"/>
        </w:rPr>
        <w:t xml:space="preserve">oods </w:t>
      </w:r>
      <w:r w:rsidR="0057777D">
        <w:rPr>
          <w:rFonts w:ascii="Times New Roman" w:hAnsi="Times New Roman"/>
        </w:rPr>
        <w:t xml:space="preserve">listed in </w:t>
      </w:r>
      <w:r w:rsidR="0057777D" w:rsidRPr="00DE5C08">
        <w:rPr>
          <w:rFonts w:ascii="Times New Roman" w:hAnsi="Times New Roman"/>
        </w:rPr>
        <w:t>Annex III</w:t>
      </w:r>
      <w:r w:rsidR="009408DA">
        <w:rPr>
          <w:rFonts w:ascii="Times New Roman" w:hAnsi="Times New Roman"/>
        </w:rPr>
        <w:t xml:space="preserve"> </w:t>
      </w:r>
      <w:r w:rsidR="0057777D" w:rsidRPr="00DE5C08">
        <w:rPr>
          <w:rFonts w:ascii="Times New Roman" w:hAnsi="Times New Roman"/>
        </w:rPr>
        <w:t xml:space="preserve">that could be used for </w:t>
      </w:r>
      <w:r w:rsidR="00480568">
        <w:rPr>
          <w:rFonts w:ascii="Times New Roman" w:hAnsi="Times New Roman"/>
        </w:rPr>
        <w:t xml:space="preserve">the </w:t>
      </w:r>
      <w:r w:rsidR="0057777D" w:rsidRPr="00DE5C08">
        <w:rPr>
          <w:rFonts w:ascii="Times New Roman" w:hAnsi="Times New Roman"/>
        </w:rPr>
        <w:t>purposes</w:t>
      </w:r>
      <w:r w:rsidR="00480568">
        <w:rPr>
          <w:rFonts w:ascii="Times New Roman" w:hAnsi="Times New Roman"/>
        </w:rPr>
        <w:t xml:space="preserve"> of capital punishment or torture</w:t>
      </w:r>
      <w:r w:rsidR="009408DA">
        <w:rPr>
          <w:rFonts w:ascii="Times New Roman" w:hAnsi="Times New Roman"/>
        </w:rPr>
        <w:t>,</w:t>
      </w:r>
      <w:r w:rsidR="0057777D" w:rsidRPr="00DE5C08">
        <w:rPr>
          <w:rFonts w:ascii="Times New Roman" w:hAnsi="Times New Roman"/>
        </w:rPr>
        <w:t xml:space="preserve"> but</w:t>
      </w:r>
      <w:r>
        <w:rPr>
          <w:rFonts w:ascii="Times New Roman" w:hAnsi="Times New Roman"/>
        </w:rPr>
        <w:t xml:space="preserve"> that</w:t>
      </w:r>
      <w:r w:rsidR="0057777D" w:rsidRPr="00DE5C08">
        <w:rPr>
          <w:rFonts w:ascii="Times New Roman" w:hAnsi="Times New Roman"/>
        </w:rPr>
        <w:t xml:space="preserve"> may also have other legitimate uses (law enforcement)</w:t>
      </w:r>
      <w:r w:rsidR="009408DA">
        <w:rPr>
          <w:rFonts w:ascii="Times New Roman" w:hAnsi="Times New Roman"/>
        </w:rPr>
        <w:t>,</w:t>
      </w:r>
      <w:r>
        <w:rPr>
          <w:rFonts w:ascii="Times New Roman" w:hAnsi="Times New Roman"/>
        </w:rPr>
        <w:t xml:space="preserve"> are subject</w:t>
      </w:r>
      <w:r w:rsidR="0057777D" w:rsidRPr="00DE5C08">
        <w:rPr>
          <w:rFonts w:ascii="Times New Roman" w:hAnsi="Times New Roman"/>
        </w:rPr>
        <w:t xml:space="preserve"> to a prior export authorisation, on a case-by-case basis</w:t>
      </w:r>
      <w:r w:rsidR="009408DA">
        <w:rPr>
          <w:rFonts w:ascii="Times New Roman" w:hAnsi="Times New Roman"/>
        </w:rPr>
        <w:t>.</w:t>
      </w:r>
      <w:r w:rsidR="0057777D" w:rsidRPr="00DE5C08">
        <w:rPr>
          <w:rFonts w:ascii="Times New Roman" w:hAnsi="Times New Roman"/>
        </w:rPr>
        <w:t xml:space="preserve"> </w:t>
      </w:r>
      <w:r w:rsidR="00A33FB4">
        <w:rPr>
          <w:rFonts w:ascii="Times New Roman" w:hAnsi="Times New Roman"/>
        </w:rPr>
        <w:t>A prior export</w:t>
      </w:r>
      <w:r w:rsidR="00A33FB4" w:rsidRPr="00DE5C08">
        <w:rPr>
          <w:rFonts w:ascii="Times New Roman" w:hAnsi="Times New Roman"/>
        </w:rPr>
        <w:t xml:space="preserve"> </w:t>
      </w:r>
      <w:r w:rsidR="0057777D" w:rsidRPr="00DE5C08">
        <w:rPr>
          <w:rFonts w:ascii="Times New Roman" w:hAnsi="Times New Roman"/>
        </w:rPr>
        <w:t xml:space="preserve">authorisation is also required for </w:t>
      </w:r>
      <w:r w:rsidR="0057777D" w:rsidRPr="00AE6F99">
        <w:rPr>
          <w:rFonts w:ascii="Times New Roman" w:hAnsi="Times New Roman"/>
        </w:rPr>
        <w:t>supply</w:t>
      </w:r>
      <w:r w:rsidR="0057777D">
        <w:rPr>
          <w:rFonts w:ascii="Times New Roman" w:hAnsi="Times New Roman"/>
        </w:rPr>
        <w:t>ing</w:t>
      </w:r>
      <w:r w:rsidR="0057777D" w:rsidRPr="00AE6F99">
        <w:rPr>
          <w:rFonts w:ascii="Times New Roman" w:hAnsi="Times New Roman"/>
        </w:rPr>
        <w:t xml:space="preserve"> technical assistance or brokering services related to this category of goods. Annex III does not include: (a) firearms </w:t>
      </w:r>
      <w:r w:rsidR="00706702">
        <w:rPr>
          <w:rFonts w:ascii="Times New Roman" w:hAnsi="Times New Roman"/>
        </w:rPr>
        <w:t xml:space="preserve">subject to </w:t>
      </w:r>
      <w:r w:rsidR="0057777D" w:rsidRPr="00AE6F99">
        <w:rPr>
          <w:rFonts w:ascii="Times New Roman" w:hAnsi="Times New Roman"/>
        </w:rPr>
        <w:t>Regulation (EU) No 258/2012</w:t>
      </w:r>
      <w:r w:rsidR="0057777D" w:rsidRPr="00AE6F99">
        <w:rPr>
          <w:rFonts w:ascii="Times New Roman" w:hAnsi="Times New Roman"/>
        </w:rPr>
        <w:footnoteReference w:id="2"/>
      </w:r>
      <w:r w:rsidR="0057777D" w:rsidRPr="00AE6F99">
        <w:rPr>
          <w:rFonts w:ascii="Times New Roman" w:hAnsi="Times New Roman"/>
        </w:rPr>
        <w:t xml:space="preserve">; (b) dual-use items </w:t>
      </w:r>
      <w:r w:rsidR="00706702">
        <w:rPr>
          <w:rFonts w:ascii="Times New Roman" w:hAnsi="Times New Roman"/>
        </w:rPr>
        <w:t>subject to</w:t>
      </w:r>
      <w:r w:rsidR="0057777D" w:rsidRPr="00AE6F99">
        <w:rPr>
          <w:rFonts w:ascii="Times New Roman" w:hAnsi="Times New Roman"/>
        </w:rPr>
        <w:t xml:space="preserve"> Regulation (EC) No 428/2009</w:t>
      </w:r>
      <w:r w:rsidR="0057777D" w:rsidRPr="00AE6F99">
        <w:rPr>
          <w:rFonts w:ascii="Times New Roman" w:hAnsi="Times New Roman"/>
        </w:rPr>
        <w:footnoteReference w:id="3"/>
      </w:r>
      <w:r w:rsidR="0057777D" w:rsidRPr="00AE6F99">
        <w:rPr>
          <w:rFonts w:ascii="Times New Roman" w:hAnsi="Times New Roman"/>
        </w:rPr>
        <w:t xml:space="preserve">; (c) goods </w:t>
      </w:r>
      <w:r w:rsidR="00706702">
        <w:rPr>
          <w:rFonts w:ascii="Times New Roman" w:hAnsi="Times New Roman"/>
        </w:rPr>
        <w:t xml:space="preserve">subject to the terms of </w:t>
      </w:r>
      <w:r w:rsidR="0057777D" w:rsidRPr="00AE6F99">
        <w:rPr>
          <w:rFonts w:ascii="Times New Roman" w:hAnsi="Times New Roman"/>
        </w:rPr>
        <w:t>Common Position 2008/944/CFSP</w:t>
      </w:r>
      <w:r w:rsidR="0057777D" w:rsidRPr="00AE6F99">
        <w:rPr>
          <w:rFonts w:ascii="Times New Roman" w:hAnsi="Times New Roman"/>
        </w:rPr>
        <w:footnoteReference w:id="4"/>
      </w:r>
      <w:r w:rsidR="00636112">
        <w:rPr>
          <w:rFonts w:ascii="Times New Roman" w:hAnsi="Times New Roman"/>
        </w:rPr>
        <w:t>.</w:t>
      </w:r>
    </w:p>
    <w:p w14:paraId="53B0AFB8" w14:textId="2E2DF065" w:rsidR="0057777D" w:rsidRPr="0057777D" w:rsidRDefault="00636112" w:rsidP="00D44EAF">
      <w:pPr>
        <w:pStyle w:val="Body"/>
        <w:numPr>
          <w:ilvl w:val="0"/>
          <w:numId w:val="3"/>
        </w:numPr>
        <w:spacing w:before="100" w:beforeAutospacing="1" w:after="0"/>
        <w:rPr>
          <w:noProof/>
        </w:rPr>
      </w:pPr>
      <w:r>
        <w:rPr>
          <w:rFonts w:ascii="Times New Roman" w:hAnsi="Times New Roman"/>
        </w:rPr>
        <w:lastRenderedPageBreak/>
        <w:t xml:space="preserve">It </w:t>
      </w:r>
      <w:r w:rsidR="0057777D" w:rsidRPr="00AE6F99">
        <w:rPr>
          <w:rFonts w:ascii="Times New Roman" w:hAnsi="Times New Roman"/>
        </w:rPr>
        <w:t xml:space="preserve">regulates trade in goods – chemicals or pharmaceutical substances (Annex IV) – that could be used for capital punishment (e.g. products </w:t>
      </w:r>
      <w:r w:rsidR="009711A4">
        <w:rPr>
          <w:rFonts w:ascii="Times New Roman" w:hAnsi="Times New Roman"/>
        </w:rPr>
        <w:t>that</w:t>
      </w:r>
      <w:r w:rsidR="009711A4" w:rsidRPr="00AE6F99">
        <w:rPr>
          <w:rFonts w:ascii="Times New Roman" w:hAnsi="Times New Roman"/>
        </w:rPr>
        <w:t xml:space="preserve"> </w:t>
      </w:r>
      <w:r w:rsidR="0057777D" w:rsidRPr="00AE6F99">
        <w:rPr>
          <w:rFonts w:ascii="Times New Roman" w:hAnsi="Times New Roman"/>
        </w:rPr>
        <w:t xml:space="preserve">could be used </w:t>
      </w:r>
      <w:r w:rsidR="0057777D">
        <w:rPr>
          <w:rFonts w:ascii="Times New Roman" w:hAnsi="Times New Roman"/>
        </w:rPr>
        <w:t>to</w:t>
      </w:r>
      <w:r w:rsidR="0057777D" w:rsidRPr="00AE6F99">
        <w:rPr>
          <w:rFonts w:ascii="Times New Roman" w:hAnsi="Times New Roman"/>
        </w:rPr>
        <w:t xml:space="preserve"> execut</w:t>
      </w:r>
      <w:r w:rsidR="0057777D">
        <w:rPr>
          <w:rFonts w:ascii="Times New Roman" w:hAnsi="Times New Roman"/>
        </w:rPr>
        <w:t>e</w:t>
      </w:r>
      <w:r w:rsidR="0057777D" w:rsidRPr="00AE6F99">
        <w:rPr>
          <w:rFonts w:ascii="Times New Roman" w:hAnsi="Times New Roman"/>
        </w:rPr>
        <w:t xml:space="preserve"> </w:t>
      </w:r>
      <w:r w:rsidR="00CB0F99">
        <w:rPr>
          <w:rFonts w:ascii="Times New Roman" w:hAnsi="Times New Roman"/>
        </w:rPr>
        <w:t>people</w:t>
      </w:r>
      <w:r w:rsidR="0057777D" w:rsidRPr="00AE6F99">
        <w:rPr>
          <w:rFonts w:ascii="Times New Roman" w:hAnsi="Times New Roman"/>
        </w:rPr>
        <w:t xml:space="preserve"> by lethal injection).</w:t>
      </w:r>
      <w:r w:rsidR="0057777D" w:rsidRPr="0057777D">
        <w:rPr>
          <w:rFonts w:ascii="Times New Roman" w:eastAsiaTheme="minorHAnsi" w:hAnsi="Times New Roman"/>
          <w:sz w:val="20"/>
          <w:szCs w:val="20"/>
        </w:rPr>
        <w:t xml:space="preserve"> </w:t>
      </w:r>
      <w:r w:rsidR="0057777D" w:rsidRPr="00AE6F99">
        <w:rPr>
          <w:rFonts w:ascii="Times New Roman" w:hAnsi="Times New Roman"/>
        </w:rPr>
        <w:t xml:space="preserve">A </w:t>
      </w:r>
      <w:r w:rsidR="00A673C3">
        <w:rPr>
          <w:rFonts w:ascii="Times New Roman" w:hAnsi="Times New Roman"/>
        </w:rPr>
        <w:t>specific</w:t>
      </w:r>
      <w:r w:rsidR="00A673C3" w:rsidRPr="00AE6F99">
        <w:rPr>
          <w:rFonts w:ascii="Times New Roman" w:hAnsi="Times New Roman"/>
        </w:rPr>
        <w:t xml:space="preserve"> </w:t>
      </w:r>
      <w:r w:rsidR="0057777D" w:rsidRPr="00AE6F99">
        <w:rPr>
          <w:rFonts w:ascii="Times New Roman" w:hAnsi="Times New Roman"/>
        </w:rPr>
        <w:t>licen</w:t>
      </w:r>
      <w:r w:rsidR="00652CCA">
        <w:rPr>
          <w:rFonts w:ascii="Times New Roman" w:hAnsi="Times New Roman"/>
        </w:rPr>
        <w:t>c</w:t>
      </w:r>
      <w:r w:rsidR="0057777D" w:rsidRPr="00AE6F99">
        <w:rPr>
          <w:rFonts w:ascii="Times New Roman" w:hAnsi="Times New Roman"/>
        </w:rPr>
        <w:t xml:space="preserve">e authorisation (EU General Export Authorisation) </w:t>
      </w:r>
      <w:r w:rsidR="0023134F">
        <w:rPr>
          <w:rFonts w:ascii="Times New Roman" w:hAnsi="Times New Roman"/>
        </w:rPr>
        <w:t>h</w:t>
      </w:r>
      <w:r w:rsidR="0057777D" w:rsidRPr="00AE6F99">
        <w:rPr>
          <w:rFonts w:ascii="Times New Roman" w:hAnsi="Times New Roman"/>
        </w:rPr>
        <w:t>as</w:t>
      </w:r>
      <w:r w:rsidR="0023134F">
        <w:rPr>
          <w:rFonts w:ascii="Times New Roman" w:hAnsi="Times New Roman"/>
        </w:rPr>
        <w:t xml:space="preserve"> been</w:t>
      </w:r>
      <w:r w:rsidR="0057777D" w:rsidRPr="00AE6F99">
        <w:rPr>
          <w:rFonts w:ascii="Times New Roman" w:hAnsi="Times New Roman"/>
        </w:rPr>
        <w:t xml:space="preserve"> introduced to control the export of such anaesthetic chemicals and prevent their transfer for use in lethal injection executions</w:t>
      </w:r>
      <w:r w:rsidR="0023134F">
        <w:rPr>
          <w:rFonts w:ascii="Times New Roman" w:hAnsi="Times New Roman"/>
        </w:rPr>
        <w:t>,</w:t>
      </w:r>
      <w:r w:rsidR="0057777D" w:rsidRPr="00AE6F99">
        <w:rPr>
          <w:rFonts w:ascii="Times New Roman" w:hAnsi="Times New Roman"/>
        </w:rPr>
        <w:t xml:space="preserve"> without limiting </w:t>
      </w:r>
      <w:r w:rsidR="0023134F">
        <w:rPr>
          <w:rFonts w:ascii="Times New Roman" w:hAnsi="Times New Roman"/>
        </w:rPr>
        <w:t xml:space="preserve">their </w:t>
      </w:r>
      <w:r w:rsidR="0057777D" w:rsidRPr="00AE6F99">
        <w:rPr>
          <w:rFonts w:ascii="Times New Roman" w:hAnsi="Times New Roman"/>
        </w:rPr>
        <w:t xml:space="preserve">trade for medical, veterinary or other legitimate purposes. </w:t>
      </w:r>
    </w:p>
    <w:p w14:paraId="6DA921C2" w14:textId="3D7D05E5" w:rsidR="000162D3" w:rsidRPr="0057777D" w:rsidRDefault="000162D3" w:rsidP="00D44EAF">
      <w:pPr>
        <w:pStyle w:val="Body"/>
        <w:spacing w:before="100" w:beforeAutospacing="1" w:after="0"/>
        <w:rPr>
          <w:rFonts w:ascii="Times New Roman" w:hAnsi="Times New Roman"/>
        </w:rPr>
      </w:pPr>
      <w:r w:rsidRPr="0057777D">
        <w:rPr>
          <w:rFonts w:ascii="Times New Roman" w:hAnsi="Times New Roman"/>
        </w:rPr>
        <w:t>The lists of prohibited and controlled goods are set out in Annexes II, III and IV to the Regulation.</w:t>
      </w:r>
    </w:p>
    <w:p w14:paraId="13659F5B" w14:textId="77777777" w:rsidR="000162D3" w:rsidRDefault="000162D3" w:rsidP="00D44EAF">
      <w:pPr>
        <w:pStyle w:val="ListParagraph"/>
        <w:numPr>
          <w:ilvl w:val="0"/>
          <w:numId w:val="1"/>
        </w:numPr>
        <w:spacing w:before="100" w:beforeAutospacing="1"/>
        <w:contextualSpacing w:val="0"/>
        <w:jc w:val="both"/>
        <w:rPr>
          <w:b/>
          <w:noProof/>
        </w:rPr>
      </w:pPr>
      <w:r>
        <w:rPr>
          <w:b/>
          <w:noProof/>
        </w:rPr>
        <w:t>Activities of the Anti-Torture Coordination Group</w:t>
      </w:r>
    </w:p>
    <w:p w14:paraId="2F5E3D5A" w14:textId="31BF8CBD" w:rsidR="000162D3" w:rsidRDefault="000162D3" w:rsidP="00D44EAF">
      <w:pPr>
        <w:pStyle w:val="ListParagraph"/>
        <w:spacing w:before="100" w:beforeAutospacing="1"/>
        <w:ind w:left="0"/>
        <w:contextualSpacing w:val="0"/>
        <w:jc w:val="both"/>
        <w:rPr>
          <w:noProof/>
        </w:rPr>
      </w:pPr>
      <w:r>
        <w:rPr>
          <w:noProof/>
        </w:rPr>
        <w:t xml:space="preserve">The Anti-Torture Coordination Group (ATCG) was </w:t>
      </w:r>
      <w:r w:rsidR="00DF11F0">
        <w:rPr>
          <w:noProof/>
        </w:rPr>
        <w:t>set up pursuant to</w:t>
      </w:r>
      <w:r>
        <w:rPr>
          <w:noProof/>
        </w:rPr>
        <w:t xml:space="preserve"> Regulation (EU) 2016/2134 of the European Parliament and of the Council</w:t>
      </w:r>
      <w:r w:rsidR="00BE456B">
        <w:rPr>
          <w:noProof/>
        </w:rPr>
        <w:t>,</w:t>
      </w:r>
      <w:r>
        <w:rPr>
          <w:noProof/>
        </w:rPr>
        <w:t xml:space="preserve"> to </w:t>
      </w:r>
      <w:r w:rsidR="00480568">
        <w:rPr>
          <w:noProof/>
        </w:rPr>
        <w:t xml:space="preserve">examine questions concerning the application of the </w:t>
      </w:r>
      <w:r w:rsidR="00E55A8E" w:rsidRPr="0014597A">
        <w:rPr>
          <w:noProof/>
        </w:rPr>
        <w:t>Regulation</w:t>
      </w:r>
      <w:r w:rsidR="00480568">
        <w:rPr>
          <w:noProof/>
        </w:rPr>
        <w:t>.</w:t>
      </w:r>
    </w:p>
    <w:p w14:paraId="52F7FF4E" w14:textId="6C46A777" w:rsidR="000162D3" w:rsidRDefault="000162D3" w:rsidP="00D44EAF">
      <w:pPr>
        <w:pStyle w:val="ListParagraph"/>
        <w:spacing w:before="100" w:beforeAutospacing="1"/>
        <w:ind w:left="0"/>
        <w:contextualSpacing w:val="0"/>
        <w:jc w:val="both"/>
        <w:rPr>
          <w:noProof/>
        </w:rPr>
      </w:pPr>
      <w:r>
        <w:rPr>
          <w:noProof/>
        </w:rPr>
        <w:t xml:space="preserve">The ATCG serves as a platform for Member State experts and the Commission to exchange information on administrative practices and discuss </w:t>
      </w:r>
      <w:r w:rsidR="00E939AA">
        <w:rPr>
          <w:noProof/>
        </w:rPr>
        <w:t xml:space="preserve">issues </w:t>
      </w:r>
      <w:r>
        <w:rPr>
          <w:noProof/>
        </w:rPr>
        <w:t>of interpretation of the Regulation, technical issues with the goods listed, developments related to the Regulation</w:t>
      </w:r>
      <w:r w:rsidR="00E939AA">
        <w:rPr>
          <w:noProof/>
        </w:rPr>
        <w:t>,</w:t>
      </w:r>
      <w:r>
        <w:rPr>
          <w:noProof/>
        </w:rPr>
        <w:t xml:space="preserve"> and any other </w:t>
      </w:r>
      <w:r w:rsidR="00E939AA">
        <w:rPr>
          <w:noProof/>
        </w:rPr>
        <w:t xml:space="preserve">matters </w:t>
      </w:r>
      <w:r>
        <w:rPr>
          <w:noProof/>
        </w:rPr>
        <w:t xml:space="preserve">that may arise. </w:t>
      </w:r>
      <w:r w:rsidR="00E939AA">
        <w:rPr>
          <w:noProof/>
        </w:rPr>
        <w:t>T</w:t>
      </w:r>
      <w:r>
        <w:rPr>
          <w:noProof/>
        </w:rPr>
        <w:t xml:space="preserve">he Commission </w:t>
      </w:r>
      <w:r w:rsidR="00E939AA">
        <w:rPr>
          <w:noProof/>
        </w:rPr>
        <w:t xml:space="preserve">also </w:t>
      </w:r>
      <w:r>
        <w:rPr>
          <w:noProof/>
        </w:rPr>
        <w:t xml:space="preserve">consults the ATCG </w:t>
      </w:r>
      <w:r w:rsidR="00E939AA">
        <w:rPr>
          <w:noProof/>
        </w:rPr>
        <w:t xml:space="preserve">when preparing delegated acts, </w:t>
      </w:r>
      <w:r>
        <w:rPr>
          <w:noProof/>
        </w:rPr>
        <w:t>in accordance with the Interinstitutional Agreement of 13 April 2016 on Better Law-Making</w:t>
      </w:r>
      <w:r w:rsidR="00E939AA">
        <w:rPr>
          <w:noProof/>
        </w:rPr>
        <w:t xml:space="preserve"> (</w:t>
      </w:r>
      <w:r w:rsidRPr="0014597A">
        <w:rPr>
          <w:noProof/>
          <w:vertAlign w:val="superscript"/>
        </w:rPr>
        <w:footnoteReference w:id="5"/>
      </w:r>
      <w:r w:rsidR="00E939AA">
        <w:rPr>
          <w:noProof/>
        </w:rPr>
        <w:t>)</w:t>
      </w:r>
      <w:r>
        <w:rPr>
          <w:noProof/>
        </w:rPr>
        <w:t>.</w:t>
      </w:r>
    </w:p>
    <w:p w14:paraId="1F15EBA1" w14:textId="523C0620" w:rsidR="000162D3" w:rsidRDefault="000162D3" w:rsidP="00D44EAF">
      <w:pPr>
        <w:spacing w:before="100" w:beforeAutospacing="1"/>
        <w:jc w:val="both"/>
        <w:rPr>
          <w:rFonts w:eastAsia="Times New Roman"/>
          <w:noProof/>
          <w:lang w:eastAsia="en-GB"/>
        </w:rPr>
      </w:pPr>
      <w:r w:rsidRPr="768437BB">
        <w:rPr>
          <w:rFonts w:eastAsia="Times New Roman"/>
          <w:noProof/>
          <w:lang w:eastAsia="en-GB"/>
        </w:rPr>
        <w:t>The ATCG held two meetings</w:t>
      </w:r>
      <w:r w:rsidR="0057777D" w:rsidRPr="768437BB">
        <w:rPr>
          <w:rFonts w:eastAsia="Times New Roman"/>
          <w:noProof/>
          <w:lang w:eastAsia="en-GB"/>
        </w:rPr>
        <w:t xml:space="preserve"> in 2019</w:t>
      </w:r>
      <w:r w:rsidRPr="768437BB">
        <w:rPr>
          <w:rFonts w:eastAsia="Times New Roman"/>
          <w:noProof/>
          <w:lang w:eastAsia="en-GB"/>
        </w:rPr>
        <w:t xml:space="preserve">, </w:t>
      </w:r>
      <w:r w:rsidRPr="00EE783F">
        <w:rPr>
          <w:rFonts w:eastAsia="Times New Roman"/>
          <w:noProof/>
          <w:lang w:eastAsia="en-GB"/>
        </w:rPr>
        <w:t xml:space="preserve">on </w:t>
      </w:r>
      <w:r w:rsidR="0057777D" w:rsidRPr="00EE783F">
        <w:rPr>
          <w:rFonts w:eastAsia="Times New Roman"/>
          <w:noProof/>
          <w:lang w:eastAsia="en-GB"/>
        </w:rPr>
        <w:t xml:space="preserve">29 April </w:t>
      </w:r>
      <w:r w:rsidRPr="00EE783F">
        <w:rPr>
          <w:rFonts w:eastAsia="Times New Roman"/>
          <w:noProof/>
          <w:lang w:eastAsia="en-GB"/>
        </w:rPr>
        <w:t xml:space="preserve">and </w:t>
      </w:r>
      <w:r w:rsidR="0057777D" w:rsidRPr="00EE783F">
        <w:rPr>
          <w:rFonts w:eastAsia="Times New Roman"/>
          <w:noProof/>
          <w:lang w:eastAsia="en-GB"/>
        </w:rPr>
        <w:t>17 December</w:t>
      </w:r>
      <w:r w:rsidRPr="768437BB">
        <w:rPr>
          <w:rFonts w:eastAsia="Times New Roman"/>
          <w:noProof/>
          <w:lang w:eastAsia="en-GB"/>
        </w:rPr>
        <w:t xml:space="preserve">, to exchange information on a number of issues </w:t>
      </w:r>
      <w:r w:rsidR="00D1234B" w:rsidRPr="768437BB">
        <w:rPr>
          <w:rFonts w:eastAsia="Times New Roman"/>
          <w:noProof/>
          <w:lang w:eastAsia="en-GB"/>
        </w:rPr>
        <w:t xml:space="preserve">summarised below </w:t>
      </w:r>
      <w:r w:rsidRPr="768437BB">
        <w:rPr>
          <w:rFonts w:eastAsia="Times New Roman"/>
          <w:noProof/>
          <w:lang w:eastAsia="en-GB"/>
        </w:rPr>
        <w:t xml:space="preserve">concerning the </w:t>
      </w:r>
      <w:r w:rsidR="00702B02">
        <w:rPr>
          <w:rFonts w:eastAsia="Times New Roman"/>
          <w:noProof/>
          <w:lang w:eastAsia="en-GB"/>
        </w:rPr>
        <w:t xml:space="preserve">Regulation’s </w:t>
      </w:r>
      <w:r w:rsidRPr="00702B02">
        <w:rPr>
          <w:rFonts w:eastAsia="Times New Roman"/>
          <w:noProof/>
          <w:lang w:eastAsia="en-GB"/>
        </w:rPr>
        <w:t>implementation.</w:t>
      </w:r>
    </w:p>
    <w:p w14:paraId="28717565" w14:textId="77777777" w:rsidR="0057777D" w:rsidRPr="0057777D" w:rsidRDefault="0057777D" w:rsidP="00D44EAF">
      <w:pPr>
        <w:pStyle w:val="ListParagraph"/>
        <w:numPr>
          <w:ilvl w:val="1"/>
          <w:numId w:val="1"/>
        </w:numPr>
        <w:spacing w:before="100" w:beforeAutospacing="1"/>
        <w:contextualSpacing w:val="0"/>
        <w:jc w:val="both"/>
        <w:rPr>
          <w:b/>
          <w:noProof/>
        </w:rPr>
      </w:pPr>
      <w:r w:rsidRPr="0057777D">
        <w:rPr>
          <w:b/>
          <w:noProof/>
        </w:rPr>
        <w:t xml:space="preserve">Developments </w:t>
      </w:r>
      <w:r w:rsidR="00A4429F">
        <w:rPr>
          <w:b/>
          <w:noProof/>
        </w:rPr>
        <w:t xml:space="preserve">related </w:t>
      </w:r>
      <w:r w:rsidRPr="0057777D">
        <w:rPr>
          <w:b/>
          <w:noProof/>
        </w:rPr>
        <w:t>to the basi</w:t>
      </w:r>
      <w:r w:rsidR="00D1234B">
        <w:rPr>
          <w:b/>
          <w:noProof/>
        </w:rPr>
        <w:t>c</w:t>
      </w:r>
      <w:r w:rsidRPr="0057777D">
        <w:rPr>
          <w:b/>
          <w:noProof/>
        </w:rPr>
        <w:t xml:space="preserve"> act</w:t>
      </w:r>
    </w:p>
    <w:p w14:paraId="7D2D7F2A" w14:textId="4F103116" w:rsidR="0057777D" w:rsidRPr="00593627" w:rsidRDefault="0057777D" w:rsidP="00D44EAF">
      <w:pPr>
        <w:spacing w:before="100" w:beforeAutospacing="1"/>
        <w:jc w:val="both"/>
        <w:rPr>
          <w:rFonts w:eastAsia="Times New Roman"/>
          <w:noProof/>
          <w:lang w:eastAsia="en-GB"/>
        </w:rPr>
      </w:pPr>
      <w:r w:rsidRPr="00593627">
        <w:rPr>
          <w:rFonts w:eastAsia="Times New Roman"/>
          <w:noProof/>
          <w:lang w:eastAsia="en-GB"/>
        </w:rPr>
        <w:t xml:space="preserve">The ATCG was informed </w:t>
      </w:r>
      <w:r w:rsidR="003C34BD">
        <w:rPr>
          <w:rFonts w:eastAsia="Times New Roman"/>
          <w:noProof/>
          <w:lang w:eastAsia="en-GB"/>
        </w:rPr>
        <w:t>of</w:t>
      </w:r>
      <w:r w:rsidR="003C34BD" w:rsidRPr="00593627">
        <w:rPr>
          <w:rFonts w:eastAsia="Times New Roman"/>
          <w:noProof/>
          <w:lang w:eastAsia="en-GB"/>
        </w:rPr>
        <w:t xml:space="preserve"> </w:t>
      </w:r>
      <w:r w:rsidRPr="00593627">
        <w:rPr>
          <w:rFonts w:eastAsia="Times New Roman"/>
          <w:noProof/>
          <w:lang w:eastAsia="en-GB"/>
        </w:rPr>
        <w:t>develo</w:t>
      </w:r>
      <w:r w:rsidR="00595F0E">
        <w:rPr>
          <w:rFonts w:eastAsia="Times New Roman"/>
          <w:noProof/>
          <w:lang w:eastAsia="en-GB"/>
        </w:rPr>
        <w:t>p</w:t>
      </w:r>
      <w:r w:rsidRPr="00593627">
        <w:rPr>
          <w:rFonts w:eastAsia="Times New Roman"/>
          <w:noProof/>
          <w:lang w:eastAsia="en-GB"/>
        </w:rPr>
        <w:t>ments related to the basic act, namely the co</w:t>
      </w:r>
      <w:r w:rsidR="00587383">
        <w:rPr>
          <w:rFonts w:eastAsia="Times New Roman"/>
          <w:noProof/>
          <w:lang w:eastAsia="en-GB"/>
        </w:rPr>
        <w:t>dif</w:t>
      </w:r>
      <w:r w:rsidR="0014597A">
        <w:rPr>
          <w:rFonts w:eastAsia="Times New Roman"/>
          <w:noProof/>
          <w:lang w:eastAsia="en-GB"/>
        </w:rPr>
        <w:t>i</w:t>
      </w:r>
      <w:r w:rsidR="00587383">
        <w:rPr>
          <w:rFonts w:eastAsia="Times New Roman"/>
          <w:noProof/>
          <w:lang w:eastAsia="en-GB"/>
        </w:rPr>
        <w:t xml:space="preserve">cation </w:t>
      </w:r>
      <w:r w:rsidRPr="00593627">
        <w:rPr>
          <w:rFonts w:eastAsia="Times New Roman"/>
          <w:noProof/>
          <w:lang w:eastAsia="en-GB"/>
        </w:rPr>
        <w:t xml:space="preserve">of Regulation </w:t>
      </w:r>
      <w:r w:rsidR="00677AFB">
        <w:rPr>
          <w:rFonts w:eastAsia="Times New Roman"/>
          <w:noProof/>
          <w:lang w:eastAsia="en-GB"/>
        </w:rPr>
        <w:t xml:space="preserve">(EC) No </w:t>
      </w:r>
      <w:r w:rsidRPr="00593627">
        <w:rPr>
          <w:rFonts w:eastAsia="Times New Roman"/>
          <w:noProof/>
          <w:lang w:eastAsia="en-GB"/>
        </w:rPr>
        <w:t xml:space="preserve">1236/2005 in Regulation (EU) 2019/125 of the European Parliament and of the Council of 16 January 2019. The original Regulation </w:t>
      </w:r>
      <w:r w:rsidR="00A73359">
        <w:rPr>
          <w:rFonts w:eastAsia="Times New Roman"/>
          <w:noProof/>
          <w:lang w:eastAsia="en-GB"/>
        </w:rPr>
        <w:t xml:space="preserve">(EC) No </w:t>
      </w:r>
      <w:r w:rsidRPr="00593627">
        <w:rPr>
          <w:rFonts w:eastAsia="Times New Roman"/>
          <w:noProof/>
          <w:lang w:eastAsia="en-GB"/>
        </w:rPr>
        <w:t xml:space="preserve">1236/2005 had been substantially amended several times between 2005 and 2018. </w:t>
      </w:r>
      <w:r w:rsidR="006A7E37">
        <w:rPr>
          <w:rFonts w:eastAsia="Times New Roman"/>
          <w:noProof/>
          <w:lang w:eastAsia="en-GB"/>
        </w:rPr>
        <w:t>For</w:t>
      </w:r>
      <w:r w:rsidRPr="00593627">
        <w:rPr>
          <w:rFonts w:eastAsia="Times New Roman"/>
          <w:noProof/>
          <w:lang w:eastAsia="en-GB"/>
        </w:rPr>
        <w:t xml:space="preserve"> clarity and legal certainty, </w:t>
      </w:r>
      <w:r w:rsidR="006A7E37">
        <w:rPr>
          <w:rFonts w:eastAsia="Times New Roman"/>
          <w:noProof/>
          <w:lang w:eastAsia="en-GB"/>
        </w:rPr>
        <w:t xml:space="preserve">it had been </w:t>
      </w:r>
      <w:r w:rsidRPr="00593627">
        <w:rPr>
          <w:rFonts w:eastAsia="Times New Roman"/>
          <w:noProof/>
          <w:lang w:eastAsia="en-GB"/>
        </w:rPr>
        <w:t>codifi</w:t>
      </w:r>
      <w:r w:rsidR="000115FA">
        <w:rPr>
          <w:rFonts w:eastAsia="Times New Roman"/>
          <w:noProof/>
          <w:lang w:eastAsia="en-GB"/>
        </w:rPr>
        <w:t>ed</w:t>
      </w:r>
      <w:r w:rsidRPr="00593627">
        <w:rPr>
          <w:rFonts w:eastAsia="Times New Roman"/>
          <w:noProof/>
          <w:lang w:eastAsia="en-GB"/>
        </w:rPr>
        <w:t xml:space="preserve">. The codified Regulation repealed Regulation </w:t>
      </w:r>
      <w:r w:rsidR="00A73359">
        <w:rPr>
          <w:rFonts w:eastAsia="Times New Roman"/>
          <w:noProof/>
          <w:lang w:eastAsia="en-GB"/>
        </w:rPr>
        <w:t xml:space="preserve">(EC) No </w:t>
      </w:r>
      <w:r w:rsidRPr="00593627">
        <w:rPr>
          <w:rFonts w:eastAsia="Times New Roman"/>
          <w:noProof/>
          <w:lang w:eastAsia="en-GB"/>
        </w:rPr>
        <w:t xml:space="preserve">1236/2005 and consolidated all its amendments, </w:t>
      </w:r>
      <w:r w:rsidR="00677AFB">
        <w:rPr>
          <w:rFonts w:eastAsia="Times New Roman"/>
          <w:noProof/>
          <w:lang w:eastAsia="en-GB"/>
        </w:rPr>
        <w:t>but</w:t>
      </w:r>
      <w:r w:rsidR="00677AFB" w:rsidRPr="00593627">
        <w:rPr>
          <w:rFonts w:eastAsia="Times New Roman"/>
          <w:noProof/>
          <w:lang w:eastAsia="en-GB"/>
        </w:rPr>
        <w:t xml:space="preserve"> </w:t>
      </w:r>
      <w:r w:rsidR="00A4429F">
        <w:rPr>
          <w:rFonts w:eastAsia="Times New Roman"/>
          <w:noProof/>
          <w:lang w:eastAsia="en-GB"/>
        </w:rPr>
        <w:t xml:space="preserve">did not </w:t>
      </w:r>
      <w:r w:rsidRPr="00593627">
        <w:rPr>
          <w:rFonts w:eastAsia="Times New Roman"/>
          <w:noProof/>
          <w:lang w:eastAsia="en-GB"/>
        </w:rPr>
        <w:t>amend the lists of controlled goods.</w:t>
      </w:r>
    </w:p>
    <w:p w14:paraId="672A6659" w14:textId="08C6BF83" w:rsidR="002A6F7F" w:rsidRPr="002A6F7F" w:rsidRDefault="0069515F" w:rsidP="00D44EAF">
      <w:pPr>
        <w:spacing w:before="100" w:beforeAutospacing="1"/>
        <w:jc w:val="both"/>
        <w:rPr>
          <w:rFonts w:eastAsia="Times New Roman"/>
          <w:noProof/>
          <w:lang w:eastAsia="en-GB"/>
        </w:rPr>
      </w:pPr>
      <w:r>
        <w:rPr>
          <w:rFonts w:eastAsia="Times New Roman"/>
          <w:noProof/>
          <w:lang w:eastAsia="en-GB"/>
        </w:rPr>
        <w:t>T</w:t>
      </w:r>
      <w:r w:rsidR="0057777D" w:rsidRPr="00593627">
        <w:rPr>
          <w:rFonts w:eastAsia="Times New Roman"/>
          <w:noProof/>
          <w:lang w:eastAsia="en-GB"/>
        </w:rPr>
        <w:t xml:space="preserve">he Commision </w:t>
      </w:r>
      <w:r>
        <w:rPr>
          <w:rFonts w:eastAsia="Times New Roman"/>
          <w:noProof/>
          <w:lang w:eastAsia="en-GB"/>
        </w:rPr>
        <w:t xml:space="preserve">also </w:t>
      </w:r>
      <w:r w:rsidR="0057777D" w:rsidRPr="00593627">
        <w:rPr>
          <w:rFonts w:eastAsia="Times New Roman"/>
          <w:noProof/>
          <w:lang w:eastAsia="en-GB"/>
        </w:rPr>
        <w:t xml:space="preserve">informed </w:t>
      </w:r>
      <w:r w:rsidRPr="00593627">
        <w:rPr>
          <w:rFonts w:eastAsia="Times New Roman"/>
          <w:noProof/>
          <w:lang w:eastAsia="en-GB"/>
        </w:rPr>
        <w:t xml:space="preserve">the ATCG </w:t>
      </w:r>
      <w:r>
        <w:rPr>
          <w:rFonts w:eastAsia="Times New Roman"/>
          <w:noProof/>
          <w:lang w:eastAsia="en-GB"/>
        </w:rPr>
        <w:t xml:space="preserve">of, </w:t>
      </w:r>
      <w:r w:rsidR="0057777D" w:rsidRPr="00593627">
        <w:rPr>
          <w:rFonts w:eastAsia="Times New Roman"/>
          <w:noProof/>
          <w:lang w:eastAsia="en-GB"/>
        </w:rPr>
        <w:t xml:space="preserve">and subsequently consulted </w:t>
      </w:r>
      <w:r>
        <w:rPr>
          <w:rFonts w:eastAsia="Times New Roman"/>
          <w:noProof/>
          <w:lang w:eastAsia="en-GB"/>
        </w:rPr>
        <w:t xml:space="preserve">it </w:t>
      </w:r>
      <w:r w:rsidR="0057777D" w:rsidRPr="00593627">
        <w:rPr>
          <w:rFonts w:eastAsia="Times New Roman"/>
          <w:noProof/>
          <w:lang w:eastAsia="en-GB"/>
        </w:rPr>
        <w:t>on</w:t>
      </w:r>
      <w:r>
        <w:rPr>
          <w:rFonts w:eastAsia="Times New Roman"/>
          <w:noProof/>
          <w:lang w:eastAsia="en-GB"/>
        </w:rPr>
        <w:t>,</w:t>
      </w:r>
      <w:r w:rsidR="0057777D" w:rsidRPr="00593627">
        <w:rPr>
          <w:rFonts w:eastAsia="Times New Roman"/>
          <w:noProof/>
          <w:lang w:eastAsia="en-GB"/>
        </w:rPr>
        <w:t xml:space="preserve"> a draft delegated act amending: </w:t>
      </w:r>
      <w:r w:rsidR="00D1234B">
        <w:rPr>
          <w:rFonts w:eastAsia="Times New Roman"/>
          <w:noProof/>
          <w:lang w:eastAsia="en-GB"/>
        </w:rPr>
        <w:t>(</w:t>
      </w:r>
      <w:r w:rsidR="0057777D" w:rsidRPr="00593627">
        <w:rPr>
          <w:rFonts w:eastAsia="Times New Roman"/>
          <w:noProof/>
          <w:lang w:eastAsia="en-GB"/>
        </w:rPr>
        <w:t xml:space="preserve">i) the list of competent authorities (listed in Annex I) and </w:t>
      </w:r>
      <w:r w:rsidR="00D1234B">
        <w:rPr>
          <w:rFonts w:eastAsia="Times New Roman"/>
          <w:noProof/>
          <w:lang w:eastAsia="en-GB"/>
        </w:rPr>
        <w:t>(</w:t>
      </w:r>
      <w:r w:rsidR="0057777D" w:rsidRPr="00593627">
        <w:rPr>
          <w:rFonts w:eastAsia="Times New Roman"/>
          <w:noProof/>
          <w:lang w:eastAsia="en-GB"/>
        </w:rPr>
        <w:t>ii) the list of destinations to which the Union General Export Authorisation (Annex V) applies</w:t>
      </w:r>
      <w:r w:rsidR="00D1234B">
        <w:rPr>
          <w:rFonts w:eastAsia="Times New Roman"/>
          <w:noProof/>
          <w:lang w:eastAsia="en-GB"/>
        </w:rPr>
        <w:t xml:space="preserve"> </w:t>
      </w:r>
      <w:r w:rsidR="00D1234B" w:rsidRPr="00593627">
        <w:rPr>
          <w:rFonts w:eastAsia="Times New Roman"/>
          <w:noProof/>
          <w:lang w:eastAsia="en-GB"/>
        </w:rPr>
        <w:t>(addi</w:t>
      </w:r>
      <w:r w:rsidR="00D1234B">
        <w:rPr>
          <w:rFonts w:eastAsia="Times New Roman"/>
          <w:noProof/>
          <w:lang w:eastAsia="en-GB"/>
        </w:rPr>
        <w:t>ng T</w:t>
      </w:r>
      <w:r w:rsidR="00D1234B" w:rsidRPr="00593627">
        <w:rPr>
          <w:rFonts w:eastAsia="Times New Roman"/>
          <w:noProof/>
          <w:lang w:eastAsia="en-GB"/>
        </w:rPr>
        <w:t>he Gambia and Madagascar)</w:t>
      </w:r>
      <w:r w:rsidR="002A6F7F">
        <w:rPr>
          <w:rFonts w:eastAsia="Times New Roman"/>
          <w:noProof/>
          <w:lang w:eastAsia="en-GB"/>
        </w:rPr>
        <w:t xml:space="preserve">. </w:t>
      </w:r>
      <w:r w:rsidR="00CF770E" w:rsidRPr="00175460">
        <w:rPr>
          <w:noProof/>
        </w:rPr>
        <w:t xml:space="preserve">The approach </w:t>
      </w:r>
      <w:r w:rsidR="00CF770E">
        <w:rPr>
          <w:noProof/>
        </w:rPr>
        <w:t xml:space="preserve">so far </w:t>
      </w:r>
      <w:r w:rsidR="00CF770E" w:rsidRPr="00175460">
        <w:rPr>
          <w:noProof/>
        </w:rPr>
        <w:t>has been to inclu</w:t>
      </w:r>
      <w:r w:rsidR="00CF770E">
        <w:rPr>
          <w:noProof/>
        </w:rPr>
        <w:t xml:space="preserve">de </w:t>
      </w:r>
      <w:r w:rsidR="00CF770E" w:rsidRPr="00175460">
        <w:rPr>
          <w:noProof/>
        </w:rPr>
        <w:t xml:space="preserve">a </w:t>
      </w:r>
      <w:r w:rsidR="00CF770E">
        <w:rPr>
          <w:noProof/>
        </w:rPr>
        <w:t>non-EU</w:t>
      </w:r>
      <w:r w:rsidR="00CF770E" w:rsidRPr="00175460">
        <w:rPr>
          <w:noProof/>
        </w:rPr>
        <w:t xml:space="preserve"> country in Annex V </w:t>
      </w:r>
      <w:r w:rsidR="00CF770E">
        <w:rPr>
          <w:noProof/>
        </w:rPr>
        <w:t>if it has</w:t>
      </w:r>
      <w:r w:rsidR="00CF770E" w:rsidRPr="00175460">
        <w:rPr>
          <w:noProof/>
        </w:rPr>
        <w:t xml:space="preserve"> ratifi</w:t>
      </w:r>
      <w:r w:rsidR="00CF770E">
        <w:rPr>
          <w:noProof/>
        </w:rPr>
        <w:t xml:space="preserve">ed </w:t>
      </w:r>
      <w:r w:rsidR="00CF770E" w:rsidRPr="00175460">
        <w:rPr>
          <w:noProof/>
        </w:rPr>
        <w:t>a relevant international agreement with a commitment to abolish</w:t>
      </w:r>
      <w:r w:rsidR="00CF770E">
        <w:rPr>
          <w:noProof/>
        </w:rPr>
        <w:t>ing</w:t>
      </w:r>
      <w:r w:rsidR="00CF770E" w:rsidRPr="00175460">
        <w:rPr>
          <w:noProof/>
        </w:rPr>
        <w:t xml:space="preserve"> the death penalty for all crimes. For countries </w:t>
      </w:r>
      <w:r w:rsidR="0014597A">
        <w:rPr>
          <w:noProof/>
        </w:rPr>
        <w:t xml:space="preserve">that are not member s of the Council of Europe, </w:t>
      </w:r>
      <w:r w:rsidR="00CF770E" w:rsidRPr="00702B02">
        <w:rPr>
          <w:noProof/>
        </w:rPr>
        <w:t>that means</w:t>
      </w:r>
      <w:r w:rsidR="00CF770E" w:rsidRPr="00175460">
        <w:rPr>
          <w:noProof/>
        </w:rPr>
        <w:t xml:space="preserve"> </w:t>
      </w:r>
      <w:r w:rsidR="00CF770E">
        <w:rPr>
          <w:noProof/>
        </w:rPr>
        <w:t xml:space="preserve">the country in question must have </w:t>
      </w:r>
      <w:r w:rsidR="00CF770E" w:rsidRPr="00175460">
        <w:rPr>
          <w:noProof/>
        </w:rPr>
        <w:t>ratifi</w:t>
      </w:r>
      <w:r w:rsidR="00CF770E">
        <w:rPr>
          <w:noProof/>
        </w:rPr>
        <w:t xml:space="preserve">ed </w:t>
      </w:r>
      <w:r w:rsidR="00CF770E" w:rsidRPr="00175460">
        <w:rPr>
          <w:noProof/>
        </w:rPr>
        <w:t>the Second Optional Protocol to the International Covenant on Civil and Political Rights (ICCPR) without reservation</w:t>
      </w:r>
      <w:r w:rsidR="00CF770E" w:rsidDel="00CF770E">
        <w:rPr>
          <w:rFonts w:eastAsia="Times New Roman"/>
          <w:noProof/>
          <w:lang w:eastAsia="en-GB"/>
        </w:rPr>
        <w:t xml:space="preserve"> </w:t>
      </w:r>
      <w:r w:rsidR="0082166B">
        <w:rPr>
          <w:rFonts w:eastAsia="Times New Roman"/>
          <w:noProof/>
          <w:lang w:eastAsia="en-GB"/>
        </w:rPr>
        <w:t>(</w:t>
      </w:r>
      <w:r w:rsidR="002A6F7F" w:rsidRPr="0014597A">
        <w:rPr>
          <w:rFonts w:eastAsia="Times New Roman"/>
          <w:noProof/>
          <w:vertAlign w:val="superscript"/>
          <w:lang w:eastAsia="en-GB"/>
        </w:rPr>
        <w:footnoteReference w:id="6"/>
      </w:r>
      <w:r w:rsidR="0082166B">
        <w:rPr>
          <w:rFonts w:eastAsia="Times New Roman"/>
          <w:noProof/>
          <w:lang w:eastAsia="en-GB"/>
        </w:rPr>
        <w:t>)</w:t>
      </w:r>
      <w:r w:rsidR="002A6F7F" w:rsidRPr="002A6F7F">
        <w:rPr>
          <w:rFonts w:eastAsia="Times New Roman"/>
          <w:noProof/>
          <w:lang w:eastAsia="en-GB"/>
        </w:rPr>
        <w:t xml:space="preserve">. </w:t>
      </w:r>
      <w:r w:rsidR="00D1234B">
        <w:rPr>
          <w:rFonts w:eastAsia="Times New Roman"/>
          <w:noProof/>
          <w:lang w:eastAsia="en-GB"/>
        </w:rPr>
        <w:t xml:space="preserve">The </w:t>
      </w:r>
      <w:r w:rsidR="002A6F7F" w:rsidRPr="002A6F7F">
        <w:rPr>
          <w:rFonts w:eastAsia="Times New Roman"/>
          <w:noProof/>
          <w:lang w:eastAsia="en-GB"/>
        </w:rPr>
        <w:t xml:space="preserve">Gambia </w:t>
      </w:r>
      <w:r w:rsidR="003E42C6">
        <w:rPr>
          <w:rFonts w:eastAsia="Times New Roman"/>
          <w:noProof/>
          <w:lang w:eastAsia="en-GB"/>
        </w:rPr>
        <w:t xml:space="preserve">has </w:t>
      </w:r>
      <w:r w:rsidR="002A6F7F" w:rsidRPr="002A6F7F">
        <w:rPr>
          <w:rFonts w:eastAsia="Times New Roman"/>
          <w:noProof/>
          <w:lang w:eastAsia="en-GB"/>
        </w:rPr>
        <w:t xml:space="preserve">ratified the Second Optional Protocol to </w:t>
      </w:r>
      <w:r w:rsidR="003E42C6">
        <w:rPr>
          <w:rFonts w:eastAsia="Times New Roman"/>
          <w:noProof/>
          <w:lang w:eastAsia="en-GB"/>
        </w:rPr>
        <w:t xml:space="preserve">the </w:t>
      </w:r>
      <w:r w:rsidR="002A6F7F" w:rsidRPr="002A6F7F">
        <w:rPr>
          <w:rFonts w:eastAsia="Times New Roman"/>
          <w:noProof/>
          <w:lang w:eastAsia="en-GB"/>
        </w:rPr>
        <w:t xml:space="preserve">ICCPR without reservation. The same </w:t>
      </w:r>
      <w:r w:rsidR="005C7EC7">
        <w:rPr>
          <w:rFonts w:eastAsia="Times New Roman"/>
          <w:noProof/>
          <w:lang w:eastAsia="en-GB"/>
        </w:rPr>
        <w:t>goes</w:t>
      </w:r>
      <w:r w:rsidR="005C7EC7" w:rsidRPr="002A6F7F">
        <w:rPr>
          <w:rFonts w:eastAsia="Times New Roman"/>
          <w:noProof/>
          <w:lang w:eastAsia="en-GB"/>
        </w:rPr>
        <w:t xml:space="preserve"> </w:t>
      </w:r>
      <w:r w:rsidR="002A6F7F" w:rsidRPr="002A6F7F">
        <w:rPr>
          <w:rFonts w:eastAsia="Times New Roman"/>
          <w:noProof/>
          <w:lang w:eastAsia="en-GB"/>
        </w:rPr>
        <w:t xml:space="preserve">for Madagascar and the countries added </w:t>
      </w:r>
      <w:r w:rsidR="00493827">
        <w:rPr>
          <w:rFonts w:eastAsia="Times New Roman"/>
          <w:noProof/>
          <w:lang w:eastAsia="en-GB"/>
        </w:rPr>
        <w:t xml:space="preserve">previously </w:t>
      </w:r>
      <w:r w:rsidR="002A6F7F" w:rsidRPr="002A6F7F">
        <w:rPr>
          <w:rFonts w:eastAsia="Times New Roman"/>
          <w:noProof/>
          <w:lang w:eastAsia="en-GB"/>
        </w:rPr>
        <w:t>to the list in 2017</w:t>
      </w:r>
      <w:r w:rsidR="00493827">
        <w:rPr>
          <w:rStyle w:val="FootnoteReference"/>
          <w:rFonts w:eastAsia="Times New Roman"/>
          <w:noProof/>
          <w:lang w:eastAsia="en-GB"/>
        </w:rPr>
        <w:footnoteReference w:id="7"/>
      </w:r>
      <w:r w:rsidR="00493827">
        <w:rPr>
          <w:rFonts w:eastAsia="Times New Roman"/>
          <w:noProof/>
          <w:lang w:eastAsia="en-GB"/>
        </w:rPr>
        <w:t>.</w:t>
      </w:r>
    </w:p>
    <w:p w14:paraId="14A492F2" w14:textId="77777777" w:rsidR="00A4429F" w:rsidRPr="00A4429F" w:rsidRDefault="00A4429F" w:rsidP="00D44EAF">
      <w:pPr>
        <w:pStyle w:val="ListParagraph"/>
        <w:keepNext/>
        <w:numPr>
          <w:ilvl w:val="1"/>
          <w:numId w:val="1"/>
        </w:numPr>
        <w:spacing w:before="100" w:beforeAutospacing="1"/>
        <w:ind w:left="788" w:hanging="431"/>
        <w:contextualSpacing w:val="0"/>
        <w:jc w:val="both"/>
        <w:rPr>
          <w:b/>
          <w:noProof/>
        </w:rPr>
      </w:pPr>
      <w:r w:rsidRPr="00A4429F">
        <w:rPr>
          <w:b/>
          <w:noProof/>
        </w:rPr>
        <w:t>Trade</w:t>
      </w:r>
      <w:r>
        <w:rPr>
          <w:b/>
          <w:noProof/>
        </w:rPr>
        <w:t xml:space="preserve"> information</w:t>
      </w:r>
      <w:r w:rsidRPr="00A4429F">
        <w:rPr>
          <w:b/>
          <w:noProof/>
        </w:rPr>
        <w:t>: data reporting</w:t>
      </w:r>
    </w:p>
    <w:p w14:paraId="4F7C2CCF" w14:textId="75C85193" w:rsidR="00A4429F" w:rsidRPr="00A4429F" w:rsidRDefault="00A4429F" w:rsidP="00D44EAF">
      <w:pPr>
        <w:spacing w:before="100" w:beforeAutospacing="1"/>
        <w:jc w:val="both"/>
        <w:rPr>
          <w:rFonts w:eastAsia="Times New Roman"/>
          <w:lang w:eastAsia="en-GB"/>
        </w:rPr>
      </w:pPr>
      <w:r w:rsidRPr="00A4429F">
        <w:rPr>
          <w:rFonts w:eastAsia="Times New Roman"/>
          <w:lang w:eastAsia="en-GB"/>
        </w:rPr>
        <w:t xml:space="preserve">The Commission reviewed with the members of the ATCG the status of the submissions </w:t>
      </w:r>
      <w:r w:rsidR="00D1234B">
        <w:rPr>
          <w:rFonts w:eastAsia="Times New Roman"/>
          <w:lang w:eastAsia="en-GB"/>
        </w:rPr>
        <w:t xml:space="preserve">from EU Member States, </w:t>
      </w:r>
      <w:r w:rsidRPr="00A4429F">
        <w:rPr>
          <w:rFonts w:eastAsia="Times New Roman"/>
          <w:lang w:eastAsia="en-GB"/>
        </w:rPr>
        <w:t>received and outstanding</w:t>
      </w:r>
      <w:r w:rsidR="00D1234B">
        <w:rPr>
          <w:rFonts w:eastAsia="Times New Roman"/>
          <w:lang w:eastAsia="en-GB"/>
        </w:rPr>
        <w:t>,</w:t>
      </w:r>
      <w:r w:rsidRPr="00A4429F">
        <w:rPr>
          <w:rFonts w:eastAsia="Times New Roman"/>
          <w:lang w:eastAsia="en-GB"/>
        </w:rPr>
        <w:t xml:space="preserve"> for the preceding years (2017 and 2018)</w:t>
      </w:r>
      <w:r w:rsidR="00184381">
        <w:rPr>
          <w:rFonts w:eastAsia="Times New Roman"/>
          <w:lang w:eastAsia="en-GB"/>
        </w:rPr>
        <w:t>, in order</w:t>
      </w:r>
      <w:r w:rsidRPr="00A4429F">
        <w:rPr>
          <w:rFonts w:eastAsia="Times New Roman"/>
          <w:lang w:eastAsia="en-GB"/>
        </w:rPr>
        <w:t xml:space="preserve"> </w:t>
      </w:r>
      <w:r w:rsidR="00D1234B">
        <w:rPr>
          <w:rFonts w:eastAsia="Times New Roman"/>
          <w:lang w:eastAsia="en-GB"/>
        </w:rPr>
        <w:t>to</w:t>
      </w:r>
      <w:r w:rsidR="00D1234B" w:rsidRPr="00A4429F">
        <w:rPr>
          <w:rFonts w:eastAsia="Times New Roman"/>
          <w:lang w:eastAsia="en-GB"/>
        </w:rPr>
        <w:t xml:space="preserve"> </w:t>
      </w:r>
      <w:r w:rsidRPr="00A4429F">
        <w:rPr>
          <w:rFonts w:eastAsia="Times New Roman"/>
          <w:lang w:eastAsia="en-GB"/>
        </w:rPr>
        <w:t>prepar</w:t>
      </w:r>
      <w:r w:rsidR="00D1234B">
        <w:rPr>
          <w:rFonts w:eastAsia="Times New Roman"/>
          <w:lang w:eastAsia="en-GB"/>
        </w:rPr>
        <w:t>e</w:t>
      </w:r>
      <w:r w:rsidRPr="00A4429F">
        <w:rPr>
          <w:rFonts w:eastAsia="Times New Roman"/>
          <w:lang w:eastAsia="en-GB"/>
        </w:rPr>
        <w:t xml:space="preserve"> the Commission</w:t>
      </w:r>
      <w:r w:rsidR="00D1234B">
        <w:rPr>
          <w:rFonts w:eastAsia="Times New Roman"/>
          <w:lang w:eastAsia="en-GB"/>
        </w:rPr>
        <w:t>’s</w:t>
      </w:r>
      <w:r w:rsidRPr="00A4429F">
        <w:rPr>
          <w:rFonts w:eastAsia="Times New Roman"/>
          <w:lang w:eastAsia="en-GB"/>
        </w:rPr>
        <w:t xml:space="preserve"> annual report</w:t>
      </w:r>
      <w:r w:rsidR="00D1234B">
        <w:rPr>
          <w:rFonts w:eastAsia="Times New Roman"/>
          <w:lang w:eastAsia="en-GB"/>
        </w:rPr>
        <w:t xml:space="preserve"> </w:t>
      </w:r>
      <w:r w:rsidR="0012399A">
        <w:rPr>
          <w:rFonts w:eastAsia="Times New Roman"/>
          <w:lang w:eastAsia="en-GB"/>
        </w:rPr>
        <w:t xml:space="preserve">in accordance with </w:t>
      </w:r>
      <w:r w:rsidR="00D1234B" w:rsidRPr="00D1234B">
        <w:rPr>
          <w:rFonts w:eastAsia="Times New Roman"/>
          <w:lang w:eastAsia="en-GB"/>
        </w:rPr>
        <w:t xml:space="preserve">Article 31(4) of Regulation (EU) </w:t>
      </w:r>
      <w:r w:rsidR="0012399A">
        <w:rPr>
          <w:rFonts w:eastAsia="Times New Roman"/>
          <w:lang w:eastAsia="en-GB"/>
        </w:rPr>
        <w:t xml:space="preserve">No </w:t>
      </w:r>
      <w:r w:rsidR="00D1234B" w:rsidRPr="00D1234B">
        <w:rPr>
          <w:rFonts w:eastAsia="Times New Roman"/>
          <w:lang w:eastAsia="en-GB"/>
        </w:rPr>
        <w:t>2019/125</w:t>
      </w:r>
      <w:r w:rsidRPr="00A4429F">
        <w:rPr>
          <w:rFonts w:eastAsia="Times New Roman"/>
          <w:lang w:eastAsia="en-GB"/>
        </w:rPr>
        <w:t xml:space="preserve">. The Commission </w:t>
      </w:r>
      <w:r w:rsidR="0012399A">
        <w:rPr>
          <w:rFonts w:eastAsia="Times New Roman"/>
          <w:lang w:eastAsia="en-GB"/>
        </w:rPr>
        <w:t xml:space="preserve">has </w:t>
      </w:r>
      <w:r w:rsidRPr="00A4429F">
        <w:rPr>
          <w:rFonts w:eastAsia="Times New Roman"/>
          <w:lang w:eastAsia="en-GB"/>
        </w:rPr>
        <w:t xml:space="preserve">stressed the need for all Member States to report, even if no export authorisation </w:t>
      </w:r>
      <w:r w:rsidR="00603808">
        <w:rPr>
          <w:rFonts w:eastAsia="Times New Roman"/>
          <w:lang w:eastAsia="en-GB"/>
        </w:rPr>
        <w:t>was</w:t>
      </w:r>
      <w:r w:rsidRPr="00A4429F">
        <w:rPr>
          <w:rFonts w:eastAsia="Times New Roman"/>
          <w:lang w:eastAsia="en-GB"/>
        </w:rPr>
        <w:t xml:space="preserve"> granted or </w:t>
      </w:r>
      <w:r w:rsidR="0012399A">
        <w:rPr>
          <w:rFonts w:eastAsia="Times New Roman"/>
          <w:lang w:eastAsia="en-GB"/>
        </w:rPr>
        <w:t>denied</w:t>
      </w:r>
      <w:r w:rsidRPr="00A4429F">
        <w:rPr>
          <w:rFonts w:eastAsia="Times New Roman"/>
          <w:lang w:eastAsia="en-GB"/>
        </w:rPr>
        <w:t>.</w:t>
      </w:r>
    </w:p>
    <w:p w14:paraId="0528C09B" w14:textId="70CAAA74" w:rsidR="00A4429F" w:rsidRDefault="002805F5" w:rsidP="00D44EAF">
      <w:pPr>
        <w:spacing w:before="100" w:beforeAutospacing="1"/>
        <w:jc w:val="both"/>
        <w:rPr>
          <w:rFonts w:eastAsia="Times New Roman"/>
          <w:lang w:eastAsia="en-GB"/>
        </w:rPr>
      </w:pPr>
      <w:r>
        <w:rPr>
          <w:rFonts w:eastAsia="Times New Roman"/>
          <w:lang w:eastAsia="en-GB"/>
        </w:rPr>
        <w:t>In the broader context of the</w:t>
      </w:r>
      <w:r w:rsidR="00A4429F" w:rsidRPr="00A4429F">
        <w:rPr>
          <w:rFonts w:eastAsia="Times New Roman"/>
          <w:lang w:eastAsia="en-GB"/>
        </w:rPr>
        <w:t xml:space="preserve"> reporting process, the Commission with the ATCG </w:t>
      </w:r>
      <w:r>
        <w:rPr>
          <w:rFonts w:eastAsia="Times New Roman"/>
          <w:lang w:eastAsia="en-GB"/>
        </w:rPr>
        <w:t>looked into extending</w:t>
      </w:r>
      <w:r w:rsidR="00D1234B">
        <w:rPr>
          <w:rFonts w:eastAsia="Times New Roman"/>
          <w:lang w:eastAsia="en-GB"/>
        </w:rPr>
        <w:t xml:space="preserve"> </w:t>
      </w:r>
      <w:r>
        <w:rPr>
          <w:rFonts w:eastAsia="Times New Roman"/>
          <w:lang w:eastAsia="en-GB"/>
        </w:rPr>
        <w:t>it</w:t>
      </w:r>
      <w:r w:rsidR="00D1234B">
        <w:rPr>
          <w:rFonts w:eastAsia="Times New Roman"/>
          <w:lang w:eastAsia="en-GB"/>
        </w:rPr>
        <w:t xml:space="preserve"> </w:t>
      </w:r>
      <w:r w:rsidR="00A4429F" w:rsidRPr="00A4429F">
        <w:rPr>
          <w:rFonts w:eastAsia="Times New Roman"/>
          <w:lang w:eastAsia="en-GB"/>
        </w:rPr>
        <w:t xml:space="preserve">to matters such as </w:t>
      </w:r>
      <w:r>
        <w:rPr>
          <w:rFonts w:eastAsia="Times New Roman"/>
          <w:lang w:eastAsia="en-GB"/>
        </w:rPr>
        <w:t xml:space="preserve">(i) </w:t>
      </w:r>
      <w:r w:rsidR="00A4429F" w:rsidRPr="00A4429F">
        <w:rPr>
          <w:rFonts w:eastAsia="Times New Roman"/>
          <w:lang w:eastAsia="en-GB"/>
        </w:rPr>
        <w:t xml:space="preserve">information on authorisations concerning </w:t>
      </w:r>
      <w:r>
        <w:rPr>
          <w:rFonts w:eastAsia="Times New Roman"/>
          <w:lang w:eastAsia="en-GB"/>
        </w:rPr>
        <w:t xml:space="preserve">the </w:t>
      </w:r>
      <w:r w:rsidR="00A4429F" w:rsidRPr="00A4429F">
        <w:rPr>
          <w:rFonts w:eastAsia="Times New Roman"/>
          <w:lang w:eastAsia="en-GB"/>
        </w:rPr>
        <w:t xml:space="preserve">brokering </w:t>
      </w:r>
      <w:r>
        <w:rPr>
          <w:rFonts w:eastAsia="Times New Roman"/>
          <w:lang w:eastAsia="en-GB"/>
        </w:rPr>
        <w:t xml:space="preserve">of services </w:t>
      </w:r>
      <w:r w:rsidR="00A4429F" w:rsidRPr="00A4429F">
        <w:rPr>
          <w:rFonts w:eastAsia="Times New Roman"/>
          <w:lang w:eastAsia="en-GB"/>
        </w:rPr>
        <w:t xml:space="preserve">and technical assistance and </w:t>
      </w:r>
      <w:r>
        <w:rPr>
          <w:rFonts w:eastAsia="Times New Roman"/>
          <w:lang w:eastAsia="en-GB"/>
        </w:rPr>
        <w:t xml:space="preserve">(ii) </w:t>
      </w:r>
      <w:r w:rsidR="00A4429F" w:rsidRPr="00A4429F">
        <w:rPr>
          <w:rFonts w:eastAsia="Times New Roman"/>
          <w:lang w:eastAsia="en-GB"/>
        </w:rPr>
        <w:t xml:space="preserve">information on the use of the Union General Export Authorisation. </w:t>
      </w:r>
      <w:r w:rsidR="00D1234B">
        <w:rPr>
          <w:rFonts w:eastAsia="Times New Roman"/>
          <w:lang w:eastAsia="en-GB"/>
        </w:rPr>
        <w:t>The ATCG also discussed</w:t>
      </w:r>
      <w:r w:rsidR="00A4429F" w:rsidRPr="00A4429F">
        <w:rPr>
          <w:rFonts w:eastAsia="Times New Roman"/>
          <w:lang w:eastAsia="en-GB"/>
        </w:rPr>
        <w:t xml:space="preserve"> the </w:t>
      </w:r>
      <w:r w:rsidR="00D1234B">
        <w:rPr>
          <w:rFonts w:eastAsia="Times New Roman"/>
          <w:lang w:eastAsia="en-GB"/>
        </w:rPr>
        <w:t xml:space="preserve">possibility of </w:t>
      </w:r>
      <w:r w:rsidR="00A4429F" w:rsidRPr="00A4429F">
        <w:rPr>
          <w:rFonts w:eastAsia="Times New Roman"/>
          <w:lang w:eastAsia="en-GB"/>
        </w:rPr>
        <w:t>includ</w:t>
      </w:r>
      <w:r w:rsidR="00D1234B">
        <w:rPr>
          <w:rFonts w:eastAsia="Times New Roman"/>
          <w:lang w:eastAsia="en-GB"/>
        </w:rPr>
        <w:t>ing</w:t>
      </w:r>
      <w:r w:rsidR="00A4429F" w:rsidRPr="00A4429F">
        <w:rPr>
          <w:rFonts w:eastAsia="Times New Roman"/>
          <w:lang w:eastAsia="en-GB"/>
        </w:rPr>
        <w:t xml:space="preserve"> the end</w:t>
      </w:r>
      <w:r>
        <w:rPr>
          <w:rFonts w:eastAsia="Times New Roman"/>
          <w:lang w:eastAsia="en-GB"/>
        </w:rPr>
        <w:t>-</w:t>
      </w:r>
      <w:r w:rsidR="00A4429F" w:rsidRPr="00A4429F">
        <w:rPr>
          <w:rFonts w:eastAsia="Times New Roman"/>
          <w:lang w:eastAsia="en-GB"/>
        </w:rPr>
        <w:t xml:space="preserve">user </w:t>
      </w:r>
      <w:r>
        <w:rPr>
          <w:rFonts w:eastAsia="Times New Roman"/>
          <w:lang w:eastAsia="en-GB"/>
        </w:rPr>
        <w:t xml:space="preserve">in </w:t>
      </w:r>
      <w:r w:rsidR="00A4429F" w:rsidRPr="00A4429F">
        <w:rPr>
          <w:rFonts w:eastAsia="Times New Roman"/>
          <w:lang w:eastAsia="en-GB"/>
        </w:rPr>
        <w:t>regular reporting</w:t>
      </w:r>
      <w:r w:rsidR="00D1234B">
        <w:rPr>
          <w:rFonts w:eastAsia="Times New Roman"/>
          <w:lang w:eastAsia="en-GB"/>
        </w:rPr>
        <w:t>.</w:t>
      </w:r>
      <w:r w:rsidR="00A4429F" w:rsidRPr="00A4429F">
        <w:rPr>
          <w:rFonts w:eastAsia="Times New Roman"/>
          <w:lang w:eastAsia="en-GB"/>
        </w:rPr>
        <w:t xml:space="preserve"> </w:t>
      </w:r>
      <w:r w:rsidR="00D1234B">
        <w:rPr>
          <w:rFonts w:eastAsia="Times New Roman"/>
          <w:lang w:eastAsia="en-GB"/>
        </w:rPr>
        <w:t>O</w:t>
      </w:r>
      <w:r w:rsidR="00D1234B" w:rsidRPr="00A4429F">
        <w:rPr>
          <w:rFonts w:eastAsia="Times New Roman"/>
          <w:lang w:eastAsia="en-GB"/>
        </w:rPr>
        <w:t xml:space="preserve">ne </w:t>
      </w:r>
      <w:r w:rsidR="00D1234B">
        <w:rPr>
          <w:rFonts w:eastAsia="Times New Roman"/>
          <w:lang w:eastAsia="en-GB"/>
        </w:rPr>
        <w:t xml:space="preserve">national competent </w:t>
      </w:r>
      <w:r w:rsidR="00A4429F" w:rsidRPr="00A4429F">
        <w:rPr>
          <w:rFonts w:eastAsia="Times New Roman"/>
          <w:lang w:eastAsia="en-GB"/>
        </w:rPr>
        <w:t xml:space="preserve">authority </w:t>
      </w:r>
      <w:r w:rsidR="00D1234B">
        <w:rPr>
          <w:rFonts w:eastAsia="Times New Roman"/>
          <w:lang w:eastAsia="en-GB"/>
        </w:rPr>
        <w:t xml:space="preserve">expressed </w:t>
      </w:r>
      <w:r w:rsidR="00A4429F" w:rsidRPr="00A4429F">
        <w:rPr>
          <w:rFonts w:eastAsia="Times New Roman"/>
          <w:lang w:eastAsia="en-GB"/>
        </w:rPr>
        <w:t xml:space="preserve">the view that </w:t>
      </w:r>
      <w:r w:rsidR="00D1234B">
        <w:rPr>
          <w:rFonts w:eastAsia="Times New Roman"/>
          <w:lang w:eastAsia="en-GB"/>
        </w:rPr>
        <w:t>such information</w:t>
      </w:r>
      <w:r w:rsidR="00D1234B" w:rsidRPr="00A4429F">
        <w:rPr>
          <w:rFonts w:eastAsia="Times New Roman"/>
          <w:lang w:eastAsia="en-GB"/>
        </w:rPr>
        <w:t xml:space="preserve"> </w:t>
      </w:r>
      <w:r w:rsidR="00A4429F" w:rsidRPr="00A4429F">
        <w:rPr>
          <w:rFonts w:eastAsia="Times New Roman"/>
          <w:lang w:eastAsia="en-GB"/>
        </w:rPr>
        <w:t>should be provided to the Commission on request only</w:t>
      </w:r>
      <w:r>
        <w:rPr>
          <w:rFonts w:eastAsia="Times New Roman"/>
          <w:lang w:eastAsia="en-GB"/>
        </w:rPr>
        <w:t>,</w:t>
      </w:r>
      <w:r w:rsidR="00A4429F" w:rsidRPr="00A4429F">
        <w:rPr>
          <w:rFonts w:eastAsia="Times New Roman"/>
          <w:lang w:eastAsia="en-GB"/>
        </w:rPr>
        <w:t xml:space="preserve"> in line with Article 26(2).</w:t>
      </w:r>
    </w:p>
    <w:p w14:paraId="6D39E96D" w14:textId="2A1DE749" w:rsidR="00822F7D" w:rsidRPr="00A4429F" w:rsidRDefault="002805F5" w:rsidP="00D44EAF">
      <w:pPr>
        <w:spacing w:before="100" w:beforeAutospacing="1"/>
        <w:jc w:val="both"/>
        <w:rPr>
          <w:rFonts w:eastAsia="Times New Roman"/>
          <w:lang w:eastAsia="en-GB"/>
        </w:rPr>
      </w:pPr>
      <w:r>
        <w:rPr>
          <w:rFonts w:eastAsia="Times New Roman"/>
          <w:lang w:eastAsia="en-GB"/>
        </w:rPr>
        <w:t>On the basis of the above</w:t>
      </w:r>
      <w:r w:rsidR="00822F7D" w:rsidRPr="004B5C02">
        <w:rPr>
          <w:rFonts w:eastAsia="Times New Roman"/>
          <w:lang w:eastAsia="en-GB"/>
        </w:rPr>
        <w:t xml:space="preserve">, the Commission </w:t>
      </w:r>
      <w:r>
        <w:rPr>
          <w:rFonts w:eastAsia="Times New Roman"/>
          <w:lang w:eastAsia="en-GB"/>
        </w:rPr>
        <w:t>informed</w:t>
      </w:r>
      <w:r w:rsidR="00822F7D" w:rsidRPr="004B5C02">
        <w:rPr>
          <w:rFonts w:eastAsia="Times New Roman"/>
          <w:lang w:eastAsia="en-GB"/>
        </w:rPr>
        <w:t xml:space="preserve"> the ATCG </w:t>
      </w:r>
      <w:r>
        <w:rPr>
          <w:rFonts w:eastAsia="Times New Roman"/>
          <w:lang w:eastAsia="en-GB"/>
        </w:rPr>
        <w:t xml:space="preserve">of </w:t>
      </w:r>
      <w:r w:rsidR="00822F7D" w:rsidRPr="004B5C02">
        <w:rPr>
          <w:rFonts w:eastAsia="Times New Roman"/>
          <w:lang w:eastAsia="en-GB"/>
        </w:rPr>
        <w:t xml:space="preserve">its intention to update the reporting </w:t>
      </w:r>
      <w:r w:rsidR="00822F7D" w:rsidRPr="008A100E">
        <w:rPr>
          <w:rFonts w:eastAsia="Times New Roman"/>
          <w:lang w:eastAsia="en-GB"/>
        </w:rPr>
        <w:t xml:space="preserve">form </w:t>
      </w:r>
      <w:r w:rsidR="00BD7FE8" w:rsidRPr="0014597A">
        <w:rPr>
          <w:rFonts w:eastAsia="Times New Roman"/>
          <w:lang w:eastAsia="en-GB"/>
        </w:rPr>
        <w:t xml:space="preserve">in order </w:t>
      </w:r>
      <w:r w:rsidRPr="008A100E">
        <w:rPr>
          <w:rFonts w:eastAsia="Times New Roman"/>
          <w:lang w:eastAsia="en-GB"/>
        </w:rPr>
        <w:t>to</w:t>
      </w:r>
      <w:r w:rsidR="00822F7D" w:rsidRPr="008A100E">
        <w:rPr>
          <w:rFonts w:eastAsia="Times New Roman"/>
          <w:lang w:eastAsia="en-GB"/>
        </w:rPr>
        <w:t xml:space="preserve"> </w:t>
      </w:r>
      <w:r w:rsidR="00D1234B" w:rsidRPr="008A100E">
        <w:rPr>
          <w:rFonts w:eastAsia="Times New Roman"/>
          <w:lang w:eastAsia="en-GB"/>
        </w:rPr>
        <w:t>incorporate</w:t>
      </w:r>
      <w:r w:rsidR="00D1234B" w:rsidRPr="004B5C02">
        <w:rPr>
          <w:rFonts w:eastAsia="Times New Roman"/>
          <w:lang w:eastAsia="en-GB"/>
        </w:rPr>
        <w:t xml:space="preserve"> </w:t>
      </w:r>
      <w:r w:rsidR="00822F7D" w:rsidRPr="004B5C02">
        <w:rPr>
          <w:rFonts w:eastAsia="Times New Roman"/>
          <w:lang w:eastAsia="en-GB"/>
        </w:rPr>
        <w:t xml:space="preserve">a broader range of data, </w:t>
      </w:r>
      <w:r>
        <w:rPr>
          <w:rFonts w:eastAsia="Times New Roman"/>
          <w:lang w:eastAsia="en-GB"/>
        </w:rPr>
        <w:t>in preparation for</w:t>
      </w:r>
      <w:r w:rsidR="00595F0E">
        <w:rPr>
          <w:rFonts w:eastAsia="Times New Roman"/>
          <w:lang w:eastAsia="en-GB"/>
        </w:rPr>
        <w:t xml:space="preserve"> </w:t>
      </w:r>
      <w:r w:rsidR="00822F7D">
        <w:rPr>
          <w:rFonts w:eastAsia="Times New Roman"/>
          <w:lang w:eastAsia="en-GB"/>
        </w:rPr>
        <w:t>the reporting exercise for 2019.</w:t>
      </w:r>
    </w:p>
    <w:p w14:paraId="6E21C586" w14:textId="42C304F2" w:rsidR="00A4429F" w:rsidRPr="00A4429F" w:rsidRDefault="00A4429F" w:rsidP="00D44EAF">
      <w:pPr>
        <w:pStyle w:val="ListParagraph"/>
        <w:numPr>
          <w:ilvl w:val="1"/>
          <w:numId w:val="1"/>
        </w:numPr>
        <w:spacing w:before="100" w:beforeAutospacing="1"/>
        <w:contextualSpacing w:val="0"/>
        <w:jc w:val="both"/>
        <w:rPr>
          <w:b/>
          <w:noProof/>
        </w:rPr>
      </w:pPr>
      <w:r w:rsidRPr="00A4429F">
        <w:rPr>
          <w:b/>
          <w:noProof/>
        </w:rPr>
        <w:t xml:space="preserve">Review of Regulation (EU) </w:t>
      </w:r>
      <w:r w:rsidR="004649BE">
        <w:rPr>
          <w:b/>
          <w:noProof/>
        </w:rPr>
        <w:t xml:space="preserve">No </w:t>
      </w:r>
      <w:r w:rsidRPr="00A4429F">
        <w:rPr>
          <w:b/>
          <w:noProof/>
        </w:rPr>
        <w:t xml:space="preserve">2019/125 </w:t>
      </w:r>
    </w:p>
    <w:p w14:paraId="635367FE" w14:textId="2883791B" w:rsidR="00822F7D" w:rsidRPr="00822F7D" w:rsidRDefault="00A4429F" w:rsidP="00D44EAF">
      <w:pPr>
        <w:spacing w:before="100" w:beforeAutospacing="1"/>
        <w:jc w:val="both"/>
        <w:rPr>
          <w:rFonts w:eastAsia="Times New Roman"/>
          <w:lang w:eastAsia="en-GB"/>
        </w:rPr>
      </w:pPr>
      <w:r w:rsidRPr="00A4429F">
        <w:rPr>
          <w:rFonts w:eastAsia="Times New Roman"/>
          <w:lang w:eastAsia="en-GB"/>
        </w:rPr>
        <w:t xml:space="preserve">The Commission informed </w:t>
      </w:r>
      <w:r w:rsidR="00D1234B">
        <w:rPr>
          <w:rFonts w:eastAsia="Times New Roman"/>
          <w:lang w:eastAsia="en-GB"/>
        </w:rPr>
        <w:t xml:space="preserve">the ATCG </w:t>
      </w:r>
      <w:r w:rsidR="00B64812">
        <w:rPr>
          <w:rFonts w:eastAsia="Times New Roman"/>
          <w:lang w:eastAsia="en-GB"/>
        </w:rPr>
        <w:t>of</w:t>
      </w:r>
      <w:r w:rsidR="00B64812" w:rsidRPr="00A4429F">
        <w:rPr>
          <w:rFonts w:eastAsia="Times New Roman"/>
          <w:lang w:eastAsia="en-GB"/>
        </w:rPr>
        <w:t xml:space="preserve"> </w:t>
      </w:r>
      <w:r w:rsidRPr="008D6DFF">
        <w:rPr>
          <w:rFonts w:eastAsia="Times New Roman"/>
          <w:lang w:eastAsia="en-GB"/>
        </w:rPr>
        <w:t xml:space="preserve">the </w:t>
      </w:r>
      <w:r w:rsidR="00D1234B" w:rsidRPr="008D6DFF">
        <w:rPr>
          <w:rFonts w:eastAsia="Times New Roman"/>
          <w:lang w:eastAsia="en-GB"/>
        </w:rPr>
        <w:t xml:space="preserve">process </w:t>
      </w:r>
      <w:r w:rsidRPr="008D6DFF">
        <w:rPr>
          <w:rFonts w:eastAsia="Times New Roman"/>
          <w:lang w:eastAsia="en-GB"/>
        </w:rPr>
        <w:t>of</w:t>
      </w:r>
      <w:r w:rsidR="008D6DFF" w:rsidRPr="0014597A">
        <w:rPr>
          <w:rFonts w:eastAsia="Times New Roman"/>
          <w:lang w:eastAsia="en-GB"/>
        </w:rPr>
        <w:t xml:space="preserve"> reviewing</w:t>
      </w:r>
      <w:r w:rsidRPr="008D6DFF">
        <w:rPr>
          <w:rFonts w:eastAsia="Times New Roman"/>
          <w:lang w:eastAsia="en-GB"/>
        </w:rPr>
        <w:t xml:space="preserve"> the Regulation</w:t>
      </w:r>
      <w:r w:rsidR="00D1234B">
        <w:rPr>
          <w:rFonts w:eastAsia="Times New Roman"/>
          <w:lang w:eastAsia="en-GB"/>
        </w:rPr>
        <w:t xml:space="preserve"> as </w:t>
      </w:r>
      <w:r w:rsidR="00B64812">
        <w:rPr>
          <w:rFonts w:eastAsia="Times New Roman"/>
          <w:lang w:eastAsia="en-GB"/>
        </w:rPr>
        <w:t xml:space="preserve">set out </w:t>
      </w:r>
      <w:r w:rsidR="00D1234B">
        <w:rPr>
          <w:rFonts w:eastAsia="Times New Roman"/>
          <w:lang w:eastAsia="en-GB"/>
        </w:rPr>
        <w:t>in Article 32</w:t>
      </w:r>
      <w:r w:rsidRPr="00A4429F">
        <w:rPr>
          <w:rFonts w:eastAsia="Times New Roman"/>
          <w:lang w:eastAsia="en-GB"/>
        </w:rPr>
        <w:t xml:space="preserve">. </w:t>
      </w:r>
      <w:r w:rsidR="00822F7D" w:rsidRPr="00822F7D">
        <w:rPr>
          <w:rFonts w:eastAsia="Times New Roman"/>
          <w:lang w:eastAsia="en-GB"/>
        </w:rPr>
        <w:t>In accordance with the Better Regulation guidelines, the Commission published a roadmap in July</w:t>
      </w:r>
      <w:r w:rsidR="00493827">
        <w:rPr>
          <w:rFonts w:eastAsia="Times New Roman"/>
          <w:lang w:eastAsia="en-GB"/>
        </w:rPr>
        <w:t xml:space="preserve"> 2019 </w:t>
      </w:r>
      <w:r w:rsidR="00822F7D" w:rsidRPr="00822F7D">
        <w:rPr>
          <w:rFonts w:eastAsia="Times New Roman"/>
          <w:lang w:eastAsia="en-GB"/>
        </w:rPr>
        <w:t>outlining the scope of the</w:t>
      </w:r>
      <w:r w:rsidR="00493827">
        <w:rPr>
          <w:rFonts w:eastAsia="Times New Roman"/>
          <w:lang w:eastAsia="en-GB"/>
        </w:rPr>
        <w:t xml:space="preserve"> exercise</w:t>
      </w:r>
      <w:r w:rsidR="00822F7D" w:rsidRPr="00822F7D">
        <w:rPr>
          <w:rFonts w:eastAsia="Times New Roman"/>
          <w:lang w:eastAsia="en-GB"/>
        </w:rPr>
        <w:t>, the consultation modalities, and the involvement of stakeholders</w:t>
      </w:r>
      <w:r w:rsidR="00B64812">
        <w:rPr>
          <w:rFonts w:eastAsia="Times New Roman"/>
          <w:lang w:eastAsia="en-GB"/>
        </w:rPr>
        <w:t>,</w:t>
      </w:r>
      <w:r w:rsidR="00822F7D" w:rsidRPr="00822F7D">
        <w:rPr>
          <w:rFonts w:eastAsia="Times New Roman"/>
          <w:lang w:eastAsia="en-GB"/>
        </w:rPr>
        <w:t xml:space="preserve"> as well as</w:t>
      </w:r>
      <w:r w:rsidR="00D1234B">
        <w:rPr>
          <w:rFonts w:eastAsia="Times New Roman"/>
          <w:lang w:eastAsia="en-GB"/>
        </w:rPr>
        <w:t xml:space="preserve"> a</w:t>
      </w:r>
      <w:r w:rsidR="00822F7D" w:rsidRPr="00822F7D">
        <w:rPr>
          <w:rFonts w:eastAsia="Times New Roman"/>
          <w:lang w:eastAsia="en-GB"/>
        </w:rPr>
        <w:t xml:space="preserve"> tentative timeline. </w:t>
      </w:r>
      <w:r w:rsidR="00B64812">
        <w:rPr>
          <w:rFonts w:eastAsia="Times New Roman"/>
          <w:lang w:eastAsia="en-GB"/>
        </w:rPr>
        <w:t>It</w:t>
      </w:r>
      <w:r w:rsidR="00822F7D" w:rsidRPr="00822F7D">
        <w:rPr>
          <w:rFonts w:eastAsia="Times New Roman"/>
          <w:lang w:eastAsia="en-GB"/>
        </w:rPr>
        <w:t xml:space="preserve"> also informed </w:t>
      </w:r>
      <w:r w:rsidR="00B64812">
        <w:rPr>
          <w:rFonts w:eastAsia="Times New Roman"/>
          <w:lang w:eastAsia="en-GB"/>
        </w:rPr>
        <w:t xml:space="preserve">the ATCG </w:t>
      </w:r>
      <w:r w:rsidR="00822F7D" w:rsidRPr="00822F7D">
        <w:rPr>
          <w:rFonts w:eastAsia="Times New Roman"/>
          <w:lang w:eastAsia="en-GB"/>
        </w:rPr>
        <w:t xml:space="preserve">that, as part of the review (and in line with </w:t>
      </w:r>
      <w:r w:rsidR="00B64812">
        <w:rPr>
          <w:rFonts w:eastAsia="Times New Roman"/>
          <w:lang w:eastAsia="en-GB"/>
        </w:rPr>
        <w:t>A</w:t>
      </w:r>
      <w:r w:rsidR="00B64812" w:rsidRPr="00822F7D">
        <w:rPr>
          <w:rFonts w:eastAsia="Times New Roman"/>
          <w:lang w:eastAsia="en-GB"/>
        </w:rPr>
        <w:t xml:space="preserve">rticle </w:t>
      </w:r>
      <w:r w:rsidR="00822F7D" w:rsidRPr="00822F7D">
        <w:rPr>
          <w:rFonts w:eastAsia="Times New Roman"/>
          <w:lang w:eastAsia="en-GB"/>
        </w:rPr>
        <w:t xml:space="preserve">32 of the Regulation), it was seeking information about specific </w:t>
      </w:r>
      <w:r w:rsidR="00B64812">
        <w:rPr>
          <w:rFonts w:eastAsia="Times New Roman"/>
          <w:lang w:eastAsia="en-GB"/>
        </w:rPr>
        <w:t>parts</w:t>
      </w:r>
      <w:r w:rsidR="00B64812" w:rsidRPr="00822F7D">
        <w:rPr>
          <w:rFonts w:eastAsia="Times New Roman"/>
          <w:lang w:eastAsia="en-GB"/>
        </w:rPr>
        <w:t xml:space="preserve"> </w:t>
      </w:r>
      <w:r w:rsidR="00822F7D" w:rsidRPr="00822F7D">
        <w:rPr>
          <w:rFonts w:eastAsia="Times New Roman"/>
          <w:lang w:eastAsia="en-GB"/>
        </w:rPr>
        <w:t>of the Regulation</w:t>
      </w:r>
      <w:r w:rsidR="00B64812">
        <w:rPr>
          <w:rFonts w:eastAsia="Times New Roman"/>
          <w:lang w:eastAsia="en-GB"/>
        </w:rPr>
        <w:t>:</w:t>
      </w:r>
      <w:r w:rsidR="00822F7D" w:rsidRPr="00822F7D">
        <w:rPr>
          <w:rFonts w:eastAsia="Times New Roman"/>
          <w:lang w:eastAsia="en-GB"/>
        </w:rPr>
        <w:t xml:space="preserve"> penalties referred to in Article 33, and additional national measures referred to in Articles 10 and 14. </w:t>
      </w:r>
    </w:p>
    <w:p w14:paraId="08D06C63" w14:textId="4044FA86" w:rsidR="00822F7D" w:rsidRDefault="00A4429F" w:rsidP="00D44EAF">
      <w:pPr>
        <w:spacing w:before="100" w:beforeAutospacing="1"/>
        <w:jc w:val="both"/>
        <w:rPr>
          <w:rFonts w:eastAsia="Times New Roman"/>
          <w:lang w:eastAsia="en-GB"/>
        </w:rPr>
      </w:pPr>
      <w:r w:rsidRPr="00A4429F">
        <w:rPr>
          <w:rFonts w:eastAsia="Times New Roman"/>
          <w:lang w:eastAsia="en-GB"/>
        </w:rPr>
        <w:t xml:space="preserve">The Commission invited the ATCG to </w:t>
      </w:r>
      <w:r w:rsidR="00B64812">
        <w:rPr>
          <w:rFonts w:eastAsia="Times New Roman"/>
          <w:lang w:eastAsia="en-GB"/>
        </w:rPr>
        <w:t>take</w:t>
      </w:r>
      <w:r w:rsidRPr="00A4429F">
        <w:rPr>
          <w:rFonts w:eastAsia="Times New Roman"/>
          <w:lang w:eastAsia="en-GB"/>
        </w:rPr>
        <w:t xml:space="preserve"> part in the review process </w:t>
      </w:r>
      <w:r w:rsidR="00B64812">
        <w:rPr>
          <w:rFonts w:eastAsia="Times New Roman"/>
          <w:lang w:eastAsia="en-GB"/>
        </w:rPr>
        <w:t>by</w:t>
      </w:r>
      <w:r w:rsidRPr="00A4429F">
        <w:rPr>
          <w:rFonts w:eastAsia="Times New Roman"/>
          <w:lang w:eastAsia="en-GB"/>
        </w:rPr>
        <w:t xml:space="preserve"> </w:t>
      </w:r>
      <w:r w:rsidR="00D064EF">
        <w:rPr>
          <w:rFonts w:eastAsia="Times New Roman"/>
          <w:lang w:eastAsia="en-GB"/>
        </w:rPr>
        <w:t>relaying to it Member States’</w:t>
      </w:r>
      <w:r w:rsidRPr="00A4429F">
        <w:rPr>
          <w:rFonts w:eastAsia="Times New Roman"/>
          <w:lang w:eastAsia="en-GB"/>
        </w:rPr>
        <w:t xml:space="preserve"> views, comments, suggestions and information on best practices – as well as </w:t>
      </w:r>
      <w:r w:rsidRPr="00822F7D">
        <w:rPr>
          <w:rFonts w:eastAsia="Times New Roman"/>
          <w:lang w:eastAsia="en-GB"/>
        </w:rPr>
        <w:t xml:space="preserve">on loopholes </w:t>
      </w:r>
      <w:r w:rsidR="00D1234B">
        <w:rPr>
          <w:rFonts w:eastAsia="Times New Roman"/>
          <w:lang w:eastAsia="en-GB"/>
        </w:rPr>
        <w:t xml:space="preserve">– </w:t>
      </w:r>
      <w:r w:rsidRPr="00822F7D">
        <w:rPr>
          <w:rFonts w:eastAsia="Times New Roman"/>
          <w:lang w:eastAsia="en-GB"/>
        </w:rPr>
        <w:t xml:space="preserve">that </w:t>
      </w:r>
      <w:r w:rsidR="00D064EF">
        <w:rPr>
          <w:rFonts w:eastAsia="Times New Roman"/>
          <w:lang w:eastAsia="en-GB"/>
        </w:rPr>
        <w:t xml:space="preserve">they </w:t>
      </w:r>
      <w:r w:rsidR="00B64812">
        <w:rPr>
          <w:rFonts w:eastAsia="Times New Roman"/>
          <w:lang w:eastAsia="en-GB"/>
        </w:rPr>
        <w:t>may</w:t>
      </w:r>
      <w:r w:rsidR="00B64812" w:rsidRPr="00822F7D">
        <w:rPr>
          <w:rFonts w:eastAsia="Times New Roman"/>
          <w:lang w:eastAsia="en-GB"/>
        </w:rPr>
        <w:t xml:space="preserve"> </w:t>
      </w:r>
      <w:r w:rsidRPr="00822F7D">
        <w:rPr>
          <w:rFonts w:eastAsia="Times New Roman"/>
          <w:lang w:eastAsia="en-GB"/>
        </w:rPr>
        <w:t>have identified in the</w:t>
      </w:r>
      <w:r w:rsidR="00B64812">
        <w:rPr>
          <w:rFonts w:eastAsia="Times New Roman"/>
          <w:lang w:eastAsia="en-GB"/>
        </w:rPr>
        <w:t xml:space="preserve">ir </w:t>
      </w:r>
      <w:r w:rsidRPr="00822F7D">
        <w:rPr>
          <w:rFonts w:eastAsia="Times New Roman"/>
          <w:lang w:eastAsia="en-GB"/>
        </w:rPr>
        <w:t xml:space="preserve">day-to-day implementation of the Regulation. </w:t>
      </w:r>
      <w:r w:rsidR="00822F7D" w:rsidRPr="00822F7D">
        <w:rPr>
          <w:rFonts w:eastAsia="Times New Roman"/>
          <w:lang w:eastAsia="en-GB"/>
        </w:rPr>
        <w:t>Suggestion</w:t>
      </w:r>
      <w:r w:rsidR="00822F7D">
        <w:rPr>
          <w:rFonts w:eastAsia="Times New Roman"/>
          <w:lang w:eastAsia="en-GB"/>
        </w:rPr>
        <w:t>s</w:t>
      </w:r>
      <w:r w:rsidR="00822F7D" w:rsidRPr="00822F7D">
        <w:rPr>
          <w:rFonts w:eastAsia="Times New Roman"/>
          <w:lang w:eastAsia="en-GB"/>
        </w:rPr>
        <w:t xml:space="preserve"> were made to </w:t>
      </w:r>
      <w:r w:rsidR="005B65B4">
        <w:rPr>
          <w:rFonts w:eastAsia="Times New Roman"/>
          <w:lang w:eastAsia="en-GB"/>
        </w:rPr>
        <w:t>put together</w:t>
      </w:r>
      <w:r w:rsidR="005B65B4" w:rsidRPr="00822F7D">
        <w:rPr>
          <w:rFonts w:eastAsia="Times New Roman"/>
          <w:lang w:eastAsia="en-GB"/>
        </w:rPr>
        <w:t xml:space="preserve"> </w:t>
      </w:r>
      <w:r w:rsidR="00822F7D" w:rsidRPr="00822F7D">
        <w:rPr>
          <w:rFonts w:eastAsia="Times New Roman"/>
          <w:lang w:eastAsia="en-GB"/>
        </w:rPr>
        <w:t xml:space="preserve">guidance </w:t>
      </w:r>
      <w:r w:rsidR="00D1234B">
        <w:rPr>
          <w:rFonts w:eastAsia="Times New Roman"/>
          <w:lang w:eastAsia="en-GB"/>
        </w:rPr>
        <w:t>on</w:t>
      </w:r>
      <w:r w:rsidR="00822F7D" w:rsidRPr="00822F7D">
        <w:rPr>
          <w:rFonts w:eastAsia="Times New Roman"/>
          <w:lang w:eastAsia="en-GB"/>
        </w:rPr>
        <w:t xml:space="preserve"> risk assessment</w:t>
      </w:r>
      <w:r w:rsidR="005B65B4">
        <w:rPr>
          <w:rFonts w:eastAsia="Times New Roman"/>
          <w:lang w:eastAsia="en-GB"/>
        </w:rPr>
        <w:t>,</w:t>
      </w:r>
      <w:r w:rsidR="00822F7D" w:rsidRPr="00822F7D">
        <w:rPr>
          <w:rFonts w:eastAsia="Times New Roman"/>
          <w:lang w:eastAsia="en-GB"/>
        </w:rPr>
        <w:t xml:space="preserve"> or </w:t>
      </w:r>
      <w:r w:rsidR="005B65B4">
        <w:rPr>
          <w:rFonts w:eastAsia="Times New Roman"/>
          <w:lang w:eastAsia="en-GB"/>
        </w:rPr>
        <w:t xml:space="preserve">put </w:t>
      </w:r>
      <w:r w:rsidR="00822F7D" w:rsidRPr="00822F7D">
        <w:rPr>
          <w:rFonts w:eastAsia="Times New Roman"/>
          <w:lang w:eastAsia="en-GB"/>
        </w:rPr>
        <w:t xml:space="preserve">a system </w:t>
      </w:r>
      <w:r w:rsidR="005B65B4">
        <w:rPr>
          <w:rFonts w:eastAsia="Times New Roman"/>
          <w:lang w:eastAsia="en-GB"/>
        </w:rPr>
        <w:t xml:space="preserve">in place </w:t>
      </w:r>
      <w:r w:rsidR="00822F7D" w:rsidRPr="00822F7D">
        <w:rPr>
          <w:rFonts w:eastAsia="Times New Roman"/>
          <w:lang w:eastAsia="en-GB"/>
        </w:rPr>
        <w:t>for an exchange of views</w:t>
      </w:r>
      <w:r w:rsidR="005B65B4">
        <w:rPr>
          <w:rFonts w:eastAsia="Times New Roman"/>
          <w:lang w:eastAsia="en-GB"/>
        </w:rPr>
        <w:t>,</w:t>
      </w:r>
      <w:r w:rsidR="00822F7D" w:rsidRPr="00822F7D">
        <w:rPr>
          <w:rFonts w:eastAsia="Times New Roman"/>
          <w:lang w:eastAsia="en-GB"/>
        </w:rPr>
        <w:t xml:space="preserve"> in an appropriate format</w:t>
      </w:r>
      <w:r w:rsidR="005B65B4">
        <w:rPr>
          <w:rFonts w:eastAsia="Times New Roman"/>
          <w:lang w:eastAsia="en-GB"/>
        </w:rPr>
        <w:t>,</w:t>
      </w:r>
      <w:r w:rsidR="00822F7D" w:rsidRPr="00822F7D">
        <w:rPr>
          <w:rFonts w:eastAsia="Times New Roman"/>
          <w:lang w:eastAsia="en-GB"/>
        </w:rPr>
        <w:t xml:space="preserve"> </w:t>
      </w:r>
      <w:r w:rsidR="005B65B4">
        <w:rPr>
          <w:rFonts w:eastAsia="Times New Roman"/>
          <w:lang w:eastAsia="en-GB"/>
        </w:rPr>
        <w:t>on export</w:t>
      </w:r>
      <w:r w:rsidR="00822F7D" w:rsidRPr="00822F7D">
        <w:rPr>
          <w:rFonts w:eastAsia="Times New Roman"/>
          <w:lang w:eastAsia="en-GB"/>
        </w:rPr>
        <w:t xml:space="preserve"> destination</w:t>
      </w:r>
      <w:r w:rsidR="00D1234B">
        <w:rPr>
          <w:rFonts w:eastAsia="Times New Roman"/>
          <w:lang w:eastAsia="en-GB"/>
        </w:rPr>
        <w:t>s</w:t>
      </w:r>
      <w:r w:rsidR="00822F7D" w:rsidRPr="00822F7D">
        <w:rPr>
          <w:rFonts w:eastAsia="Times New Roman"/>
          <w:lang w:eastAsia="en-GB"/>
        </w:rPr>
        <w:t xml:space="preserve">. </w:t>
      </w:r>
    </w:p>
    <w:p w14:paraId="1B0166E6" w14:textId="002637DB" w:rsidR="00A4429F" w:rsidRDefault="00A4429F" w:rsidP="00D44EAF">
      <w:pPr>
        <w:spacing w:before="100" w:beforeAutospacing="1"/>
        <w:jc w:val="both"/>
        <w:rPr>
          <w:rFonts w:eastAsia="Times New Roman"/>
          <w:lang w:eastAsia="en-GB"/>
        </w:rPr>
      </w:pPr>
      <w:r w:rsidRPr="00822F7D">
        <w:rPr>
          <w:rFonts w:eastAsia="Times New Roman"/>
          <w:lang w:eastAsia="en-GB"/>
        </w:rPr>
        <w:t xml:space="preserve">The </w:t>
      </w:r>
      <w:r w:rsidRPr="00A4429F">
        <w:rPr>
          <w:rFonts w:eastAsia="Times New Roman"/>
          <w:lang w:eastAsia="en-GB"/>
        </w:rPr>
        <w:t xml:space="preserve">ATCG </w:t>
      </w:r>
      <w:r w:rsidR="005B65B4" w:rsidRPr="00A4429F">
        <w:rPr>
          <w:rFonts w:eastAsia="Times New Roman"/>
          <w:lang w:eastAsia="en-GB"/>
        </w:rPr>
        <w:t>w</w:t>
      </w:r>
      <w:r w:rsidR="005B65B4">
        <w:rPr>
          <w:rFonts w:eastAsia="Times New Roman"/>
          <w:lang w:eastAsia="en-GB"/>
        </w:rPr>
        <w:t xml:space="preserve">as </w:t>
      </w:r>
      <w:r w:rsidRPr="00A4429F">
        <w:rPr>
          <w:rFonts w:eastAsia="Times New Roman"/>
          <w:lang w:eastAsia="en-GB"/>
        </w:rPr>
        <w:t xml:space="preserve">also invited to </w:t>
      </w:r>
      <w:r w:rsidR="00822F7D" w:rsidRPr="00822F7D">
        <w:rPr>
          <w:rFonts w:eastAsia="Times New Roman"/>
          <w:lang w:eastAsia="en-GB"/>
        </w:rPr>
        <w:t xml:space="preserve">raise awareness </w:t>
      </w:r>
      <w:r w:rsidR="005B65B4">
        <w:rPr>
          <w:rFonts w:eastAsia="Times New Roman"/>
          <w:lang w:eastAsia="en-GB"/>
        </w:rPr>
        <w:t>of</w:t>
      </w:r>
      <w:r w:rsidR="005B65B4" w:rsidRPr="00822F7D">
        <w:rPr>
          <w:rFonts w:eastAsia="Times New Roman"/>
          <w:lang w:eastAsia="en-GB"/>
        </w:rPr>
        <w:t xml:space="preserve"> </w:t>
      </w:r>
      <w:r w:rsidR="00822F7D" w:rsidRPr="00822F7D">
        <w:rPr>
          <w:rFonts w:eastAsia="Times New Roman"/>
          <w:lang w:eastAsia="en-GB"/>
        </w:rPr>
        <w:t xml:space="preserve">the public </w:t>
      </w:r>
      <w:r w:rsidR="004B5C02">
        <w:rPr>
          <w:rFonts w:eastAsia="Times New Roman"/>
          <w:lang w:eastAsia="en-GB"/>
        </w:rPr>
        <w:t xml:space="preserve">consultation </w:t>
      </w:r>
      <w:r w:rsidR="00822F7D" w:rsidRPr="00822F7D">
        <w:rPr>
          <w:rFonts w:eastAsia="Times New Roman"/>
          <w:lang w:eastAsia="en-GB"/>
        </w:rPr>
        <w:t xml:space="preserve">and </w:t>
      </w:r>
      <w:r w:rsidRPr="00A4429F">
        <w:rPr>
          <w:rFonts w:eastAsia="Times New Roman"/>
          <w:lang w:eastAsia="en-GB"/>
        </w:rPr>
        <w:t>g</w:t>
      </w:r>
      <w:r w:rsidR="005B65B4">
        <w:rPr>
          <w:rFonts w:eastAsia="Times New Roman"/>
          <w:lang w:eastAsia="en-GB"/>
        </w:rPr>
        <w:t xml:space="preserve">et </w:t>
      </w:r>
      <w:r w:rsidRPr="00A4429F">
        <w:rPr>
          <w:rFonts w:eastAsia="Times New Roman"/>
          <w:lang w:eastAsia="en-GB"/>
        </w:rPr>
        <w:t>input from other parts of their</w:t>
      </w:r>
      <w:r w:rsidR="00822F7D">
        <w:rPr>
          <w:rFonts w:eastAsia="Times New Roman"/>
          <w:lang w:eastAsia="en-GB"/>
        </w:rPr>
        <w:t xml:space="preserve"> administrations</w:t>
      </w:r>
      <w:r w:rsidR="00D1234B">
        <w:rPr>
          <w:rFonts w:eastAsia="Times New Roman"/>
          <w:lang w:eastAsia="en-GB"/>
        </w:rPr>
        <w:t>,</w:t>
      </w:r>
      <w:r w:rsidR="00822F7D">
        <w:rPr>
          <w:rFonts w:eastAsia="Times New Roman"/>
          <w:lang w:eastAsia="en-GB"/>
        </w:rPr>
        <w:t xml:space="preserve"> as appropriate.</w:t>
      </w:r>
    </w:p>
    <w:p w14:paraId="5E540850" w14:textId="3F0BA1D0" w:rsidR="00A4429F" w:rsidRPr="00A4429F" w:rsidRDefault="00A4429F" w:rsidP="00391263">
      <w:pPr>
        <w:pStyle w:val="ListParagraph"/>
        <w:keepNext/>
        <w:numPr>
          <w:ilvl w:val="1"/>
          <w:numId w:val="1"/>
        </w:numPr>
        <w:spacing w:before="100" w:beforeAutospacing="1"/>
        <w:ind w:left="788" w:hanging="431"/>
        <w:contextualSpacing w:val="0"/>
        <w:jc w:val="both"/>
        <w:rPr>
          <w:b/>
          <w:noProof/>
        </w:rPr>
      </w:pPr>
      <w:r w:rsidRPr="00A4429F">
        <w:rPr>
          <w:b/>
          <w:noProof/>
        </w:rPr>
        <w:t>Alliance f</w:t>
      </w:r>
      <w:r w:rsidR="00FE2948">
        <w:rPr>
          <w:b/>
          <w:noProof/>
        </w:rPr>
        <w:t>or Torture-</w:t>
      </w:r>
      <w:r w:rsidR="00D86804">
        <w:rPr>
          <w:b/>
          <w:noProof/>
        </w:rPr>
        <w:t>Free T</w:t>
      </w:r>
      <w:r w:rsidRPr="00A4429F">
        <w:rPr>
          <w:b/>
          <w:noProof/>
        </w:rPr>
        <w:t>rade</w:t>
      </w:r>
    </w:p>
    <w:p w14:paraId="4D942618" w14:textId="5C9C756B" w:rsidR="00FE2948" w:rsidRPr="006B6920" w:rsidRDefault="00A4429F" w:rsidP="00D44EAF">
      <w:pPr>
        <w:spacing w:before="100" w:beforeAutospacing="1"/>
        <w:jc w:val="both"/>
        <w:rPr>
          <w:rFonts w:eastAsia="Times New Roman"/>
          <w:lang w:eastAsia="en-GB"/>
        </w:rPr>
      </w:pPr>
      <w:r>
        <w:t xml:space="preserve">The </w:t>
      </w:r>
      <w:r w:rsidR="00D1234B">
        <w:t xml:space="preserve">Commission </w:t>
      </w:r>
      <w:r>
        <w:t xml:space="preserve">provided an </w:t>
      </w:r>
      <w:r w:rsidRPr="006B6920">
        <w:t xml:space="preserve">update on the state of play regarding the </w:t>
      </w:r>
      <w:r w:rsidRPr="0014597A">
        <w:t>Alliance for Torture-</w:t>
      </w:r>
      <w:r w:rsidR="00FE2948" w:rsidRPr="0014597A">
        <w:t>Free Trade</w:t>
      </w:r>
      <w:r w:rsidR="00FE2948" w:rsidRPr="00EE783F">
        <w:rPr>
          <w:i/>
        </w:rPr>
        <w:t xml:space="preserve">, </w:t>
      </w:r>
      <w:r w:rsidR="00FE2948" w:rsidRPr="006B6920">
        <w:t xml:space="preserve">notably the adoption </w:t>
      </w:r>
      <w:r w:rsidR="00FE2948" w:rsidRPr="006B6920">
        <w:rPr>
          <w:rFonts w:eastAsia="Times New Roman"/>
          <w:lang w:eastAsia="en-GB"/>
        </w:rPr>
        <w:t xml:space="preserve">on 28 June 2019 </w:t>
      </w:r>
      <w:r w:rsidR="00FE2948" w:rsidRPr="006B6920">
        <w:t xml:space="preserve">of </w:t>
      </w:r>
      <w:r w:rsidR="00FE2948" w:rsidRPr="006B6920">
        <w:rPr>
          <w:rFonts w:eastAsia="Times New Roman"/>
          <w:lang w:eastAsia="en-GB"/>
        </w:rPr>
        <w:t>the UN General Assembly resolution ‘</w:t>
      </w:r>
      <w:r w:rsidR="00FE2948" w:rsidRPr="00EE783F">
        <w:rPr>
          <w:rFonts w:eastAsia="Times New Roman"/>
          <w:i/>
          <w:lang w:eastAsia="en-GB"/>
        </w:rPr>
        <w:t>Towards torture-free trade: examining the feasibility, scope and parameters for possible common international standards</w:t>
      </w:r>
      <w:r w:rsidR="00A045C8">
        <w:rPr>
          <w:rFonts w:eastAsia="Times New Roman"/>
          <w:lang w:eastAsia="en-GB"/>
        </w:rPr>
        <w:t>’.</w:t>
      </w:r>
      <w:r w:rsidR="00FE2948" w:rsidRPr="0014597A">
        <w:rPr>
          <w:rFonts w:eastAsia="Times New Roman"/>
          <w:vertAlign w:val="superscript"/>
          <w:lang w:eastAsia="en-GB"/>
        </w:rPr>
        <w:footnoteReference w:id="8"/>
      </w:r>
      <w:r w:rsidR="00FE2948" w:rsidRPr="006B6920">
        <w:rPr>
          <w:rFonts w:eastAsia="Times New Roman"/>
          <w:lang w:eastAsia="en-GB"/>
        </w:rPr>
        <w:t xml:space="preserve"> The resolution </w:t>
      </w:r>
      <w:r w:rsidR="005628F9">
        <w:rPr>
          <w:rFonts w:eastAsia="Times New Roman"/>
          <w:lang w:eastAsia="en-GB"/>
        </w:rPr>
        <w:t xml:space="preserve">laid the foundations for the UN’s work in this area in the </w:t>
      </w:r>
      <w:r w:rsidR="00FE2948" w:rsidRPr="006B6920">
        <w:rPr>
          <w:rFonts w:eastAsia="Times New Roman"/>
          <w:lang w:eastAsia="en-GB"/>
        </w:rPr>
        <w:t>future.</w:t>
      </w:r>
      <w:r w:rsidR="007A7EA2">
        <w:rPr>
          <w:rFonts w:eastAsia="Times New Roman"/>
          <w:lang w:eastAsia="en-GB"/>
        </w:rPr>
        <w:t xml:space="preserve"> </w:t>
      </w:r>
      <w:r w:rsidR="00FE2948" w:rsidRPr="006B6920">
        <w:rPr>
          <w:rFonts w:eastAsia="Times New Roman"/>
          <w:lang w:eastAsia="en-GB"/>
        </w:rPr>
        <w:t xml:space="preserve">The Commission </w:t>
      </w:r>
      <w:r w:rsidR="007A7EA2">
        <w:rPr>
          <w:rFonts w:eastAsia="Times New Roman"/>
          <w:lang w:eastAsia="en-GB"/>
        </w:rPr>
        <w:t>has shown its commitment to making trade torture-free by</w:t>
      </w:r>
      <w:r w:rsidR="00FE2948" w:rsidRPr="006B6920">
        <w:rPr>
          <w:rFonts w:eastAsia="Times New Roman"/>
          <w:lang w:eastAsia="en-GB"/>
        </w:rPr>
        <w:t xml:space="preserve"> support</w:t>
      </w:r>
      <w:r w:rsidR="007A7EA2">
        <w:rPr>
          <w:rFonts w:eastAsia="Times New Roman"/>
          <w:lang w:eastAsia="en-GB"/>
        </w:rPr>
        <w:t xml:space="preserve">ing </w:t>
      </w:r>
      <w:r w:rsidR="00FE2948" w:rsidRPr="006B6920">
        <w:rPr>
          <w:rFonts w:eastAsia="Times New Roman"/>
          <w:lang w:eastAsia="en-GB"/>
        </w:rPr>
        <w:t xml:space="preserve">the work of the Office of the </w:t>
      </w:r>
      <w:r w:rsidR="00595F0E">
        <w:rPr>
          <w:rFonts w:eastAsia="Times New Roman"/>
          <w:lang w:eastAsia="en-GB"/>
        </w:rPr>
        <w:t xml:space="preserve">UN </w:t>
      </w:r>
      <w:r w:rsidR="00FE2948" w:rsidRPr="006B6920">
        <w:rPr>
          <w:rFonts w:eastAsia="Times New Roman"/>
          <w:lang w:eastAsia="en-GB"/>
        </w:rPr>
        <w:t xml:space="preserve">High Commissioner for Human Rights </w:t>
      </w:r>
      <w:r w:rsidR="007A7EA2">
        <w:rPr>
          <w:rFonts w:eastAsia="Times New Roman"/>
          <w:lang w:eastAsia="en-GB"/>
        </w:rPr>
        <w:t xml:space="preserve">in </w:t>
      </w:r>
      <w:r w:rsidR="00FE2948" w:rsidRPr="006B6920">
        <w:rPr>
          <w:rFonts w:eastAsia="Times New Roman"/>
          <w:lang w:eastAsia="en-GB"/>
        </w:rPr>
        <w:t>follow</w:t>
      </w:r>
      <w:r w:rsidR="007A7EA2">
        <w:rPr>
          <w:rFonts w:eastAsia="Times New Roman"/>
          <w:lang w:eastAsia="en-GB"/>
        </w:rPr>
        <w:t>ing</w:t>
      </w:r>
      <w:r w:rsidR="00FE2948" w:rsidRPr="006B6920">
        <w:rPr>
          <w:rFonts w:eastAsia="Times New Roman"/>
          <w:lang w:eastAsia="en-GB"/>
        </w:rPr>
        <w:t xml:space="preserve"> up on </w:t>
      </w:r>
      <w:r w:rsidR="00FE2948" w:rsidRPr="00AD2FB8">
        <w:rPr>
          <w:rFonts w:eastAsia="Times New Roman"/>
          <w:lang w:eastAsia="en-GB"/>
        </w:rPr>
        <w:t>the resolution</w:t>
      </w:r>
      <w:r w:rsidR="00AD2FB8" w:rsidRPr="0014597A">
        <w:rPr>
          <w:rFonts w:eastAsia="Times New Roman"/>
          <w:lang w:eastAsia="en-GB"/>
        </w:rPr>
        <w:t>’s implementation</w:t>
      </w:r>
      <w:r w:rsidR="00D1234B" w:rsidRPr="00AD2FB8">
        <w:rPr>
          <w:rFonts w:eastAsia="Times New Roman"/>
          <w:lang w:eastAsia="en-GB"/>
        </w:rPr>
        <w:t>.</w:t>
      </w:r>
    </w:p>
    <w:p w14:paraId="0A37501D" w14:textId="77777777" w:rsidR="00FE2948" w:rsidRPr="00FE2948" w:rsidRDefault="00FE2948" w:rsidP="0067212D">
      <w:pPr>
        <w:spacing w:before="100" w:beforeAutospacing="1"/>
        <w:jc w:val="both"/>
        <w:rPr>
          <w:rFonts w:eastAsia="Times New Roman"/>
          <w:color w:val="00B050"/>
          <w:lang w:eastAsia="en-GB"/>
        </w:rPr>
      </w:pPr>
    </w:p>
    <w:sectPr w:rsidR="00FE2948" w:rsidRPr="00FE2948" w:rsidSect="00EA71B1">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2A2B09" w:rsidRDefault="002A2B09" w:rsidP="000162D3">
      <w:r>
        <w:separator/>
      </w:r>
    </w:p>
  </w:endnote>
  <w:endnote w:type="continuationSeparator" w:id="0">
    <w:p w14:paraId="5A39BBE3" w14:textId="77777777" w:rsidR="002A2B09" w:rsidRDefault="002A2B09" w:rsidP="0001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Arial Narrow"/>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2659" w14:textId="77777777" w:rsidR="00B6517B" w:rsidRPr="00B6517B" w:rsidRDefault="00B6517B" w:rsidP="00B6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0BF7" w14:textId="4446699A" w:rsidR="00B6517B" w:rsidRPr="00B6517B" w:rsidRDefault="00B6517B" w:rsidP="00B6517B">
    <w:pPr>
      <w:pStyle w:val="FooterCoverPage"/>
      <w:rPr>
        <w:rFonts w:ascii="Arial" w:hAnsi="Arial" w:cs="Arial"/>
        <w:b/>
        <w:sz w:val="48"/>
      </w:rPr>
    </w:pPr>
    <w:r w:rsidRPr="00B6517B">
      <w:rPr>
        <w:rFonts w:ascii="Arial" w:hAnsi="Arial" w:cs="Arial"/>
        <w:b/>
        <w:sz w:val="48"/>
      </w:rPr>
      <w:t>EN</w:t>
    </w:r>
    <w:r w:rsidRPr="00B6517B">
      <w:rPr>
        <w:rFonts w:ascii="Arial" w:hAnsi="Arial" w:cs="Arial"/>
        <w:b/>
        <w:sz w:val="48"/>
      </w:rPr>
      <w:tab/>
    </w:r>
    <w:r w:rsidRPr="00B6517B">
      <w:rPr>
        <w:rFonts w:ascii="Arial" w:hAnsi="Arial" w:cs="Arial"/>
        <w:b/>
        <w:sz w:val="48"/>
      </w:rPr>
      <w:tab/>
    </w:r>
    <w:r w:rsidRPr="00B6517B">
      <w:tab/>
    </w:r>
    <w:r w:rsidRPr="00B6517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5652" w14:textId="77777777" w:rsidR="00B6517B" w:rsidRPr="00B6517B" w:rsidRDefault="00B6517B" w:rsidP="00B651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4D49" w14:textId="77777777" w:rsidR="00EA71B1" w:rsidRDefault="00EA71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18449"/>
      <w:docPartObj>
        <w:docPartGallery w:val="Page Numbers (Bottom of Page)"/>
        <w:docPartUnique/>
      </w:docPartObj>
    </w:sdtPr>
    <w:sdtEndPr>
      <w:rPr>
        <w:noProof/>
      </w:rPr>
    </w:sdtEndPr>
    <w:sdtContent>
      <w:p w14:paraId="33F767A8" w14:textId="200F8BE2" w:rsidR="00EA71B1" w:rsidRDefault="00EA71B1">
        <w:pPr>
          <w:pStyle w:val="Footer"/>
          <w:jc w:val="right"/>
        </w:pPr>
        <w:r>
          <w:fldChar w:fldCharType="begin"/>
        </w:r>
        <w:r>
          <w:instrText xml:space="preserve"> PAGE   \* MERGEFORMAT </w:instrText>
        </w:r>
        <w:r>
          <w:fldChar w:fldCharType="separate"/>
        </w:r>
        <w:r w:rsidR="00B6517B">
          <w:rPr>
            <w:noProof/>
          </w:rPr>
          <w:t>1</w:t>
        </w:r>
        <w:r>
          <w:rPr>
            <w:noProof/>
          </w:rPr>
          <w:fldChar w:fldCharType="end"/>
        </w:r>
      </w:p>
    </w:sdtContent>
  </w:sdt>
  <w:p w14:paraId="35505A58" w14:textId="77777777" w:rsidR="00EA71B1" w:rsidRDefault="00EA71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673E" w14:textId="77777777" w:rsidR="00EA71B1" w:rsidRDefault="00EA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2A2B09" w:rsidRDefault="002A2B09" w:rsidP="000162D3">
      <w:r>
        <w:separator/>
      </w:r>
    </w:p>
  </w:footnote>
  <w:footnote w:type="continuationSeparator" w:id="0">
    <w:p w14:paraId="0D0B940D" w14:textId="77777777" w:rsidR="002A2B09" w:rsidRDefault="002A2B09" w:rsidP="000162D3">
      <w:r>
        <w:continuationSeparator/>
      </w:r>
    </w:p>
  </w:footnote>
  <w:footnote w:id="1">
    <w:p w14:paraId="1AB38202" w14:textId="28A2C49F" w:rsidR="000162D3" w:rsidRDefault="000162D3" w:rsidP="00207909">
      <w:pPr>
        <w:pStyle w:val="FootnoteText"/>
        <w:jc w:val="both"/>
      </w:pPr>
      <w:r w:rsidRPr="00207909">
        <w:rPr>
          <w:vertAlign w:val="superscript"/>
        </w:rPr>
        <w:footnoteRef/>
      </w:r>
      <w:r w:rsidR="0057777D" w:rsidRPr="00207909">
        <w:rPr>
          <w:vertAlign w:val="superscript"/>
        </w:rPr>
        <w:t xml:space="preserve"> </w:t>
      </w:r>
      <w:r>
        <w:t>The Regulation concerning trade in certain goods which could be used for capit</w:t>
      </w:r>
      <w:r w:rsidR="0057777D">
        <w:t xml:space="preserve">al punishment, torture or other </w:t>
      </w:r>
      <w:r>
        <w:t xml:space="preserve">cruel, inhuman or degrading treatment or punishment was adopted on 30.7.2005 (Regulation (EC) 1236/2005). It </w:t>
      </w:r>
      <w:r w:rsidR="00061B86">
        <w:t xml:space="preserve">has been </w:t>
      </w:r>
      <w:r>
        <w:t>amended several times</w:t>
      </w:r>
      <w:r w:rsidR="00D1234B">
        <w:t>,</w:t>
      </w:r>
      <w:r>
        <w:t xml:space="preserve"> </w:t>
      </w:r>
      <w:r w:rsidR="00061B86">
        <w:t xml:space="preserve">most recently </w:t>
      </w:r>
      <w:r>
        <w:t>by Regulation (EU) 2016/2134 of 23.11.2016</w:t>
      </w:r>
      <w:r w:rsidR="00061B86">
        <w:t>,</w:t>
      </w:r>
      <w:r>
        <w:t xml:space="preserve"> and subsequently codified as Regulation (EU) 2019/125 of 16.1.</w:t>
      </w:r>
      <w:r w:rsidR="00FE2948">
        <w:t>2019 (OJ L 30, 31.1.2019, p. 1)</w:t>
      </w:r>
      <w:r w:rsidR="00D1234B">
        <w:t>.</w:t>
      </w:r>
    </w:p>
  </w:footnote>
  <w:footnote w:id="2">
    <w:p w14:paraId="1997DFFF" w14:textId="075DC9ED" w:rsidR="0057777D" w:rsidRPr="00B3298A" w:rsidRDefault="0057777D" w:rsidP="00207909">
      <w:pPr>
        <w:pStyle w:val="FootnoteText"/>
        <w:jc w:val="both"/>
      </w:pPr>
      <w:r w:rsidRPr="00207909">
        <w:rPr>
          <w:vertAlign w:val="superscript"/>
        </w:rPr>
        <w:footnoteRef/>
      </w:r>
      <w:r w:rsidRPr="00207909">
        <w:rPr>
          <w:vertAlign w:val="superscript"/>
        </w:rPr>
        <w:t xml:space="preserve"> </w:t>
      </w:r>
      <w:r w:rsidRPr="00B3298A">
        <w:t>R</w:t>
      </w:r>
      <w:r w:rsidR="004904DD" w:rsidRPr="00B3298A">
        <w:t xml:space="preserve">egulation </w:t>
      </w:r>
      <w:r w:rsidRPr="00B3298A">
        <w:t xml:space="preserve">(EU) No 258/2012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w:t>
      </w:r>
      <w:r w:rsidR="004904DD">
        <w:t xml:space="preserve">an </w:t>
      </w:r>
      <w:r w:rsidRPr="00B3298A">
        <w:t>export authorisation, and import and transit measures for firearms, their parts and components and ammun</w:t>
      </w:r>
      <w:r w:rsidR="00FE2948">
        <w:t>ition, OJ L 94, 30.3.2012, p. 1</w:t>
      </w:r>
      <w:r w:rsidR="004904DD">
        <w:t>.</w:t>
      </w:r>
    </w:p>
  </w:footnote>
  <w:footnote w:id="3">
    <w:p w14:paraId="1D2FBD59" w14:textId="77DFAB9C" w:rsidR="0057777D" w:rsidRPr="00DB745A" w:rsidRDefault="0057777D" w:rsidP="00207909">
      <w:pPr>
        <w:pStyle w:val="FootnoteText"/>
        <w:jc w:val="both"/>
      </w:pPr>
      <w:r w:rsidRPr="00207909">
        <w:rPr>
          <w:sz w:val="22"/>
          <w:szCs w:val="22"/>
          <w:vertAlign w:val="superscript"/>
        </w:rPr>
        <w:footnoteRef/>
      </w:r>
      <w:r w:rsidRPr="00207909">
        <w:rPr>
          <w:sz w:val="22"/>
          <w:szCs w:val="22"/>
          <w:vertAlign w:val="superscript"/>
        </w:rPr>
        <w:t xml:space="preserve"> </w:t>
      </w:r>
      <w:r w:rsidRPr="00B3298A">
        <w:t>Council Regulation (EC) No 428/2009 of 5 May 2009 setting up a Community regime for the control of exports, transfer, b</w:t>
      </w:r>
      <w:r w:rsidRPr="00442E65">
        <w:t>rokering and transit of dual-use items, OJ L 134, 29.5.2009, p.1</w:t>
      </w:r>
      <w:r w:rsidR="00CF770E">
        <w:t>.</w:t>
      </w:r>
    </w:p>
  </w:footnote>
  <w:footnote w:id="4">
    <w:p w14:paraId="3600ED2C" w14:textId="4AFD475B" w:rsidR="0057777D" w:rsidRPr="00DB745A" w:rsidRDefault="0057777D" w:rsidP="00207909">
      <w:pPr>
        <w:pStyle w:val="FootnoteText"/>
        <w:jc w:val="both"/>
      </w:pPr>
      <w:r w:rsidRPr="00207909">
        <w:rPr>
          <w:vertAlign w:val="superscript"/>
        </w:rPr>
        <w:footnoteRef/>
      </w:r>
      <w:r w:rsidRPr="00B3298A">
        <w:t xml:space="preserve"> Council Common Position 2008/944/CFSP defining common rules governing the control of exports of military technology and equipment</w:t>
      </w:r>
      <w:r w:rsidRPr="008445CE">
        <w:t xml:space="preserve"> (CFSP) (2020/C 85/01),</w:t>
      </w:r>
      <w:r w:rsidR="0004059B" w:rsidRPr="00311878">
        <w:t>OJ C 85, 13.3.2020, p. 1–37</w:t>
      </w:r>
      <w:r w:rsidR="0004059B">
        <w:rPr>
          <w:rFonts w:ascii="Calibri" w:hAnsi="Calibri"/>
          <w:color w:val="44546A" w:themeColor="text2"/>
        </w:rPr>
        <w:t xml:space="preserve"> </w:t>
      </w:r>
      <w:r w:rsidR="00086D5C">
        <w:t>.</w:t>
      </w:r>
    </w:p>
  </w:footnote>
  <w:footnote w:id="5">
    <w:p w14:paraId="4A5987F3" w14:textId="77777777" w:rsidR="000162D3" w:rsidRDefault="000162D3" w:rsidP="00207909">
      <w:pPr>
        <w:pStyle w:val="FootnoteText"/>
        <w:ind w:left="709" w:hanging="709"/>
        <w:jc w:val="both"/>
        <w:rPr>
          <w:lang w:val="pl-PL"/>
        </w:rPr>
      </w:pPr>
      <w:r w:rsidRPr="00207909">
        <w:rPr>
          <w:vertAlign w:val="superscript"/>
        </w:rPr>
        <w:footnoteRef/>
      </w:r>
      <w:r w:rsidR="002A6F7F">
        <w:rPr>
          <w:lang w:val="pl-PL"/>
        </w:rPr>
        <w:t xml:space="preserve"> </w:t>
      </w:r>
      <w:r w:rsidR="004B5C02">
        <w:rPr>
          <w:lang w:val="pl-PL"/>
        </w:rPr>
        <w:t xml:space="preserve">OJ L 123, 12.5.2016, p. </w:t>
      </w:r>
      <w:r>
        <w:rPr>
          <w:lang w:val="pl-PL"/>
        </w:rPr>
        <w:t>1.</w:t>
      </w:r>
    </w:p>
  </w:footnote>
  <w:footnote w:id="6">
    <w:p w14:paraId="1D41963D" w14:textId="6AFDF388" w:rsidR="002A6F7F" w:rsidRPr="004B5C02" w:rsidRDefault="002A6F7F" w:rsidP="00207909">
      <w:pPr>
        <w:pStyle w:val="FootnoteText"/>
        <w:jc w:val="both"/>
      </w:pPr>
      <w:r w:rsidRPr="00207909">
        <w:rPr>
          <w:vertAlign w:val="superscript"/>
        </w:rPr>
        <w:footnoteRef/>
      </w:r>
      <w:r>
        <w:t xml:space="preserve"> </w:t>
      </w:r>
      <w:r w:rsidRPr="002A6F7F">
        <w:t xml:space="preserve">Article 2 of the Second Optional Protocol to </w:t>
      </w:r>
      <w:r w:rsidR="005B65B4">
        <w:t xml:space="preserve">the </w:t>
      </w:r>
      <w:r w:rsidRPr="002A6F7F">
        <w:t xml:space="preserve">ICCPR </w:t>
      </w:r>
      <w:r w:rsidR="005B65B4">
        <w:t>states</w:t>
      </w:r>
      <w:r w:rsidR="005B65B4" w:rsidRPr="002A6F7F">
        <w:t xml:space="preserve"> </w:t>
      </w:r>
      <w:r w:rsidRPr="002A6F7F">
        <w:t xml:space="preserve">that a </w:t>
      </w:r>
      <w:r w:rsidR="006452C4">
        <w:t>country</w:t>
      </w:r>
      <w:r w:rsidR="006452C4" w:rsidRPr="002A6F7F">
        <w:t xml:space="preserve"> </w:t>
      </w:r>
      <w:r w:rsidRPr="002A6F7F">
        <w:t>can make, at the time of ratification or accession, a reservation that provides for the application of the death penalty in time of war (pursuant to a conviction for a most serious crime of a military nature committed during wartime).</w:t>
      </w:r>
    </w:p>
  </w:footnote>
  <w:footnote w:id="7">
    <w:p w14:paraId="2028F2E3" w14:textId="15AF425F" w:rsidR="00493827" w:rsidRPr="00493827" w:rsidRDefault="00493827" w:rsidP="00207909">
      <w:pPr>
        <w:pStyle w:val="FootnoteText"/>
        <w:jc w:val="both"/>
      </w:pPr>
      <w:r>
        <w:rPr>
          <w:rStyle w:val="FootnoteReference"/>
        </w:rPr>
        <w:footnoteRef/>
      </w:r>
      <w:r>
        <w:t xml:space="preserve"> </w:t>
      </w:r>
      <w:r w:rsidRPr="002A6F7F">
        <w:rPr>
          <w:rFonts w:eastAsia="Times New Roman"/>
          <w:noProof/>
          <w:lang w:eastAsia="en-GB"/>
        </w:rPr>
        <w:t xml:space="preserve">Regulation </w:t>
      </w:r>
      <w:r>
        <w:rPr>
          <w:rFonts w:eastAsia="Times New Roman"/>
          <w:noProof/>
          <w:lang w:eastAsia="en-GB"/>
        </w:rPr>
        <w:t xml:space="preserve">(EC) </w:t>
      </w:r>
      <w:r w:rsidRPr="002A6F7F">
        <w:rPr>
          <w:rFonts w:eastAsia="Times New Roman"/>
          <w:noProof/>
          <w:lang w:eastAsia="en-GB"/>
        </w:rPr>
        <w:t>2018/181 of 18 October 2017</w:t>
      </w:r>
      <w:r>
        <w:rPr>
          <w:rFonts w:eastAsia="Times New Roman"/>
          <w:noProof/>
          <w:lang w:eastAsia="en-GB"/>
        </w:rPr>
        <w:t>,</w:t>
      </w:r>
      <w:r w:rsidRPr="002A6F7F">
        <w:rPr>
          <w:rFonts w:eastAsia="Times New Roman"/>
          <w:noProof/>
          <w:lang w:eastAsia="en-GB"/>
        </w:rPr>
        <w:t xml:space="preserve"> add</w:t>
      </w:r>
      <w:r>
        <w:rPr>
          <w:rFonts w:eastAsia="Times New Roman"/>
          <w:noProof/>
          <w:lang w:eastAsia="en-GB"/>
        </w:rPr>
        <w:t xml:space="preserve">ing </w:t>
      </w:r>
      <w:r w:rsidRPr="002A6F7F">
        <w:rPr>
          <w:rFonts w:eastAsia="Times New Roman"/>
          <w:noProof/>
          <w:lang w:eastAsia="en-GB"/>
        </w:rPr>
        <w:t>the Dominican Republic,</w:t>
      </w:r>
      <w:r w:rsidR="0070571F">
        <w:rPr>
          <w:rFonts w:eastAsia="Times New Roman"/>
          <w:noProof/>
          <w:lang w:eastAsia="en-GB"/>
        </w:rPr>
        <w:t xml:space="preserve"> Sao Tome and Principe and Togo</w:t>
      </w:r>
      <w:r w:rsidRPr="002A6F7F">
        <w:rPr>
          <w:rFonts w:eastAsia="Times New Roman"/>
          <w:noProof/>
          <w:lang w:eastAsia="en-GB"/>
        </w:rPr>
        <w:t>.</w:t>
      </w:r>
    </w:p>
  </w:footnote>
  <w:footnote w:id="8">
    <w:p w14:paraId="7030BC6C" w14:textId="2B749AD3" w:rsidR="00FE2948" w:rsidRPr="004B5C02" w:rsidRDefault="00FE2948" w:rsidP="00207909">
      <w:pPr>
        <w:pStyle w:val="FootnoteText"/>
        <w:jc w:val="both"/>
      </w:pPr>
      <w:r w:rsidRPr="00207909">
        <w:rPr>
          <w:vertAlign w:val="superscript"/>
        </w:rPr>
        <w:footnoteRef/>
      </w:r>
      <w:r w:rsidRPr="00207909">
        <w:rPr>
          <w:vertAlign w:val="superscript"/>
        </w:rPr>
        <w:t xml:space="preserve"> </w:t>
      </w:r>
      <w:r w:rsidRPr="00FE2948">
        <w:t>Resolution A/73/L.94: ‘</w:t>
      </w:r>
      <w:r w:rsidRPr="00EE783F">
        <w:rPr>
          <w:i/>
        </w:rPr>
        <w:t>Towards torture-free trade: examining the feasibility, scope and parameters for possible common international standards</w:t>
      </w:r>
      <w:r w:rsidRPr="00FE2948">
        <w:t>’</w:t>
      </w:r>
      <w:r w:rsidR="006C7957">
        <w:t>,</w:t>
      </w:r>
      <w:r w:rsidRPr="00FE2948">
        <w:t xml:space="preserve"> adopted by the UN General Assembly on 28 June 2019</w:t>
      </w:r>
      <w:r w:rsidR="006C795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460F" w14:textId="77777777" w:rsidR="00B6517B" w:rsidRPr="00B6517B" w:rsidRDefault="00B6517B" w:rsidP="00B65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2554" w14:textId="77777777" w:rsidR="00B6517B" w:rsidRPr="00B6517B" w:rsidRDefault="00B6517B" w:rsidP="00B651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CA2A" w14:textId="77777777" w:rsidR="00B6517B" w:rsidRPr="00B6517B" w:rsidRDefault="00B6517B" w:rsidP="00B651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18BC" w14:textId="77777777" w:rsidR="00EA71B1" w:rsidRDefault="00EA71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5A34" w14:textId="77777777" w:rsidR="00EA71B1" w:rsidRDefault="00EA71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BC78" w14:textId="77777777" w:rsidR="00EA71B1" w:rsidRDefault="00EA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7447D"/>
    <w:multiLevelType w:val="multilevel"/>
    <w:tmpl w:val="C52EEA9C"/>
    <w:lvl w:ilvl="0">
      <w:start w:val="1"/>
      <w:numFmt w:val="decimal"/>
      <w:pStyle w:val="HeaderSensitivityRight"/>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235FC"/>
    <w:multiLevelType w:val="hybridMultilevel"/>
    <w:tmpl w:val="F47A7C1C"/>
    <w:lvl w:ilvl="0" w:tplc="B57E49A0">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5C1725C-2B39-4B18-A74F-B9FB9BC6FBA8"/>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_x000d__x000d__x000b__x000d__x000d__x000b__x000d__x000d__x000b_on the activities and consultations of the Anti-Torture Coordination Group referred to in Article 31 of Regulation (EU) 2019/125 concerning trade in certain goods which could be used for capital punishment, torture or other cruel, inhuman or degrading treatment or punishment"/>
    <w:docVar w:name="LW_TYPE.DOC.CP" w:val="REPORT FROM THE COMMISSION"/>
  </w:docVars>
  <w:rsids>
    <w:rsidRoot w:val="000162D3"/>
    <w:rsid w:val="000115FA"/>
    <w:rsid w:val="000162D3"/>
    <w:rsid w:val="0004059B"/>
    <w:rsid w:val="0004203B"/>
    <w:rsid w:val="00052A34"/>
    <w:rsid w:val="00061B86"/>
    <w:rsid w:val="00086D5C"/>
    <w:rsid w:val="00094873"/>
    <w:rsid w:val="000A466C"/>
    <w:rsid w:val="000C0759"/>
    <w:rsid w:val="00116792"/>
    <w:rsid w:val="0012399A"/>
    <w:rsid w:val="0014411A"/>
    <w:rsid w:val="0014597A"/>
    <w:rsid w:val="00166B83"/>
    <w:rsid w:val="00184381"/>
    <w:rsid w:val="001F5D12"/>
    <w:rsid w:val="00203325"/>
    <w:rsid w:val="00207909"/>
    <w:rsid w:val="0023134F"/>
    <w:rsid w:val="00256A61"/>
    <w:rsid w:val="002805F5"/>
    <w:rsid w:val="002A2B09"/>
    <w:rsid w:val="002A6F7F"/>
    <w:rsid w:val="00311878"/>
    <w:rsid w:val="00343FD9"/>
    <w:rsid w:val="0038645C"/>
    <w:rsid w:val="00391263"/>
    <w:rsid w:val="003C04E8"/>
    <w:rsid w:val="003C34BD"/>
    <w:rsid w:val="003C6101"/>
    <w:rsid w:val="003E42C6"/>
    <w:rsid w:val="0040020B"/>
    <w:rsid w:val="004649BE"/>
    <w:rsid w:val="00480568"/>
    <w:rsid w:val="004904DD"/>
    <w:rsid w:val="00493827"/>
    <w:rsid w:val="004B3F4A"/>
    <w:rsid w:val="004B5C02"/>
    <w:rsid w:val="004E2FD8"/>
    <w:rsid w:val="004F4BB1"/>
    <w:rsid w:val="00514DD6"/>
    <w:rsid w:val="005628F9"/>
    <w:rsid w:val="0057777D"/>
    <w:rsid w:val="00587383"/>
    <w:rsid w:val="00593627"/>
    <w:rsid w:val="00595F0E"/>
    <w:rsid w:val="005B65B4"/>
    <w:rsid w:val="005C7EC7"/>
    <w:rsid w:val="00600D62"/>
    <w:rsid w:val="00601554"/>
    <w:rsid w:val="00603808"/>
    <w:rsid w:val="006063D7"/>
    <w:rsid w:val="00636112"/>
    <w:rsid w:val="006452C4"/>
    <w:rsid w:val="00652CCA"/>
    <w:rsid w:val="00661771"/>
    <w:rsid w:val="0067212D"/>
    <w:rsid w:val="00677AFB"/>
    <w:rsid w:val="0069515F"/>
    <w:rsid w:val="006A7E37"/>
    <w:rsid w:val="006B6920"/>
    <w:rsid w:val="006C7957"/>
    <w:rsid w:val="00702B02"/>
    <w:rsid w:val="0070571F"/>
    <w:rsid w:val="00706702"/>
    <w:rsid w:val="00715E59"/>
    <w:rsid w:val="0076526A"/>
    <w:rsid w:val="007A7EA2"/>
    <w:rsid w:val="007C4BCD"/>
    <w:rsid w:val="007E035D"/>
    <w:rsid w:val="008071C1"/>
    <w:rsid w:val="0082166B"/>
    <w:rsid w:val="00822F7D"/>
    <w:rsid w:val="0089386B"/>
    <w:rsid w:val="008A100E"/>
    <w:rsid w:val="008D18F6"/>
    <w:rsid w:val="008D37A0"/>
    <w:rsid w:val="008D6DFF"/>
    <w:rsid w:val="008E47B6"/>
    <w:rsid w:val="009408DA"/>
    <w:rsid w:val="009565E8"/>
    <w:rsid w:val="009711A4"/>
    <w:rsid w:val="009868D5"/>
    <w:rsid w:val="009A7517"/>
    <w:rsid w:val="009E6CD7"/>
    <w:rsid w:val="00A045C8"/>
    <w:rsid w:val="00A33FB4"/>
    <w:rsid w:val="00A4429F"/>
    <w:rsid w:val="00A673C3"/>
    <w:rsid w:val="00A73359"/>
    <w:rsid w:val="00AC523D"/>
    <w:rsid w:val="00AD2FB8"/>
    <w:rsid w:val="00AE4C51"/>
    <w:rsid w:val="00B34AF2"/>
    <w:rsid w:val="00B64812"/>
    <w:rsid w:val="00B6517B"/>
    <w:rsid w:val="00B82C1D"/>
    <w:rsid w:val="00BB168A"/>
    <w:rsid w:val="00BD20C0"/>
    <w:rsid w:val="00BD7FE8"/>
    <w:rsid w:val="00BE456B"/>
    <w:rsid w:val="00C17575"/>
    <w:rsid w:val="00C3164A"/>
    <w:rsid w:val="00C40290"/>
    <w:rsid w:val="00CB0F99"/>
    <w:rsid w:val="00CC4B56"/>
    <w:rsid w:val="00CF770E"/>
    <w:rsid w:val="00D064EF"/>
    <w:rsid w:val="00D1234B"/>
    <w:rsid w:val="00D422F1"/>
    <w:rsid w:val="00D448D6"/>
    <w:rsid w:val="00D44EAF"/>
    <w:rsid w:val="00D86804"/>
    <w:rsid w:val="00DC0DB3"/>
    <w:rsid w:val="00DF11F0"/>
    <w:rsid w:val="00E16068"/>
    <w:rsid w:val="00E55A8E"/>
    <w:rsid w:val="00E939AA"/>
    <w:rsid w:val="00E9434D"/>
    <w:rsid w:val="00EA71B1"/>
    <w:rsid w:val="00EB00E4"/>
    <w:rsid w:val="00EE783F"/>
    <w:rsid w:val="00F3439C"/>
    <w:rsid w:val="00F4445F"/>
    <w:rsid w:val="00F65C86"/>
    <w:rsid w:val="00F82B14"/>
    <w:rsid w:val="00FB329D"/>
    <w:rsid w:val="00FE2948"/>
    <w:rsid w:val="7684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AF2D94"/>
  <w15:chartTrackingRefBased/>
  <w15:docId w15:val="{4875DB79-FB06-4088-BB13-24A065F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D3"/>
    <w:pPr>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2D3"/>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sid w:val="000162D3"/>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sid w:val="000162D3"/>
    <w:rPr>
      <w:rFonts w:ascii="Times New Roman" w:hAnsi="Times New Roman" w:cs="Times New Roman"/>
      <w:sz w:val="20"/>
      <w:szCs w:val="20"/>
      <w:lang w:val="en-GB"/>
    </w:rPr>
  </w:style>
  <w:style w:type="paragraph" w:customStyle="1" w:styleId="Default">
    <w:name w:val="Default"/>
    <w:rsid w:val="000162D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0162D3"/>
    <w:pPr>
      <w:tabs>
        <w:tab w:val="center" w:pos="4513"/>
        <w:tab w:val="right" w:pos="9026"/>
      </w:tabs>
    </w:pPr>
  </w:style>
  <w:style w:type="character" w:customStyle="1" w:styleId="HeaderChar">
    <w:name w:val="Header Char"/>
    <w:basedOn w:val="DefaultParagraphFont"/>
    <w:link w:val="Header"/>
    <w:uiPriority w:val="99"/>
    <w:rsid w:val="000162D3"/>
    <w:rPr>
      <w:rFonts w:ascii="Times New Roman" w:hAnsi="Times New Roman" w:cs="Times New Roman"/>
      <w:sz w:val="24"/>
      <w:szCs w:val="24"/>
      <w:lang w:val="en-GB"/>
    </w:rPr>
  </w:style>
  <w:style w:type="paragraph" w:styleId="Footer">
    <w:name w:val="footer"/>
    <w:basedOn w:val="Normal"/>
    <w:link w:val="FooterChar"/>
    <w:uiPriority w:val="99"/>
    <w:unhideWhenUsed/>
    <w:rsid w:val="000162D3"/>
    <w:pPr>
      <w:tabs>
        <w:tab w:val="center" w:pos="4513"/>
        <w:tab w:val="right" w:pos="9026"/>
      </w:tabs>
    </w:pPr>
  </w:style>
  <w:style w:type="character" w:customStyle="1" w:styleId="FooterChar">
    <w:name w:val="Footer Char"/>
    <w:basedOn w:val="DefaultParagraphFont"/>
    <w:link w:val="Footer"/>
    <w:uiPriority w:val="99"/>
    <w:rsid w:val="000162D3"/>
    <w:rPr>
      <w:rFonts w:ascii="Times New Roman" w:hAnsi="Times New Roman" w:cs="Times New Roman"/>
      <w:sz w:val="24"/>
      <w:szCs w:val="24"/>
      <w:lang w:val="en-GB"/>
    </w:rPr>
  </w:style>
  <w:style w:type="paragraph" w:styleId="NormalWeb">
    <w:name w:val="Normal (Web)"/>
    <w:basedOn w:val="Normal"/>
    <w:uiPriority w:val="99"/>
    <w:unhideWhenUsed/>
    <w:rsid w:val="000162D3"/>
    <w:pPr>
      <w:spacing w:after="150"/>
    </w:pPr>
    <w:rPr>
      <w:rFonts w:eastAsia="Times New Roman"/>
      <w:lang w:eastAsia="en-GB"/>
    </w:rPr>
  </w:style>
  <w:style w:type="paragraph" w:customStyle="1" w:styleId="Body">
    <w:name w:val="Body"/>
    <w:basedOn w:val="Normal"/>
    <w:link w:val="BodyChar"/>
    <w:qFormat/>
    <w:rsid w:val="0057777D"/>
    <w:pPr>
      <w:spacing w:before="120" w:after="120"/>
      <w:jc w:val="both"/>
    </w:pPr>
    <w:rPr>
      <w:rFonts w:ascii="EC Square Sans Pro" w:eastAsia="Times New Roman" w:hAnsi="EC Square Sans Pro"/>
    </w:rPr>
  </w:style>
  <w:style w:type="character" w:customStyle="1" w:styleId="BodyChar">
    <w:name w:val="Body Char"/>
    <w:link w:val="Body"/>
    <w:rsid w:val="0057777D"/>
    <w:rPr>
      <w:rFonts w:ascii="EC Square Sans Pro" w:eastAsia="Times New Roman" w:hAnsi="EC Square Sans Pro" w:cs="Times New Roman"/>
      <w:sz w:val="24"/>
      <w:szCs w:val="24"/>
      <w:lang w:val="en-GB"/>
    </w:rPr>
  </w:style>
  <w:style w:type="paragraph" w:styleId="BalloonText">
    <w:name w:val="Balloon Text"/>
    <w:basedOn w:val="Normal"/>
    <w:link w:val="BalloonTextChar"/>
    <w:uiPriority w:val="99"/>
    <w:semiHidden/>
    <w:unhideWhenUsed/>
    <w:rsid w:val="00D12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34B"/>
    <w:rPr>
      <w:rFonts w:ascii="Segoe UI" w:hAnsi="Segoe UI" w:cs="Segoe UI"/>
      <w:sz w:val="18"/>
      <w:szCs w:val="18"/>
      <w:lang w:val="en-GB"/>
    </w:rPr>
  </w:style>
  <w:style w:type="character" w:customStyle="1" w:styleId="Marker">
    <w:name w:val="Marker"/>
    <w:basedOn w:val="DefaultParagraphFont"/>
    <w:rsid w:val="00EA71B1"/>
    <w:rPr>
      <w:color w:val="0000FF"/>
      <w:shd w:val="clear" w:color="auto" w:fill="auto"/>
    </w:rPr>
  </w:style>
  <w:style w:type="paragraph" w:customStyle="1" w:styleId="Pagedecouverture">
    <w:name w:val="Page de couverture"/>
    <w:basedOn w:val="Normal"/>
    <w:next w:val="Normal"/>
    <w:rsid w:val="00EA71B1"/>
    <w:pPr>
      <w:jc w:val="both"/>
    </w:pPr>
    <w:rPr>
      <w:szCs w:val="22"/>
    </w:rPr>
  </w:style>
  <w:style w:type="paragraph" w:customStyle="1" w:styleId="FooterCoverPage">
    <w:name w:val="Footer Cover Page"/>
    <w:basedOn w:val="Normal"/>
    <w:link w:val="FooterCoverPageChar"/>
    <w:rsid w:val="00EA71B1"/>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sid w:val="00EA71B1"/>
    <w:rPr>
      <w:rFonts w:ascii="Times New Roman" w:hAnsi="Times New Roman" w:cs="Times New Roman"/>
      <w:sz w:val="24"/>
      <w:szCs w:val="24"/>
      <w:lang w:val="en-GB"/>
    </w:rPr>
  </w:style>
  <w:style w:type="character" w:customStyle="1" w:styleId="FooterCoverPageChar">
    <w:name w:val="Footer Cover Page Char"/>
    <w:basedOn w:val="ListParagraphChar"/>
    <w:link w:val="FooterCoverPage"/>
    <w:rsid w:val="00EA71B1"/>
    <w:rPr>
      <w:rFonts w:ascii="Times New Roman" w:hAnsi="Times New Roman" w:cs="Times New Roman"/>
      <w:sz w:val="24"/>
      <w:szCs w:val="24"/>
      <w:lang w:val="en-GB"/>
    </w:rPr>
  </w:style>
  <w:style w:type="paragraph" w:customStyle="1" w:styleId="FooterSensitivity">
    <w:name w:val="Footer Sensitivity"/>
    <w:basedOn w:val="Normal"/>
    <w:link w:val="FooterSensitivityChar"/>
    <w:rsid w:val="00EA71B1"/>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sid w:val="00EA71B1"/>
    <w:rPr>
      <w:rFonts w:ascii="Times New Roman" w:hAnsi="Times New Roman" w:cs="Times New Roman"/>
      <w:b/>
      <w:sz w:val="32"/>
      <w:szCs w:val="24"/>
      <w:lang w:val="en-GB"/>
    </w:rPr>
  </w:style>
  <w:style w:type="paragraph" w:customStyle="1" w:styleId="HeaderCoverPage">
    <w:name w:val="Header Cover Page"/>
    <w:basedOn w:val="Normal"/>
    <w:link w:val="HeaderCoverPageChar"/>
    <w:rsid w:val="00EA71B1"/>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sid w:val="00EA71B1"/>
    <w:rPr>
      <w:rFonts w:ascii="Times New Roman" w:hAnsi="Times New Roman" w:cs="Times New Roman"/>
      <w:sz w:val="24"/>
      <w:szCs w:val="24"/>
      <w:lang w:val="en-GB"/>
    </w:rPr>
  </w:style>
  <w:style w:type="paragraph" w:customStyle="1" w:styleId="HeaderSensitivity">
    <w:name w:val="Header Sensitivity"/>
    <w:basedOn w:val="Normal"/>
    <w:link w:val="HeaderSensitivityChar"/>
    <w:rsid w:val="00EA71B1"/>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sid w:val="00EA71B1"/>
    <w:rPr>
      <w:rFonts w:ascii="Times New Roman" w:hAnsi="Times New Roman" w:cs="Times New Roman"/>
      <w:b/>
      <w:sz w:val="32"/>
      <w:szCs w:val="24"/>
      <w:lang w:val="en-GB"/>
    </w:rPr>
  </w:style>
  <w:style w:type="paragraph" w:customStyle="1" w:styleId="HeaderSensitivityRight">
    <w:name w:val="Header Sensitivity Right"/>
    <w:basedOn w:val="Normal"/>
    <w:link w:val="HeaderSensitivityRightChar"/>
    <w:rsid w:val="00EA71B1"/>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sid w:val="00EA71B1"/>
    <w:rPr>
      <w:rFonts w:ascii="Times New Roman" w:hAnsi="Times New Roman" w:cs="Times New Roman"/>
      <w:sz w:val="28"/>
      <w:szCs w:val="24"/>
      <w:lang w:val="en-GB"/>
    </w:rPr>
  </w:style>
  <w:style w:type="character" w:styleId="CommentReference">
    <w:name w:val="annotation reference"/>
    <w:basedOn w:val="DefaultParagraphFont"/>
    <w:uiPriority w:val="99"/>
    <w:semiHidden/>
    <w:unhideWhenUsed/>
    <w:rsid w:val="000C0759"/>
    <w:rPr>
      <w:sz w:val="16"/>
      <w:szCs w:val="16"/>
    </w:rPr>
  </w:style>
  <w:style w:type="paragraph" w:styleId="CommentText">
    <w:name w:val="annotation text"/>
    <w:basedOn w:val="Normal"/>
    <w:link w:val="CommentTextChar"/>
    <w:uiPriority w:val="99"/>
    <w:semiHidden/>
    <w:unhideWhenUsed/>
    <w:rsid w:val="000C0759"/>
    <w:rPr>
      <w:sz w:val="20"/>
      <w:szCs w:val="20"/>
    </w:rPr>
  </w:style>
  <w:style w:type="character" w:customStyle="1" w:styleId="CommentTextChar">
    <w:name w:val="Comment Text Char"/>
    <w:basedOn w:val="DefaultParagraphFont"/>
    <w:link w:val="CommentText"/>
    <w:uiPriority w:val="99"/>
    <w:semiHidden/>
    <w:rsid w:val="000C075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0759"/>
    <w:rPr>
      <w:b/>
      <w:bCs/>
    </w:rPr>
  </w:style>
  <w:style w:type="character" w:customStyle="1" w:styleId="CommentSubjectChar">
    <w:name w:val="Comment Subject Char"/>
    <w:basedOn w:val="CommentTextChar"/>
    <w:link w:val="CommentSubject"/>
    <w:uiPriority w:val="99"/>
    <w:semiHidden/>
    <w:rsid w:val="000C0759"/>
    <w:rPr>
      <w:rFonts w:ascii="Times New Roman" w:hAnsi="Times New Roman" w:cs="Times New Roman"/>
      <w:b/>
      <w:bCs/>
      <w:sz w:val="20"/>
      <w:szCs w:val="20"/>
      <w:lang w:val="en-GB"/>
    </w:rPr>
  </w:style>
  <w:style w:type="paragraph" w:styleId="Revision">
    <w:name w:val="Revision"/>
    <w:hidden/>
    <w:uiPriority w:val="99"/>
    <w:semiHidden/>
    <w:rsid w:val="008071C1"/>
    <w:pPr>
      <w:spacing w:after="0" w:line="240" w:lineRule="auto"/>
    </w:pPr>
    <w:rPr>
      <w:rFonts w:ascii="Times New Roman" w:hAnsi="Times New Roman" w:cs="Times New Roman"/>
      <w:sz w:val="24"/>
      <w:szCs w:val="24"/>
      <w:lang w:val="en-GB"/>
    </w:rPr>
  </w:style>
  <w:style w:type="character" w:styleId="FootnoteReference">
    <w:name w:val="footnote reference"/>
    <w:basedOn w:val="DefaultParagraphFont"/>
    <w:semiHidden/>
    <w:unhideWhenUsed/>
    <w:rsid w:val="00493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AA58-5102-453B-B1C0-9C00EA21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D7BF-2FB1-4CA0-814A-20833CB0CE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781FCA-06F4-4F94-9A1E-9C8371F007EC}">
  <ds:schemaRefs>
    <ds:schemaRef ds:uri="http://schemas.microsoft.com/sharepoint/v3/contenttype/forms"/>
  </ds:schemaRefs>
</ds:datastoreItem>
</file>

<file path=customXml/itemProps4.xml><?xml version="1.0" encoding="utf-8"?>
<ds:datastoreItem xmlns:ds="http://schemas.openxmlformats.org/officeDocument/2006/customXml" ds:itemID="{53AD7D5E-AA53-4E71-B8A5-41E34C79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7007</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TORRE UNGUREANU Ana-Claudia (SG)</cp:lastModifiedBy>
  <cp:revision>3</cp:revision>
  <dcterms:created xsi:type="dcterms:W3CDTF">2020-12-14T14:31:00Z</dcterms:created>
  <dcterms:modified xsi:type="dcterms:W3CDTF">2020-12-14T14:40:00Z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0x010100087E4EC354ADFB40AC5D4FC129E379BA</vt:lpwstr>
  </property>
</Properties>
</file>