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E2480C0-4173-463F-8F2F-CFAFC24850A6" style="width:450.95pt;height:434.1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 xml:space="preserve">Предложение на Европейския съюз за решение на изпълнителния орган на Конвенцията за трансгранично замърсяване на въздуха на далечни разстояния: </w:t>
      </w:r>
      <w:r>
        <w:rPr>
          <w:rFonts w:ascii="Times New Roman" w:hAnsi="Times New Roman" w:cs="Times New Roman"/>
          <w:b/>
          <w:bCs/>
          <w:noProof/>
          <w:sz w:val="24"/>
          <w:szCs w:val="24"/>
        </w:rPr>
        <w:t>Методология за корекция на таблици 2—6 от приложение II към изменения през 2012 г. Протокол за намаляване на подкиселяването, еутрофикацията и тропосферния озон („Протокол от Гьотеборг“), за да бъдат отчетени промените в членството в Европейския съюз.</w:t>
      </w:r>
    </w:p>
    <w:p>
      <w:pPr>
        <w:autoSpaceDE w:val="0"/>
        <w:autoSpaceDN w:val="0"/>
        <w:adjustRightInd w:val="0"/>
        <w:spacing w:before="23" w:after="0" w:line="240" w:lineRule="auto"/>
        <w:rPr>
          <w:rFonts w:ascii="Times New Roman" w:hAnsi="Times New Roman"/>
          <w:b/>
          <w:bCs/>
          <w:noProof/>
          <w:sz w:val="28"/>
          <w:szCs w:val="28"/>
          <w:lang w:eastAsia="en-GB"/>
        </w:rPr>
      </w:pPr>
    </w:p>
    <w:p>
      <w:pPr>
        <w:autoSpaceDE w:val="0"/>
        <w:autoSpaceDN w:val="0"/>
        <w:adjustRightInd w:val="0"/>
        <w:spacing w:before="23" w:after="0" w:line="240" w:lineRule="auto"/>
        <w:rPr>
          <w:rFonts w:ascii="Times New Roman" w:hAnsi="Times New Roman"/>
          <w:b/>
          <w:bCs/>
          <w:noProof/>
          <w:sz w:val="28"/>
          <w:szCs w:val="28"/>
        </w:rPr>
      </w:pPr>
      <w:r>
        <w:rPr>
          <w:rFonts w:ascii="Times New Roman" w:hAnsi="Times New Roman"/>
          <w:b/>
          <w:bCs/>
          <w:noProof/>
          <w:sz w:val="28"/>
          <w:szCs w:val="28"/>
        </w:rPr>
        <w:t>Проект на решение за адаптиране на приложение II към изменения през 2012 г. Протокол от Гьотеборг, за да бъдат отчетени промените в членството в Европейския съюз</w:t>
      </w:r>
    </w:p>
    <w:p>
      <w:pPr>
        <w:autoSpaceDE w:val="0"/>
        <w:autoSpaceDN w:val="0"/>
        <w:adjustRightInd w:val="0"/>
        <w:spacing w:before="23" w:after="0" w:line="240" w:lineRule="auto"/>
        <w:rPr>
          <w:rFonts w:ascii="Times New Roman" w:hAnsi="Times New Roman"/>
          <w:b/>
          <w:bCs/>
          <w:noProof/>
          <w:sz w:val="28"/>
          <w:szCs w:val="28"/>
          <w:lang w:eastAsia="en-GB"/>
        </w:rPr>
      </w:pPr>
    </w:p>
    <w:p>
      <w:pPr>
        <w:autoSpaceDE w:val="0"/>
        <w:autoSpaceDN w:val="0"/>
        <w:adjustRightInd w:val="0"/>
        <w:spacing w:after="120" w:line="240" w:lineRule="auto"/>
        <w:contextualSpacing/>
        <w:rPr>
          <w:rFonts w:ascii="Times New Roman" w:hAnsi="Times New Roman" w:cs="Times New Roman"/>
          <w:i/>
          <w:iCs/>
          <w:noProof/>
          <w:sz w:val="24"/>
          <w:szCs w:val="24"/>
        </w:rPr>
      </w:pPr>
      <w:r>
        <w:rPr>
          <w:rFonts w:ascii="Times New Roman" w:hAnsi="Times New Roman"/>
          <w:i/>
          <w:iCs/>
          <w:noProof/>
          <w:sz w:val="24"/>
          <w:szCs w:val="24"/>
        </w:rPr>
        <w:t>Изпълнителният орган,</w:t>
      </w:r>
    </w:p>
    <w:p>
      <w:pPr>
        <w:autoSpaceDE w:val="0"/>
        <w:autoSpaceDN w:val="0"/>
        <w:adjustRightInd w:val="0"/>
        <w:spacing w:after="120" w:line="240" w:lineRule="auto"/>
        <w:contextualSpacing/>
        <w:rPr>
          <w:rFonts w:ascii="Times New Roman" w:hAnsi="Times New Roman" w:cs="Times New Roman"/>
          <w:i/>
          <w:iCs/>
          <w:noProof/>
          <w:sz w:val="24"/>
          <w:szCs w:val="24"/>
          <w:lang w:eastAsia="en-GB"/>
        </w:rPr>
      </w:pPr>
    </w:p>
    <w:p>
      <w:pPr>
        <w:autoSpaceDE w:val="0"/>
        <w:autoSpaceDN w:val="0"/>
        <w:adjustRightInd w:val="0"/>
        <w:spacing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Като </w:t>
      </w:r>
      <w:r>
        <w:rPr>
          <w:rFonts w:ascii="Times New Roman" w:hAnsi="Times New Roman"/>
          <w:i/>
          <w:iCs/>
          <w:noProof/>
          <w:sz w:val="24"/>
          <w:szCs w:val="24"/>
        </w:rPr>
        <w:t>припомня</w:t>
      </w:r>
      <w:r>
        <w:rPr>
          <w:rFonts w:ascii="Times New Roman" w:hAnsi="Times New Roman"/>
          <w:noProof/>
          <w:sz w:val="24"/>
          <w:szCs w:val="24"/>
        </w:rPr>
        <w:t xml:space="preserve"> своите решения 2013/14 и 2016/4 относно спазването от страна на Европейския съюз на задълженията по Протокола за намаляване на подкиселяването, еутрофикацията и тропосферния озон („Протокола от Гьотеборг“),</w:t>
      </w:r>
    </w:p>
    <w:p>
      <w:pPr>
        <w:pStyle w:val="Default"/>
        <w:spacing w:after="120"/>
        <w:contextualSpacing/>
        <w:jc w:val="both"/>
        <w:rPr>
          <w:noProof/>
        </w:rPr>
      </w:pPr>
      <w:r>
        <w:rPr>
          <w:noProof/>
        </w:rPr>
        <w:t xml:space="preserve">Като </w:t>
      </w:r>
      <w:r>
        <w:rPr>
          <w:i/>
          <w:iCs/>
          <w:noProof/>
        </w:rPr>
        <w:t>отбелязва</w:t>
      </w:r>
      <w:r>
        <w:rPr>
          <w:noProof/>
        </w:rPr>
        <w:t xml:space="preserve">, че в член 13, параграф 2 от изменения Протокол от Гьотеборг се предвижда процедура, с която всяка от страните може да предложи корекция на своите ангажименти за намаляване на емисиите, посочени в приложение II към същия протокол, но че определените в решения 2012/3 и 2012/12 на изпълнителния орган методологии за корекция няма да се прилагат по отношение на корекциите на тези ангажименти, така че да бъдат отразени промените в членството в Европейския съюз, </w:t>
      </w:r>
    </w:p>
    <w:p>
      <w:pPr>
        <w:autoSpaceDE w:val="0"/>
        <w:autoSpaceDN w:val="0"/>
        <w:adjustRightInd w:val="0"/>
        <w:spacing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Като </w:t>
      </w:r>
      <w:r>
        <w:rPr>
          <w:rFonts w:ascii="Times New Roman" w:hAnsi="Times New Roman"/>
          <w:i/>
          <w:noProof/>
          <w:sz w:val="24"/>
          <w:szCs w:val="24"/>
        </w:rPr>
        <w:t>припомня</w:t>
      </w:r>
      <w:r>
        <w:rPr>
          <w:rFonts w:ascii="Times New Roman" w:hAnsi="Times New Roman"/>
          <w:noProof/>
          <w:sz w:val="24"/>
          <w:szCs w:val="24"/>
        </w:rPr>
        <w:t xml:space="preserve"> своето Решение 2017/3 относно корекциите съгласно Протокола за намаляване на подкиселяването, еутрофикацията и тропосферния озон, за да бъдат отчетени промените в членството в Европейския съюз, което беше прието по предложение на Европейския съюз и неговите държави членки в отговор на искането на страните по конвенцията на 36-ата сесия на изпълнителния орган (ECE/EB.AIR/137),  </w:t>
      </w:r>
    </w:p>
    <w:p>
      <w:pPr>
        <w:autoSpaceDE w:val="0"/>
        <w:autoSpaceDN w:val="0"/>
        <w:adjustRightInd w:val="0"/>
        <w:spacing w:after="120" w:line="240" w:lineRule="auto"/>
        <w:contextualSpacing/>
        <w:jc w:val="both"/>
        <w:rPr>
          <w:rFonts w:ascii="Times New Roman" w:hAnsi="Times New Roman" w:cs="Times New Roman"/>
          <w:noProof/>
          <w:sz w:val="24"/>
          <w:szCs w:val="24"/>
          <w:lang w:eastAsia="en-GB"/>
        </w:rPr>
      </w:pPr>
    </w:p>
    <w:p>
      <w:pPr>
        <w:autoSpaceDE w:val="0"/>
        <w:autoSpaceDN w:val="0"/>
        <w:adjustRightInd w:val="0"/>
        <w:spacing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Като </w:t>
      </w:r>
      <w:r>
        <w:rPr>
          <w:rFonts w:ascii="Times New Roman" w:hAnsi="Times New Roman"/>
          <w:i/>
          <w:noProof/>
          <w:sz w:val="24"/>
          <w:szCs w:val="24"/>
        </w:rPr>
        <w:t>приветства</w:t>
      </w:r>
      <w:r>
        <w:rPr>
          <w:rFonts w:ascii="Times New Roman" w:hAnsi="Times New Roman"/>
          <w:noProof/>
          <w:sz w:val="24"/>
          <w:szCs w:val="24"/>
        </w:rPr>
        <w:t xml:space="preserve"> влизането в сила на изменения през 2012 г. Протокол от Гьотеборг на 7 октомври 2019 г.,</w:t>
      </w:r>
    </w:p>
    <w:p>
      <w:pPr>
        <w:autoSpaceDE w:val="0"/>
        <w:autoSpaceDN w:val="0"/>
        <w:adjustRightInd w:val="0"/>
        <w:spacing w:after="120" w:line="240" w:lineRule="auto"/>
        <w:contextualSpacing/>
        <w:jc w:val="both"/>
        <w:rPr>
          <w:rFonts w:ascii="Times New Roman" w:hAnsi="Times New Roman" w:cs="Times New Roman"/>
          <w:noProof/>
          <w:sz w:val="24"/>
          <w:szCs w:val="24"/>
          <w:lang w:eastAsia="en-GB"/>
        </w:rPr>
      </w:pPr>
    </w:p>
    <w:p>
      <w:pPr>
        <w:pStyle w:val="ListParagraph"/>
        <w:numPr>
          <w:ilvl w:val="0"/>
          <w:numId w:val="2"/>
        </w:numPr>
        <w:spacing w:after="120" w:line="240" w:lineRule="auto"/>
        <w:jc w:val="both"/>
        <w:rPr>
          <w:rFonts w:ascii="Times New Roman" w:hAnsi="Times New Roman" w:cs="Times New Roman"/>
          <w:noProof/>
          <w:sz w:val="24"/>
          <w:szCs w:val="24"/>
        </w:rPr>
      </w:pPr>
      <w:r>
        <w:rPr>
          <w:rFonts w:ascii="Times New Roman" w:hAnsi="Times New Roman"/>
          <w:i/>
          <w:noProof/>
          <w:sz w:val="24"/>
          <w:szCs w:val="24"/>
        </w:rPr>
        <w:t>Решава</w:t>
      </w:r>
      <w:r>
        <w:rPr>
          <w:rFonts w:ascii="Times New Roman" w:hAnsi="Times New Roman"/>
          <w:noProof/>
          <w:sz w:val="24"/>
          <w:szCs w:val="24"/>
        </w:rPr>
        <w:t>, в съответствие с член 13, параграф 2 от изменения Протокол от Гьотеборг, да установи методология за корекция на базовите стойности на емисиите и ангажиментите за намаляване на емисиите на Европейския съюз, посочени в таблици 2—6 от приложение II към изменения протокол, в случай на промени в членството в Европейския съюз, както следва:</w:t>
      </w:r>
    </w:p>
    <w:p>
      <w:pPr>
        <w:numPr>
          <w:ilvl w:val="0"/>
          <w:numId w:val="1"/>
        </w:numPr>
        <w:spacing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Базовата стойност на Европейския съюз за емисиите на отделните замърсители, изразени в нива на емисиите за 2005 г. (в килотонове) в таблици 2—6 от приложение II към изменения Протокол от Гьотеборг, е сумата от базовите стойности на емисиите на отделните замърсители за държавите — членки на Европейския съюз, като се отчита всяко присъединяване към Европейския съюз или оттегляне от него.</w:t>
      </w:r>
    </w:p>
    <w:p>
      <w:pPr>
        <w:numPr>
          <w:ilvl w:val="0"/>
          <w:numId w:val="1"/>
        </w:numPr>
        <w:spacing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Ангажиментите на Европейския съюз за намаляване на емисиите на отделните замърсители в таблици 2—6 от приложение II към изменения Протокол от Гьотеборг представляват сборът от ангажиментите на държавите — членки на Европейския съюз, за намаляване на емисиите, </w:t>
      </w:r>
      <w:r>
        <w:rPr>
          <w:rFonts w:ascii="Times New Roman" w:hAnsi="Times New Roman"/>
          <w:noProof/>
          <w:sz w:val="24"/>
          <w:szCs w:val="24"/>
        </w:rPr>
        <w:lastRenderedPageBreak/>
        <w:t xml:space="preserve">изчислен: а) като към нивата на емисиите за 2005 г. на всяка държава — членка на Европейския съюз, посочени в таблици 2—6 от приложение II към същия протокол, се приложат ангажиментите за намаляване на емисиите за 2020 г. на всяка държава членка, посочени в същите таблици; и б) като сборът от резултатите по буква а) се изрази като процент от сбора от нивата на емисиите за 2005 г. на държавите — членки на Европейския съюз. </w:t>
      </w:r>
    </w:p>
    <w:p>
      <w:pPr>
        <w:numPr>
          <w:ilvl w:val="0"/>
          <w:numId w:val="1"/>
        </w:numPr>
        <w:spacing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За целите на тази методология нивата на емисиите за 2005 г. са посочените в таблици 2—6 от приложение II към изменения Протокол от Гьотеборг, освен ако за дадена подписала го държава или страна по него в приложение II не са определени нива на емисиите за 2005 г., като в този случай се използват последните докладвани емисии за 2005 г. Ангажиментите за намаляване на емисиите за 2020 г. и в периода след това са посочени в таблици 2—6 от приложение II към изменения Протокол от Гьотеборг, освен ако за дадена подписала го държава или страна по него не са посочени ангажименти за намаляване на емисиите за 2020 г. и за периода след това, като в този случай Европейският съюз представя посочената информация в писмен вид на изпълнителния секретар на Икономическата комисия за Европа на Организацията на обединените нации.</w:t>
      </w:r>
    </w:p>
    <w:p>
      <w:pPr>
        <w:spacing w:after="120" w:line="240" w:lineRule="auto"/>
        <w:ind w:left="720"/>
        <w:contextualSpacing/>
        <w:jc w:val="both"/>
        <w:rPr>
          <w:rFonts w:ascii="Times New Roman" w:hAnsi="Times New Roman" w:cs="Times New Roman"/>
          <w:noProof/>
          <w:sz w:val="24"/>
          <w:szCs w:val="24"/>
          <w:highlight w:val="yellow"/>
          <w:lang w:eastAsia="en-GB"/>
        </w:rPr>
      </w:pPr>
    </w:p>
    <w:p>
      <w:pPr>
        <w:pStyle w:val="Default"/>
        <w:numPr>
          <w:ilvl w:val="0"/>
          <w:numId w:val="2"/>
        </w:numPr>
        <w:spacing w:after="120"/>
        <w:contextualSpacing/>
        <w:jc w:val="both"/>
        <w:rPr>
          <w:noProof/>
        </w:rPr>
      </w:pPr>
      <w:r>
        <w:rPr>
          <w:i/>
          <w:iCs/>
          <w:noProof/>
        </w:rPr>
        <w:t>Решава</w:t>
      </w:r>
      <w:r>
        <w:rPr>
          <w:noProof/>
        </w:rPr>
        <w:t xml:space="preserve">, че Европейският съюз може да представи в писмен вид корекции, извършени по горепосочената методология, на изпълнителния секретар на Икономическата комисия за Европа на Организацията на обединените нации, който изпраща тези корекции на всички страни за сведение. </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5707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6472C"/>
    <w:multiLevelType w:val="hybridMultilevel"/>
    <w:tmpl w:val="AA921D6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5C033379"/>
    <w:multiLevelType w:val="hybridMultilevel"/>
    <w:tmpl w:val="458EBF3E"/>
    <w:lvl w:ilvl="0" w:tplc="54A8341C">
      <w:numFmt w:val="bullet"/>
      <w:lvlText w:val="-"/>
      <w:lvlJc w:val="left"/>
      <w:pPr>
        <w:ind w:left="1080" w:hanging="360"/>
      </w:pPr>
      <w:rPr>
        <w:rFonts w:ascii="Times New Roman" w:eastAsia="Calibri" w:hAnsi="Times New Roman" w:cs="Times New Roman" w:hint="default"/>
        <w:sz w:val="2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hideSpellingErrors/>
  <w:hideGrammaticalErrors/>
  <w:revisionView w:markup="0"/>
  <w:doNotTrackFormatting/>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2E2480C0-4173-463F-8F2F-CFAFC24850A6"/>
    <w:docVar w:name="LW_COVERPAGE_TYPE" w:val="1"/>
    <w:docVar w:name="LW_CROSSREFERENCE" w:val="&lt;UNUSED&gt;"/>
    <w:docVar w:name="LW_DocType" w:val="NORMAL"/>
    <w:docVar w:name="LW_EMISSION" w:val="15.12.2020"/>
    <w:docVar w:name="LW_EMISSION_ISODATE" w:val="2020-12-15"/>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Bold&gt;\u1079?\u1072? \u1087?\u1088?\u1077?\u1076?\u1089?\u1090?\u1072?\u1074?\u1103?\u1085?\u1077? \u1086?\u1090? \u1080?\u1084?\u1077?\u1090?\u1086? \u1085?\u1072? \u1045?\u1074?\u1088?\u1086?\u1087?\u1077?\u1081?\u1089?\u1082?\u1080?\u1103? \u1089?\u1098?\u1102?\u1079? \u1085?\u1072? \u1087?\u1088?\u1077?\u1076?\u1083?\u1086?\u1078?\u1077?\u1085?\u1080?\u1077? \u1079?\u1072? \u1088?\u1077?\u1096?\u1077?\u1085?\u1080?\u1077? \u1085?\u1072? \u1080?\u1079?\u1087?\u1098?\u1083?\u1085?\u1080?\u1090?\u1077?\u1083?\u1085?\u1080?\u1103? \u1086?\u1088?\u1075?\u1072?\u1085? \u1086?\u1090?\u1085?\u1086?\u1089?\u1085?\u1086? \u1084?\u1077?\u1090?\u1086?\u1076?\u1086?\u1083?\u1086?\u1075?\u1080?\u1103?\u1090?\u1072? \u1079?\u1072? \u1082?\u1086?\u1088?\u1077?\u1082?\u1094?\u1080?\u1103?, \u1086?\u1090?\u1088?\u1072?\u1079?\u1103?\u1074?\u1072?\u1097?\u1072? \u1087?\u1088?\u1086?\u1084?\u1077?\u1085?\u1080?\u1090?\u1077? \u1074? \u1095?\u1083?\u1077?\u1085?\u1089?\u1090?\u1074?\u1086?\u1090?\u1086? \u1074? \u1045?\u1074?\u1088?\u1086?\u1087?\u1077?\u1081?\u1089?\u1082?\u1080?\u1103? \u1089?\u1098?\u1102?\u1079?, \u1089? \u1086?\u1075?\u1083?\u1077?\u1076? \u1085?\u1072? 41-\u1074?\u1072?\u1090?\u1072? \u1089?\u1077?\u1089?\u1080?\u1103? \u1085?\u1072? \u1080?\u1079?\u1087?\u1098?\u1083?\u1085?\u1080?\u1090?\u1077?\u1083?\u1085?\u1080?\u1103? \u1086?\u1088?\u1075?\u1072?\u1085? \u1085?\u1072? \u1050?\u1086?\u1085?\u1074?\u1077?\u1085?\u1094?\u1080?\u1103?\u1090?\u1072? \u1079?\u1072? \u1090?\u1088?\u1072?\u1085?\u1089?\u1075?\u1088?\u1072?\u1085?\u1080?\u1095?\u1085?\u1086?\u1090?\u1086? \u1079?\u1072?\u1084?\u1098?\u1088?\u1089?\u1103?\u1074?\u1072?\u1085?\u1077? \u1085?\u1072? \u1074?\u1098?\u1079?\u1076?\u1091?\u1093?\u1072? \u1085?\u1072? \u1076?\u1072?\u1083?\u1077?\u1095?\u1085?\u1080? \u1088?\u1072?\u1079?\u1089?\u1090?\u1086?\u1103?\u1085?\u1080?\u1103?, \u1080? \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u1090?\u1072?\u1079?\u1080? \u1089?\u1077?\u1089?\u1080?\u1103?&lt;/FMT&gt;"/>
    <w:docVar w:name="LW_PART_NBR" w:val="1"/>
    <w:docVar w:name="LW_PART_NBR_TOTAL" w:val="1"/>
    <w:docVar w:name="LW_REF.INST.NEW" w:val="COM"/>
    <w:docVar w:name="LW_REF.INST.NEW_ADOPTED" w:val="final"/>
    <w:docVar w:name="LW_REF.INST.NEW_TEXT" w:val="(2020) 8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850198">
      <w:bodyDiv w:val="1"/>
      <w:marLeft w:val="0"/>
      <w:marRight w:val="0"/>
      <w:marTop w:val="0"/>
      <w:marBottom w:val="0"/>
      <w:divBdr>
        <w:top w:val="none" w:sz="0" w:space="0" w:color="auto"/>
        <w:left w:val="none" w:sz="0" w:space="0" w:color="auto"/>
        <w:bottom w:val="none" w:sz="0" w:space="0" w:color="auto"/>
        <w:right w:val="none" w:sz="0" w:space="0" w:color="auto"/>
      </w:divBdr>
    </w:div>
    <w:div w:id="197971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666</Words>
  <Characters>3633</Characters>
  <Application>Microsoft Office Word</Application>
  <DocSecurity>0</DocSecurity>
  <Lines>71</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LINDAHL Susanne (ENV)</dc:creator>
  <cp:keywords/>
  <dc:description/>
  <cp:lastModifiedBy>DIGIT/C6</cp:lastModifiedBy>
  <cp:revision>7</cp:revision>
  <dcterms:created xsi:type="dcterms:W3CDTF">2020-11-29T22:13:00Z</dcterms:created>
  <dcterms:modified xsi:type="dcterms:W3CDTF">2020-12-03T13:35:00Z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7.0, Build 20190717</vt:lpwstr>
  </property>
  <property fmtid="{D5CDD505-2E9C-101B-9397-08002B2CF9AE}" pid="11" name="Created using">
    <vt:lpwstr>LW 7.0.1, Build 20190916</vt:lpwstr>
  </property>
</Properties>
</file>