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CFD01C63-1416-4EE7-BB3B-310248A3CDF5" style="width:450.55pt;height:407.0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European Union proposal for a decision of the Executive Body under the Convention on Long-Range Transboundary Air Pollution: methodology for adjustments to tables 2-6 of Annex II to the Protocol to Abate Acidification, Eutrophication and Ground-level Ozone, (the ‘Gothenburg Protocol ’)</w:t>
      </w:r>
      <w:r>
        <w:rPr>
          <w:noProof/>
        </w:rPr>
        <w:t xml:space="preserve"> </w:t>
      </w:r>
      <w:r>
        <w:rPr>
          <w:rFonts w:ascii="Times New Roman" w:hAnsi="Times New Roman" w:cs="Times New Roman"/>
          <w:b/>
          <w:noProof/>
          <w:sz w:val="24"/>
          <w:szCs w:val="24"/>
        </w:rPr>
        <w:t>as amended 2012, to account for changes in the membership of the European Union.</w:t>
      </w:r>
    </w:p>
    <w:p>
      <w:pPr>
        <w:autoSpaceDE w:val="0"/>
        <w:autoSpaceDN w:val="0"/>
        <w:adjustRightInd w:val="0"/>
        <w:spacing w:before="23" w:after="0" w:line="240" w:lineRule="auto"/>
        <w:rPr>
          <w:rFonts w:ascii="Times New Roman" w:hAnsi="Times New Roman"/>
          <w:b/>
          <w:bCs/>
          <w:noProof/>
          <w:sz w:val="28"/>
          <w:szCs w:val="28"/>
          <w:lang w:eastAsia="en-GB"/>
        </w:rPr>
      </w:pPr>
    </w:p>
    <w:p>
      <w:pPr>
        <w:autoSpaceDE w:val="0"/>
        <w:autoSpaceDN w:val="0"/>
        <w:adjustRightInd w:val="0"/>
        <w:spacing w:before="23" w:after="0" w:line="240" w:lineRule="auto"/>
        <w:rPr>
          <w:rFonts w:ascii="Times New Roman" w:hAnsi="Times New Roman"/>
          <w:b/>
          <w:bCs/>
          <w:noProof/>
          <w:sz w:val="28"/>
          <w:szCs w:val="28"/>
          <w:lang w:eastAsia="en-GB"/>
        </w:rPr>
      </w:pPr>
      <w:r>
        <w:rPr>
          <w:rFonts w:ascii="Times New Roman" w:hAnsi="Times New Roman"/>
          <w:b/>
          <w:bCs/>
          <w:noProof/>
          <w:sz w:val="28"/>
          <w:szCs w:val="28"/>
          <w:lang w:eastAsia="en-GB"/>
        </w:rPr>
        <w:t>Draft decision on adjustments to Annex II to the Gothenburg Protocol, as amended 2012, to account for changes in the membership of the European Union</w:t>
      </w:r>
    </w:p>
    <w:p>
      <w:pPr>
        <w:autoSpaceDE w:val="0"/>
        <w:autoSpaceDN w:val="0"/>
        <w:adjustRightInd w:val="0"/>
        <w:spacing w:before="23" w:after="0" w:line="240" w:lineRule="auto"/>
        <w:rPr>
          <w:rFonts w:ascii="Times New Roman" w:hAnsi="Times New Roman"/>
          <w:b/>
          <w:bCs/>
          <w:noProof/>
          <w:sz w:val="28"/>
          <w:szCs w:val="28"/>
          <w:lang w:eastAsia="en-GB"/>
        </w:rPr>
      </w:pPr>
    </w:p>
    <w:p>
      <w:pPr>
        <w:autoSpaceDE w:val="0"/>
        <w:autoSpaceDN w:val="0"/>
        <w:adjustRightInd w:val="0"/>
        <w:spacing w:after="120" w:line="240" w:lineRule="auto"/>
        <w:contextualSpacing/>
        <w:rPr>
          <w:rFonts w:ascii="Times New Roman" w:hAnsi="Times New Roman" w:cs="Times New Roman"/>
          <w:i/>
          <w:iCs/>
          <w:noProof/>
          <w:sz w:val="24"/>
          <w:szCs w:val="24"/>
          <w:lang w:eastAsia="en-GB"/>
        </w:rPr>
      </w:pPr>
      <w:r>
        <w:rPr>
          <w:rFonts w:ascii="Times New Roman" w:hAnsi="Times New Roman" w:cs="Times New Roman"/>
          <w:i/>
          <w:iCs/>
          <w:noProof/>
          <w:sz w:val="24"/>
          <w:szCs w:val="24"/>
          <w:lang w:eastAsia="en-GB"/>
        </w:rPr>
        <w:t>The Executive Body,</w:t>
      </w:r>
    </w:p>
    <w:p>
      <w:pPr>
        <w:autoSpaceDE w:val="0"/>
        <w:autoSpaceDN w:val="0"/>
        <w:adjustRightInd w:val="0"/>
        <w:spacing w:after="120" w:line="240" w:lineRule="auto"/>
        <w:contextualSpacing/>
        <w:rPr>
          <w:rFonts w:ascii="Times New Roman" w:hAnsi="Times New Roman" w:cs="Times New Roman"/>
          <w:i/>
          <w:iCs/>
          <w:noProof/>
          <w:sz w:val="24"/>
          <w:szCs w:val="24"/>
          <w:lang w:eastAsia="en-GB"/>
        </w:rPr>
      </w:pPr>
    </w:p>
    <w:p>
      <w:pPr>
        <w:autoSpaceDE w:val="0"/>
        <w:autoSpaceDN w:val="0"/>
        <w:adjustRightInd w:val="0"/>
        <w:spacing w:after="120" w:line="240" w:lineRule="auto"/>
        <w:contextualSpacing/>
        <w:jc w:val="both"/>
        <w:rPr>
          <w:rFonts w:ascii="Times New Roman" w:hAnsi="Times New Roman" w:cs="Times New Roman"/>
          <w:noProof/>
          <w:sz w:val="24"/>
          <w:szCs w:val="24"/>
          <w:lang w:eastAsia="en-GB"/>
        </w:rPr>
      </w:pPr>
      <w:r>
        <w:rPr>
          <w:rFonts w:ascii="Times New Roman" w:hAnsi="Times New Roman" w:cs="Times New Roman"/>
          <w:i/>
          <w:iCs/>
          <w:noProof/>
          <w:sz w:val="24"/>
          <w:szCs w:val="24"/>
          <w:lang w:eastAsia="en-GB"/>
        </w:rPr>
        <w:t xml:space="preserve">Recalling </w:t>
      </w:r>
      <w:r>
        <w:rPr>
          <w:rFonts w:ascii="Times New Roman" w:hAnsi="Times New Roman" w:cs="Times New Roman"/>
          <w:noProof/>
          <w:sz w:val="24"/>
          <w:szCs w:val="24"/>
          <w:lang w:eastAsia="en-GB"/>
        </w:rPr>
        <w:t>its decisions 2013/14 and 2016/4 concerning compliance by the European Union with the Protocol to Abate Acidification, Eutrophication and Ground-level Ozone (the ‘Gothenburg Protocol’)</w:t>
      </w:r>
    </w:p>
    <w:p>
      <w:pPr>
        <w:pStyle w:val="Default"/>
        <w:spacing w:after="120"/>
        <w:contextualSpacing/>
        <w:jc w:val="both"/>
        <w:rPr>
          <w:noProof/>
        </w:rPr>
      </w:pPr>
      <w:r>
        <w:rPr>
          <w:i/>
          <w:iCs/>
          <w:noProof/>
        </w:rPr>
        <w:t xml:space="preserve">Noting </w:t>
      </w:r>
      <w:r>
        <w:rPr>
          <w:noProof/>
        </w:rPr>
        <w:t xml:space="preserve">that article 13, paragraph 2, of the Gothenburg Protocol as amended provides a procedure for a Party to propose an adjustment of its emission reduction commitments listed in Annex II to the Gothenburg Protocol, but that the methodologies set out in Executive Body Decisions 2012/3 and 2012/12 on adjustments would not apply to an adjustment of these emission reduction commitments to reflect changes in the membership of the European Union, </w:t>
      </w:r>
    </w:p>
    <w:p>
      <w:pPr>
        <w:autoSpaceDE w:val="0"/>
        <w:autoSpaceDN w:val="0"/>
        <w:adjustRightInd w:val="0"/>
        <w:spacing w:after="120" w:line="240" w:lineRule="auto"/>
        <w:contextualSpacing/>
        <w:jc w:val="both"/>
        <w:rPr>
          <w:rFonts w:ascii="Times New Roman" w:hAnsi="Times New Roman" w:cs="Times New Roman"/>
          <w:noProof/>
          <w:sz w:val="24"/>
          <w:szCs w:val="24"/>
          <w:lang w:eastAsia="en-GB"/>
        </w:rPr>
      </w:pPr>
      <w:r>
        <w:rPr>
          <w:rFonts w:ascii="Times New Roman" w:hAnsi="Times New Roman" w:cs="Times New Roman"/>
          <w:i/>
          <w:noProof/>
          <w:sz w:val="24"/>
          <w:szCs w:val="24"/>
          <w:lang w:eastAsia="en-GB"/>
        </w:rPr>
        <w:t xml:space="preserve">Recalling </w:t>
      </w:r>
      <w:r>
        <w:rPr>
          <w:rFonts w:ascii="Times New Roman" w:hAnsi="Times New Roman" w:cs="Times New Roman"/>
          <w:noProof/>
          <w:sz w:val="24"/>
          <w:szCs w:val="24"/>
          <w:lang w:eastAsia="en-GB"/>
        </w:rPr>
        <w:t>its decision 2017/3 concerning adjustments under the Protocol to Abate Acidification, Eutrophication and Ground-level Ozone to account for changes in the membership of the European Union, adopted following a proposal by the European Union and its Member States in response to the request by the Parties to the Convention in the 36</w:t>
      </w:r>
      <w:r>
        <w:rPr>
          <w:rFonts w:ascii="Times New Roman" w:hAnsi="Times New Roman" w:cs="Times New Roman"/>
          <w:noProof/>
          <w:sz w:val="24"/>
          <w:szCs w:val="24"/>
          <w:vertAlign w:val="superscript"/>
          <w:lang w:eastAsia="en-GB"/>
        </w:rPr>
        <w:t>th</w:t>
      </w:r>
      <w:r>
        <w:rPr>
          <w:rFonts w:ascii="Times New Roman" w:hAnsi="Times New Roman" w:cs="Times New Roman"/>
          <w:noProof/>
          <w:sz w:val="24"/>
          <w:szCs w:val="24"/>
          <w:lang w:eastAsia="en-GB"/>
        </w:rPr>
        <w:t xml:space="preserve"> session of the Executive Body (ECE/EB.AIR/137),  </w:t>
      </w:r>
    </w:p>
    <w:p>
      <w:pPr>
        <w:autoSpaceDE w:val="0"/>
        <w:autoSpaceDN w:val="0"/>
        <w:adjustRightInd w:val="0"/>
        <w:spacing w:after="120" w:line="240" w:lineRule="auto"/>
        <w:contextualSpacing/>
        <w:jc w:val="both"/>
        <w:rPr>
          <w:rFonts w:ascii="Times New Roman" w:hAnsi="Times New Roman" w:cs="Times New Roman"/>
          <w:noProof/>
          <w:sz w:val="24"/>
          <w:szCs w:val="24"/>
          <w:lang w:eastAsia="en-GB"/>
        </w:rPr>
      </w:pPr>
    </w:p>
    <w:p>
      <w:pPr>
        <w:autoSpaceDE w:val="0"/>
        <w:autoSpaceDN w:val="0"/>
        <w:adjustRightInd w:val="0"/>
        <w:spacing w:after="120" w:line="240" w:lineRule="auto"/>
        <w:contextualSpacing/>
        <w:jc w:val="both"/>
        <w:rPr>
          <w:rFonts w:ascii="Times New Roman" w:hAnsi="Times New Roman" w:cs="Times New Roman"/>
          <w:noProof/>
          <w:sz w:val="24"/>
          <w:szCs w:val="24"/>
          <w:lang w:eastAsia="en-GB"/>
        </w:rPr>
      </w:pPr>
      <w:r>
        <w:rPr>
          <w:rFonts w:ascii="Times New Roman" w:hAnsi="Times New Roman" w:cs="Times New Roman"/>
          <w:i/>
          <w:noProof/>
          <w:sz w:val="24"/>
          <w:szCs w:val="24"/>
          <w:lang w:eastAsia="en-GB"/>
        </w:rPr>
        <w:t xml:space="preserve">Welcoming </w:t>
      </w:r>
      <w:r>
        <w:rPr>
          <w:rFonts w:ascii="Times New Roman" w:hAnsi="Times New Roman" w:cs="Times New Roman"/>
          <w:noProof/>
          <w:sz w:val="24"/>
          <w:szCs w:val="24"/>
          <w:lang w:eastAsia="en-GB"/>
        </w:rPr>
        <w:t>the entry into force of the Protocol to Abate Acidification, Eutrophication and Ground-level Ozone (Gothenburg Protocol), as amended in 2012, on 7 October 2019,</w:t>
      </w:r>
    </w:p>
    <w:p>
      <w:pPr>
        <w:autoSpaceDE w:val="0"/>
        <w:autoSpaceDN w:val="0"/>
        <w:adjustRightInd w:val="0"/>
        <w:spacing w:after="120" w:line="240" w:lineRule="auto"/>
        <w:contextualSpacing/>
        <w:jc w:val="both"/>
        <w:rPr>
          <w:rFonts w:ascii="Times New Roman" w:hAnsi="Times New Roman" w:cs="Times New Roman"/>
          <w:noProof/>
          <w:sz w:val="24"/>
          <w:szCs w:val="24"/>
          <w:lang w:eastAsia="en-GB"/>
        </w:rPr>
      </w:pPr>
    </w:p>
    <w:p>
      <w:pPr>
        <w:pStyle w:val="ListParagraph"/>
        <w:numPr>
          <w:ilvl w:val="0"/>
          <w:numId w:val="2"/>
        </w:numPr>
        <w:spacing w:after="120" w:line="240" w:lineRule="auto"/>
        <w:jc w:val="both"/>
        <w:rPr>
          <w:rFonts w:ascii="Times New Roman" w:hAnsi="Times New Roman" w:cs="Times New Roman"/>
          <w:noProof/>
          <w:sz w:val="24"/>
          <w:szCs w:val="24"/>
          <w:lang w:eastAsia="en-GB"/>
        </w:rPr>
      </w:pPr>
      <w:r>
        <w:rPr>
          <w:rFonts w:ascii="Times New Roman" w:hAnsi="Times New Roman" w:cs="Times New Roman"/>
          <w:i/>
          <w:noProof/>
          <w:sz w:val="24"/>
          <w:szCs w:val="24"/>
          <w:lang w:eastAsia="en-GB"/>
        </w:rPr>
        <w:t>Decides,</w:t>
      </w:r>
      <w:r>
        <w:rPr>
          <w:rFonts w:ascii="Times New Roman" w:hAnsi="Times New Roman" w:cs="Times New Roman"/>
          <w:noProof/>
          <w:sz w:val="24"/>
          <w:szCs w:val="24"/>
          <w:lang w:eastAsia="en-GB"/>
        </w:rPr>
        <w:t xml:space="preserve"> in accordance with article 13, paragraph 2, of the Gothenburg Protocol as amended, to establish a methodology for adjustment of the emission baselines and emission reduction commitments listed for the European Union in tables 2-6 in Annex II to the Gothenburg Protocol as amended, in the event of changes in the membership of the European Union, as follows:</w:t>
      </w:r>
    </w:p>
    <w:p>
      <w:pPr>
        <w:numPr>
          <w:ilvl w:val="0"/>
          <w:numId w:val="1"/>
        </w:numPr>
        <w:spacing w:after="120" w:line="240" w:lineRule="auto"/>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European Union emission baseline per pollutant, expressed in emission levels 2005 in kilotonnes in tables 2-6 of Annex II to the Gothenburg Protocol as amended, shall be the sum of the emission baselines per pollutant for the European Union Member States, taking into account any accession to or withdrawal from the European Union.</w:t>
      </w:r>
    </w:p>
    <w:p>
      <w:pPr>
        <w:numPr>
          <w:ilvl w:val="0"/>
          <w:numId w:val="1"/>
        </w:numPr>
        <w:spacing w:after="120" w:line="240" w:lineRule="auto"/>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European Union emission reduction commitments per pollutant in tables 2-6 of Annex II to the Gothenburg Protocol as amended shall be the sum of the emission reduction commitments of the European Union Member States, calculated by (a) applying to the 2005 emission levels of each European Union Member State set out in tables 2-6 of Annex II to the amended Gothenburg Protocol the reduction commitments for 2020 of each European Union Member State set out in the same tables; and (b) expressing the sum of the results under (a) as a percentage of the sum of the 2005 emission levels of the European Union Member States. </w:t>
      </w:r>
    </w:p>
    <w:p>
      <w:pPr>
        <w:numPr>
          <w:ilvl w:val="0"/>
          <w:numId w:val="1"/>
        </w:numPr>
        <w:spacing w:after="120" w:line="240" w:lineRule="auto"/>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For this methodology, the 2005 emissions levels shall be those listed in tables 2-6 of Annex II to the Gothenburg Protocol as amended, unless for a given signatory or Party no emission levels for 2005 are set out in Annex II, in which case the latest reported 2005 emissions shall be used. The emission reduction commitments for 2020 and beyond shall be those listed in tables 2-6 of Annex II to the Gothenburg Protocol as amended, unless for a given signatory or Party no emission reduction commitments for 2020 and beyond are set out in Annex II, in which case the European Union shall submit this information in writing to the Executive Secretary of the United Nations Economic Commission for Europe.</w:t>
      </w:r>
    </w:p>
    <w:p>
      <w:pPr>
        <w:spacing w:after="120" w:line="240" w:lineRule="auto"/>
        <w:ind w:left="720"/>
        <w:contextualSpacing/>
        <w:jc w:val="both"/>
        <w:rPr>
          <w:rFonts w:ascii="Times New Roman" w:hAnsi="Times New Roman" w:cs="Times New Roman"/>
          <w:noProof/>
          <w:sz w:val="24"/>
          <w:szCs w:val="24"/>
          <w:highlight w:val="yellow"/>
          <w:lang w:eastAsia="en-GB"/>
        </w:rPr>
      </w:pPr>
    </w:p>
    <w:p>
      <w:pPr>
        <w:pStyle w:val="Default"/>
        <w:numPr>
          <w:ilvl w:val="0"/>
          <w:numId w:val="2"/>
        </w:numPr>
        <w:spacing w:after="120"/>
        <w:contextualSpacing/>
        <w:jc w:val="both"/>
        <w:rPr>
          <w:noProof/>
        </w:rPr>
      </w:pPr>
      <w:r>
        <w:rPr>
          <w:i/>
          <w:iCs/>
          <w:noProof/>
        </w:rPr>
        <w:t xml:space="preserve">Decides </w:t>
      </w:r>
      <w:r>
        <w:rPr>
          <w:noProof/>
        </w:rPr>
        <w:t xml:space="preserve">that the European Union may submit adjustments using the above methodology in writing to the Executive Secretary of the United Nations Economic Commission for Europe, who shall communicate the adjustments to all Parties for information. </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5707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6472C"/>
    <w:multiLevelType w:val="hybridMultilevel"/>
    <w:tmpl w:val="AA921D6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5C033379"/>
    <w:multiLevelType w:val="hybridMultilevel"/>
    <w:tmpl w:val="458EBF3E"/>
    <w:lvl w:ilvl="0" w:tplc="54A8341C">
      <w:numFmt w:val="bullet"/>
      <w:lvlText w:val="-"/>
      <w:lvlJc w:val="left"/>
      <w:pPr>
        <w:ind w:left="1080" w:hanging="360"/>
      </w:pPr>
      <w:rPr>
        <w:rFonts w:ascii="Times New Roman" w:eastAsia="Calibri" w:hAnsi="Times New Roman" w:cs="Times New Roman" w:hint="default"/>
        <w:sz w:val="2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revisionView w:markup="0"/>
  <w:doNotTrackFormatting/>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CFD01C63-1416-4EE7-BB3B-310248A3CDF5"/>
    <w:docVar w:name="LW_COVERPAGE_TYPE" w:val="1"/>
    <w:docVar w:name="LW_CROSSREFERENCE" w:val="&lt;UNUSED&gt;"/>
    <w:docVar w:name="LW_DocType" w:val="NORMAL"/>
    <w:docVar w:name="LW_EMISSION" w:val="15.12.2020"/>
    <w:docVar w:name="LW_EMISSION_ISODATE" w:val="2020-12-15"/>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Submission, on behalf of the European Union, of a proposal for an Executive Body decision regarding the methodology for adjustments to reflect changes in the membership of the European Union, with a view to the 41st session of the Executive Body under the Convention on Long-Range Transboundary Air Pollution"/>
    <w:docVar w:name="LW_PART_NBR" w:val="1"/>
    <w:docVar w:name="LW_PART_NBR_TOTAL" w:val="1"/>
    <w:docVar w:name="LW_REF.INST.NEW" w:val="COM"/>
    <w:docVar w:name="LW_REF.INST.NEW_ADOPTED" w:val="final"/>
    <w:docVar w:name="LW_REF.INST.NEW_TEXT" w:val="(2020) 8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850198">
      <w:bodyDiv w:val="1"/>
      <w:marLeft w:val="0"/>
      <w:marRight w:val="0"/>
      <w:marTop w:val="0"/>
      <w:marBottom w:val="0"/>
      <w:divBdr>
        <w:top w:val="none" w:sz="0" w:space="0" w:color="auto"/>
        <w:left w:val="none" w:sz="0" w:space="0" w:color="auto"/>
        <w:bottom w:val="none" w:sz="0" w:space="0" w:color="auto"/>
        <w:right w:val="none" w:sz="0" w:space="0" w:color="auto"/>
      </w:divBdr>
    </w:div>
    <w:div w:id="197971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646</Words>
  <Characters>3387</Characters>
  <Application>Microsoft Office Word</Application>
  <DocSecurity>0</DocSecurity>
  <Lines>65</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LINDAHL Susanne (ENV)</dc:creator>
  <cp:keywords/>
  <dc:description/>
  <cp:lastModifiedBy>WES PDFC Administrator</cp:lastModifiedBy>
  <cp:revision>7</cp:revision>
  <dcterms:created xsi:type="dcterms:W3CDTF">2020-11-26T08:46:00Z</dcterms:created>
  <dcterms:modified xsi:type="dcterms:W3CDTF">2020-12-03T13:34:00Z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7.0, Build 20190717</vt:lpwstr>
  </property>
  <property fmtid="{D5CDD505-2E9C-101B-9397-08002B2CF9AE}" pid="11" name="Created using">
    <vt:lpwstr>LW 7.0.1, Build 20190916</vt:lpwstr>
  </property>
</Properties>
</file>