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A2DF720-65C8-492A-AF0F-F63EC80B8A4D" style="width:451.25pt;height:365.8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2"/>
      </w:r>
      <w:r>
        <w:rPr>
          <w:noProof/>
        </w:rPr>
        <w:t xml:space="preserve"> („Директивата за ДДС“) Съветът, действащ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за да се опрости процедурата за събиране на ДДС или да се предотвратят определени форми на отклонение от данъчно облагане или избягване на данъци.</w:t>
      </w:r>
    </w:p>
    <w:p>
      <w:pPr>
        <w:rPr>
          <w:noProof/>
        </w:rPr>
      </w:pPr>
      <w:r>
        <w:rPr>
          <w:noProof/>
        </w:rPr>
        <w:t>С писмо, заведено в Комисията на 18 юни 2020 г., Литва поиска разрешение да прилага от 1 януари 2021 г. мярка за дерогация от член 287 от Директивата за ДДС, която мярка ѝ разрешава да освобождава от ДДС данъчно задължените лица с годишен оборот до 55 000 EUR. В съответствие с член 395, параграф 2 от Директивата за ДДС, с писма от 10 и 11 август 2020 г. Комисията информира останалите държави членки за отправеното от Република Литва искане. С писмо от 12 август 2020 г. Комисията уведоми Република Литва,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Дял XII, глава 1 от Директивата за ДДС предвижда възможността държавите членки да прилагат специални режими за малките предприятия, включително възможността да освобождават от облагане данъчно задължените лица, чийто годишен оборот е под определен праг. Това освобождаване означава, че данъчно задълженото лице не е длъжно да начислява ДДС върху своите доставки и следователно не може да приспада ДДС за получените доставки.</w:t>
      </w:r>
    </w:p>
    <w:p>
      <w:pPr>
        <w:rPr>
          <w:noProof/>
        </w:rPr>
      </w:pPr>
      <w:r>
        <w:rPr>
          <w:noProof/>
        </w:rPr>
        <w:t>По силата на член 287, точка 11 от Директивата за ДДС Литва може да освобождава от ДДС данъчно задължените лица, чийто годишен оборот е не по-висок от равностойността в национална валута на 29 000 EUR по обменния курс в деня на присъединяването на страната. Република Литва прие еврото на 1 януари 2015 г.</w:t>
      </w:r>
    </w:p>
    <w:p>
      <w:pPr>
        <w:pBdr>
          <w:top w:val="nil"/>
          <w:left w:val="nil"/>
          <w:bottom w:val="nil"/>
          <w:right w:val="nil"/>
          <w:between w:val="nil"/>
          <w:bar w:val="nil"/>
        </w:pBdr>
        <w:spacing w:before="0" w:after="240"/>
        <w:rPr>
          <w:rFonts w:eastAsia="Arial Unicode MS"/>
          <w:noProof/>
        </w:rPr>
      </w:pPr>
      <w:r>
        <w:rPr>
          <w:noProof/>
        </w:rPr>
        <w:t xml:space="preserve">Очаква се с увеличението на прага за регистрация на лицата за целите на ДДС от 45 000 EUR на 55 000 EUR мярката да доведе до значително намаление на административната тежест за предприятията, отговарящи на условията за този режим, и особено за микропредприятията, тъй като те ще бъдат освободени от задълженията по общия режим за ДДС, като водене на регистри за ДДС или подаване на справки-декларации за ДДС. </w:t>
      </w:r>
    </w:p>
    <w:p>
      <w:pPr>
        <w:rPr>
          <w:noProof/>
        </w:rPr>
      </w:pPr>
      <w:r>
        <w:rPr>
          <w:noProof/>
        </w:rPr>
        <w:t>Освен това ще намалее и работното натоварване за данъчните органи.</w:t>
      </w:r>
    </w:p>
    <w:p>
      <w:pPr>
        <w:rPr>
          <w:noProof/>
        </w:rPr>
      </w:pPr>
      <w:r>
        <w:rPr>
          <w:noProof/>
        </w:rPr>
        <w:t xml:space="preserve">Според литовските органи е извършен анализ на три фактора. Първият фактор, като се вземат предвид лицата, които се регистрират като платци на ДДС, показва, че броят на платците на ДДС в Република Литва непрекъснато нараства от 2017 г. насам, като по-голямата част (около 90 %) от лицата, регистрирани като данъкоплатци за целите на ДДС и плащащи ДДС към държавния бюджет, се състоят от лица, които са избрали доброволната регистрация. </w:t>
      </w:r>
    </w:p>
    <w:p>
      <w:pPr>
        <w:pBdr>
          <w:top w:val="nil"/>
          <w:left w:val="nil"/>
          <w:bottom w:val="nil"/>
          <w:right w:val="nil"/>
          <w:between w:val="nil"/>
          <w:bar w:val="nil"/>
        </w:pBdr>
        <w:spacing w:before="0" w:after="240"/>
        <w:rPr>
          <w:noProof/>
        </w:rPr>
      </w:pPr>
      <w:r>
        <w:rPr>
          <w:noProof/>
        </w:rPr>
        <w:lastRenderedPageBreak/>
        <w:t>Вторият фактор се отнася до въздействието върху приходите в държавния бюджет, което произтича от увеличаването на прага на годишния оборот от 45 000 EUR на 55 000 EUR.</w:t>
      </w:r>
      <w:r>
        <w:rPr>
          <w:rFonts w:ascii="EUAlbertina" w:hAnsi="EUAlbertina"/>
          <w:noProof/>
          <w:szCs w:val="19"/>
        </w:rPr>
        <w:t xml:space="preserve"> </w:t>
      </w:r>
      <w:r>
        <w:rPr>
          <w:noProof/>
        </w:rPr>
        <w:t>Според оценките, предоставени от литовските органи, това увеличение би довело до допълнително годишно намаление на приходите от ДДС в размер на 6,4 млн. евро. Понастоящем несъбраният ДДС, дължащ се на прага от 45 000 EUR, възлиза на 13,2 млн. евро годишно (с минимален праг от 29 000 EUR). За сравнение — общите приходи от ДДС през 2019 г. възлизат на 3,8 млрд. евро.</w:t>
      </w:r>
    </w:p>
    <w:p>
      <w:pPr>
        <w:rPr>
          <w:noProof/>
        </w:rPr>
      </w:pPr>
    </w:p>
    <w:p>
      <w:pPr>
        <w:pBdr>
          <w:top w:val="nil"/>
          <w:left w:val="nil"/>
          <w:bottom w:val="nil"/>
          <w:right w:val="nil"/>
          <w:between w:val="nil"/>
          <w:bar w:val="nil"/>
        </w:pBdr>
        <w:spacing w:before="0" w:after="240"/>
        <w:rPr>
          <w:noProof/>
        </w:rPr>
      </w:pPr>
      <w:r>
        <w:rPr>
          <w:noProof/>
        </w:rPr>
        <w:t xml:space="preserve">Третият фактор е свързан с броя на засегнатите данъкоплатци. Литва посочва, че 7 % от общия брой на данъкоплатците, извършвали стопанска дейност в Литва през 2019 г., отговарят на условията за прилагане на схемата с настоящия праг от 45 000 EUR. От тези 7 % само 1,8 % са регистрирани за целите на ДДС. </w:t>
      </w:r>
    </w:p>
    <w:p>
      <w:pPr>
        <w:pBdr>
          <w:top w:val="nil"/>
          <w:left w:val="nil"/>
          <w:bottom w:val="nil"/>
          <w:right w:val="nil"/>
          <w:between w:val="nil"/>
          <w:bar w:val="nil"/>
        </w:pBdr>
        <w:spacing w:before="0" w:after="240"/>
        <w:rPr>
          <w:noProof/>
        </w:rPr>
      </w:pPr>
      <w:r>
        <w:rPr>
          <w:noProof/>
        </w:rPr>
        <w:t>Съгласно информацията, събрана от националните органи през 2019 г., има 5 463 данъкоплатци с оборот между 45 000 EUR и 55 000 EUR. При увеличаване на прага всички тези данъкоплатци ще отговарят на условията на режима за МСП.</w:t>
      </w:r>
    </w:p>
    <w:p>
      <w:pPr>
        <w:rPr>
          <w:noProof/>
        </w:rPr>
      </w:pPr>
      <w:r>
        <w:rPr>
          <w:noProof/>
        </w:rPr>
        <w:t xml:space="preserve">Освен това литовските органи обясняват, че през последните години са наблюдавали, че прагът от 45 000 EUR не е оказал съществено въздействие върху събирането на приходите от ДДС. </w:t>
      </w:r>
    </w:p>
    <w:p>
      <w:pPr>
        <w:rPr>
          <w:noProof/>
        </w:rPr>
      </w:pPr>
      <w:r>
        <w:rPr>
          <w:noProof/>
        </w:rPr>
        <w:t xml:space="preserve">Прагът на годишния оборот от 55 000 EUR за регистрация по ДДС би бил от полза за малките предприятия, особено за физическите лица – собственици на малки предприятия, за земеделските стопани, за които се прилага компенсаторният режим на ДДС, и за лицата, предоставящи услуги на крайни потребители и страни, от които ще бъде приспадната малка част от ДДС, т.е. възможността тези лица да не трябва да се регистрират за целите на ДДС до праг на годишния оборот от 55 000 EUR значително облекчава административната и данъчната тежест върху тях.  Тази мярка би помогнала и на малките предприятия, които са сериозно засегнати от пандемията от Covid-19.  </w:t>
      </w:r>
    </w:p>
    <w:p>
      <w:pPr>
        <w:pBdr>
          <w:top w:val="nil"/>
          <w:left w:val="nil"/>
          <w:bottom w:val="nil"/>
          <w:right w:val="nil"/>
          <w:between w:val="nil"/>
          <w:bar w:val="nil"/>
        </w:pBdr>
        <w:spacing w:before="0" w:after="240"/>
        <w:rPr>
          <w:rFonts w:eastAsia="Arial Unicode MS"/>
          <w:noProof/>
        </w:rPr>
      </w:pPr>
      <w:r>
        <w:rPr>
          <w:noProof/>
        </w:rPr>
        <w:t>Мярката няма задължителен характер. Поради това малките предприятия, чийто оборот не надвишава прага, и занапред ще имат възможност да упражняват правото си да прилагат общия режим за ДДС.</w:t>
      </w:r>
    </w:p>
    <w:p>
      <w:pPr>
        <w:pBdr>
          <w:top w:val="nil"/>
          <w:left w:val="nil"/>
          <w:bottom w:val="nil"/>
          <w:right w:val="nil"/>
          <w:between w:val="nil"/>
          <w:bar w:val="nil"/>
        </w:pBdr>
        <w:spacing w:before="0" w:after="240"/>
        <w:rPr>
          <w:rFonts w:eastAsia="Arial Unicode MS"/>
          <w:noProof/>
        </w:rPr>
      </w:pPr>
      <w:r>
        <w:rPr>
          <w:noProof/>
        </w:rPr>
        <w:t>По начало дерогациите се разрешават за ограничен период, за да може да се прецени дали мярката за дерогация продължава да е подходяща и ефективна. Освен това разпоредбите на членове 281—294 от Директивата за ДДС, уреждащи специалния режим за малките предприятия, неотдавна бяха преразгледани. Съгласно новата директива, с която се определят опростени правила за ДДС за малките предприятия</w:t>
      </w:r>
      <w:r>
        <w:rPr>
          <w:rStyle w:val="FootnoteReference"/>
          <w:rFonts w:eastAsia="Arial Unicode MS"/>
          <w:noProof/>
        </w:rPr>
        <w:footnoteReference w:id="3"/>
      </w:r>
      <w:r>
        <w:rPr>
          <w:noProof/>
        </w:rPr>
        <w:t>, се изисква най-късно до 31 декември 2024 г. държавите членки да приемат и публикуват законовите, подзаконовите и административните разпоредби, необходими за спазването на новите правила. Държавите членки са длъжни да започнат да прилагат посочените разпоредби от 1 януари 2025 г.</w:t>
      </w:r>
    </w:p>
    <w:p>
      <w:pPr>
        <w:rPr>
          <w:noProof/>
        </w:rPr>
      </w:pPr>
      <w:r>
        <w:rPr>
          <w:noProof/>
        </w:rPr>
        <w:lastRenderedPageBreak/>
        <w:t xml:space="preserve">Поради това се иска дерогацията да бъде разрешена до 31 декември 2024 г. </w:t>
      </w:r>
    </w:p>
    <w:p>
      <w:pPr>
        <w:pBdr>
          <w:top w:val="nil"/>
          <w:left w:val="nil"/>
          <w:bottom w:val="nil"/>
          <w:right w:val="nil"/>
          <w:between w:val="nil"/>
          <w:bar w:val="nil"/>
        </w:pBdr>
        <w:spacing w:before="0" w:after="240"/>
        <w:rPr>
          <w:rFonts w:eastAsia="Arial Unicode MS"/>
          <w:noProof/>
        </w:rPr>
      </w:pPr>
      <w:r>
        <w:rPr>
          <w:noProof/>
        </w:rPr>
        <w:t xml:space="preserve">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Мярката за дерогация е съобразена с философията на новата директива за изменение на членове 281—294 от Директивата за ДДС, уреждащи специалния режим за малките предприятия, която беше приета в резултат на плана за действие във връзка с ДДС</w:t>
      </w:r>
      <w:r>
        <w:rPr>
          <w:rStyle w:val="FootnoteReference"/>
          <w:rFonts w:eastAsia="Arial Unicode MS"/>
          <w:noProof/>
        </w:rPr>
        <w:footnoteReference w:id="4"/>
      </w:r>
      <w:r>
        <w:rPr>
          <w:noProof/>
        </w:rPr>
        <w:t xml:space="preserve"> и има за цел да създаде съвременен, опростен режим за тези предприятия. По-конкретно, тя има за цел да се намалят разходите за спазване на изискванията за ДДС, да се ограничи нарушаването на конкуренцията на национално равнище и на равнището на ЕС, да се понижи отрицателното въздействие на т.нар. „ефект на прага“, както и да се улеснят спазването на нормативните разпоредби от страна на предприятията и наблюдението от страна на данъчните администрации.</w:t>
      </w:r>
    </w:p>
    <w:p>
      <w:pPr>
        <w:pBdr>
          <w:top w:val="nil"/>
          <w:left w:val="nil"/>
          <w:bottom w:val="nil"/>
          <w:right w:val="nil"/>
          <w:between w:val="nil"/>
          <w:bar w:val="nil"/>
        </w:pBdr>
        <w:spacing w:before="0" w:after="240"/>
        <w:rPr>
          <w:noProof/>
        </w:rPr>
      </w:pPr>
      <w:r>
        <w:rPr>
          <w:noProof/>
        </w:rPr>
        <w:t>Освен това увеличаването на прага от 45 000 EUR на 55 000 EUR е в съответствие с новата директива, тъй като тя позволява на държавите членки да определят изисквания за освобождаване от ДДС праг за годишния оборот, така че този праг да не надвишава 85 000 EUR (или равностойността в националната валута).</w:t>
      </w:r>
    </w:p>
    <w:p>
      <w:pPr>
        <w:pBdr>
          <w:top w:val="nil"/>
          <w:left w:val="nil"/>
          <w:bottom w:val="nil"/>
          <w:right w:val="nil"/>
          <w:between w:val="nil"/>
          <w:bar w:val="nil"/>
        </w:pBdr>
        <w:spacing w:before="0" w:after="240"/>
        <w:rPr>
          <w:noProof/>
        </w:rPr>
      </w:pPr>
      <w:r>
        <w:rPr>
          <w:noProof/>
        </w:rPr>
        <w:t>Подобни дерогации — за освобождаване от ДДС на данъчно задължените лица, чийто годишен оборот е под определен праг, съгласно предвиденото в членове 285 и 287 от Директивата за ДДС — са предоставени и на други държави членки. Нидерландия</w:t>
      </w:r>
      <w:r>
        <w:rPr>
          <w:rStyle w:val="FootnoteReference"/>
          <w:rFonts w:eastAsia="Arial Unicode MS"/>
          <w:noProof/>
        </w:rPr>
        <w:footnoteReference w:id="5"/>
      </w:r>
      <w:r>
        <w:rPr>
          <w:noProof/>
        </w:rPr>
        <w:t xml:space="preserve"> има разрешение да прилага праг от 25 000 EUR, Италия</w:t>
      </w:r>
      <w:r>
        <w:rPr>
          <w:rStyle w:val="FootnoteReference"/>
          <w:noProof/>
        </w:rPr>
        <w:footnoteReference w:id="6"/>
      </w:r>
      <w:r>
        <w:rPr>
          <w:noProof/>
        </w:rPr>
        <w:t xml:space="preserve"> — праг от 30 000 EUR, Люксембург</w:t>
      </w:r>
      <w:r>
        <w:rPr>
          <w:rStyle w:val="FootnoteReference"/>
          <w:rFonts w:eastAsia="Arial Unicode MS"/>
          <w:noProof/>
        </w:rPr>
        <w:footnoteReference w:id="7"/>
      </w:r>
      <w:r>
        <w:rPr>
          <w:noProof/>
        </w:rPr>
        <w:t xml:space="preserve"> — праг от 35 000 EUR, Латвия</w:t>
      </w:r>
      <w:r>
        <w:rPr>
          <w:rStyle w:val="FootnoteReference"/>
          <w:noProof/>
        </w:rPr>
        <w:footnoteReference w:id="8"/>
      </w:r>
      <w:r>
        <w:rPr>
          <w:noProof/>
        </w:rPr>
        <w:t>, Полша</w:t>
      </w:r>
      <w:r>
        <w:rPr>
          <w:rStyle w:val="FootnoteReference"/>
          <w:rFonts w:eastAsia="Arial Unicode MS"/>
          <w:noProof/>
        </w:rPr>
        <w:footnoteReference w:id="9"/>
      </w:r>
      <w:r>
        <w:rPr>
          <w:noProof/>
        </w:rPr>
        <w:t xml:space="preserve"> и Естония</w:t>
      </w:r>
      <w:r>
        <w:rPr>
          <w:rStyle w:val="FootnoteReference"/>
          <w:rFonts w:eastAsia="Arial Unicode MS"/>
          <w:noProof/>
        </w:rPr>
        <w:footnoteReference w:id="10"/>
      </w:r>
      <w:r>
        <w:rPr>
          <w:noProof/>
        </w:rPr>
        <w:t xml:space="preserve"> – праг от 40 000 EUR, </w:t>
      </w:r>
      <w:r>
        <w:rPr>
          <w:noProof/>
        </w:rPr>
        <w:lastRenderedPageBreak/>
        <w:t>Хърватия</w:t>
      </w:r>
      <w:r>
        <w:rPr>
          <w:rStyle w:val="FootnoteReference"/>
          <w:rFonts w:eastAsia="Arial Unicode MS"/>
          <w:noProof/>
        </w:rPr>
        <w:footnoteReference w:id="11"/>
      </w:r>
      <w:r>
        <w:rPr>
          <w:noProof/>
        </w:rPr>
        <w:t xml:space="preserve"> — праг от 45 000 EUR, а Малта</w:t>
      </w:r>
      <w:r>
        <w:rPr>
          <w:rStyle w:val="FootnoteReference"/>
          <w:rFonts w:eastAsia="Arial Unicode MS"/>
          <w:noProof/>
        </w:rPr>
        <w:footnoteReference w:id="12"/>
      </w:r>
      <w:r>
        <w:rPr>
          <w:noProof/>
        </w:rPr>
        <w:t xml:space="preserve"> — праг от 20 000 EUR, Унгария</w:t>
      </w:r>
      <w:r>
        <w:rPr>
          <w:rStyle w:val="FootnoteReference"/>
          <w:rFonts w:eastAsia="Arial Unicode MS"/>
          <w:noProof/>
        </w:rPr>
        <w:footnoteReference w:id="13"/>
      </w:r>
      <w:r>
        <w:rPr>
          <w:noProof/>
        </w:rPr>
        <w:t xml:space="preserve"> — праг от 48 000 EUR, Словения</w:t>
      </w:r>
      <w:r>
        <w:rPr>
          <w:rStyle w:val="FootnoteReference"/>
          <w:rFonts w:eastAsia="Arial Unicode MS"/>
          <w:noProof/>
        </w:rPr>
        <w:footnoteReference w:id="14"/>
      </w:r>
      <w:r>
        <w:rPr>
          <w:noProof/>
        </w:rPr>
        <w:t xml:space="preserve"> — праг от 50 000 EUR, а Румъния</w:t>
      </w:r>
      <w:r>
        <w:rPr>
          <w:rStyle w:val="FootnoteReference"/>
          <w:rFonts w:eastAsia="Arial Unicode MS"/>
          <w:noProof/>
        </w:rPr>
        <w:footnoteReference w:id="15"/>
      </w:r>
      <w:r>
        <w:rPr>
          <w:noProof/>
        </w:rPr>
        <w:t xml:space="preserve"> — праг от 88 500 EUR.</w:t>
      </w:r>
    </w:p>
    <w:p>
      <w:pPr>
        <w:pBdr>
          <w:top w:val="nil"/>
          <w:left w:val="nil"/>
          <w:bottom w:val="nil"/>
          <w:right w:val="nil"/>
          <w:between w:val="nil"/>
          <w:bar w:val="nil"/>
        </w:pBdr>
        <w:spacing w:before="0" w:after="240"/>
        <w:rPr>
          <w:noProof/>
        </w:rPr>
      </w:pPr>
      <w:r>
        <w:rPr>
          <w:noProof/>
        </w:rPr>
        <w:t xml:space="preserve">Както вече бе изтъкнато, дерогациите от Директивата за ДДС следва винаги да са ограничени във времето, за да може да бъде оценено тяхното въздействие. Поисканото от Литва включване на краен срок на действие на специалната мярка (31 декември 2024 г.) е съгласувано с изискванията на новата директива за опростени правила за ДДС за малките и средните предприятия, която се прилага от 1 януари 2025 г. </w:t>
      </w:r>
    </w:p>
    <w:p>
      <w:pPr>
        <w:pBdr>
          <w:top w:val="nil"/>
          <w:left w:val="nil"/>
          <w:bottom w:val="nil"/>
          <w:right w:val="nil"/>
          <w:between w:val="nil"/>
          <w:bar w:val="nil"/>
        </w:pBdr>
        <w:spacing w:before="0" w:after="240"/>
        <w:rPr>
          <w:rFonts w:eastAsia="Arial Unicode MS"/>
          <w:noProof/>
        </w:rPr>
      </w:pPr>
      <w:r>
        <w:rPr>
          <w:noProof/>
        </w:rPr>
        <w:t>Следователно предложената мярка е съгласувана с разпоредбите на Директивата за ДДС.</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В своите годишни работни програми Комисията неотменно подчертава необходимостта от опростени правила за малките предприятия. В тази връзка в работната програма на Комисията за 2020 г.</w:t>
      </w:r>
      <w:r>
        <w:rPr>
          <w:rStyle w:val="FootnoteReference"/>
          <w:rFonts w:eastAsia="Arial Unicode MS"/>
          <w:noProof/>
        </w:rPr>
        <w:footnoteReference w:id="16"/>
      </w:r>
      <w:r>
        <w:rPr>
          <w:noProof/>
        </w:rPr>
        <w:t xml:space="preserve"> се посочва „специална стратегия за МСП, която ще улесни работата, разрастването и разширяването на дейността на малките и средните предприятия“. Мярката за дерогация е в съответствие с тези цели, що се отнася до данъчните правила. Тя е най-вече в съответствие с работната програма на Комисията за 2017 г.</w:t>
      </w:r>
      <w:r>
        <w:rPr>
          <w:rStyle w:val="FootnoteReference"/>
          <w:rFonts w:eastAsia="Arial Unicode MS"/>
          <w:noProof/>
        </w:rPr>
        <w:footnoteReference w:id="17"/>
      </w:r>
      <w:r>
        <w:rPr>
          <w:noProof/>
        </w:rPr>
        <w:t>, в която се посочва конкретно ДДС, като се изтъква, че административната тежест във връзка с изискванията за ДДС за малките предприятия е голяма, а техническите иновации поставят нови предизвикателства пред ефективното събиране на данъка, поради което е нужно системата на ДДС да се опрости за малките предприятия.</w:t>
      </w:r>
    </w:p>
    <w:p>
      <w:pPr>
        <w:pBdr>
          <w:top w:val="nil"/>
          <w:left w:val="nil"/>
          <w:bottom w:val="nil"/>
          <w:right w:val="nil"/>
          <w:between w:val="nil"/>
          <w:bar w:val="nil"/>
        </w:pBdr>
        <w:spacing w:before="0" w:after="240"/>
        <w:rPr>
          <w:noProof/>
        </w:rPr>
      </w:pPr>
      <w:r>
        <w:rPr>
          <w:noProof/>
        </w:rPr>
        <w:lastRenderedPageBreak/>
        <w:t>Мярката е в съответствие и със стратегията за единния пазар от 2015 г.</w:t>
      </w:r>
      <w:r>
        <w:rPr>
          <w:rStyle w:val="FootnoteReference"/>
          <w:rFonts w:eastAsia="Arial Unicode MS"/>
          <w:noProof/>
        </w:rPr>
        <w:footnoteReference w:id="18"/>
      </w:r>
      <w:r>
        <w:rPr>
          <w:noProof/>
        </w:rPr>
        <w:t>, в която Комисията се ангажира да помогне на малките и средните предприятия да растат, като, наред с другото, намали административните тежести, които им пречат да се възползват в пълна степен от единния пазар. Тя следва и философията на Съобщението на Комисията от 2013 г. „План за действие „Предприемачество 2020 г.: Възраждане на предприемаческия дух в Европа“</w:t>
      </w:r>
      <w:r>
        <w:rPr>
          <w:rStyle w:val="FootnoteReference"/>
          <w:rFonts w:eastAsia="Arial Unicode MS"/>
          <w:noProof/>
        </w:rPr>
        <w:footnoteReference w:id="19"/>
      </w:r>
      <w:r>
        <w:rPr>
          <w:noProof/>
        </w:rPr>
        <w:t>, в което се подчертава необходимостта да се опрости данъчното законодателство за малките предприятия.</w:t>
      </w:r>
    </w:p>
    <w:p>
      <w:pPr>
        <w:pBdr>
          <w:top w:val="nil"/>
          <w:left w:val="nil"/>
          <w:bottom w:val="nil"/>
          <w:right w:val="nil"/>
          <w:between w:val="nil"/>
          <w:bar w:val="nil"/>
        </w:pBdr>
        <w:spacing w:before="0" w:after="240"/>
        <w:rPr>
          <w:rFonts w:eastAsia="Arial Unicode MS"/>
          <w:noProof/>
        </w:rPr>
      </w:pPr>
      <w:r>
        <w:rPr>
          <w:noProof/>
        </w:rPr>
        <w:t>И накрая, мярката е в съответствие с политиките на ЕС по отношение на малките и средните предприятия, изложени в Съобщението от 2016 г. относно стартиращите предприятия</w:t>
      </w:r>
      <w:r>
        <w:rPr>
          <w:rStyle w:val="FootnoteReference"/>
          <w:rFonts w:eastAsia="Arial Unicode MS"/>
          <w:noProof/>
        </w:rPr>
        <w:footnoteReference w:id="20"/>
      </w:r>
      <w:r>
        <w:rPr>
          <w:noProof/>
        </w:rPr>
        <w:t>, както и в Съобщението от 2008 г. „Мисли първо за малките!“ — „Small Business Act“ за Европа“</w:t>
      </w:r>
      <w:r>
        <w:rPr>
          <w:rStyle w:val="FootnoteReference"/>
          <w:rFonts w:eastAsia="Arial Unicode MS"/>
          <w:noProof/>
        </w:rPr>
        <w:footnoteReference w:id="21"/>
      </w:r>
      <w:r>
        <w:rPr>
          <w:noProof/>
        </w:rPr>
        <w:t>, в което държавите членки бяха призовани да вземат предвид характерните особености на МСП, когато съставят законодателство, и да опростят съществуващата нормативна уредба.</w:t>
      </w:r>
    </w:p>
    <w:p>
      <w:pPr>
        <w:pBdr>
          <w:top w:val="nil"/>
          <w:left w:val="nil"/>
          <w:bottom w:val="nil"/>
          <w:right w:val="nil"/>
          <w:between w:val="nil"/>
          <w:bar w:val="nil"/>
        </w:pBdr>
        <w:spacing w:before="0" w:after="240"/>
        <w:rPr>
          <w:noProof/>
        </w:rPr>
      </w:pPr>
      <w:r>
        <w:rPr>
          <w:noProof/>
        </w:rPr>
        <w:t xml:space="preserve"> 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Член 395 от Директивата за ДДС.</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Предвид разпоредбата от Директивата за ДДС, на която се основава, предложението е от изключителната компетентност на Европейския съюз. Съответно принципът на субсидиарност 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noProof/>
        </w:rPr>
      </w:pPr>
      <w:r>
        <w:rPr>
          <w:noProof/>
        </w:rPr>
        <w:t>Решението се отнася до предоставяне на разрешение на държава членка по нейно искане и не представлява задължение.</w:t>
      </w:r>
    </w:p>
    <w:p>
      <w:pPr>
        <w:pBdr>
          <w:top w:val="nil"/>
          <w:left w:val="nil"/>
          <w:bottom w:val="nil"/>
          <w:right w:val="nil"/>
          <w:between w:val="nil"/>
          <w:bar w:val="nil"/>
        </w:pBdr>
        <w:spacing w:before="0" w:after="240"/>
        <w:rPr>
          <w:rFonts w:eastAsia="Arial Unicode MS"/>
          <w:noProof/>
        </w:rPr>
      </w:pPr>
      <w:r>
        <w:rPr>
          <w:noProof/>
        </w:rPr>
        <w:t>Като се има предвид ограниченият обхват на дерогацията, специалната мярка е пропорционална на поставената цел, а именно — да се опрости събирането на данъка за малките данъчно задължени лица и за данъчната администрация.</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noProof/>
        </w:rPr>
      </w:pPr>
      <w:r>
        <w:rPr>
          <w:noProof/>
        </w:rPr>
        <w:t>Предложеният инструмент е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t xml:space="preserve">Съгласно член 395 от Директивата за ДДС дерогация от общите правила за ДДС е възможна единствено след разрешение на Съвета, действащ с единодушие по </w:t>
      </w:r>
      <w:r>
        <w:rPr>
          <w:noProof/>
        </w:rPr>
        <w:lastRenderedPageBreak/>
        <w:t>предложение на Комисията. Най-подходящият инструмент е решение за изпълнение на Съвета, тъй като негов адресат може да бъде отделна държава членка.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Не беше проведена консултация със заинтересованите страни. Настоящото предложение се основава на искане, отправено от Литва, и се отнася само до тази конкретна държава членка.</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бяха необходими външни експертни становища.</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noProof/>
        </w:rPr>
      </w:pPr>
      <w:r>
        <w:rPr>
          <w:noProof/>
        </w:rPr>
        <w:t>Предложението за решение за изпълнение на Съвета има за цел сегашният праг за освобождаване да бъде увеличен от 45 000 EUR на 55 000 EUR. Това увеличение на прага представлява мярка за опростяване, с която се премахва голяма част от свързаните с ДДС задължения за предприятията с годишен оборот до 55 000 EUR. Следователно то ще окаже положително въздействие чрез намаляване на административната тежест за редица данъчно задължени лица, а оттам — и за данъчната администрация.</w:t>
      </w:r>
    </w:p>
    <w:p>
      <w:pPr>
        <w:pBdr>
          <w:top w:val="nil"/>
          <w:left w:val="nil"/>
          <w:bottom w:val="nil"/>
          <w:right w:val="nil"/>
          <w:between w:val="nil"/>
          <w:bar w:val="nil"/>
        </w:pBdr>
        <w:spacing w:before="0" w:after="240"/>
        <w:rPr>
          <w:rFonts w:eastAsia="Arial Unicode MS"/>
          <w:noProof/>
        </w:rPr>
      </w:pPr>
      <w:r>
        <w:rPr>
          <w:noProof/>
        </w:rPr>
        <w:t xml:space="preserve">През 2019 г. е имало около 8 737 данъчно задължени лица по ДДС, от които 7 664 са доброволно регистрирани за спазване на изискванията за ДДС и съставляват около 90 % от регистрираните за целите на ДДС лица. </w:t>
      </w:r>
    </w:p>
    <w:p>
      <w:pPr>
        <w:pBdr>
          <w:top w:val="nil"/>
          <w:left w:val="nil"/>
          <w:bottom w:val="nil"/>
          <w:right w:val="nil"/>
          <w:between w:val="nil"/>
          <w:bar w:val="nil"/>
        </w:pBdr>
        <w:spacing w:before="0" w:after="240"/>
        <w:rPr>
          <w:noProof/>
        </w:rPr>
      </w:pPr>
      <w:r>
        <w:rPr>
          <w:noProof/>
        </w:rPr>
        <w:t>Съгласно информацията, събрана от националните органи през 2019 г., има 5 463 данъкоплатци с оборот между 45 000 EUR и 55 000 EUR. При увеличаване на прага всички тези данъкоплатци ще отговарят на условията на режима за МСП.</w:t>
      </w:r>
    </w:p>
    <w:p>
      <w:pPr>
        <w:pBdr>
          <w:top w:val="nil"/>
          <w:left w:val="nil"/>
          <w:bottom w:val="nil"/>
          <w:right w:val="nil"/>
          <w:between w:val="nil"/>
          <w:bar w:val="nil"/>
        </w:pBdr>
        <w:spacing w:before="0" w:after="240"/>
        <w:rPr>
          <w:noProof/>
        </w:rPr>
      </w:pPr>
      <w:r>
        <w:rPr>
          <w:noProof/>
        </w:rPr>
        <w:t>Понастоящем 7 % от общия брой на данъкоплатците, извършвали стопанска дейност в Литва през 2019 г., отговарят на условията за участие в режима за прилагане на настоящия праг от 45 000 EUR, а 1,8 % от тях са регистрирани за целите на ДДС.</w:t>
      </w:r>
    </w:p>
    <w:p>
      <w:pPr>
        <w:pBdr>
          <w:top w:val="nil"/>
          <w:left w:val="nil"/>
          <w:bottom w:val="nil"/>
          <w:right w:val="nil"/>
          <w:between w:val="nil"/>
          <w:bar w:val="nil"/>
        </w:pBdr>
        <w:spacing w:before="0" w:after="240"/>
        <w:rPr>
          <w:noProof/>
        </w:rPr>
      </w:pPr>
      <w:r>
        <w:rPr>
          <w:noProof/>
        </w:rPr>
        <w:t>Според оценките, предоставени от литовските органи, увеличаването на прага от 45 000 EUR на 55 000 EUR би довело до допълнително годишно намаление на приходите от ДДС в размер на 6,4 млн. евро. Понастоящем несъбраният ДДС, дължащ се на прага от 45 000 EUR, възлиза на 13,2 млн. евро годишно (с минимален праг от 29 000 EUR). За сравнение — общите приходи от ДДС през 2019 г. възлизат на 3,8 млрд. евро.</w:t>
      </w:r>
    </w:p>
    <w:p>
      <w:pPr>
        <w:pBdr>
          <w:top w:val="nil"/>
          <w:left w:val="nil"/>
          <w:bottom w:val="nil"/>
          <w:right w:val="nil"/>
          <w:between w:val="nil"/>
          <w:bar w:val="nil"/>
        </w:pBdr>
        <w:spacing w:before="0" w:after="240"/>
        <w:rPr>
          <w:rFonts w:eastAsia="Arial Unicode MS"/>
          <w:noProof/>
        </w:rPr>
      </w:pPr>
      <w:r>
        <w:rPr>
          <w:noProof/>
        </w:rPr>
        <w:t xml:space="preserve">За данъчно задължените лица мярката за дерогация няма да има задължителен характер. В съответствие с член 290 от Директива 2006/112/ЕО те и занапред ще имат възможност да изберат да прилагат общия режим за ДДС. Отражението върху бюджета по отношение на приходите от ДДС се оценява на 20 млн. евро, което се счита за пренебрежимо малко. </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няма никакво отражение върху защитата на основните права.</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noProof/>
        </w:rPr>
      </w:pPr>
      <w:r>
        <w:rPr>
          <w:noProof/>
        </w:rPr>
        <w:t>Предложението няма да има отрицателно отражение върху бюджета на ЕС, тъй като Литва ще изчисли съответната компенсация съгласно член 6 от Регламент (ЕИО, ЕВРАТОМ) № 1553/89 на Съвета.</w:t>
      </w:r>
    </w:p>
    <w:p>
      <w:pPr>
        <w:spacing w:before="0" w:after="200" w:line="276" w:lineRule="auto"/>
        <w:jc w:val="left"/>
        <w:rPr>
          <w:rFonts w:eastAsia="Arial Unicode MS"/>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spacing w:before="0" w:after="200" w:line="276" w:lineRule="auto"/>
        <w:jc w:val="left"/>
        <w:rPr>
          <w:rFonts w:eastAsia="Arial Unicode MS"/>
          <w:noProof/>
        </w:rPr>
      </w:pPr>
    </w:p>
    <w:p>
      <w:pPr>
        <w:pStyle w:val="Rfrenceinterinstitutionnelle"/>
        <w:rPr>
          <w:noProof/>
        </w:rPr>
      </w:pPr>
      <w:r>
        <w:rPr>
          <w:noProof/>
        </w:rPr>
        <w:t>2020/0356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22"/>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rPr>
          <w:noProof/>
        </w:rPr>
      </w:pPr>
      <w:r>
        <w:t xml:space="preserve"> </w:t>
      </w:r>
    </w:p>
    <w:p>
      <w:pPr>
        <w:pStyle w:val="ManualConsidrant"/>
        <w:rPr>
          <w:noProof/>
        </w:rPr>
      </w:pPr>
      <w:r>
        <w:t>(1)</w:t>
      </w:r>
      <w:r>
        <w:tab/>
      </w:r>
      <w:r>
        <w:rPr>
          <w:noProof/>
        </w:rPr>
        <w:t>Съгласно член 287, точка 11 от Директива 2006/112/ЕО Литва може да освобождава от данък върху добавената стойност (ДДС) данъчно задължените лица, чийто годишен оборот не надвишава равностойността в национална валута на 29 000 EUR по обменния курс в деня на присъединяването на страната. С Решение за изпълнение (ЕС) 2011/335 на Съвета</w:t>
      </w:r>
      <w:r>
        <w:rPr>
          <w:rStyle w:val="FootnoteReference"/>
          <w:noProof/>
        </w:rPr>
        <w:footnoteReference w:id="23"/>
      </w:r>
      <w:r>
        <w:rPr>
          <w:noProof/>
        </w:rPr>
        <w:t xml:space="preserve"> на Литва бе дадено разрешение да прилага специална мярка за дерогация от член 287 от Директива 2006/112/ЕО, за да освободи от ДДС данъчно задължените лица, чийто годишен оборот е не по-висок от 45 000 EUR, до 31 декември 2020 г. </w:t>
      </w:r>
    </w:p>
    <w:p>
      <w:pPr>
        <w:pStyle w:val="ManualConsidrant"/>
        <w:rPr>
          <w:noProof/>
        </w:rPr>
      </w:pPr>
      <w:r>
        <w:t>(2)</w:t>
      </w:r>
      <w:r>
        <w:tab/>
      </w:r>
      <w:r>
        <w:rPr>
          <w:noProof/>
        </w:rPr>
        <w:t>С писмо, заведено в Комисията на 18 юни 2020 г., Литва поиска разрешение да прилага специална мярка за дерогация от член 287, точка 11 от Директива 2006/112/ЕО (наричана по-нататък „мярката за дерогация“), за да продължи да прилага освобождаването и да увеличи прага за освобождаване на 55 000 EUR за периода от 1 януари 2021 г. до 31 декември 2024 г., т.е. датата, до която държавите членки трябва да приемат законовите, подзаконовите и административните разпоредби, необходими, за да се съобразят с Директива (ЕС) 2020/285 на Съвета</w:t>
      </w:r>
      <w:r>
        <w:rPr>
          <w:rStyle w:val="FootnoteReference"/>
          <w:noProof/>
        </w:rPr>
        <w:footnoteReference w:id="24"/>
      </w:r>
      <w:r>
        <w:rPr>
          <w:noProof/>
        </w:rPr>
        <w:t xml:space="preserve">, с която се определят опростени правила за ДДС за </w:t>
      </w:r>
      <w:r>
        <w:rPr>
          <w:noProof/>
        </w:rPr>
        <w:lastRenderedPageBreak/>
        <w:t xml:space="preserve">малките предприятия и, наред с другото, се заличава член 287 от Директива 2006/112/ЕО, считано от 1 януари 2025 г. </w:t>
      </w:r>
    </w:p>
    <w:p>
      <w:pPr>
        <w:pStyle w:val="ManualConsidrant"/>
        <w:rPr>
          <w:noProof/>
        </w:rPr>
      </w:pPr>
      <w:r>
        <w:t>(3)</w:t>
      </w:r>
      <w:r>
        <w:tab/>
      </w:r>
      <w:r>
        <w:rPr>
          <w:noProof/>
        </w:rPr>
        <w:t>Чрез мярката за дерогация данъчно задължените лица с годишен оборот до 55 000 EUR ще бъдат освободени от някои или от всички свързани с ДДС задължения по дял XI, глави 2—6 от Директива 2006/112/ЕО.</w:t>
      </w:r>
    </w:p>
    <w:p>
      <w:pPr>
        <w:pStyle w:val="ManualConsidrant"/>
        <w:rPr>
          <w:noProof/>
        </w:rPr>
      </w:pPr>
      <w:r>
        <w:t>(4)</w:t>
      </w:r>
      <w:r>
        <w:tab/>
      </w:r>
      <w:r>
        <w:rPr>
          <w:noProof/>
        </w:rPr>
        <w:t>По-високият праг при специалния режим за малките предприятия, предвиден в членове 281—294 от Директива 2006/112/ЕО, е мярка за опростяване, тъй като може значително да намали свързаните с ДДС задължения на малките предприятия. Поисканият праг от 55 000 EUR е в съответствие с член 284 от Директива 2006/112/ЕО, изменена с Директива (ЕС) 2020/285.</w:t>
      </w:r>
    </w:p>
    <w:p>
      <w:pPr>
        <w:pStyle w:val="ManualConsidrant"/>
        <w:rPr>
          <w:noProof/>
        </w:rPr>
      </w:pPr>
      <w:r>
        <w:t>(5)</w:t>
      </w:r>
      <w:r>
        <w:tab/>
      </w:r>
      <w:r>
        <w:rPr>
          <w:noProof/>
        </w:rPr>
        <w:t>В съответствие с член 395, параграф 2, втора алинея от Директива 2006/112/ЕО с писма от 10 август 2020 г. и 11 август 2020 г. Комисията информира другите държави членки за отправеното от Литва искане. С писмо от 12 август 2020 г. Комисията уведоми Литва, че разполага с цялата информация, необходима за разглеждане на искането.</w:t>
      </w:r>
    </w:p>
    <w:p>
      <w:pPr>
        <w:pStyle w:val="ManualConsidrant"/>
        <w:rPr>
          <w:noProof/>
        </w:rPr>
      </w:pPr>
      <w:r>
        <w:t>(6)</w:t>
      </w:r>
      <w:r>
        <w:tab/>
      </w:r>
      <w:r>
        <w:rPr>
          <w:noProof/>
        </w:rPr>
        <w:t>За данъчно задължените лица мярката за дерогация няма задължителен характер. В съответствие с член 290 от Директива 2006/112/ЕО те и занапред ще имат възможност да изберат да прилагат общия режим за ДДС.</w:t>
      </w:r>
    </w:p>
    <w:p>
      <w:pPr>
        <w:pStyle w:val="ManualConsidrant"/>
        <w:rPr>
          <w:noProof/>
        </w:rPr>
      </w:pPr>
      <w:r>
        <w:t>(7)</w:t>
      </w:r>
      <w:r>
        <w:tab/>
      </w:r>
      <w:r>
        <w:rPr>
          <w:noProof/>
        </w:rPr>
        <w:t>Съгласно предоставената от Литва информация мярката за дерогация ще има само незначително въздействие върху общия размер на нейните данъчни приходи, събирани на етапа на крайното потребление.</w:t>
      </w:r>
    </w:p>
    <w:p>
      <w:pPr>
        <w:pStyle w:val="ManualConsidrant"/>
        <w:rPr>
          <w:noProof/>
        </w:rPr>
      </w:pPr>
      <w:r>
        <w:t>(8)</w:t>
      </w:r>
      <w:r>
        <w:tab/>
      </w:r>
      <w:r>
        <w:rPr>
          <w:noProof/>
        </w:rPr>
        <w:t>Мярката за дерогация няма да окаже отрицателно въздействие върху собствените ресурси на Съюза, формирани от ДДС, тъй като Литва ще изчисли съответната компенсация съгласно член 6 от Регламент (ЕИО, Евратом) № 1553/89 на Съвета</w:t>
      </w:r>
      <w:r>
        <w:rPr>
          <w:rStyle w:val="FootnoteReference"/>
          <w:noProof/>
        </w:rPr>
        <w:footnoteReference w:id="25"/>
      </w:r>
      <w:r>
        <w:rPr>
          <w:noProof/>
        </w:rPr>
        <w:t>.</w:t>
      </w:r>
    </w:p>
    <w:p>
      <w:pPr>
        <w:pStyle w:val="ManualConsidrant"/>
        <w:rPr>
          <w:noProof/>
        </w:rPr>
      </w:pPr>
      <w:r>
        <w:t>(9)</w:t>
      </w:r>
      <w:r>
        <w:tab/>
      </w:r>
      <w:r>
        <w:rPr>
          <w:noProof/>
        </w:rPr>
        <w:t xml:space="preserve">Като се има предвид, че се очаква увеличеният праг да доведе до намаление на задълженията във връзка с ДДС, следователно и административната тежест и разходите за спазване на изискванията за малките предприятия и за данъчните органи, а въздействието върху общите генерирани приходи от ДДС е пренебрежимо малко, на Литва следва да бъде разрешено да прилага мярката за дерогация. </w:t>
      </w:r>
    </w:p>
    <w:p>
      <w:pPr>
        <w:pStyle w:val="ManualConsidrant"/>
        <w:rPr>
          <w:noProof/>
        </w:rPr>
      </w:pPr>
      <w:r>
        <w:t>(10)</w:t>
      </w:r>
      <w:r>
        <w:tab/>
      </w:r>
      <w:r>
        <w:rPr>
          <w:noProof/>
        </w:rPr>
        <w:t>Разрешението за прилагане на мярката за дерогация следва да бъде ограничено във времето. Ограниченият срок на действие следва да бъде достатъчен, за да позволи да бъдат оценени ефективността и целесъобразността на прага. Освен това в съответствие с Директива (ЕС) 2020/285 държавите членки трябва да приемат и публикуват до 31 декември 2024 г. законовите, подзаконовите и административните разпоредби, необходими, за да се съобразят с член 1 от посочената директива и да започнат да прилагат посочените разпоредби от 1 януари 2025 г. Поради това е целесъобразно да се разреши на Литва да прилага мярката за дерогация до 31 декември 2024 г.,</w:t>
      </w:r>
    </w:p>
    <w:p>
      <w:pPr>
        <w:rPr>
          <w:noProof/>
        </w:rPr>
      </w:pP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 287, точка 11 от Директива 2006/112/ЕО на Литва се разрешава да освобождава от ДДС данъчно задължените лица с годишен оборот до 55 000 EUR.</w:t>
      </w:r>
    </w:p>
    <w:p>
      <w:pPr>
        <w:pStyle w:val="Titrearticle"/>
        <w:rPr>
          <w:noProof/>
        </w:rPr>
      </w:pPr>
      <w:r>
        <w:rPr>
          <w:noProof/>
        </w:rPr>
        <w:t>Член 2</w:t>
      </w:r>
    </w:p>
    <w:p>
      <w:pPr>
        <w:rPr>
          <w:noProof/>
        </w:rPr>
      </w:pPr>
      <w:r>
        <w:rPr>
          <w:noProof/>
        </w:rPr>
        <w:t>Настоящото решение се прилага от 1 януари 2021 г. до 31 декември 2024 г.</w:t>
      </w:r>
    </w:p>
    <w:p>
      <w:pPr>
        <w:pStyle w:val="Titrearticle"/>
        <w:rPr>
          <w:noProof/>
        </w:rPr>
      </w:pPr>
      <w:r>
        <w:rPr>
          <w:noProof/>
        </w:rPr>
        <w:t>Член 3</w:t>
      </w:r>
    </w:p>
    <w:p>
      <w:pPr>
        <w:rPr>
          <w:noProof/>
        </w:rPr>
      </w:pPr>
      <w:r>
        <w:rPr>
          <w:noProof/>
        </w:rPr>
        <w:t xml:space="preserve">Адресат на настоящото решение е Република Литва. </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347, 11.12.2006 г., стр. 1.</w:t>
      </w:r>
    </w:p>
  </w:footnote>
  <w:footnote w:id="3">
    <w:p>
      <w:pPr>
        <w:pStyle w:val="FootnoteText"/>
      </w:pPr>
      <w:r>
        <w:rPr>
          <w:rStyle w:val="FootnoteReference"/>
        </w:rPr>
        <w:footnoteRef/>
      </w:r>
      <w:r>
        <w:tab/>
        <w:t>Директива (ЕС)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(ОВ L 62, 2.3.2020 г., стр. 13).</w:t>
      </w:r>
    </w:p>
  </w:footnote>
  <w:footnote w:id="4">
    <w:p>
      <w:pPr>
        <w:pStyle w:val="FootnoteText"/>
      </w:pPr>
      <w:r>
        <w:rPr>
          <w:rStyle w:val="FootnoteReference"/>
        </w:rPr>
        <w:footnoteRef/>
      </w:r>
      <w:r>
        <w:tab/>
        <w:t>Съобщение на Комисията до Европейския парламент, Съвета и Европейския икономически и социален комитет относно план за действие във връзка с ДДС — Към единно пространство на ЕС по отношение на ДДС — Време за избор (COM(2016) 148 final).</w:t>
      </w:r>
    </w:p>
  </w:footnote>
  <w:footnote w:id="5">
    <w:p>
      <w:pPr>
        <w:pStyle w:val="FootnoteText"/>
      </w:pPr>
      <w:r>
        <w:rPr>
          <w:rStyle w:val="FootnoteReference"/>
        </w:rPr>
        <w:footnoteRef/>
      </w:r>
      <w:r>
        <w:tab/>
        <w:t>Решение за изпълнение (ЕС) 2018/1904 на Съвета от 4 декември 2018 г. за предоставяне на разрешение на Нидерландия да въведе специална мярка за дерогация от член 285 от Директива 2006/112/ЕО относно общата система на данъка върху добавената стойност (ОВ L 310, 6.12.2018 г., стр. 25).</w:t>
      </w:r>
    </w:p>
  </w:footnote>
  <w:footnote w:id="6">
    <w:p>
      <w:pPr>
        <w:pStyle w:val="FootnoteText"/>
      </w:pPr>
      <w:r>
        <w:rPr>
          <w:rStyle w:val="FootnoteReference"/>
        </w:rPr>
        <w:footnoteRef/>
      </w:r>
      <w:r>
        <w:tab/>
        <w:t>Решение за изпълнение (ЕС) 2016/1988 на Съвета от 8 ноември 2016 г. за изменение на Решение за изпълнение 2013/678/ЕС за даване на разрешение на Италианската република да продължи да прилага специална мярка за дерогация от член 285 от Директива 2006/112/ЕО относно общата система на данъка върху добавената стойност (ОВ L 306, 15.11.2016 г., стр. 11—12).</w:t>
      </w:r>
    </w:p>
  </w:footnote>
  <w:footnote w:id="7">
    <w:p>
      <w:pPr>
        <w:pStyle w:val="FootnoteText"/>
      </w:pPr>
      <w:r>
        <w:rPr>
          <w:rStyle w:val="FootnoteReference"/>
        </w:rPr>
        <w:footnoteRef/>
      </w:r>
      <w:r>
        <w:tab/>
        <w:t>Решение за изпълнение (ЕС) 2019/2210 на Съвета от 19 декември 2019 г. за изменение на Решение за изпълнение 2013/677/ЕС за предоставяне на разрешение на Люксембург да въведе специална мярка за дерогация от член 285 от Директива 2006/112/ЕО относно общата система на данъка върху добавената стойност (ОВ L 332, 23.12.2019 г., стр. 155).</w:t>
      </w:r>
    </w:p>
  </w:footnote>
  <w:footnote w:id="8">
    <w:p>
      <w:pPr>
        <w:pStyle w:val="FootnoteText"/>
      </w:pPr>
      <w:r>
        <w:rPr>
          <w:rStyle w:val="FootnoteReference"/>
        </w:rPr>
        <w:footnoteRef/>
      </w:r>
      <w:r>
        <w:tab/>
        <w:t>Решение за изпълнение (EС) 2020/1261 на Съвета от 4 септември 2020 г. за изменение на Решение за изпълнение (ЕС) 2017/2408 за предоставяне на разрешение на Република Латвия да прилага специална мярка за дерогация от член 287 от Директива 2006/112/ЕО относно общата система на данъка върху добавената стойност (ОВ L 296, 10.9.2020 г., стр. 4—5).</w:t>
      </w:r>
    </w:p>
  </w:footnote>
  <w:footnote w:id="9">
    <w:p>
      <w:pPr>
        <w:pStyle w:val="FootnoteText"/>
      </w:pPr>
      <w:r>
        <w:rPr>
          <w:rStyle w:val="FootnoteReference"/>
        </w:rPr>
        <w:footnoteRef/>
      </w:r>
      <w:r>
        <w:tab/>
        <w:t>Решение за изпълнение (ЕС) 2018/1919 на Съвета от 4 декември 2018 г. за изменение на Решение 2009/790/ЕО за даване на разрешение на Република Полша да приложи мярка за дерогация от член 287 от Директива 2006/112/ЕО относно общата система на данъка върху добавената стойност (ОВ L 311, 7.12.2018 г., стр. 32).</w:t>
      </w:r>
    </w:p>
  </w:footnote>
  <w:footnote w:id="10">
    <w:p>
      <w:pPr>
        <w:pStyle w:val="FootnoteText"/>
      </w:pPr>
      <w:r>
        <w:rPr>
          <w:rStyle w:val="FootnoteReference"/>
        </w:rPr>
        <w:footnoteRef/>
      </w:r>
      <w:r>
        <w:tab/>
        <w:t>Решение за изпълнение (ЕС) 2017/563 на Съвета от 21 март 2017 г. за даване на разрешение на Република Естония да прилага специална мярка за дерогация от член 287 от Директива 2006/112/ЕО относно общата система на данъка върху добавената стойност (ОВ L 80, 25.3.2017 г., стр. 33).</w:t>
      </w:r>
    </w:p>
  </w:footnote>
  <w:footnote w:id="11">
    <w:p>
      <w:pPr>
        <w:pStyle w:val="FootnoteText"/>
      </w:pPr>
      <w:r>
        <w:rPr>
          <w:rStyle w:val="FootnoteReference"/>
        </w:rPr>
        <w:footnoteRef/>
      </w:r>
      <w:r>
        <w:tab/>
        <w:t>Решение за изпълнение (EС) 2020/1661 на Съвета от 3 ноември 2020 г. за изменение на Решение за изпълнение (ЕС) 2017/1768 за даване на разрешение на Република Хърватия да въведе специална мярка за дерогация от член 287 от Директива 2006/112/ЕО относно общата система на данъка върху добавената стойност (ОВ L 374, 10.11.2020 г., стр. 4—5).</w:t>
      </w:r>
    </w:p>
  </w:footnote>
  <w:footnote w:id="12">
    <w:p>
      <w:pPr>
        <w:pStyle w:val="FootnoteText"/>
      </w:pPr>
      <w:r>
        <w:rPr>
          <w:rStyle w:val="FootnoteReference"/>
        </w:rPr>
        <w:footnoteRef/>
      </w:r>
      <w:r>
        <w:tab/>
        <w:t>Решение за изпълнение (EС) 2020/1662 на Съвета от 3 ноември 2020 г. за изменение на Решение за изпълнение (ЕС) 2018/279 за предоставяне на разрешение на Малта да прилага специална мярка за дерогация от член 287 от Директива 2006/112/ЕО относно общата система на данъка върху добавената стойност (ОВ L 374, 10.11.2020 г., стр. 6—7).</w:t>
      </w:r>
    </w:p>
  </w:footnote>
  <w:footnote w:id="13">
    <w:p>
      <w:pPr>
        <w:pStyle w:val="FootnoteText"/>
      </w:pPr>
      <w:r>
        <w:rPr>
          <w:rStyle w:val="FootnoteReference"/>
        </w:rPr>
        <w:footnoteRef/>
      </w:r>
      <w:r>
        <w:tab/>
        <w:t>Решение за изпълнение (ЕС) 2018/1490 на Съвета от 2 октомври 2018 г. за даване на разрешение на Унгария да въведе специална мярка за дерогация от член 287 от Директива 2006/112/ЕО относно общата система на данъка върху добавената стойност (ОВ L 252, 8.10.2018 г., стр. 38).</w:t>
      </w:r>
    </w:p>
  </w:footnote>
  <w:footnote w:id="14">
    <w:p>
      <w:pPr>
        <w:pStyle w:val="FootnoteText"/>
      </w:pPr>
      <w:r>
        <w:rPr>
          <w:rStyle w:val="FootnoteReference"/>
        </w:rPr>
        <w:footnoteRef/>
      </w:r>
      <w:r>
        <w:tab/>
        <w:t>Решение за изпълнение (ЕС) 2018/1700 на Съвета от 6 ноември 2018 г. за изменение на Решение за изпълнение 2013/54/ЕС за предоставяне на разрешение на Република Словения да въведе специална мярка за дерогация от член 287 от Директива 2006/112/ЕО относно общата система на данъка върху добавената стойност (ОВ L 285, 13.11.2018 г., стр. 78).</w:t>
      </w:r>
    </w:p>
  </w:footnote>
  <w:footnote w:id="15">
    <w:p>
      <w:pPr>
        <w:pStyle w:val="FootnoteText"/>
      </w:pPr>
      <w:r>
        <w:rPr>
          <w:rStyle w:val="FootnoteReference"/>
        </w:rPr>
        <w:footnoteRef/>
      </w:r>
      <w:r>
        <w:tab/>
        <w:t>Решение за изпълнение (EС) 2020/1260 на Съвета от 4 септември 2020 г. за изменение на Решение за изпълнение (ЕС) 2017/1855 за предоставяне на разрешение на Румъния да прилага специална мярка за дерогация от член 287 от Директива 2006/112/ЕО относно общата система на данъка върху добавената стойност (ОВ L 296, 10.9.2020 г., стр. 1—3).</w:t>
      </w:r>
    </w:p>
  </w:footnote>
  <w:footnote w:id="16">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2020 г. — Съюз с по-големи амбиции (COM(2020) 37 final).</w:t>
      </w:r>
    </w:p>
  </w:footnote>
  <w:footnote w:id="17">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 Работна програма на Комисията за 2017 г. (COM(2016) 710 final).</w:t>
      </w:r>
    </w:p>
  </w:footnote>
  <w:footnote w:id="18">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w:t>
      </w:r>
    </w:p>
  </w:footnote>
  <w:footnote w:id="19">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План за действие „Предприемачество 2020 г.: Възраждане на предприемаческия дух в Европа“ (COM(2012) 795 final).</w:t>
      </w:r>
    </w:p>
  </w:footnote>
  <w:footnote w:id="20">
    <w:p>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комитет и Комитета на регионите „Новите европейски лидери — инициатива за подкрепа на стартиращи и разрастващи се предприятия“ (COM(2016) 733 final).</w:t>
      </w:r>
    </w:p>
  </w:footnote>
  <w:footnote w:id="21">
    <w:p>
      <w:pPr>
        <w:pStyle w:val="FootnoteText"/>
      </w:pPr>
      <w:r>
        <w:rPr>
          <w:rStyle w:val="FootnoteReference"/>
        </w:rPr>
        <w:footnoteRef/>
      </w:r>
      <w:r>
        <w:tab/>
        <w:t>Съобщение на Комисията до Съвета, Европейския парламент, Европейския икономически и социален комитет и Комитета на регионите — „Мисли първо за малките!“ — „Small Business Act“ за Европа (COM(2008) 394 окончателен).</w:t>
      </w:r>
    </w:p>
  </w:footnote>
  <w:footnote w:id="22">
    <w:p>
      <w:pPr>
        <w:pStyle w:val="FootnoteText"/>
      </w:pPr>
      <w:r>
        <w:rPr>
          <w:rStyle w:val="FootnoteReference"/>
        </w:rPr>
        <w:footnoteRef/>
      </w:r>
      <w:r>
        <w:tab/>
      </w:r>
      <w:r>
        <w:rPr>
          <w:iCs/>
          <w:shd w:val="clear" w:color="auto" w:fill="FFFFFF"/>
        </w:rPr>
        <w:t>ОВ L 347, 11.12.2006 г., стр. 1.</w:t>
      </w:r>
    </w:p>
  </w:footnote>
  <w:footnote w:id="23">
    <w:p>
      <w:pPr>
        <w:pStyle w:val="FootnoteText"/>
      </w:pPr>
      <w:r>
        <w:rPr>
          <w:rStyle w:val="FootnoteReference"/>
        </w:rPr>
        <w:footnoteRef/>
      </w:r>
      <w:r>
        <w:tab/>
      </w:r>
      <w:r>
        <w:rPr>
          <w:color w:val="444444"/>
          <w:sz w:val="19"/>
          <w:szCs w:val="19"/>
          <w:shd w:val="clear" w:color="auto" w:fill="FFFFFF"/>
        </w:rPr>
        <w:t>Решение за изпълнение 2011/335/ЕС на Съвета от 30 май 2011 г. за даване на разрешение на Република Литва да прилага мярка за дерогация от член 287 от Директива 2006/112/ЕО относно общата система на данъка върху добавената стойност (</w:t>
      </w:r>
      <w:hyperlink r:id="rId1" w:history="1">
        <w:r>
          <w:rPr>
            <w:rStyle w:val="Hyperlink"/>
            <w:color w:val="3366CC"/>
            <w:sz w:val="19"/>
            <w:szCs w:val="19"/>
          </w:rPr>
          <w:t>ОВ L 150, 9.6.2011 г., стр. 6</w:t>
        </w:r>
      </w:hyperlink>
      <w:r>
        <w:rPr>
          <w:color w:val="444444"/>
          <w:sz w:val="19"/>
          <w:szCs w:val="19"/>
          <w:shd w:val="clear" w:color="auto" w:fill="FFFFFF"/>
        </w:rPr>
        <w:t>).</w:t>
      </w:r>
    </w:p>
  </w:footnote>
  <w:footnote w:id="24">
    <w:p>
      <w:pPr>
        <w:pStyle w:val="FootnoteText"/>
      </w:pPr>
      <w:r>
        <w:rPr>
          <w:rStyle w:val="FootnoteReference"/>
        </w:rPr>
        <w:footnoteRef/>
      </w:r>
      <w:r>
        <w:tab/>
        <w:t>Директива (ЕС) 2020/285 на Съвета от 18 февруари 2020 г. за изменение на Директива 2006/112/ЕО относно общата система на данъка върху добавената стойност по отношение на специалния режим за малките предприятия и Регламент (ЕС) № 904/2010 относно административното сътрудничество и обмена на информация за целите на наблюдението на правилното прилагане на специалния режим за малките предприятия (ОВ L 62, 2.3.2020 г., стр. 13—23).</w:t>
      </w:r>
    </w:p>
  </w:footnote>
  <w:footnote w:id="25">
    <w:p>
      <w:pPr>
        <w:pStyle w:val="FootnoteText"/>
      </w:pPr>
      <w:r>
        <w:rPr>
          <w:rStyle w:val="FootnoteReference"/>
        </w:rPr>
        <w:footnoteRef/>
      </w:r>
      <w:r>
        <w:tab/>
        <w:t>Регламент (ЕИО, Евратом) № 1553/89 на Съвета от 29 май 1989 г. за окончателни унифицирани схеми за събирането на собствените ресурси, набирани от данък добавена стойност (ОВ L 155, 7.6.1989 г., стр. 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57E27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D7EAE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A699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0AFE314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7C5A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5AEE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55A4B6C"/>
    <w:lvl w:ilvl="0">
      <w:start w:val="1"/>
      <w:numFmt w:val="decimal"/>
      <w:pStyle w:val="ListNumber"/>
      <w:lvlText w:val="%1."/>
      <w:lvlJc w:val="left"/>
      <w:pPr>
        <w:tabs>
          <w:tab w:val="num" w:pos="360"/>
        </w:tabs>
        <w:ind w:left="360" w:hanging="360"/>
      </w:pPr>
    </w:lvl>
  </w:abstractNum>
  <w:abstractNum w:abstractNumId="7">
    <w:nsid w:val="FFFFFF89"/>
    <w:multiLevelType w:val="singleLevel"/>
    <w:tmpl w:val="5476A75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21"/>
    <w:lvlOverride w:ilvl="0">
      <w:startOverride w:val="1"/>
    </w:lvlOverride>
  </w:num>
  <w:num w:numId="7">
    <w:abstractNumId w:val="6"/>
  </w:num>
  <w:num w:numId="8">
    <w:abstractNumId w:val="2"/>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ttachedTemplate r:id="rId1"/>
  <w:revisionView w:markup="0"/>
  <w:defaultTabStop w:val="720"/>
  <w:hyphenationZone w:val="283"/>
  <w:characterSpacingControl w:val="doNotCompress"/>
  <w:hdrShapeDefaults>
    <o:shapedefaults v:ext="edit" spidmax="4505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11 06:26:3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A2DF720-65C8-492A-AF0F-F63EC80B8A4D"/>
    <w:docVar w:name="LW_COVERPAGE_TYPE" w:val="1"/>
    <w:docVar w:name="LW_CROSSREFERENCE" w:val="&lt;UNUSED&gt;"/>
    <w:docVar w:name="LW_DocType" w:val="COM"/>
    <w:docVar w:name="LW_EMISSION" w:val="17.12.2020"/>
    <w:docVar w:name="LW_EMISSION_ISODATE" w:val="2020-12-17"/>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56"/>
    <w:docVar w:name="LW_REF.II.NEW.CP_YEAR" w:val="2020"/>
    <w:docVar w:name="LW_REF.INST.NEW" w:val="COM"/>
    <w:docVar w:name="LW_REF.INST.NEW_ADOPTED" w:val="final"/>
    <w:docVar w:name="LW_REF.INST.NEW_TEXT" w:val="(2020) 8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6?\u1077?\u1087?\u1091?\u1073?\u1083?\u1080?\u1082?\u1072? \u1051?\u1080?\u1090?\u1074?\u1072? \u1076?\u1072? \u1087?\u1088?\u1080?\u1083?\u1072?\u1075?\u1072? \u1084?\u1103?\u1088?\u1082?\u1072? \u1079?\u1072? \u1076?\u1077?\u1088?\u1086?\u1075?\u1072?\u1094?\u1080?\u1103? \u1086?\u1090? \u1095?\u1083?\u1077?\u1085? 287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4059">
      <w:bodyDiv w:val="1"/>
      <w:marLeft w:val="0"/>
      <w:marRight w:val="0"/>
      <w:marTop w:val="0"/>
      <w:marBottom w:val="0"/>
      <w:divBdr>
        <w:top w:val="none" w:sz="0" w:space="0" w:color="auto"/>
        <w:left w:val="none" w:sz="0" w:space="0" w:color="auto"/>
        <w:bottom w:val="none" w:sz="0" w:space="0" w:color="auto"/>
        <w:right w:val="none" w:sz="0" w:space="0" w:color="auto"/>
      </w:divBdr>
    </w:div>
    <w:div w:id="1374765090">
      <w:bodyDiv w:val="1"/>
      <w:marLeft w:val="0"/>
      <w:marRight w:val="0"/>
      <w:marTop w:val="0"/>
      <w:marBottom w:val="0"/>
      <w:divBdr>
        <w:top w:val="none" w:sz="0" w:space="0" w:color="auto"/>
        <w:left w:val="none" w:sz="0" w:space="0" w:color="auto"/>
        <w:bottom w:val="none" w:sz="0" w:space="0" w:color="auto"/>
        <w:right w:val="none" w:sz="0" w:space="0" w:color="auto"/>
      </w:divBdr>
    </w:div>
    <w:div w:id="1693260943">
      <w:bodyDiv w:val="1"/>
      <w:marLeft w:val="0"/>
      <w:marRight w:val="0"/>
      <w:marTop w:val="0"/>
      <w:marBottom w:val="0"/>
      <w:divBdr>
        <w:top w:val="none" w:sz="0" w:space="0" w:color="auto"/>
        <w:left w:val="none" w:sz="0" w:space="0" w:color="auto"/>
        <w:bottom w:val="none" w:sz="0" w:space="0" w:color="auto"/>
        <w:right w:val="none" w:sz="0" w:space="0" w:color="auto"/>
      </w:divBdr>
    </w:div>
    <w:div w:id="1950969510">
      <w:bodyDiv w:val="1"/>
      <w:marLeft w:val="0"/>
      <w:marRight w:val="0"/>
      <w:marTop w:val="0"/>
      <w:marBottom w:val="0"/>
      <w:divBdr>
        <w:top w:val="none" w:sz="0" w:space="0" w:color="auto"/>
        <w:left w:val="none" w:sz="0" w:space="0" w:color="auto"/>
        <w:bottom w:val="none" w:sz="0" w:space="0" w:color="auto"/>
        <w:right w:val="none" w:sz="0" w:space="0" w:color="auto"/>
      </w:divBdr>
    </w:div>
    <w:div w:id="204933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AUTO/?uri=OJ:L:2011:150: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675F43-91FB-478A-8316-8DF401F8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2870</Words>
  <Characters>15242</Characters>
  <Application>Microsoft Office Word</Application>
  <DocSecurity>0</DocSecurity>
  <Lines>287</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2020-12-10T13:58:00Z</dcterms:created>
  <dcterms:modified xsi:type="dcterms:W3CDTF">2020-12-11T05:26:00Z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