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33CAE96E-5348-4206-8AE5-A6D790F14C97" style="width:451.25pt;height:434.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spacing w:line="240" w:lineRule="auto"/>
        <w:jc w:val="both"/>
        <w:rPr>
          <w:rFonts w:ascii="Times New Roman" w:hAnsi="Times New Roman" w:cs="Times New Roman"/>
          <w:b/>
          <w:noProof/>
          <w:sz w:val="24"/>
          <w:szCs w:val="24"/>
        </w:rPr>
      </w:pPr>
      <w:bookmarkStart w:id="1" w:name="_GoBack"/>
      <w:bookmarkEnd w:id="1"/>
    </w:p>
    <w:p>
      <w:pPr>
        <w:spacing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 xml:space="preserve">I. List of Directives and Framework Decisions where infringement procedures are ongoing </w:t>
      </w:r>
    </w:p>
    <w:p>
      <w:pPr>
        <w:pStyle w:val="ListParagraph"/>
        <w:numPr>
          <w:ilvl w:val="0"/>
          <w:numId w:val="2"/>
        </w:numPr>
        <w:spacing w:line="240" w:lineRule="auto"/>
        <w:jc w:val="both"/>
        <w:rPr>
          <w:rFonts w:ascii="Times New Roman" w:hAnsi="Times New Roman" w:cs="Times New Roman"/>
          <w:noProof/>
          <w:sz w:val="24"/>
          <w:szCs w:val="24"/>
        </w:rPr>
      </w:pPr>
      <w:r>
        <w:rPr>
          <w:rFonts w:ascii="Times New Roman" w:hAnsi="Times New Roman" w:cs="Times New Roman"/>
          <w:b/>
          <w:noProof/>
          <w:sz w:val="24"/>
          <w:szCs w:val="24"/>
        </w:rPr>
        <w:t>Prüm framework</w:t>
      </w:r>
      <w:r>
        <w:rPr>
          <w:rStyle w:val="FootnoteReference"/>
          <w:rFonts w:ascii="Times New Roman" w:hAnsi="Times New Roman" w:cs="Times New Roman"/>
          <w:b/>
          <w:noProof/>
          <w:sz w:val="24"/>
          <w:szCs w:val="24"/>
        </w:rPr>
        <w:footnoteReference w:id="2"/>
      </w:r>
      <w:r>
        <w:rPr>
          <w:rFonts w:ascii="Times New Roman" w:hAnsi="Times New Roman" w:cs="Times New Roman"/>
          <w:noProof/>
          <w:sz w:val="24"/>
          <w:szCs w:val="24"/>
        </w:rPr>
        <w:t xml:space="preserve">: ongoing infringement procedures against 2 Member States. </w:t>
      </w:r>
    </w:p>
    <w:p>
      <w:pPr>
        <w:pStyle w:val="ListParagraph"/>
        <w:numPr>
          <w:ilvl w:val="0"/>
          <w:numId w:val="2"/>
        </w:numPr>
        <w:spacing w:line="240" w:lineRule="auto"/>
        <w:jc w:val="both"/>
        <w:rPr>
          <w:rFonts w:ascii="Times New Roman" w:hAnsi="Times New Roman" w:cs="Times New Roman"/>
          <w:noProof/>
          <w:sz w:val="24"/>
          <w:szCs w:val="24"/>
        </w:rPr>
      </w:pPr>
      <w:r>
        <w:rPr>
          <w:rFonts w:ascii="Times New Roman" w:hAnsi="Times New Roman" w:cs="Times New Roman"/>
          <w:b/>
          <w:noProof/>
          <w:sz w:val="24"/>
          <w:szCs w:val="24"/>
        </w:rPr>
        <w:t>Framework Decision on accreditation of forensic services</w:t>
      </w:r>
      <w:r>
        <w:rPr>
          <w:rStyle w:val="FootnoteReference"/>
          <w:rFonts w:ascii="Times New Roman" w:hAnsi="Times New Roman" w:cs="Times New Roman"/>
          <w:b/>
          <w:noProof/>
          <w:sz w:val="24"/>
          <w:szCs w:val="24"/>
        </w:rPr>
        <w:footnoteReference w:id="3"/>
      </w:r>
      <w:r>
        <w:rPr>
          <w:rFonts w:ascii="Times New Roman" w:hAnsi="Times New Roman" w:cs="Times New Roman"/>
          <w:b/>
          <w:noProof/>
          <w:sz w:val="24"/>
          <w:szCs w:val="24"/>
        </w:rPr>
        <w:t xml:space="preserve">: </w:t>
      </w:r>
      <w:r>
        <w:rPr>
          <w:rFonts w:ascii="Times New Roman" w:hAnsi="Times New Roman" w:cs="Times New Roman"/>
          <w:noProof/>
          <w:sz w:val="24"/>
          <w:szCs w:val="24"/>
        </w:rPr>
        <w:t>ongoing infringement procedures against 2 Member States.</w:t>
      </w:r>
    </w:p>
    <w:p>
      <w:pPr>
        <w:pStyle w:val="ListParagraph"/>
        <w:numPr>
          <w:ilvl w:val="0"/>
          <w:numId w:val="2"/>
        </w:numPr>
        <w:spacing w:line="240" w:lineRule="auto"/>
        <w:jc w:val="both"/>
        <w:rPr>
          <w:rFonts w:ascii="Times New Roman" w:hAnsi="Times New Roman" w:cs="Times New Roman"/>
          <w:noProof/>
          <w:sz w:val="24"/>
          <w:szCs w:val="24"/>
        </w:rPr>
      </w:pPr>
      <w:r>
        <w:rPr>
          <w:rFonts w:ascii="Times New Roman" w:hAnsi="Times New Roman" w:cs="Times New Roman"/>
          <w:b/>
          <w:noProof/>
          <w:sz w:val="24"/>
          <w:szCs w:val="24"/>
        </w:rPr>
        <w:t>Directive on</w:t>
      </w:r>
      <w:r>
        <w:rPr>
          <w:rFonts w:ascii="Times New Roman" w:hAnsi="Times New Roman" w:cs="Times New Roman"/>
          <w:noProof/>
          <w:sz w:val="24"/>
          <w:szCs w:val="24"/>
        </w:rPr>
        <w:t xml:space="preserve"> </w:t>
      </w:r>
      <w:r>
        <w:rPr>
          <w:rFonts w:ascii="Times New Roman" w:hAnsi="Times New Roman" w:cs="Times New Roman"/>
          <w:b/>
          <w:noProof/>
          <w:sz w:val="24"/>
          <w:szCs w:val="24"/>
        </w:rPr>
        <w:t>combating child sexual abuse</w:t>
      </w:r>
      <w:r>
        <w:rPr>
          <w:rStyle w:val="FootnoteReference"/>
          <w:rFonts w:ascii="Times New Roman" w:hAnsi="Times New Roman" w:cs="Times New Roman"/>
          <w:noProof/>
          <w:sz w:val="24"/>
          <w:szCs w:val="24"/>
        </w:rPr>
        <w:footnoteReference w:id="4"/>
      </w:r>
      <w:r>
        <w:rPr>
          <w:rFonts w:ascii="Times New Roman" w:hAnsi="Times New Roman" w:cs="Times New Roman"/>
          <w:noProof/>
          <w:sz w:val="24"/>
          <w:szCs w:val="24"/>
        </w:rPr>
        <w:t xml:space="preserve"> (transposition deadline: 18.12.2013). Infringement procedures ongoing against 25 Member States.</w:t>
      </w:r>
    </w:p>
    <w:p>
      <w:pPr>
        <w:pStyle w:val="ListParagraph"/>
        <w:numPr>
          <w:ilvl w:val="0"/>
          <w:numId w:val="2"/>
        </w:numPr>
        <w:spacing w:line="240" w:lineRule="auto"/>
        <w:jc w:val="both"/>
        <w:rPr>
          <w:rFonts w:ascii="Times New Roman" w:hAnsi="Times New Roman" w:cs="Times New Roman"/>
          <w:noProof/>
          <w:sz w:val="24"/>
          <w:szCs w:val="24"/>
        </w:rPr>
      </w:pPr>
      <w:r>
        <w:rPr>
          <w:rFonts w:ascii="Times New Roman" w:hAnsi="Times New Roman" w:cs="Times New Roman"/>
          <w:b/>
          <w:noProof/>
          <w:sz w:val="24"/>
          <w:szCs w:val="24"/>
        </w:rPr>
        <w:t>Directive on attacks against information systems</w:t>
      </w:r>
      <w:r>
        <w:rPr>
          <w:rStyle w:val="FootnoteReference"/>
          <w:rFonts w:ascii="Times New Roman" w:hAnsi="Times New Roman" w:cs="Times New Roman"/>
          <w:noProof/>
          <w:sz w:val="24"/>
          <w:szCs w:val="24"/>
        </w:rPr>
        <w:footnoteReference w:id="5"/>
      </w:r>
      <w:r>
        <w:rPr>
          <w:rFonts w:ascii="Times New Roman" w:hAnsi="Times New Roman" w:cs="Times New Roman"/>
          <w:noProof/>
          <w:sz w:val="24"/>
          <w:szCs w:val="24"/>
        </w:rPr>
        <w:t xml:space="preserve"> (transposition deadline:</w:t>
      </w:r>
      <w:r>
        <w:rPr>
          <w:noProof/>
        </w:rPr>
        <w:t xml:space="preserve"> </w:t>
      </w:r>
      <w:r>
        <w:rPr>
          <w:rFonts w:ascii="Times New Roman" w:hAnsi="Times New Roman" w:cs="Times New Roman"/>
          <w:noProof/>
          <w:sz w:val="24"/>
          <w:szCs w:val="24"/>
        </w:rPr>
        <w:t xml:space="preserve">4.09.2015). Infringement procedures ongoing against 4 Member States.   </w:t>
      </w:r>
    </w:p>
    <w:p>
      <w:pPr>
        <w:pStyle w:val="ListParagraph"/>
        <w:numPr>
          <w:ilvl w:val="0"/>
          <w:numId w:val="2"/>
        </w:numPr>
        <w:jc w:val="both"/>
        <w:rPr>
          <w:rFonts w:ascii="Times New Roman" w:hAnsi="Times New Roman"/>
          <w:noProof/>
          <w:sz w:val="24"/>
          <w:szCs w:val="24"/>
          <w:lang w:val="en-IE"/>
        </w:rPr>
      </w:pPr>
      <w:r>
        <w:rPr>
          <w:rFonts w:ascii="Times New Roman" w:hAnsi="Times New Roman" w:cs="Times New Roman"/>
          <w:b/>
          <w:noProof/>
          <w:sz w:val="24"/>
          <w:szCs w:val="24"/>
          <w:lang w:val="en-IE"/>
        </w:rPr>
        <w:t>Freezing and c</w:t>
      </w:r>
      <w:r>
        <w:rPr>
          <w:rFonts w:ascii="Times New Roman" w:hAnsi="Times New Roman" w:cs="Times New Roman"/>
          <w:b/>
          <w:noProof/>
          <w:sz w:val="24"/>
          <w:szCs w:val="24"/>
        </w:rPr>
        <w:t>onfiscation Directive</w:t>
      </w:r>
      <w:r>
        <w:rPr>
          <w:rStyle w:val="FootnoteReference"/>
          <w:rFonts w:ascii="Times New Roman" w:hAnsi="Times New Roman" w:cs="Times New Roman"/>
          <w:noProof/>
          <w:sz w:val="24"/>
          <w:szCs w:val="24"/>
        </w:rPr>
        <w:footnoteReference w:id="6"/>
      </w:r>
      <w:r>
        <w:rPr>
          <w:rFonts w:ascii="Times New Roman" w:hAnsi="Times New Roman" w:cs="Times New Roman"/>
          <w:noProof/>
          <w:sz w:val="24"/>
          <w:szCs w:val="24"/>
        </w:rPr>
        <w:t xml:space="preserve"> (transposition deadline: 04.10.2016). Infringements ongoing against 3 Member States. </w:t>
      </w:r>
    </w:p>
    <w:p>
      <w:pPr>
        <w:pStyle w:val="ListParagraph"/>
        <w:numPr>
          <w:ilvl w:val="0"/>
          <w:numId w:val="2"/>
        </w:numPr>
        <w:jc w:val="both"/>
        <w:rPr>
          <w:rFonts w:ascii="Times New Roman" w:hAnsi="Times New Roman"/>
          <w:b/>
          <w:noProof/>
          <w:sz w:val="24"/>
          <w:szCs w:val="24"/>
          <w:lang w:val="en-IE"/>
        </w:rPr>
      </w:pPr>
      <w:r>
        <w:rPr>
          <w:rFonts w:ascii="Times New Roman" w:hAnsi="Times New Roman"/>
          <w:b/>
          <w:noProof/>
          <w:sz w:val="24"/>
          <w:szCs w:val="24"/>
          <w:lang w:val="en-IE"/>
        </w:rPr>
        <w:t>Market Abuse Directive</w:t>
      </w:r>
      <w:r>
        <w:rPr>
          <w:rStyle w:val="FootnoteReference"/>
          <w:rFonts w:ascii="Times New Roman" w:hAnsi="Times New Roman"/>
          <w:noProof/>
          <w:sz w:val="24"/>
          <w:szCs w:val="24"/>
          <w:lang w:val="en-IE"/>
        </w:rPr>
        <w:footnoteReference w:id="7"/>
      </w:r>
      <w:r>
        <w:rPr>
          <w:rFonts w:ascii="Times New Roman" w:hAnsi="Times New Roman"/>
          <w:noProof/>
          <w:sz w:val="24"/>
          <w:szCs w:val="24"/>
          <w:lang w:val="en-IE"/>
        </w:rPr>
        <w:t xml:space="preserve"> (transposition deadline: 03.07.16). Infringement procedures ongoing against 5 Member States. </w:t>
      </w:r>
    </w:p>
    <w:p>
      <w:pPr>
        <w:pStyle w:val="ListParagraph"/>
        <w:numPr>
          <w:ilvl w:val="0"/>
          <w:numId w:val="2"/>
        </w:numPr>
        <w:spacing w:line="240" w:lineRule="auto"/>
        <w:jc w:val="both"/>
        <w:rPr>
          <w:rFonts w:ascii="Times New Roman" w:hAnsi="Times New Roman" w:cs="Times New Roman"/>
          <w:bCs/>
          <w:noProof/>
          <w:sz w:val="24"/>
          <w:szCs w:val="24"/>
        </w:rPr>
      </w:pPr>
      <w:r>
        <w:rPr>
          <w:rFonts w:ascii="Times New Roman" w:hAnsi="Times New Roman" w:cs="Times New Roman"/>
          <w:b/>
          <w:bCs/>
          <w:noProof/>
          <w:sz w:val="24"/>
          <w:szCs w:val="24"/>
        </w:rPr>
        <w:t>4</w:t>
      </w:r>
      <w:r>
        <w:rPr>
          <w:rFonts w:ascii="Times New Roman" w:hAnsi="Times New Roman" w:cs="Times New Roman"/>
          <w:b/>
          <w:bCs/>
          <w:noProof/>
          <w:sz w:val="24"/>
          <w:szCs w:val="24"/>
          <w:vertAlign w:val="superscript"/>
        </w:rPr>
        <w:t>th</w:t>
      </w:r>
      <w:r>
        <w:rPr>
          <w:rFonts w:ascii="Times New Roman" w:hAnsi="Times New Roman" w:cs="Times New Roman"/>
          <w:b/>
          <w:bCs/>
          <w:noProof/>
          <w:sz w:val="24"/>
          <w:szCs w:val="24"/>
        </w:rPr>
        <w:t xml:space="preserve"> Anti-Money laundering Directive</w:t>
      </w:r>
      <w:r>
        <w:rPr>
          <w:rStyle w:val="FootnoteReference"/>
          <w:rFonts w:ascii="Times New Roman" w:hAnsi="Times New Roman" w:cs="Times New Roman"/>
          <w:bCs/>
          <w:noProof/>
          <w:sz w:val="24"/>
          <w:szCs w:val="24"/>
        </w:rPr>
        <w:footnoteReference w:id="8"/>
      </w:r>
      <w:r>
        <w:rPr>
          <w:rFonts w:ascii="Times New Roman" w:hAnsi="Times New Roman" w:cs="Times New Roman"/>
          <w:bCs/>
          <w:noProof/>
          <w:sz w:val="24"/>
          <w:szCs w:val="24"/>
        </w:rPr>
        <w:t xml:space="preserve"> (transposition deadline 16.06.2017), infringement procedures ongoing against 7 Member States.</w:t>
      </w:r>
    </w:p>
    <w:p>
      <w:pPr>
        <w:pStyle w:val="ListParagraph"/>
        <w:numPr>
          <w:ilvl w:val="0"/>
          <w:numId w:val="2"/>
        </w:numPr>
        <w:spacing w:after="240" w:line="240" w:lineRule="auto"/>
        <w:jc w:val="both"/>
        <w:rPr>
          <w:rFonts w:ascii="Times New Roman" w:hAnsi="Times New Roman" w:cs="Times New Roman"/>
          <w:noProof/>
          <w:sz w:val="24"/>
          <w:szCs w:val="24"/>
        </w:rPr>
      </w:pPr>
      <w:r>
        <w:rPr>
          <w:rFonts w:ascii="Times New Roman" w:hAnsi="Times New Roman" w:cs="Times New Roman"/>
          <w:b/>
          <w:noProof/>
          <w:sz w:val="24"/>
          <w:szCs w:val="24"/>
        </w:rPr>
        <w:t>Data Protection Law Enforcement Directive</w:t>
      </w:r>
      <w:r>
        <w:rPr>
          <w:rFonts w:ascii="Times New Roman" w:hAnsi="Times New Roman" w:cs="Times New Roman"/>
          <w:noProof/>
          <w:sz w:val="24"/>
          <w:szCs w:val="24"/>
        </w:rPr>
        <w:t xml:space="preserve"> (LED) </w:t>
      </w:r>
      <w:r>
        <w:rPr>
          <w:rStyle w:val="FootnoteReference"/>
          <w:rFonts w:ascii="Times New Roman" w:hAnsi="Times New Roman" w:cs="Times New Roman"/>
          <w:noProof/>
          <w:sz w:val="24"/>
          <w:szCs w:val="24"/>
        </w:rPr>
        <w:footnoteReference w:id="9"/>
      </w:r>
      <w:r>
        <w:rPr>
          <w:rFonts w:ascii="Times New Roman" w:hAnsi="Times New Roman" w:cs="Times New Roman"/>
          <w:noProof/>
          <w:sz w:val="24"/>
          <w:szCs w:val="24"/>
        </w:rPr>
        <w:t xml:space="preserve"> (transposition deadline 06.05.2018), infringements procedures ongoing against 3 Member States.</w:t>
      </w:r>
    </w:p>
    <w:p>
      <w:pPr>
        <w:pStyle w:val="ListParagraph"/>
        <w:numPr>
          <w:ilvl w:val="0"/>
          <w:numId w:val="2"/>
        </w:numPr>
        <w:spacing w:after="240" w:line="240" w:lineRule="auto"/>
        <w:jc w:val="both"/>
        <w:rPr>
          <w:rFonts w:ascii="Times New Roman" w:hAnsi="Times New Roman" w:cs="Times New Roman"/>
          <w:noProof/>
          <w:sz w:val="24"/>
          <w:szCs w:val="24"/>
        </w:rPr>
      </w:pPr>
      <w:r>
        <w:rPr>
          <w:rFonts w:ascii="Times New Roman" w:hAnsi="Times New Roman" w:cs="Times New Roman"/>
          <w:b/>
          <w:bCs/>
          <w:noProof/>
          <w:sz w:val="24"/>
          <w:szCs w:val="24"/>
        </w:rPr>
        <w:t>EU Passenger Name Record Directive</w:t>
      </w:r>
      <w:r>
        <w:rPr>
          <w:rStyle w:val="FootnoteReference"/>
          <w:rFonts w:ascii="Times New Roman" w:hAnsi="Times New Roman" w:cs="Times New Roman"/>
          <w:bCs/>
          <w:noProof/>
          <w:sz w:val="24"/>
          <w:szCs w:val="24"/>
        </w:rPr>
        <w:footnoteReference w:id="10"/>
      </w:r>
      <w:r>
        <w:rPr>
          <w:rFonts w:ascii="Times New Roman" w:hAnsi="Times New Roman" w:cs="Times New Roman"/>
          <w:bCs/>
          <w:noProof/>
          <w:sz w:val="24"/>
          <w:szCs w:val="24"/>
        </w:rPr>
        <w:t xml:space="preserve"> (transposition deadline on 25.05.2018) </w:t>
      </w:r>
      <w:r>
        <w:rPr>
          <w:rFonts w:ascii="Times New Roman" w:hAnsi="Times New Roman"/>
          <w:noProof/>
          <w:sz w:val="24"/>
          <w:szCs w:val="24"/>
          <w:lang w:val="en-IE"/>
        </w:rPr>
        <w:t xml:space="preserve">Infringement procedure ongoing against 1 Member State. </w:t>
      </w:r>
    </w:p>
    <w:p>
      <w:pPr>
        <w:pStyle w:val="ListParagraph"/>
        <w:numPr>
          <w:ilvl w:val="0"/>
          <w:numId w:val="2"/>
        </w:numPr>
        <w:spacing w:line="240" w:lineRule="auto"/>
        <w:jc w:val="both"/>
        <w:rPr>
          <w:rFonts w:ascii="Times New Roman" w:hAnsi="Times New Roman" w:cs="Times New Roman"/>
          <w:bCs/>
          <w:noProof/>
          <w:sz w:val="24"/>
          <w:szCs w:val="24"/>
        </w:rPr>
      </w:pPr>
      <w:r>
        <w:rPr>
          <w:rFonts w:ascii="Times New Roman" w:hAnsi="Times New Roman" w:cs="Times New Roman"/>
          <w:b/>
          <w:noProof/>
          <w:sz w:val="24"/>
          <w:szCs w:val="24"/>
        </w:rPr>
        <w:t>Directive on the</w:t>
      </w:r>
      <w:r>
        <w:rPr>
          <w:rFonts w:ascii="Times New Roman" w:hAnsi="Times New Roman" w:cs="Times New Roman"/>
          <w:noProof/>
          <w:sz w:val="24"/>
          <w:szCs w:val="24"/>
        </w:rPr>
        <w:t xml:space="preserve"> </w:t>
      </w:r>
      <w:r>
        <w:rPr>
          <w:rFonts w:ascii="Times New Roman" w:hAnsi="Times New Roman" w:cs="Times New Roman"/>
          <w:b/>
          <w:noProof/>
          <w:sz w:val="24"/>
          <w:szCs w:val="24"/>
        </w:rPr>
        <w:t>control of the acquisition and possession of weapons</w:t>
      </w:r>
      <w:r>
        <w:rPr>
          <w:rStyle w:val="FootnoteReference"/>
          <w:rFonts w:ascii="Times New Roman" w:hAnsi="Times New Roman" w:cs="Times New Roman"/>
          <w:noProof/>
          <w:sz w:val="24"/>
          <w:szCs w:val="24"/>
        </w:rPr>
        <w:footnoteReference w:id="11"/>
      </w:r>
      <w:r>
        <w:rPr>
          <w:rFonts w:ascii="Times New Roman" w:hAnsi="Times New Roman" w:cs="Times New Roman"/>
          <w:noProof/>
          <w:sz w:val="24"/>
          <w:szCs w:val="24"/>
        </w:rPr>
        <w:t xml:space="preserve"> (Firearms Directive) (transposition deadline: 14.09.2018). Infringement procedures ongoing against 25 Member States and the UK. </w:t>
      </w:r>
    </w:p>
    <w:p>
      <w:pPr>
        <w:pStyle w:val="ListParagraph"/>
        <w:numPr>
          <w:ilvl w:val="0"/>
          <w:numId w:val="2"/>
        </w:numPr>
        <w:jc w:val="both"/>
        <w:rPr>
          <w:rFonts w:ascii="Times New Roman" w:hAnsi="Times New Roman"/>
          <w:noProof/>
          <w:sz w:val="24"/>
          <w:szCs w:val="24"/>
          <w:lang w:val="en-IE"/>
        </w:rPr>
      </w:pPr>
      <w:r>
        <w:rPr>
          <w:rFonts w:ascii="Times New Roman" w:hAnsi="Times New Roman" w:cs="Times New Roman"/>
          <w:b/>
          <w:bCs/>
          <w:noProof/>
          <w:sz w:val="24"/>
          <w:szCs w:val="24"/>
        </w:rPr>
        <w:t>Legislative package on new psychoactive substances (NPS)</w:t>
      </w:r>
      <w:r>
        <w:rPr>
          <w:rStyle w:val="FootnoteReference"/>
          <w:rFonts w:ascii="Times New Roman" w:hAnsi="Times New Roman" w:cs="Times New Roman"/>
          <w:bCs/>
          <w:noProof/>
          <w:sz w:val="24"/>
          <w:szCs w:val="24"/>
        </w:rPr>
        <w:footnoteReference w:id="12"/>
      </w:r>
      <w:r>
        <w:rPr>
          <w:rFonts w:ascii="Times New Roman" w:hAnsi="Times New Roman" w:cs="Times New Roman"/>
          <w:bCs/>
          <w:noProof/>
          <w:sz w:val="24"/>
          <w:szCs w:val="24"/>
        </w:rPr>
        <w:t xml:space="preserve"> (transposition deadline 23.11.2018). Infringement procedure for </w:t>
      </w:r>
      <w:r>
        <w:rPr>
          <w:rFonts w:ascii="Times New Roman" w:hAnsi="Times New Roman"/>
          <w:noProof/>
          <w:sz w:val="24"/>
          <w:szCs w:val="24"/>
          <w:lang w:val="en-IE"/>
        </w:rPr>
        <w:t xml:space="preserve">Directive (EU) 2017/2103 </w:t>
      </w:r>
      <w:r>
        <w:rPr>
          <w:rFonts w:ascii="Times New Roman" w:hAnsi="Times New Roman" w:cs="Times New Roman"/>
          <w:bCs/>
          <w:noProof/>
          <w:sz w:val="24"/>
          <w:szCs w:val="24"/>
        </w:rPr>
        <w:t xml:space="preserve">ongoing </w:t>
      </w:r>
      <w:r>
        <w:rPr>
          <w:rFonts w:ascii="Times New Roman" w:hAnsi="Times New Roman" w:cs="Times New Roman"/>
          <w:bCs/>
          <w:noProof/>
          <w:sz w:val="24"/>
          <w:szCs w:val="24"/>
        </w:rPr>
        <w:lastRenderedPageBreak/>
        <w:t>against 5 Member States</w:t>
      </w:r>
      <w:r>
        <w:rPr>
          <w:rFonts w:ascii="Times New Roman" w:hAnsi="Times New Roman"/>
          <w:noProof/>
          <w:sz w:val="24"/>
          <w:szCs w:val="24"/>
          <w:lang w:val="en-IE"/>
        </w:rPr>
        <w:t xml:space="preserve"> and for Delegated Directive (EU) 2019/369 against 1 Member State.</w:t>
      </w:r>
    </w:p>
    <w:p>
      <w:pPr>
        <w:pStyle w:val="ListParagraph"/>
        <w:numPr>
          <w:ilvl w:val="0"/>
          <w:numId w:val="2"/>
        </w:numPr>
        <w:jc w:val="both"/>
        <w:rPr>
          <w:rFonts w:ascii="Times New Roman" w:hAnsi="Times New Roman" w:cs="Times New Roman"/>
          <w:bCs/>
          <w:noProof/>
          <w:sz w:val="24"/>
          <w:szCs w:val="24"/>
        </w:rPr>
      </w:pPr>
      <w:r>
        <w:rPr>
          <w:rFonts w:ascii="Times New Roman" w:hAnsi="Times New Roman" w:cs="Times New Roman"/>
          <w:b/>
          <w:noProof/>
          <w:sz w:val="24"/>
          <w:szCs w:val="24"/>
        </w:rPr>
        <w:t>Directive on the</w:t>
      </w:r>
      <w:r>
        <w:rPr>
          <w:rFonts w:ascii="Times New Roman" w:hAnsi="Times New Roman" w:cs="Times New Roman"/>
          <w:noProof/>
          <w:sz w:val="24"/>
          <w:szCs w:val="24"/>
        </w:rPr>
        <w:t xml:space="preserve"> </w:t>
      </w:r>
      <w:r>
        <w:rPr>
          <w:rFonts w:ascii="Times New Roman" w:hAnsi="Times New Roman" w:cs="Times New Roman"/>
          <w:b/>
          <w:noProof/>
          <w:sz w:val="24"/>
          <w:szCs w:val="24"/>
        </w:rPr>
        <w:t>fight against fraud to the Union’s financial interests</w:t>
      </w:r>
      <w:r>
        <w:rPr>
          <w:rFonts w:ascii="Times New Roman" w:hAnsi="Times New Roman" w:cs="Times New Roman"/>
          <w:noProof/>
          <w:sz w:val="24"/>
          <w:szCs w:val="24"/>
        </w:rPr>
        <w:t xml:space="preserve"> by means of criminal law</w:t>
      </w:r>
      <w:r>
        <w:rPr>
          <w:rStyle w:val="FootnoteReference"/>
          <w:rFonts w:ascii="Times New Roman" w:hAnsi="Times New Roman" w:cs="Times New Roman"/>
          <w:noProof/>
          <w:sz w:val="24"/>
          <w:szCs w:val="24"/>
        </w:rPr>
        <w:footnoteReference w:id="13"/>
      </w:r>
      <w:r>
        <w:rPr>
          <w:rFonts w:ascii="Times New Roman" w:hAnsi="Times New Roman" w:cs="Times New Roman"/>
          <w:noProof/>
          <w:sz w:val="24"/>
          <w:szCs w:val="24"/>
        </w:rPr>
        <w:t xml:space="preserve"> (transposition deadline: 06.07.2019). Infringement procedures ongoing against 3 Member States.</w:t>
      </w:r>
    </w:p>
    <w:p>
      <w:pPr>
        <w:pStyle w:val="ListParagraph"/>
        <w:numPr>
          <w:ilvl w:val="0"/>
          <w:numId w:val="2"/>
        </w:numPr>
        <w:spacing w:line="240" w:lineRule="auto"/>
        <w:jc w:val="both"/>
        <w:rPr>
          <w:rFonts w:ascii="Times New Roman" w:hAnsi="Times New Roman" w:cs="Times New Roman"/>
          <w:noProof/>
          <w:sz w:val="24"/>
          <w:szCs w:val="24"/>
        </w:rPr>
      </w:pPr>
      <w:r>
        <w:rPr>
          <w:rFonts w:ascii="Times New Roman" w:hAnsi="Times New Roman" w:cs="Times New Roman"/>
          <w:b/>
          <w:noProof/>
          <w:sz w:val="24"/>
          <w:szCs w:val="24"/>
        </w:rPr>
        <w:t>5</w:t>
      </w:r>
      <w:r>
        <w:rPr>
          <w:rFonts w:ascii="Times New Roman" w:hAnsi="Times New Roman" w:cs="Times New Roman"/>
          <w:b/>
          <w:noProof/>
          <w:sz w:val="24"/>
          <w:szCs w:val="24"/>
          <w:vertAlign w:val="superscript"/>
        </w:rPr>
        <w:t>th</w:t>
      </w:r>
      <w:r>
        <w:rPr>
          <w:rFonts w:ascii="Times New Roman" w:hAnsi="Times New Roman" w:cs="Times New Roman"/>
          <w:b/>
          <w:noProof/>
          <w:sz w:val="24"/>
          <w:szCs w:val="24"/>
        </w:rPr>
        <w:t xml:space="preserve"> Anti-Money laundering Directive</w:t>
      </w:r>
      <w:r>
        <w:rPr>
          <w:rStyle w:val="FootnoteReference"/>
          <w:rFonts w:ascii="Times New Roman" w:hAnsi="Times New Roman" w:cs="Times New Roman"/>
          <w:noProof/>
          <w:sz w:val="24"/>
          <w:szCs w:val="24"/>
        </w:rPr>
        <w:footnoteReference w:id="14"/>
      </w:r>
      <w:r>
        <w:rPr>
          <w:rFonts w:ascii="Times New Roman" w:hAnsi="Times New Roman" w:cs="Times New Roman"/>
          <w:noProof/>
          <w:sz w:val="24"/>
          <w:szCs w:val="24"/>
        </w:rPr>
        <w:t xml:space="preserve"> (transposition deadline 10.01.2020); infringement procedures ongoing against 16 Member States. </w:t>
      </w:r>
    </w:p>
    <w:p>
      <w:pPr>
        <w:pStyle w:val="ListParagraph"/>
        <w:numPr>
          <w:ilvl w:val="0"/>
          <w:numId w:val="2"/>
        </w:numPr>
        <w:spacing w:line="240" w:lineRule="auto"/>
        <w:jc w:val="both"/>
        <w:rPr>
          <w:rFonts w:ascii="Times New Roman" w:hAnsi="Times New Roman" w:cs="Times New Roman"/>
          <w:bCs/>
          <w:noProof/>
          <w:sz w:val="24"/>
          <w:szCs w:val="24"/>
        </w:rPr>
      </w:pPr>
      <w:r>
        <w:rPr>
          <w:rFonts w:ascii="Times New Roman" w:hAnsi="Times New Roman" w:cs="Times New Roman"/>
          <w:b/>
          <w:noProof/>
          <w:sz w:val="24"/>
          <w:szCs w:val="24"/>
        </w:rPr>
        <w:t>Implementing Directive establishing</w:t>
      </w:r>
      <w:r>
        <w:rPr>
          <w:rFonts w:ascii="Times New Roman" w:hAnsi="Times New Roman" w:cs="Times New Roman"/>
          <w:noProof/>
          <w:sz w:val="24"/>
          <w:szCs w:val="24"/>
        </w:rPr>
        <w:t xml:space="preserve"> </w:t>
      </w:r>
      <w:r>
        <w:rPr>
          <w:rFonts w:ascii="Times New Roman" w:hAnsi="Times New Roman" w:cs="Times New Roman"/>
          <w:b/>
          <w:noProof/>
          <w:sz w:val="24"/>
          <w:szCs w:val="24"/>
        </w:rPr>
        <w:t>technical specifications for the marking of firearms</w:t>
      </w:r>
      <w:r>
        <w:rPr>
          <w:rStyle w:val="FootnoteReference"/>
          <w:rFonts w:ascii="Times New Roman" w:hAnsi="Times New Roman" w:cs="Times New Roman"/>
          <w:noProof/>
          <w:sz w:val="24"/>
          <w:szCs w:val="24"/>
        </w:rPr>
        <w:footnoteReference w:id="15"/>
      </w:r>
      <w:r>
        <w:rPr>
          <w:rFonts w:ascii="Times New Roman" w:hAnsi="Times New Roman" w:cs="Times New Roman"/>
          <w:noProof/>
          <w:sz w:val="24"/>
          <w:szCs w:val="24"/>
        </w:rPr>
        <w:t xml:space="preserve"> (transposition deadline: 17.01.2020) infringement procedure ongoing against 18 Member States and the United Kingdom.</w:t>
      </w:r>
    </w:p>
    <w:p>
      <w:pPr>
        <w:pStyle w:val="ListParagraph"/>
        <w:numPr>
          <w:ilvl w:val="0"/>
          <w:numId w:val="2"/>
        </w:numPr>
        <w:spacing w:line="240" w:lineRule="auto"/>
        <w:jc w:val="both"/>
        <w:rPr>
          <w:rFonts w:ascii="Times New Roman" w:hAnsi="Times New Roman" w:cs="Times New Roman"/>
          <w:bCs/>
          <w:noProof/>
          <w:sz w:val="24"/>
          <w:szCs w:val="24"/>
        </w:rPr>
      </w:pPr>
      <w:r>
        <w:rPr>
          <w:rFonts w:ascii="Times New Roman" w:hAnsi="Times New Roman" w:cs="Times New Roman"/>
          <w:b/>
          <w:noProof/>
          <w:sz w:val="24"/>
          <w:szCs w:val="24"/>
        </w:rPr>
        <w:t>Implementing Directive on</w:t>
      </w:r>
      <w:r>
        <w:rPr>
          <w:rFonts w:ascii="Times New Roman" w:hAnsi="Times New Roman" w:cs="Times New Roman"/>
          <w:noProof/>
          <w:sz w:val="24"/>
          <w:szCs w:val="24"/>
        </w:rPr>
        <w:t xml:space="preserve"> </w:t>
      </w:r>
      <w:r>
        <w:rPr>
          <w:rFonts w:ascii="Times New Roman" w:hAnsi="Times New Roman" w:cs="Times New Roman"/>
          <w:b/>
          <w:noProof/>
          <w:sz w:val="24"/>
          <w:szCs w:val="24"/>
        </w:rPr>
        <w:t>technical specifications for alarm and signal weapons</w:t>
      </w:r>
      <w:r>
        <w:rPr>
          <w:rStyle w:val="FootnoteReference"/>
          <w:rFonts w:ascii="Times New Roman" w:hAnsi="Times New Roman" w:cs="Times New Roman"/>
          <w:noProof/>
          <w:sz w:val="24"/>
          <w:szCs w:val="24"/>
        </w:rPr>
        <w:footnoteReference w:id="16"/>
      </w:r>
      <w:r>
        <w:rPr>
          <w:rFonts w:ascii="Times New Roman" w:hAnsi="Times New Roman" w:cs="Times New Roman"/>
          <w:noProof/>
          <w:sz w:val="24"/>
          <w:szCs w:val="24"/>
        </w:rPr>
        <w:t xml:space="preserve"> (transposition deadline: 17.01.2020). Infringement procedures are ongoing for 16 Member States and the UK.</w:t>
      </w:r>
      <w:r>
        <w:rPr>
          <w:rFonts w:ascii="Times New Roman" w:hAnsi="Times New Roman"/>
          <w:noProof/>
          <w:sz w:val="24"/>
          <w:szCs w:val="24"/>
          <w:lang w:val="en-IE"/>
        </w:rPr>
        <w:t xml:space="preserve"> </w:t>
      </w:r>
    </w:p>
    <w:p>
      <w:pPr>
        <w:pStyle w:val="ListParagraph"/>
        <w:numPr>
          <w:ilvl w:val="0"/>
          <w:numId w:val="2"/>
        </w:numPr>
        <w:jc w:val="both"/>
        <w:rPr>
          <w:rFonts w:ascii="Times New Roman" w:hAnsi="Times New Roman" w:cs="Times New Roman"/>
          <w:bCs/>
          <w:noProof/>
          <w:sz w:val="24"/>
          <w:szCs w:val="24"/>
        </w:rPr>
      </w:pPr>
      <w:r>
        <w:rPr>
          <w:rFonts w:ascii="Times New Roman" w:hAnsi="Times New Roman" w:cs="Times New Roman"/>
          <w:bCs/>
          <w:noProof/>
          <w:sz w:val="24"/>
          <w:szCs w:val="24"/>
        </w:rPr>
        <w:t xml:space="preserve">Council framework Decision 2009/905/JHA of 30 November 2009 on </w:t>
      </w:r>
      <w:r>
        <w:rPr>
          <w:rFonts w:ascii="Times New Roman" w:hAnsi="Times New Roman" w:cs="Times New Roman"/>
          <w:b/>
          <w:bCs/>
          <w:noProof/>
          <w:sz w:val="24"/>
          <w:szCs w:val="24"/>
        </w:rPr>
        <w:t>Accreditation of forensic service providers carrying out laboratory activities</w:t>
      </w:r>
      <w:r>
        <w:rPr>
          <w:rFonts w:ascii="Times New Roman" w:hAnsi="Times New Roman" w:cs="Times New Roman"/>
          <w:bCs/>
          <w:noProof/>
          <w:sz w:val="24"/>
          <w:szCs w:val="24"/>
        </w:rPr>
        <w:t xml:space="preserve"> (transposition deadline with regard to DNA data 30.11.2013, and dactyloscopic data 30.11.2015). Infringement procedures are ongoing for 2 Member States.</w:t>
      </w:r>
    </w:p>
    <w:p>
      <w:pPr>
        <w:pStyle w:val="ListParagraph"/>
        <w:numPr>
          <w:ilvl w:val="0"/>
          <w:numId w:val="2"/>
        </w:numPr>
        <w:spacing w:line="240" w:lineRule="auto"/>
        <w:jc w:val="both"/>
        <w:rPr>
          <w:rFonts w:ascii="Times New Roman" w:hAnsi="Times New Roman" w:cs="Times New Roman"/>
          <w:bCs/>
          <w:noProof/>
          <w:sz w:val="24"/>
          <w:szCs w:val="24"/>
        </w:rPr>
      </w:pPr>
      <w:r>
        <w:rPr>
          <w:rFonts w:ascii="Times New Roman" w:hAnsi="Times New Roman" w:cs="Times New Roman"/>
          <w:b/>
          <w:bCs/>
          <w:noProof/>
          <w:sz w:val="24"/>
          <w:szCs w:val="24"/>
        </w:rPr>
        <w:t>Directive concerning measures for a high common level of security of networks and information systems across the Union</w:t>
      </w:r>
      <w:r>
        <w:rPr>
          <w:rFonts w:ascii="Times New Roman" w:hAnsi="Times New Roman" w:cs="Times New Roman"/>
          <w:bCs/>
          <w:noProof/>
          <w:sz w:val="24"/>
          <w:szCs w:val="24"/>
        </w:rPr>
        <w:t xml:space="preserve"> (</w:t>
      </w:r>
      <w:r>
        <w:rPr>
          <w:rFonts w:ascii="Times New Roman" w:hAnsi="Times New Roman" w:cs="Times New Roman"/>
          <w:b/>
          <w:bCs/>
          <w:noProof/>
          <w:sz w:val="24"/>
          <w:szCs w:val="24"/>
        </w:rPr>
        <w:t>NIS Directive</w:t>
      </w:r>
      <w:r>
        <w:rPr>
          <w:rFonts w:ascii="Times New Roman" w:hAnsi="Times New Roman" w:cs="Times New Roman"/>
          <w:bCs/>
          <w:noProof/>
          <w:sz w:val="24"/>
          <w:szCs w:val="24"/>
        </w:rPr>
        <w:t>)</w:t>
      </w:r>
      <w:r>
        <w:rPr>
          <w:rStyle w:val="FootnoteReference"/>
          <w:rFonts w:ascii="Times New Roman" w:hAnsi="Times New Roman" w:cs="Times New Roman"/>
          <w:bCs/>
          <w:noProof/>
          <w:sz w:val="24"/>
          <w:szCs w:val="24"/>
        </w:rPr>
        <w:footnoteReference w:id="17"/>
      </w:r>
      <w:r>
        <w:rPr>
          <w:rFonts w:ascii="Times New Roman" w:hAnsi="Times New Roman" w:cs="Times New Roman"/>
          <w:bCs/>
          <w:noProof/>
          <w:sz w:val="24"/>
          <w:szCs w:val="24"/>
        </w:rPr>
        <w:t xml:space="preserve"> (transposition deadline: 09.05.2018). Infringement procedure ongoing against 3 Member States. </w:t>
      </w:r>
    </w:p>
    <w:p>
      <w:pPr>
        <w:pStyle w:val="ListParagraph"/>
        <w:numPr>
          <w:ilvl w:val="0"/>
          <w:numId w:val="2"/>
        </w:numPr>
        <w:spacing w:line="240" w:lineRule="auto"/>
        <w:jc w:val="both"/>
        <w:rPr>
          <w:rFonts w:ascii="Times New Roman" w:hAnsi="Times New Roman" w:cs="Times New Roman"/>
          <w:noProof/>
          <w:sz w:val="24"/>
          <w:szCs w:val="24"/>
        </w:rPr>
      </w:pPr>
      <w:r>
        <w:rPr>
          <w:rFonts w:ascii="Times New Roman" w:hAnsi="Times New Roman" w:cs="Times New Roman"/>
          <w:b/>
          <w:noProof/>
          <w:sz w:val="24"/>
          <w:szCs w:val="24"/>
        </w:rPr>
        <w:t>Victims’ Rights Directive</w:t>
      </w:r>
      <w:r>
        <w:rPr>
          <w:rStyle w:val="FootnoteReference"/>
          <w:rFonts w:ascii="Times New Roman" w:hAnsi="Times New Roman" w:cs="Times New Roman"/>
          <w:noProof/>
          <w:sz w:val="24"/>
          <w:szCs w:val="24"/>
        </w:rPr>
        <w:footnoteReference w:id="18"/>
      </w:r>
      <w:r>
        <w:rPr>
          <w:rFonts w:ascii="Times New Roman" w:hAnsi="Times New Roman" w:cs="Times New Roman"/>
          <w:noProof/>
          <w:sz w:val="24"/>
          <w:szCs w:val="24"/>
        </w:rPr>
        <w:t xml:space="preserve"> (transposition deadline: 16.11.2015). Infringement procedure ongoing against 12 Member States.</w:t>
      </w:r>
    </w:p>
    <w:p>
      <w:pPr>
        <w:pStyle w:val="ListParagraph"/>
        <w:numPr>
          <w:ilvl w:val="0"/>
          <w:numId w:val="2"/>
        </w:numPr>
        <w:spacing w:line="240" w:lineRule="auto"/>
        <w:jc w:val="both"/>
        <w:rPr>
          <w:rFonts w:ascii="Times New Roman" w:hAnsi="Times New Roman" w:cs="Times New Roman"/>
          <w:noProof/>
          <w:sz w:val="24"/>
          <w:szCs w:val="24"/>
        </w:rPr>
      </w:pPr>
      <w:r>
        <w:rPr>
          <w:rFonts w:ascii="Times New Roman" w:hAnsi="Times New Roman" w:cs="Times New Roman"/>
          <w:b/>
          <w:noProof/>
          <w:sz w:val="24"/>
          <w:szCs w:val="24"/>
        </w:rPr>
        <w:t>Framework Decision on European Arrest Warrant</w:t>
      </w:r>
      <w:r>
        <w:rPr>
          <w:rStyle w:val="FootnoteReference"/>
          <w:rFonts w:ascii="Times New Roman" w:hAnsi="Times New Roman" w:cs="Times New Roman"/>
          <w:noProof/>
          <w:sz w:val="24"/>
          <w:szCs w:val="24"/>
        </w:rPr>
        <w:footnoteReference w:id="19"/>
      </w:r>
      <w:r>
        <w:rPr>
          <w:rFonts w:ascii="Times New Roman" w:hAnsi="Times New Roman" w:cs="Times New Roman"/>
          <w:noProof/>
          <w:sz w:val="24"/>
          <w:szCs w:val="24"/>
        </w:rPr>
        <w:t xml:space="preserve"> (transposition deadline: 31.12.2003). Infringement procedure ongoing against 7 Member States.</w:t>
      </w:r>
    </w:p>
    <w:p>
      <w:pPr>
        <w:pStyle w:val="ListParagraph"/>
        <w:numPr>
          <w:ilvl w:val="0"/>
          <w:numId w:val="2"/>
        </w:numPr>
        <w:spacing w:line="240" w:lineRule="auto"/>
        <w:jc w:val="both"/>
        <w:rPr>
          <w:rFonts w:ascii="Times New Roman" w:hAnsi="Times New Roman" w:cs="Times New Roman"/>
          <w:noProof/>
          <w:sz w:val="24"/>
          <w:szCs w:val="24"/>
        </w:rPr>
      </w:pPr>
      <w:r>
        <w:rPr>
          <w:rFonts w:ascii="Times New Roman" w:hAnsi="Times New Roman" w:cs="Times New Roman"/>
          <w:b/>
          <w:noProof/>
          <w:sz w:val="24"/>
          <w:szCs w:val="24"/>
        </w:rPr>
        <w:t>Framework Decision on custodial sentences</w:t>
      </w:r>
      <w:r>
        <w:rPr>
          <w:rStyle w:val="FootnoteReference"/>
          <w:rFonts w:ascii="Times New Roman" w:hAnsi="Times New Roman" w:cs="Times New Roman"/>
          <w:noProof/>
          <w:sz w:val="24"/>
          <w:szCs w:val="24"/>
        </w:rPr>
        <w:footnoteReference w:id="20"/>
      </w:r>
      <w:r>
        <w:rPr>
          <w:rFonts w:ascii="Times New Roman" w:hAnsi="Times New Roman" w:cs="Times New Roman"/>
          <w:noProof/>
          <w:sz w:val="24"/>
          <w:szCs w:val="24"/>
        </w:rPr>
        <w:t xml:space="preserve"> (transposition deadline: 5.12.2011). Infringement procedure ongoing against 1 Member State.</w:t>
      </w:r>
    </w:p>
    <w:p>
      <w:pPr>
        <w:pStyle w:val="ListParagraph"/>
        <w:numPr>
          <w:ilvl w:val="0"/>
          <w:numId w:val="2"/>
        </w:numPr>
        <w:spacing w:line="240" w:lineRule="auto"/>
        <w:jc w:val="both"/>
        <w:rPr>
          <w:rFonts w:ascii="Times New Roman" w:hAnsi="Times New Roman" w:cs="Times New Roman"/>
          <w:noProof/>
          <w:sz w:val="24"/>
          <w:szCs w:val="24"/>
        </w:rPr>
      </w:pPr>
      <w:r>
        <w:rPr>
          <w:rFonts w:ascii="Times New Roman" w:hAnsi="Times New Roman" w:cs="Times New Roman"/>
          <w:b/>
          <w:noProof/>
          <w:sz w:val="24"/>
          <w:szCs w:val="24"/>
        </w:rPr>
        <w:lastRenderedPageBreak/>
        <w:t>Framework Decision on financial penalties</w:t>
      </w:r>
      <w:r>
        <w:rPr>
          <w:rStyle w:val="FootnoteReference"/>
          <w:rFonts w:ascii="Times New Roman" w:hAnsi="Times New Roman" w:cs="Times New Roman"/>
          <w:noProof/>
          <w:sz w:val="24"/>
          <w:szCs w:val="24"/>
        </w:rPr>
        <w:footnoteReference w:id="21"/>
      </w:r>
      <w:r>
        <w:rPr>
          <w:rFonts w:ascii="Times New Roman" w:hAnsi="Times New Roman" w:cs="Times New Roman"/>
          <w:noProof/>
          <w:sz w:val="24"/>
          <w:szCs w:val="24"/>
        </w:rPr>
        <w:t xml:space="preserve"> (transposition deadline: 22.3.2007). Infringement procedure ongoing against 1 Member State.</w:t>
      </w:r>
    </w:p>
    <w:p>
      <w:pPr>
        <w:pStyle w:val="ListParagraph"/>
        <w:numPr>
          <w:ilvl w:val="0"/>
          <w:numId w:val="2"/>
        </w:numPr>
        <w:spacing w:line="240" w:lineRule="auto"/>
        <w:jc w:val="both"/>
        <w:rPr>
          <w:rFonts w:ascii="Times New Roman" w:hAnsi="Times New Roman" w:cs="Times New Roman"/>
          <w:noProof/>
          <w:sz w:val="24"/>
          <w:szCs w:val="24"/>
        </w:rPr>
      </w:pPr>
      <w:r>
        <w:rPr>
          <w:rFonts w:ascii="Times New Roman" w:hAnsi="Times New Roman" w:cs="Times New Roman"/>
          <w:b/>
          <w:noProof/>
          <w:sz w:val="24"/>
          <w:szCs w:val="24"/>
        </w:rPr>
        <w:t>Framework Decision on supervision measures</w:t>
      </w:r>
      <w:r>
        <w:rPr>
          <w:rStyle w:val="FootnoteReference"/>
          <w:rFonts w:ascii="Times New Roman" w:hAnsi="Times New Roman" w:cs="Times New Roman"/>
          <w:noProof/>
          <w:sz w:val="24"/>
          <w:szCs w:val="24"/>
        </w:rPr>
        <w:footnoteReference w:id="22"/>
      </w:r>
      <w:r>
        <w:rPr>
          <w:rFonts w:ascii="Times New Roman" w:hAnsi="Times New Roman" w:cs="Times New Roman"/>
          <w:b/>
          <w:noProof/>
          <w:sz w:val="24"/>
          <w:szCs w:val="24"/>
        </w:rPr>
        <w:t xml:space="preserve"> </w:t>
      </w:r>
      <w:r>
        <w:rPr>
          <w:rFonts w:ascii="Times New Roman" w:hAnsi="Times New Roman" w:cs="Times New Roman"/>
          <w:noProof/>
          <w:sz w:val="24"/>
          <w:szCs w:val="24"/>
        </w:rPr>
        <w:t>(transposition deadline: 1.12.2012).</w:t>
      </w:r>
      <w:r>
        <w:rPr>
          <w:noProof/>
          <w:color w:val="1F497D"/>
        </w:rPr>
        <w:t xml:space="preserve"> </w:t>
      </w:r>
      <w:r>
        <w:rPr>
          <w:rFonts w:ascii="Times New Roman" w:hAnsi="Times New Roman" w:cs="Times New Roman"/>
          <w:noProof/>
          <w:sz w:val="24"/>
          <w:szCs w:val="24"/>
        </w:rPr>
        <w:t>Infringement procedure ongoing against 1 Member State.</w:t>
      </w:r>
    </w:p>
    <w:p>
      <w:pPr>
        <w:pStyle w:val="ListParagraph"/>
        <w:numPr>
          <w:ilvl w:val="0"/>
          <w:numId w:val="2"/>
        </w:numPr>
        <w:spacing w:line="240" w:lineRule="auto"/>
        <w:jc w:val="both"/>
        <w:rPr>
          <w:rFonts w:ascii="Times New Roman" w:hAnsi="Times New Roman" w:cs="Times New Roman"/>
          <w:bCs/>
          <w:noProof/>
          <w:sz w:val="24"/>
          <w:szCs w:val="24"/>
        </w:rPr>
      </w:pPr>
      <w:r>
        <w:rPr>
          <w:rFonts w:ascii="Times New Roman" w:hAnsi="Times New Roman" w:cs="Times New Roman"/>
          <w:b/>
          <w:bCs/>
          <w:noProof/>
          <w:sz w:val="24"/>
          <w:szCs w:val="24"/>
        </w:rPr>
        <w:t>Revised Audiovisual Media Services Directive</w:t>
      </w:r>
      <w:r>
        <w:rPr>
          <w:rFonts w:ascii="Times New Roman" w:hAnsi="Times New Roman" w:cs="Times New Roman"/>
          <w:bCs/>
          <w:noProof/>
          <w:sz w:val="24"/>
          <w:szCs w:val="24"/>
        </w:rPr>
        <w:t xml:space="preserve"> (transposition deadline: 19.09.2020). Infringement procedures launched against 23 Member States.</w:t>
      </w:r>
    </w:p>
    <w:p>
      <w:pPr>
        <w:spacing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II. List of Directives to be transposed before end 2020 and in 2021</w:t>
      </w:r>
    </w:p>
    <w:p>
      <w:pPr>
        <w:pStyle w:val="ListParagraph"/>
        <w:numPr>
          <w:ilvl w:val="0"/>
          <w:numId w:val="2"/>
        </w:numPr>
        <w:jc w:val="both"/>
        <w:rPr>
          <w:rFonts w:ascii="Times New Roman" w:hAnsi="Times New Roman" w:cs="Times New Roman"/>
          <w:bCs/>
          <w:noProof/>
          <w:sz w:val="24"/>
          <w:szCs w:val="24"/>
        </w:rPr>
      </w:pPr>
      <w:r>
        <w:rPr>
          <w:rFonts w:ascii="Times New Roman" w:hAnsi="Times New Roman" w:cs="Times New Roman"/>
          <w:bCs/>
          <w:noProof/>
          <w:sz w:val="24"/>
          <w:szCs w:val="24"/>
        </w:rPr>
        <w:t xml:space="preserve">Directive on </w:t>
      </w:r>
      <w:r>
        <w:rPr>
          <w:rFonts w:ascii="Times New Roman" w:hAnsi="Times New Roman" w:cs="Times New Roman"/>
          <w:b/>
          <w:bCs/>
          <w:noProof/>
          <w:sz w:val="24"/>
          <w:szCs w:val="24"/>
        </w:rPr>
        <w:t>combating money laundering</w:t>
      </w:r>
      <w:r>
        <w:rPr>
          <w:rStyle w:val="FootnoteReference"/>
          <w:rFonts w:ascii="Times New Roman" w:hAnsi="Times New Roman" w:cs="Times New Roman"/>
          <w:bCs/>
          <w:noProof/>
          <w:sz w:val="24"/>
          <w:szCs w:val="24"/>
        </w:rPr>
        <w:footnoteReference w:id="23"/>
      </w:r>
      <w:r>
        <w:rPr>
          <w:rFonts w:ascii="Times New Roman" w:hAnsi="Times New Roman" w:cs="Times New Roman"/>
          <w:bCs/>
          <w:noProof/>
          <w:sz w:val="24"/>
          <w:szCs w:val="24"/>
        </w:rPr>
        <w:t xml:space="preserve"> (transposition deadline: December 2020).</w:t>
      </w:r>
    </w:p>
    <w:p>
      <w:pPr>
        <w:pStyle w:val="ListParagraph"/>
        <w:numPr>
          <w:ilvl w:val="0"/>
          <w:numId w:val="2"/>
        </w:numPr>
        <w:spacing w:line="240" w:lineRule="auto"/>
        <w:jc w:val="both"/>
        <w:rPr>
          <w:rFonts w:ascii="Times New Roman" w:hAnsi="Times New Roman" w:cs="Times New Roman"/>
          <w:bCs/>
          <w:noProof/>
          <w:sz w:val="24"/>
          <w:szCs w:val="24"/>
        </w:rPr>
      </w:pPr>
      <w:r>
        <w:rPr>
          <w:rFonts w:ascii="Times New Roman" w:hAnsi="Times New Roman" w:cs="Times New Roman"/>
          <w:noProof/>
          <w:sz w:val="24"/>
          <w:szCs w:val="24"/>
        </w:rPr>
        <w:t xml:space="preserve">Directive facilitating the </w:t>
      </w:r>
      <w:r>
        <w:rPr>
          <w:rFonts w:ascii="Times New Roman" w:hAnsi="Times New Roman" w:cs="Times New Roman"/>
          <w:b/>
          <w:bCs/>
          <w:noProof/>
          <w:sz w:val="24"/>
          <w:szCs w:val="24"/>
        </w:rPr>
        <w:t>use of financial and other information for the prevention, detection, investigation or prosecution of certain criminal offences</w:t>
      </w:r>
      <w:r>
        <w:rPr>
          <w:rStyle w:val="FootnoteReference"/>
          <w:rFonts w:ascii="Times New Roman" w:hAnsi="Times New Roman" w:cs="Times New Roman"/>
          <w:bCs/>
          <w:noProof/>
          <w:sz w:val="24"/>
          <w:szCs w:val="24"/>
        </w:rPr>
        <w:footnoteReference w:id="24"/>
      </w:r>
      <w:r>
        <w:rPr>
          <w:rFonts w:ascii="Times New Roman" w:hAnsi="Times New Roman" w:cs="Times New Roman"/>
          <w:noProof/>
          <w:sz w:val="24"/>
          <w:szCs w:val="24"/>
        </w:rPr>
        <w:t xml:space="preserve"> (transposition deadline: 01.08.2021).</w:t>
      </w:r>
    </w:p>
    <w:p>
      <w:pPr>
        <w:pStyle w:val="ListParagraph"/>
        <w:numPr>
          <w:ilvl w:val="0"/>
          <w:numId w:val="2"/>
        </w:numPr>
        <w:jc w:val="both"/>
        <w:rPr>
          <w:rFonts w:ascii="Times New Roman" w:hAnsi="Times New Roman" w:cs="Times New Roman"/>
          <w:bCs/>
          <w:noProof/>
          <w:sz w:val="24"/>
          <w:szCs w:val="24"/>
        </w:rPr>
      </w:pPr>
      <w:r>
        <w:rPr>
          <w:rFonts w:ascii="Times New Roman" w:hAnsi="Times New Roman" w:cs="Times New Roman"/>
          <w:bCs/>
          <w:noProof/>
          <w:sz w:val="24"/>
          <w:szCs w:val="24"/>
        </w:rPr>
        <w:t xml:space="preserve">Directive on </w:t>
      </w:r>
      <w:r>
        <w:rPr>
          <w:rFonts w:ascii="Times New Roman" w:hAnsi="Times New Roman" w:cs="Times New Roman"/>
          <w:b/>
          <w:bCs/>
          <w:noProof/>
          <w:sz w:val="24"/>
          <w:szCs w:val="24"/>
        </w:rPr>
        <w:t>combating fraud and counterfeiting of non-cash means of payment</w:t>
      </w:r>
      <w:r>
        <w:rPr>
          <w:rStyle w:val="FootnoteReference"/>
          <w:rFonts w:ascii="Times New Roman" w:hAnsi="Times New Roman" w:cs="Times New Roman"/>
          <w:bCs/>
          <w:noProof/>
          <w:sz w:val="24"/>
          <w:szCs w:val="24"/>
        </w:rPr>
        <w:t xml:space="preserve"> </w:t>
      </w:r>
      <w:r>
        <w:rPr>
          <w:rStyle w:val="FootnoteReference"/>
          <w:rFonts w:ascii="Times New Roman" w:hAnsi="Times New Roman" w:cs="Times New Roman"/>
          <w:bCs/>
          <w:noProof/>
          <w:sz w:val="24"/>
          <w:szCs w:val="24"/>
        </w:rPr>
        <w:footnoteReference w:id="25"/>
      </w:r>
      <w:r>
        <w:rPr>
          <w:rFonts w:ascii="Times New Roman" w:hAnsi="Times New Roman" w:cs="Times New Roman"/>
          <w:bCs/>
          <w:noProof/>
          <w:sz w:val="24"/>
          <w:szCs w:val="24"/>
        </w:rPr>
        <w:t xml:space="preserve"> (transposition deadline: May 2021).</w:t>
      </w:r>
    </w:p>
    <w:p>
      <w:pPr>
        <w:pStyle w:val="ListParagraph"/>
        <w:jc w:val="both"/>
        <w:rPr>
          <w:rFonts w:ascii="Times New Roman" w:hAnsi="Times New Roman" w:cs="Times New Roman"/>
          <w:bCs/>
          <w:noProof/>
          <w:sz w:val="24"/>
          <w:szCs w:val="24"/>
        </w:rPr>
      </w:pPr>
    </w:p>
    <w:p>
      <w:pPr>
        <w:spacing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III. List of legislations that still need to be approved by the co-legislators</w:t>
      </w:r>
    </w:p>
    <w:p>
      <w:pPr>
        <w:pStyle w:val="ListParagraph"/>
        <w:numPr>
          <w:ilvl w:val="0"/>
          <w:numId w:val="2"/>
        </w:numPr>
        <w:spacing w:line="240" w:lineRule="auto"/>
        <w:jc w:val="both"/>
        <w:rPr>
          <w:rFonts w:ascii="Times New Roman" w:hAnsi="Times New Roman" w:cs="Times New Roman"/>
          <w:bCs/>
          <w:noProof/>
          <w:sz w:val="24"/>
          <w:szCs w:val="24"/>
        </w:rPr>
      </w:pPr>
      <w:r>
        <w:rPr>
          <w:rFonts w:ascii="Times New Roman" w:hAnsi="Times New Roman" w:cs="Times New Roman"/>
          <w:b/>
          <w:bCs/>
          <w:noProof/>
          <w:sz w:val="24"/>
          <w:szCs w:val="24"/>
        </w:rPr>
        <w:t>Regulation on terrorist content on line</w:t>
      </w:r>
      <w:r>
        <w:rPr>
          <w:rStyle w:val="FootnoteReference"/>
          <w:rFonts w:ascii="Times New Roman" w:hAnsi="Times New Roman" w:cs="Times New Roman"/>
          <w:bCs/>
          <w:noProof/>
          <w:sz w:val="24"/>
          <w:szCs w:val="24"/>
        </w:rPr>
        <w:footnoteReference w:id="26"/>
      </w:r>
      <w:r>
        <w:rPr>
          <w:rFonts w:ascii="Times New Roman" w:hAnsi="Times New Roman" w:cs="Times New Roman"/>
          <w:bCs/>
          <w:noProof/>
          <w:sz w:val="24"/>
          <w:szCs w:val="24"/>
        </w:rPr>
        <w:t>: trilogues ongoing</w:t>
      </w:r>
    </w:p>
    <w:p>
      <w:pPr>
        <w:pStyle w:val="ListParagraph"/>
        <w:numPr>
          <w:ilvl w:val="0"/>
          <w:numId w:val="2"/>
        </w:numPr>
        <w:spacing w:line="240" w:lineRule="auto"/>
        <w:jc w:val="both"/>
        <w:rPr>
          <w:rFonts w:ascii="Times New Roman" w:hAnsi="Times New Roman" w:cs="Times New Roman"/>
          <w:bCs/>
          <w:noProof/>
          <w:sz w:val="24"/>
          <w:szCs w:val="24"/>
        </w:rPr>
      </w:pPr>
      <w:r>
        <w:rPr>
          <w:rFonts w:ascii="Times New Roman" w:hAnsi="Times New Roman" w:cs="Times New Roman"/>
          <w:b/>
          <w:bCs/>
          <w:noProof/>
          <w:sz w:val="24"/>
          <w:szCs w:val="24"/>
        </w:rPr>
        <w:t>European Cybersecurity Industrial, Technology and Research Competence Centre and the Network of National Coordination Centres</w:t>
      </w:r>
      <w:r>
        <w:rPr>
          <w:rStyle w:val="FootnoteReference"/>
          <w:rFonts w:ascii="Times New Roman" w:hAnsi="Times New Roman" w:cs="Times New Roman"/>
          <w:bCs/>
          <w:noProof/>
          <w:sz w:val="24"/>
          <w:szCs w:val="24"/>
        </w:rPr>
        <w:footnoteReference w:id="27"/>
      </w:r>
      <w:r>
        <w:rPr>
          <w:rFonts w:ascii="Times New Roman" w:hAnsi="Times New Roman" w:cs="Times New Roman"/>
          <w:bCs/>
          <w:noProof/>
          <w:sz w:val="24"/>
          <w:szCs w:val="24"/>
        </w:rPr>
        <w:t>: trilogues ongoing</w:t>
      </w:r>
    </w:p>
    <w:p>
      <w:pPr>
        <w:pStyle w:val="ListParagraph"/>
        <w:numPr>
          <w:ilvl w:val="0"/>
          <w:numId w:val="2"/>
        </w:numPr>
        <w:spacing w:line="240" w:lineRule="auto"/>
        <w:jc w:val="both"/>
        <w:rPr>
          <w:rFonts w:ascii="Times New Roman" w:hAnsi="Times New Roman" w:cs="Times New Roman"/>
          <w:bCs/>
          <w:noProof/>
          <w:sz w:val="24"/>
          <w:szCs w:val="24"/>
        </w:rPr>
      </w:pPr>
      <w:r>
        <w:rPr>
          <w:rFonts w:ascii="Times New Roman" w:hAnsi="Times New Roman" w:cs="Times New Roman"/>
          <w:b/>
          <w:bCs/>
          <w:noProof/>
          <w:sz w:val="24"/>
          <w:szCs w:val="24"/>
        </w:rPr>
        <w:t>Visa Information System (VIS)</w:t>
      </w:r>
      <w:r>
        <w:rPr>
          <w:rStyle w:val="FootnoteReference"/>
          <w:rFonts w:ascii="Times New Roman" w:hAnsi="Times New Roman" w:cs="Times New Roman"/>
          <w:b/>
          <w:bCs/>
          <w:noProof/>
          <w:sz w:val="24"/>
          <w:szCs w:val="24"/>
          <w:lang w:val="fr-BE"/>
        </w:rPr>
        <w:footnoteReference w:id="28"/>
      </w:r>
      <w:r>
        <w:rPr>
          <w:rFonts w:ascii="Times New Roman" w:hAnsi="Times New Roman" w:cs="Times New Roman"/>
          <w:b/>
          <w:bCs/>
          <w:noProof/>
          <w:sz w:val="24"/>
          <w:szCs w:val="24"/>
        </w:rPr>
        <w:t xml:space="preserve"> : </w:t>
      </w:r>
      <w:r>
        <w:rPr>
          <w:rFonts w:ascii="Times New Roman" w:hAnsi="Times New Roman" w:cs="Times New Roman"/>
          <w:bCs/>
          <w:noProof/>
          <w:sz w:val="24"/>
          <w:szCs w:val="24"/>
        </w:rPr>
        <w:t>provisional agreement found on 8 December 2020</w:t>
      </w:r>
      <w:r>
        <w:rPr>
          <w:rFonts w:ascii="Times New Roman" w:hAnsi="Times New Roman" w:cs="Times New Roman"/>
          <w:b/>
          <w:bCs/>
          <w:noProof/>
          <w:sz w:val="24"/>
          <w:szCs w:val="24"/>
        </w:rPr>
        <w:t>.</w:t>
      </w:r>
    </w:p>
    <w:p>
      <w:pPr>
        <w:pStyle w:val="ListParagraph"/>
        <w:numPr>
          <w:ilvl w:val="0"/>
          <w:numId w:val="2"/>
        </w:numPr>
        <w:rPr>
          <w:noProof/>
        </w:rPr>
      </w:pPr>
      <w:r>
        <w:rPr>
          <w:rFonts w:ascii="Times New Roman" w:hAnsi="Times New Roman" w:cs="Times New Roman"/>
          <w:b/>
          <w:noProof/>
          <w:sz w:val="24"/>
          <w:szCs w:val="24"/>
        </w:rPr>
        <w:t>Consequential amendments on the</w:t>
      </w:r>
      <w:r>
        <w:rPr>
          <w:noProof/>
        </w:rPr>
        <w:t xml:space="preserve"> </w:t>
      </w:r>
      <w:r>
        <w:rPr>
          <w:rFonts w:ascii="Times New Roman" w:hAnsi="Times New Roman" w:cs="Times New Roman"/>
          <w:b/>
          <w:bCs/>
          <w:noProof/>
          <w:sz w:val="24"/>
          <w:szCs w:val="24"/>
        </w:rPr>
        <w:t>European Travel Information and Authorisation System</w:t>
      </w:r>
      <w:r>
        <w:rPr>
          <w:rFonts w:ascii="Times New Roman" w:hAnsi="Times New Roman" w:cs="Times New Roman"/>
          <w:noProof/>
          <w:sz w:val="24"/>
          <w:szCs w:val="24"/>
        </w:rPr>
        <w:t xml:space="preserve"> (</w:t>
      </w:r>
      <w:r>
        <w:rPr>
          <w:rFonts w:ascii="Times New Roman" w:hAnsi="Times New Roman" w:cs="Times New Roman"/>
          <w:b/>
          <w:bCs/>
          <w:noProof/>
          <w:sz w:val="24"/>
          <w:szCs w:val="24"/>
        </w:rPr>
        <w:t>ETIAS) regulation</w:t>
      </w:r>
      <w:r>
        <w:rPr>
          <w:rStyle w:val="FootnoteReference"/>
          <w:rFonts w:ascii="Times New Roman" w:hAnsi="Times New Roman" w:cs="Times New Roman"/>
          <w:noProof/>
          <w:sz w:val="24"/>
          <w:szCs w:val="24"/>
        </w:rPr>
        <w:footnoteReference w:id="29"/>
      </w:r>
      <w:r>
        <w:rPr>
          <w:rFonts w:ascii="Times New Roman" w:hAnsi="Times New Roman" w:cs="Times New Roman"/>
          <w:noProof/>
          <w:sz w:val="24"/>
          <w:szCs w:val="24"/>
        </w:rPr>
        <w:t xml:space="preserve"> : Council adopted its position in May 2019, waiting for the European Parliament to adopt its position.</w:t>
      </w:r>
    </w:p>
    <w:p>
      <w:pPr>
        <w:pStyle w:val="ListParagraph"/>
        <w:numPr>
          <w:ilvl w:val="0"/>
          <w:numId w:val="2"/>
        </w:numPr>
        <w:spacing w:line="240" w:lineRule="auto"/>
        <w:jc w:val="both"/>
        <w:rPr>
          <w:rFonts w:ascii="Times New Roman" w:hAnsi="Times New Roman" w:cs="Times New Roman"/>
          <w:bCs/>
          <w:noProof/>
          <w:sz w:val="24"/>
          <w:szCs w:val="24"/>
        </w:rPr>
      </w:pPr>
      <w:r>
        <w:rPr>
          <w:rFonts w:ascii="Times New Roman" w:hAnsi="Times New Roman" w:cs="Times New Roman"/>
          <w:b/>
          <w:bCs/>
          <w:noProof/>
          <w:sz w:val="24"/>
          <w:szCs w:val="24"/>
        </w:rPr>
        <w:t>Regulation on cross-border access to e-evidence</w:t>
      </w:r>
      <w:r>
        <w:rPr>
          <w:rStyle w:val="FootnoteReference"/>
          <w:rFonts w:ascii="Times New Roman" w:hAnsi="Times New Roman" w:cs="Times New Roman"/>
          <w:bCs/>
          <w:noProof/>
          <w:sz w:val="24"/>
          <w:szCs w:val="24"/>
        </w:rPr>
        <w:footnoteReference w:id="30"/>
      </w:r>
      <w:r>
        <w:rPr>
          <w:rFonts w:ascii="Times New Roman" w:hAnsi="Times New Roman" w:cs="Times New Roman"/>
          <w:b/>
          <w:bCs/>
          <w:noProof/>
          <w:sz w:val="24"/>
          <w:szCs w:val="24"/>
        </w:rPr>
        <w:t xml:space="preserve"> </w:t>
      </w:r>
      <w:r>
        <w:rPr>
          <w:rFonts w:ascii="Times New Roman" w:hAnsi="Times New Roman" w:cs="Times New Roman"/>
          <w:bCs/>
          <w:noProof/>
          <w:sz w:val="24"/>
          <w:szCs w:val="24"/>
        </w:rPr>
        <w:t>and</w:t>
      </w:r>
      <w:r>
        <w:rPr>
          <w:rFonts w:ascii="Times New Roman" w:hAnsi="Times New Roman" w:cs="Times New Roman"/>
          <w:b/>
          <w:bCs/>
          <w:noProof/>
          <w:sz w:val="24"/>
          <w:szCs w:val="24"/>
        </w:rPr>
        <w:t xml:space="preserve"> </w:t>
      </w:r>
      <w:r>
        <w:rPr>
          <w:rFonts w:ascii="Times New Roman" w:hAnsi="Times New Roman" w:cs="Times New Roman"/>
          <w:b/>
          <w:noProof/>
          <w:sz w:val="24"/>
          <w:szCs w:val="24"/>
        </w:rPr>
        <w:t>Directive on harmonised rules on the appointment of legal representatives for the purpose of gathering evidence in criminal proceedings</w:t>
      </w:r>
      <w:r>
        <w:rPr>
          <w:rStyle w:val="FootnoteReference"/>
          <w:rFonts w:ascii="Times New Roman" w:hAnsi="Times New Roman" w:cs="Times New Roman"/>
          <w:bCs/>
          <w:noProof/>
          <w:sz w:val="24"/>
          <w:szCs w:val="24"/>
        </w:rPr>
        <w:footnoteReference w:id="31"/>
      </w:r>
      <w:r>
        <w:rPr>
          <w:rFonts w:ascii="Times New Roman" w:hAnsi="Times New Roman" w:cs="Times New Roman"/>
          <w:bCs/>
          <w:noProof/>
          <w:sz w:val="24"/>
          <w:szCs w:val="24"/>
        </w:rPr>
        <w:t>: Council adopted its positions, waiting for the European Parliament to adopt its position.</w:t>
      </w:r>
    </w:p>
    <w:p>
      <w:pPr>
        <w:pStyle w:val="ListParagraph"/>
        <w:numPr>
          <w:ilvl w:val="0"/>
          <w:numId w:val="2"/>
        </w:numPr>
        <w:spacing w:line="240" w:lineRule="auto"/>
        <w:jc w:val="both"/>
        <w:rPr>
          <w:rFonts w:ascii="Times New Roman" w:hAnsi="Times New Roman" w:cs="Times New Roman"/>
          <w:bCs/>
          <w:noProof/>
          <w:sz w:val="24"/>
          <w:szCs w:val="24"/>
        </w:rPr>
      </w:pPr>
      <w:r>
        <w:rPr>
          <w:rFonts w:ascii="Times New Roman" w:hAnsi="Times New Roman" w:cs="Times New Roman"/>
          <w:b/>
          <w:bCs/>
          <w:noProof/>
          <w:sz w:val="24"/>
          <w:szCs w:val="24"/>
        </w:rPr>
        <w:t>Interim regulation on child sexual abuse on line</w:t>
      </w:r>
      <w:r>
        <w:rPr>
          <w:rStyle w:val="FootnoteReference"/>
          <w:rFonts w:ascii="Times New Roman" w:hAnsi="Times New Roman" w:cs="Times New Roman"/>
          <w:bCs/>
          <w:noProof/>
          <w:sz w:val="24"/>
          <w:szCs w:val="24"/>
        </w:rPr>
        <w:footnoteReference w:id="32"/>
      </w:r>
      <w:r>
        <w:rPr>
          <w:rFonts w:ascii="Times New Roman" w:hAnsi="Times New Roman" w:cs="Times New Roman"/>
          <w:bCs/>
          <w:noProof/>
          <w:sz w:val="24"/>
          <w:szCs w:val="24"/>
        </w:rPr>
        <w:t>: Council adopted its position, waiting for the European Parliament to adopt its position.</w:t>
      </w:r>
    </w:p>
    <w:p>
      <w:pPr>
        <w:pStyle w:val="ListParagraph"/>
        <w:numPr>
          <w:ilvl w:val="0"/>
          <w:numId w:val="2"/>
        </w:numPr>
        <w:spacing w:line="240" w:lineRule="auto"/>
        <w:jc w:val="both"/>
        <w:rPr>
          <w:rFonts w:ascii="Times New Roman" w:hAnsi="Times New Roman" w:cs="Times New Roman"/>
          <w:bCs/>
          <w:noProof/>
          <w:sz w:val="24"/>
          <w:szCs w:val="24"/>
        </w:rPr>
      </w:pPr>
      <w:r>
        <w:rPr>
          <w:rFonts w:ascii="Times New Roman" w:hAnsi="Times New Roman" w:cs="Times New Roman"/>
          <w:b/>
          <w:bCs/>
          <w:noProof/>
          <w:sz w:val="24"/>
          <w:szCs w:val="24"/>
        </w:rPr>
        <w:t>Regulation on the Space Programme of the Union</w:t>
      </w:r>
      <w:r>
        <w:rPr>
          <w:rStyle w:val="FootnoteReference"/>
          <w:rFonts w:ascii="Times New Roman" w:hAnsi="Times New Roman" w:cs="Times New Roman"/>
          <w:b/>
          <w:bCs/>
          <w:noProof/>
          <w:sz w:val="24"/>
          <w:szCs w:val="24"/>
        </w:rPr>
        <w:footnoteReference w:id="33"/>
      </w:r>
      <w:r>
        <w:rPr>
          <w:rFonts w:ascii="Times New Roman" w:hAnsi="Times New Roman" w:cs="Times New Roman"/>
          <w:b/>
          <w:bCs/>
          <w:noProof/>
          <w:sz w:val="24"/>
          <w:szCs w:val="24"/>
        </w:rPr>
        <w:t xml:space="preserve">: </w:t>
      </w:r>
      <w:r>
        <w:rPr>
          <w:rFonts w:ascii="Times New Roman" w:hAnsi="Times New Roman" w:cs="Times New Roman"/>
          <w:bCs/>
          <w:noProof/>
          <w:sz w:val="24"/>
          <w:szCs w:val="24"/>
        </w:rPr>
        <w:t>trilogues ongoing.</w:t>
      </w:r>
    </w:p>
    <w:p>
      <w:pPr>
        <w:pStyle w:val="ListParagraph"/>
        <w:numPr>
          <w:ilvl w:val="0"/>
          <w:numId w:val="2"/>
        </w:numPr>
        <w:spacing w:line="240" w:lineRule="auto"/>
        <w:jc w:val="both"/>
        <w:rPr>
          <w:rFonts w:ascii="Times New Roman" w:hAnsi="Times New Roman" w:cs="Times New Roman"/>
          <w:bCs/>
          <w:noProof/>
          <w:sz w:val="24"/>
          <w:szCs w:val="24"/>
        </w:rPr>
      </w:pPr>
      <w:r>
        <w:rPr>
          <w:rFonts w:ascii="Times New Roman" w:hAnsi="Times New Roman" w:cs="Times New Roman"/>
          <w:b/>
          <w:bCs/>
          <w:noProof/>
          <w:sz w:val="24"/>
          <w:szCs w:val="24"/>
        </w:rPr>
        <w:t>European Defence Fund</w:t>
      </w:r>
      <w:r>
        <w:rPr>
          <w:rStyle w:val="FootnoteReference"/>
          <w:rFonts w:ascii="Times New Roman" w:hAnsi="Times New Roman" w:cs="Times New Roman"/>
          <w:bCs/>
          <w:noProof/>
          <w:sz w:val="24"/>
          <w:szCs w:val="24"/>
        </w:rPr>
        <w:footnoteReference w:id="34"/>
      </w:r>
      <w:r>
        <w:rPr>
          <w:rFonts w:ascii="Times New Roman" w:hAnsi="Times New Roman" w:cs="Times New Roman"/>
          <w:b/>
          <w:bCs/>
          <w:noProof/>
          <w:sz w:val="24"/>
          <w:szCs w:val="24"/>
        </w:rPr>
        <w:t>:</w:t>
      </w:r>
      <w:r>
        <w:rPr>
          <w:rFonts w:ascii="Times New Roman" w:hAnsi="Times New Roman" w:cs="Times New Roman"/>
          <w:bCs/>
          <w:noProof/>
          <w:sz w:val="24"/>
          <w:szCs w:val="24"/>
        </w:rPr>
        <w:t xml:space="preserve"> trilogues ongoing.</w:t>
      </w:r>
    </w:p>
    <w:p>
      <w:pPr>
        <w:pStyle w:val="ListParagraph"/>
        <w:spacing w:line="240" w:lineRule="auto"/>
        <w:jc w:val="both"/>
        <w:rPr>
          <w:rFonts w:ascii="Times New Roman" w:hAnsi="Times New Roman" w:cs="Times New Roman"/>
          <w:bCs/>
          <w:noProof/>
          <w:sz w:val="24"/>
          <w:szCs w:val="24"/>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9199049"/>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cs="Times New Roman"/>
        </w:rPr>
        <w:t xml:space="preserve"> </w:t>
      </w:r>
      <w:r>
        <w:rPr>
          <w:rFonts w:ascii="Times New Roman" w:hAnsi="Times New Roman" w:cs="Times New Roman"/>
        </w:rPr>
        <w:tab/>
      </w:r>
      <w:r>
        <w:rPr>
          <w:rFonts w:ascii="Times New Roman" w:hAnsi="Times New Roman" w:cs="Times New Roman"/>
          <w:shd w:val="clear" w:color="auto" w:fill="FFFFFF"/>
        </w:rPr>
        <w:t>Council Decision 2008/615/JHA of 23</w:t>
      </w:r>
      <w:r>
        <w:rPr>
          <w:rFonts w:ascii="Times New Roman" w:hAnsi="Times New Roman" w:cs="Times New Roman" w:hint="eastAsia"/>
          <w:shd w:val="clear" w:color="auto" w:fill="FFFFFF"/>
        </w:rPr>
        <w:t> </w:t>
      </w:r>
      <w:r>
        <w:rPr>
          <w:rFonts w:ascii="Times New Roman" w:hAnsi="Times New Roman" w:cs="Times New Roman"/>
          <w:shd w:val="clear" w:color="auto" w:fill="FFFFFF"/>
        </w:rPr>
        <w:t>June 2008 on the stepping up of cross-border cooperation, particularly in combating terrorism and cross-border crime and Council Decision 2008/616/JHA of 23 June 2008 on the implementation of Decision 2008/615/JHA on the stepping up of cross-border cooperation, particularly in combating terrorism and cross-border crime.</w:t>
      </w:r>
    </w:p>
  </w:footnote>
  <w:footnote w:id="3">
    <w:p>
      <w:pPr>
        <w:pStyle w:val="FootnoteText"/>
        <w:ind w:left="284" w:hanging="284"/>
        <w:jc w:val="both"/>
        <w:rPr>
          <w:rFonts w:ascii="Times New Roman" w:hAnsi="Times New Roman" w:cs="Times New Roman"/>
        </w:rPr>
      </w:pPr>
      <w:r>
        <w:rPr>
          <w:rStyle w:val="FootnoteReference"/>
        </w:rPr>
        <w:footnoteRef/>
      </w:r>
      <w:r>
        <w:rPr>
          <w:rFonts w:ascii="Times New Roman" w:hAnsi="Times New Roman" w:cs="Times New Roman"/>
          <w:color w:val="444444"/>
          <w:shd w:val="clear" w:color="auto" w:fill="FFFFFF"/>
        </w:rPr>
        <w:t xml:space="preserve"> </w:t>
      </w:r>
      <w:r>
        <w:rPr>
          <w:rFonts w:ascii="Times New Roman" w:hAnsi="Times New Roman" w:cs="Times New Roman"/>
          <w:color w:val="444444"/>
          <w:shd w:val="clear" w:color="auto" w:fill="FFFFFF"/>
        </w:rPr>
        <w:tab/>
        <w:t>Council Framework Decision 2009/905/JHA of 30 November 2009 on Accreditation of forensic service providers carrying out laboratory activities.</w:t>
      </w:r>
    </w:p>
  </w:footnote>
  <w:footnote w:id="4">
    <w:p>
      <w:pPr>
        <w:pStyle w:val="FootnoteText"/>
        <w:ind w:left="284" w:hanging="284"/>
        <w:jc w:val="both"/>
        <w:rPr>
          <w:rFonts w:ascii="Times New Roman" w:hAnsi="Times New Roman" w:cs="Times New Roman"/>
          <w:lang w:val="en-IE"/>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Directive 2011/93/EU of 13 December 2011 on combating the sexual abuse and sexual exploitation of children and child pornography, and replacing Council Framework Decision 2004/68/JHA.</w:t>
      </w:r>
    </w:p>
  </w:footnote>
  <w:footnote w:id="5">
    <w:p>
      <w:pPr>
        <w:pStyle w:val="FootnoteText"/>
        <w:ind w:left="284" w:hanging="284"/>
        <w:jc w:val="both"/>
        <w:rPr>
          <w:rFonts w:ascii="Times New Roman" w:hAnsi="Times New Roman" w:cs="Times New Roman"/>
          <w:lang w:val="en-IE"/>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Directive 2013/40/EU of 12 August 2013 on attacks against information systems and replacing Council Framework Decision 2005/222/JHA.</w:t>
      </w:r>
    </w:p>
  </w:footnote>
  <w:footnote w:id="6">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Directive 2014/42/EU of 3 April 2014 on the freezing and confiscation of instrumentalities and proceeds of crime in the European Union.</w:t>
      </w:r>
    </w:p>
  </w:footnote>
  <w:footnote w:id="7">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Directive 2014/57/EU of the European Parliament and of the Council of 16 April 2014 on criminal sanctions for market abuse (market abuse directive). </w:t>
      </w:r>
    </w:p>
  </w:footnote>
  <w:footnote w:id="8">
    <w:p>
      <w:pPr>
        <w:pStyle w:val="FootnoteText"/>
        <w:ind w:left="284" w:hanging="284"/>
        <w:jc w:val="both"/>
        <w:rPr>
          <w:rFonts w:ascii="Times New Roman" w:hAnsi="Times New Roman" w:cs="Times New Roman"/>
          <w:lang w:val="en-IE"/>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Directive (EU) 2015/849 of 20 May 2015 on the prevention of the use of the financial system for the purposes of money laundering or terrorist financing, amending Regulation (EU) No 648/2012, and repealing Directive 2005/60/EC and Commission Directive 2006/70/EC.</w:t>
      </w:r>
    </w:p>
  </w:footnote>
  <w:footnote w:id="9">
    <w:p>
      <w:pPr>
        <w:pStyle w:val="FootnoteText"/>
        <w:ind w:left="284" w:hanging="284"/>
        <w:jc w:val="both"/>
        <w:rPr>
          <w:rFonts w:ascii="Times New Roman" w:hAnsi="Times New Roman" w:cs="Times New Roman"/>
          <w:lang w:val="en-IE"/>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Directive (EU) 2016/680 of 27 April 2016 on the protection of natural persons with regard to the processing of personal data by competent authorities for the purposes of the prevention, investigation, detection or prosecution of criminal offences or the execution of criminal penalties, and on the free movement of such data, and repealing Council Framework Decision 2008/977/JHA.</w:t>
      </w:r>
    </w:p>
  </w:footnote>
  <w:footnote w:id="10">
    <w:p>
      <w:pPr>
        <w:pStyle w:val="FootnoteText"/>
        <w:ind w:left="284" w:hanging="284"/>
        <w:jc w:val="both"/>
        <w:rPr>
          <w:rFonts w:ascii="Times New Roman" w:hAnsi="Times New Roman" w:cs="Times New Roman"/>
          <w:lang w:val="en-IE"/>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Directive (EU) 2016/681 of 27 April 2016 on the use of passenger name record (PNR) data for the prevention, detection, investigation and prosecution of terrorist offences and serious crime.</w:t>
      </w:r>
    </w:p>
  </w:footnote>
  <w:footnote w:id="11">
    <w:p>
      <w:pPr>
        <w:pStyle w:val="FootnoteText"/>
        <w:ind w:left="284" w:hanging="284"/>
        <w:jc w:val="both"/>
        <w:rPr>
          <w:rFonts w:ascii="Times New Roman" w:hAnsi="Times New Roman" w:cs="Times New Roman"/>
          <w:lang w:val="en-IE"/>
        </w:rPr>
      </w:pPr>
      <w:r>
        <w:rPr>
          <w:rStyle w:val="FootnoteReference"/>
          <w:rFonts w:ascii="Times New Roman" w:hAnsi="Times New Roman" w:cs="Times New Roman"/>
        </w:rPr>
        <w:footnoteRef/>
      </w:r>
      <w:r>
        <w:rPr>
          <w:rFonts w:ascii="Times New Roman" w:hAnsi="Times New Roman" w:cs="Times New Roman"/>
        </w:rPr>
        <w:t xml:space="preserve"> Directive (EU) 2017/853 of 17 May 2017 amending Council Directive 91/477/EEC on control of the acquisition and possession of weapons.</w:t>
      </w:r>
    </w:p>
  </w:footnote>
  <w:footnote w:id="12">
    <w:p>
      <w:pPr>
        <w:pStyle w:val="FootnoteText"/>
        <w:ind w:left="284" w:hanging="284"/>
        <w:jc w:val="both"/>
        <w:rPr>
          <w:rFonts w:ascii="Times New Roman" w:hAnsi="Times New Roman" w:cs="Times New Roman"/>
          <w:lang w:val="en-IE"/>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Directive (EU) 2017/2103 of 15 November 2017 amending Council Framework Decision 2004/757/JHA in order to include new psychoactive substances in the definition of ‘drug’ and repealing Council Decision 2005/387/JHA; Commission Delegated Directive (EU) 2019/369 of 13 December 2018 amending the Annex to Council Framework Decision 2004/757/JHA as regards the inclusion of new psychoactive substances in the definition of ‘drug’.</w:t>
      </w:r>
    </w:p>
  </w:footnote>
  <w:footnote w:id="13">
    <w:p>
      <w:pPr>
        <w:pStyle w:val="FootnoteText"/>
        <w:ind w:left="284" w:hanging="284"/>
        <w:jc w:val="both"/>
        <w:rPr>
          <w:rFonts w:ascii="Times New Roman" w:hAnsi="Times New Roman" w:cs="Times New Roman"/>
          <w:lang w:val="en-IE"/>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Directive (EU) 2017/1371 of 5 July 2017 on the fight against fraud to the Union's financial interests by means of criminal law.</w:t>
      </w:r>
    </w:p>
  </w:footnote>
  <w:footnote w:id="14">
    <w:p>
      <w:pPr>
        <w:pStyle w:val="FootnoteText"/>
        <w:ind w:left="284" w:hanging="284"/>
        <w:jc w:val="both"/>
        <w:rPr>
          <w:rFonts w:ascii="Times New Roman" w:hAnsi="Times New Roman" w:cs="Times New Roman"/>
          <w:lang w:val="en-IE"/>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Directive (EU) 2018/843 of 30 May 2018 amending Directive (EU) 2015/849 on the prevention of the use of the financial system for the purposes of money laundering or terrorist financing, and amending Directives 2009/138/EC and 2013/36/EU.</w:t>
      </w:r>
    </w:p>
  </w:footnote>
  <w:footnote w:id="15">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Commission Implementing Directive (EU) 2019/68 of 16 January 2019 establishing technical specifications for the marking of firearms and their essential components under Council Directive 91/477/EEC on control of the acquisition and possession of weapons.</w:t>
      </w:r>
    </w:p>
  </w:footnote>
  <w:footnote w:id="16">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Commission Implementing Directive (EU) 2019/69 of 16 January 2019 laying down technical specifications for alarm and signal weapons under Council Directive 91/477/EEC on control of the acquisition and possession of weapons.</w:t>
      </w:r>
    </w:p>
  </w:footnote>
  <w:footnote w:id="17">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Directive (EU) 2016/1148 of 6 July 2016 concerning measures for a high common level of security of network and information systems across the Union.</w:t>
      </w:r>
    </w:p>
  </w:footnote>
  <w:footnote w:id="18">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Directive 2012/29/EU of 25 October 2012 establishing minimum standards for the rights, support and protection of victims of crime.</w:t>
      </w:r>
    </w:p>
  </w:footnote>
  <w:footnote w:id="19">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shd w:val="clear" w:color="auto" w:fill="FFFFFF"/>
        </w:rPr>
        <w:t>Council Framework Decision of 13 June 2002 on the European arrest warrant and the surrender procedures between Member States.</w:t>
      </w:r>
    </w:p>
  </w:footnote>
  <w:footnote w:id="20">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shd w:val="clear" w:color="auto" w:fill="FFFFFF"/>
        </w:rPr>
        <w:t>Council Framework Decision 2008/909/JHA of 27 November 2008 on the application of the principle of mutual recognition to judgments in criminal matters imposing custodial sentences or measures involving deprivation of liberty for the purpose of their enforcement in the European Union.</w:t>
      </w:r>
    </w:p>
  </w:footnote>
  <w:footnote w:id="21">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shd w:val="clear" w:color="auto" w:fill="FFFFFF"/>
        </w:rPr>
        <w:t>Council Framework Decision 2005/214/JHA of 24 February 2005 on the application of the principle of mutual recognition to financial penalties.</w:t>
      </w:r>
    </w:p>
  </w:footnote>
  <w:footnote w:id="22">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shd w:val="clear" w:color="auto" w:fill="FFFFFF"/>
        </w:rPr>
        <w:t>Council Framework Decision 2009/829/JHA of 23 October 2009 on the application, between Member States of the European Union, of the principle of mutual recognition to decisions on supervision measures as an alternative to provisional detention.</w:t>
      </w:r>
    </w:p>
  </w:footnote>
  <w:footnote w:id="23">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Directive (EU) 2018/1673 of 23 October 2018 on combating money laundering by criminal law.</w:t>
      </w:r>
    </w:p>
  </w:footnote>
  <w:footnote w:id="24">
    <w:p>
      <w:pPr>
        <w:pStyle w:val="FootnoteText"/>
        <w:ind w:left="284" w:hanging="284"/>
        <w:jc w:val="both"/>
        <w:rPr>
          <w:rFonts w:ascii="Times New Roman" w:hAnsi="Times New Roman" w:cs="Times New Roman"/>
          <w:lang w:val="en-IE"/>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Directive (EU) 2019/1153 of 20 June 2019 laying down rules facilitating the use of financial and other information for the prevention, detection, investigation or prosecution of certain criminal offences, and repealing Council Decision 2000/642/JHA.</w:t>
      </w:r>
    </w:p>
  </w:footnote>
  <w:footnote w:id="25">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Directive (EU) 2019/713 of 17 April 2019 on combating fraud and counterfeiting of non-cash means of payment and replacing Council Framework Decision 2001/413/JHA.</w:t>
      </w:r>
    </w:p>
  </w:footnote>
  <w:footnote w:id="26">
    <w:p>
      <w:pPr>
        <w:pStyle w:val="FootnoteText"/>
        <w:ind w:left="284" w:hanging="284"/>
        <w:jc w:val="both"/>
        <w:rPr>
          <w:rFonts w:ascii="Times New Roman" w:hAnsi="Times New Roman" w:cs="Times New Roman"/>
          <w:lang w:val="en-IE"/>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Proposal for a Regulation on preventing the dissemination of terrorist content online, </w:t>
      </w:r>
      <w:r>
        <w:rPr>
          <w:rFonts w:ascii="Times New Roman" w:hAnsi="Times New Roman" w:cs="Times New Roman"/>
          <w:color w:val="000000"/>
          <w:shd w:val="clear" w:color="auto" w:fill="FFFFFF"/>
        </w:rPr>
        <w:t>COM(2018) 640 final, 12 September 2018.</w:t>
      </w:r>
    </w:p>
  </w:footnote>
  <w:footnote w:id="27">
    <w:p>
      <w:pPr>
        <w:pStyle w:val="FootnoteText"/>
        <w:ind w:left="284" w:hanging="284"/>
        <w:jc w:val="both"/>
        <w:rPr>
          <w:rFonts w:ascii="Times New Roman" w:hAnsi="Times New Roman" w:cs="Times New Roman"/>
          <w:lang w:val="en-IE"/>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Proposal for a Regulation establishing the European Cybersecurity Industrial, Technology and Research Competence Centre and the Network of National Coordination Centres, COM(2018) 630 final,</w:t>
      </w:r>
      <w:r>
        <w:rPr>
          <w:rFonts w:ascii="Times New Roman" w:hAnsi="Times New Roman" w:cs="Times New Roman"/>
          <w:color w:val="000000"/>
          <w:shd w:val="clear" w:color="auto" w:fill="FFFFFF"/>
        </w:rPr>
        <w:t xml:space="preserve"> 12 September 2018.</w:t>
      </w:r>
    </w:p>
  </w:footnote>
  <w:footnote w:id="28">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cs="Times New Roman"/>
        </w:rPr>
        <w:t xml:space="preserve"> </w:t>
      </w:r>
      <w:r>
        <w:rPr>
          <w:rFonts w:ascii="Times New Roman" w:hAnsi="Times New Roman" w:cs="Times New Roman"/>
        </w:rPr>
        <w:tab/>
        <w:t>Proposal for a  Regulation amending Regulation (EC) No 767/2008, Regulation (EC) No 810/2009, Regulation (EU) 2017/2226, Regulation (EU) 2016/399, Regulation XX/2018 [Interoperability Regulation], and Decision 2004/512/EC and repealing Council Decision 2008/633/JHA, COM (2018), 302 final, 16 May 2018.</w:t>
      </w:r>
    </w:p>
  </w:footnote>
  <w:footnote w:id="29">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Regulation (EU) 2018/1240 of 12 September 2018 establishing a European Travel Information and Authorisation System (ETIAS) and amending Regulations (EU) No 1077/2011, (EU) No 515/2014, (EU) 2016/399, (EU) 2016/1624 and (EU) 2017/2226; and Regulation (EU) 2018/1241 of 12 September 2018 amending Regulation (EU) 2016/794 for the purpose of establishing a European Travel Information and Authorisation System (ETIAS).</w:t>
      </w:r>
    </w:p>
  </w:footnote>
  <w:footnote w:id="30">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cs="Times New Roman"/>
        </w:rPr>
        <w:t xml:space="preserve"> </w:t>
      </w:r>
      <w:r>
        <w:rPr>
          <w:rFonts w:ascii="Times New Roman" w:hAnsi="Times New Roman" w:cs="Times New Roman"/>
        </w:rPr>
        <w:tab/>
        <w:t>Proposal for a Regulation on European Production and Preservation Orders for electronic evidence in criminal matters, COM/2018/225 final, 17 April 2018.</w:t>
      </w:r>
    </w:p>
  </w:footnote>
  <w:footnote w:id="31">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Proposal for a Directive laying down harmonised rules on the appointment of legal representatives for the purpose of gathering evidence in criminal proceedings, COM/2018/226, 17 April 2018</w:t>
      </w:r>
    </w:p>
  </w:footnote>
  <w:footnote w:id="32">
    <w:p>
      <w:pPr>
        <w:pStyle w:val="FootnoteText"/>
        <w:ind w:left="284" w:hanging="284"/>
        <w:jc w:val="both"/>
        <w:rPr>
          <w:rFonts w:ascii="Times New Roman" w:hAnsi="Times New Roman" w:cs="Times New Roman"/>
          <w:lang w:val="en-IE"/>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Proposal for a Regulation on a temporary derogation from certain provisions of Directive 2002/58/EC as regards the use of technologies by number independent interpersonal communications service providers for the processing of personal and other data for the purpose of combatting child sexual abuse online, COM(2020) 568 final, 10 September 2020. </w:t>
      </w:r>
    </w:p>
  </w:footnote>
  <w:footnote w:id="33">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Proposal for a Regulation establishing the space programme of the Union and the European Union Agency for the Space Programme COM(2018) 447 final, 6 June 2018.</w:t>
      </w:r>
    </w:p>
  </w:footnote>
  <w:footnote w:id="34">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Proposal for a Regulation establishing the European Defence Fund, COM(2018) 476 final, 13 June 2018.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1572D"/>
    <w:multiLevelType w:val="hybridMultilevel"/>
    <w:tmpl w:val="57C21FEE"/>
    <w:lvl w:ilvl="0" w:tplc="C7C8DD0A">
      <w:start w:val="3"/>
      <w:numFmt w:val="upperRoman"/>
      <w:lvlText w:val="%1."/>
      <w:lvlJc w:val="left"/>
      <w:pPr>
        <w:ind w:left="770" w:hanging="720"/>
      </w:pPr>
      <w:rPr>
        <w:rFonts w:asciiTheme="minorHAnsi" w:hAnsiTheme="minorHAnsi" w:cstheme="minorBidi" w:hint="default"/>
        <w:b w:val="0"/>
        <w:sz w:val="22"/>
      </w:rPr>
    </w:lvl>
    <w:lvl w:ilvl="1" w:tplc="08090019" w:tentative="1">
      <w:start w:val="1"/>
      <w:numFmt w:val="lowerLetter"/>
      <w:lvlText w:val="%2."/>
      <w:lvlJc w:val="left"/>
      <w:pPr>
        <w:ind w:left="1130" w:hanging="360"/>
      </w:pPr>
    </w:lvl>
    <w:lvl w:ilvl="2" w:tplc="0809001B" w:tentative="1">
      <w:start w:val="1"/>
      <w:numFmt w:val="lowerRoman"/>
      <w:lvlText w:val="%3."/>
      <w:lvlJc w:val="right"/>
      <w:pPr>
        <w:ind w:left="1850" w:hanging="180"/>
      </w:pPr>
    </w:lvl>
    <w:lvl w:ilvl="3" w:tplc="0809000F" w:tentative="1">
      <w:start w:val="1"/>
      <w:numFmt w:val="decimal"/>
      <w:lvlText w:val="%4."/>
      <w:lvlJc w:val="left"/>
      <w:pPr>
        <w:ind w:left="2570" w:hanging="360"/>
      </w:pPr>
    </w:lvl>
    <w:lvl w:ilvl="4" w:tplc="08090019" w:tentative="1">
      <w:start w:val="1"/>
      <w:numFmt w:val="lowerLetter"/>
      <w:lvlText w:val="%5."/>
      <w:lvlJc w:val="left"/>
      <w:pPr>
        <w:ind w:left="3290" w:hanging="360"/>
      </w:pPr>
    </w:lvl>
    <w:lvl w:ilvl="5" w:tplc="0809001B" w:tentative="1">
      <w:start w:val="1"/>
      <w:numFmt w:val="lowerRoman"/>
      <w:lvlText w:val="%6."/>
      <w:lvlJc w:val="right"/>
      <w:pPr>
        <w:ind w:left="4010" w:hanging="180"/>
      </w:pPr>
    </w:lvl>
    <w:lvl w:ilvl="6" w:tplc="0809000F" w:tentative="1">
      <w:start w:val="1"/>
      <w:numFmt w:val="decimal"/>
      <w:lvlText w:val="%7."/>
      <w:lvlJc w:val="left"/>
      <w:pPr>
        <w:ind w:left="4730" w:hanging="360"/>
      </w:pPr>
    </w:lvl>
    <w:lvl w:ilvl="7" w:tplc="08090019" w:tentative="1">
      <w:start w:val="1"/>
      <w:numFmt w:val="lowerLetter"/>
      <w:lvlText w:val="%8."/>
      <w:lvlJc w:val="left"/>
      <w:pPr>
        <w:ind w:left="5450" w:hanging="360"/>
      </w:pPr>
    </w:lvl>
    <w:lvl w:ilvl="8" w:tplc="0809001B" w:tentative="1">
      <w:start w:val="1"/>
      <w:numFmt w:val="lowerRoman"/>
      <w:lvlText w:val="%9."/>
      <w:lvlJc w:val="right"/>
      <w:pPr>
        <w:ind w:left="6170" w:hanging="180"/>
      </w:pPr>
    </w:lvl>
  </w:abstractNum>
  <w:abstractNum w:abstractNumId="1">
    <w:nsid w:val="0BFB55A7"/>
    <w:multiLevelType w:val="hybridMultilevel"/>
    <w:tmpl w:val="338E2A36"/>
    <w:lvl w:ilvl="0" w:tplc="FFE23C42">
      <w:start w:val="3"/>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5610E61"/>
    <w:multiLevelType w:val="hybridMultilevel"/>
    <w:tmpl w:val="1D548468"/>
    <w:lvl w:ilvl="0" w:tplc="249E16AC">
      <w:start w:val="3"/>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C112077"/>
    <w:multiLevelType w:val="hybridMultilevel"/>
    <w:tmpl w:val="2084BE9A"/>
    <w:lvl w:ilvl="0" w:tplc="6C6ABC2A">
      <w:start w:val="3"/>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CD864E4"/>
    <w:multiLevelType w:val="hybridMultilevel"/>
    <w:tmpl w:val="43661A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05B269B"/>
    <w:multiLevelType w:val="hybridMultilevel"/>
    <w:tmpl w:val="AF8E4FD4"/>
    <w:lvl w:ilvl="0" w:tplc="E4204254">
      <w:start w:val="1"/>
      <w:numFmt w:val="upp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5"/>
  </w:num>
  <w:num w:numId="2">
    <w:abstractNumId w:val="3"/>
  </w:num>
  <w:num w:numId="3">
    <w:abstractNumId w:val="4"/>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hideSpellingErrors/>
  <w:hideGrammaticalErrors/>
  <w:activeWritingStyle w:appName="MSWord" w:lang="fr-BE" w:vendorID="64" w:dllVersion="131078" w:nlCheck="1" w:checkStyle="0"/>
  <w:activeWritingStyle w:appName="MSWord" w:lang="en-GB" w:vendorID="64" w:dllVersion="131078" w:nlCheck="1" w:checkStyle="1"/>
  <w:activeWritingStyle w:appName="MSWord" w:lang="en-IE" w:vendorID="64" w:dllVersion="131078" w:nlCheck="1" w:checkStyle="1"/>
  <w:revisionView w:markup="0"/>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to the "/>
    <w:docVar w:name="LW_ANNEX_NBR_FIRST" w:val="1"/>
    <w:docVar w:name="LW_ANNEX_NBR_LAST" w:val="1"/>
    <w:docVar w:name="LW_ANNEX_UNIQUE" w:val="0"/>
    <w:docVar w:name="LW_CORRIGENDUM" w:val="&lt;UNUSED&gt;"/>
    <w:docVar w:name="LW_COVERPAGE_EXISTS" w:val="True"/>
    <w:docVar w:name="LW_COVERPAGE_GUID" w:val="33CAE96E-5348-4206-8AE5-A6D790F14C97"/>
    <w:docVar w:name="LW_COVERPAGE_TYPE" w:val="1"/>
    <w:docVar w:name="LW_CROSSREFERENCE" w:val="&lt;UNUSED&gt;"/>
    <w:docVar w:name="LW_DocType" w:val="NORMAL"/>
    <w:docVar w:name="LW_EMISSION" w:val="9.12.2020"/>
    <w:docVar w:name="LW_EMISSION_ISODATE" w:val="2020-12-09"/>
    <w:docVar w:name="LW_EMISSION_LOCATION" w:val="BRX"/>
    <w:docVar w:name="LW_EMISSION_PREFIX" w:val="Brussels, "/>
    <w:docVar w:name="LW_EMISSION_SUFFIX" w:val=" "/>
    <w:docVar w:name="LW_ID_DOCTYPE_NONLW" w:val="CP-039"/>
    <w:docVar w:name="LW_LANGUE" w:val="EN"/>
    <w:docVar w:name="LW_LEVEL_OF_SENSITIVITY" w:val="Standard treatment"/>
    <w:docVar w:name="LW_NOM.INST" w:val="EUROPEAN COMMISSION"/>
    <w:docVar w:name="LW_NOM.INST_JOINTDOC" w:val="&lt;EMPTY&gt;"/>
    <w:docVar w:name="LW_OBJETACTEPRINCIPAL.CP" w:val="First Progress Report on the EU Security Union Strategy_x000d__x000d__x000d__x000d__x000d__x000d__x000d__x000d__x000b__x000d__x000d__x000d__x000d__x000d__x000d__x000d__x000d__x000b__x000d__x000d__x000d__x000d__x000d__x000d__x000d__x000d__x000b_Status of implementation of legislation on security_x000d__x000d__x000d__x000d__x000d__x000d__x000d__x000d__x000b_"/>
    <w:docVar w:name="LW_PART_NBR" w:val="1"/>
    <w:docVar w:name="LW_PART_NBR_TOTAL" w:val="1"/>
    <w:docVar w:name="LW_REF.INST.NEW" w:val="COM"/>
    <w:docVar w:name="LW_REF.INST.NEW_ADOPTED" w:val="final"/>
    <w:docVar w:name="LW_REF.INST.NEW_TEXT" w:val="(2020) 79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CP" w:val="ANNEX_x000b_"/>
    <w:docVar w:name="LW_TYPEACTEPRINCIPAL.CP" w:val="COMMUNICATION FROM THE COMMISSION TO THE EUROPEAN PARLIAMENT AND THE COUNC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eading 2_sj,List Paragraph1,Számozott lista 1,LISTA,Listaszerű bekezdés1,Dot pt,No Spacing1,List Paragraph Char Char Char,Indicator Text,Numbered Para 1,List Paragraph à moi,Welt L Char,Welt L,Bullet List,FooterText,numbered,2,3,GSA List"/>
    <w:basedOn w:val="Normal"/>
    <w:link w:val="ListParagraphChar"/>
    <w:uiPriority w:val="34"/>
    <w:qFormat/>
    <w:pPr>
      <w:ind w:left="720"/>
      <w:contextualSpacing/>
    </w:pPr>
  </w:style>
  <w:style w:type="paragraph" w:styleId="FootnoteText">
    <w:name w:val="footnote text"/>
    <w:aliases w:val="Char,Fußnote,Carattere,fn,Footnotes,Footnote ak,Footnote Text Char Char,fn Char Char,footnote text Char Char,Footnotes Char Char,Footnote ak Char Char,fn Char1,footnote text Char1,Footnotes Char1,ft,Footnote Text_EP-LC,foottextfra,A,ftx,o"/>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Char Char,Fußnote Char,Carattere Char,fn Char,Footnotes Char,Footnote ak Char,Footnote Text Char Char Char,fn Char Char Char,footnote text Char Char Char,Footnotes Char Char Char,Footnote ak Char Char Char,fn Char1 Char,ft Char,A Char"/>
    <w:basedOn w:val="DefaultParagraphFont"/>
    <w:link w:val="FootnoteText"/>
    <w:uiPriority w:val="99"/>
    <w:qFormat/>
    <w:rPr>
      <w:sz w:val="20"/>
      <w:szCs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customStyle="1" w:styleId="ListParagraphChar">
    <w:name w:val="List Paragraph Char"/>
    <w:aliases w:val="Heading 2_sj Char,List Paragraph1 Char,Számozott lista 1 Char,LISTA Char,Listaszerű bekezdés1 Char,Dot pt Char,No Spacing1 Char,List Paragraph Char Char Char Char,Indicator Text Char,Numbered Para 1 Char,List Paragraph à moi Char"/>
    <w:basedOn w:val="DefaultParagraphFont"/>
    <w:link w:val="ListParagraph"/>
    <w:uiPriority w:val="34"/>
    <w:qFormat/>
    <w:lock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FootnoteReference">
    <w:name w:val="footnote reference"/>
    <w:aliases w:val="Footnote Refernece,Fussnota,Footnote symbol,Footnote,Fußnotenzeichen_Raxen,Footnote Reference Superscript,Footnote Reference/,Footnote Reference text,Voetnootverwijzing,footnote ref,FR,Fußnotenzeichen diss neu,Times 10 Point,number,fr"/>
    <w:basedOn w:val="DefaultParagraphFont"/>
    <w:link w:val="BVIfnrChar"/>
    <w:uiPriority w:val="99"/>
    <w:unhideWhenUsed/>
    <w:qFormat/>
    <w:rPr>
      <w:vertAlign w:val="superscript"/>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styleId="Hyperlink">
    <w:name w:val="Hyperlink"/>
    <w:basedOn w:val="DefaultParagraphFont"/>
    <w:uiPriority w:val="99"/>
    <w:unhideWhenUsed/>
    <w:rPr>
      <w:color w:val="0563C1" w:themeColor="hyperlink"/>
      <w:u w:val="single"/>
    </w:rPr>
  </w:style>
  <w:style w:type="paragraph" w:customStyle="1" w:styleId="BVIfnrChar">
    <w:name w:val="BVI fnr Char"/>
    <w:aliases w:val="Appel note de bas de p.;BVI fnr Car Car Car Car, BVI fnr Car Car,BVI fnr Car, BVI fnr Car Car Car Car, BVI fnr Car Car Car Car Char,Appel note de bas de p..BVI fnr Car Car Car Car,Appel note de bas de p.,BVI fnr Car Car Car Car"/>
    <w:basedOn w:val="Normal"/>
    <w:link w:val="FootnoteReference"/>
    <w:uiPriority w:val="99"/>
    <w:pPr>
      <w:spacing w:after="160" w:line="240" w:lineRule="exact"/>
    </w:pPr>
    <w:rPr>
      <w:vertAlign w:val="superscript"/>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styleId="Caption">
    <w:name w:val="caption"/>
    <w:basedOn w:val="Normal"/>
    <w:next w:val="Normal"/>
    <w:uiPriority w:val="35"/>
    <w:unhideWhenUsed/>
    <w:qFormat/>
    <w:pPr>
      <w:spacing w:line="240" w:lineRule="auto"/>
    </w:pPr>
    <w:rPr>
      <w:i/>
      <w:iCs/>
      <w:color w:val="44546A" w:themeColor="text2"/>
      <w:sz w:val="18"/>
      <w:szCs w:val="18"/>
      <w:lang w:val="en-US"/>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eading 2_sj,List Paragraph1,Számozott lista 1,LISTA,Listaszerű bekezdés1,Dot pt,No Spacing1,List Paragraph Char Char Char,Indicator Text,Numbered Para 1,List Paragraph à moi,Welt L Char,Welt L,Bullet List,FooterText,numbered,2,3,GSA List"/>
    <w:basedOn w:val="Normal"/>
    <w:link w:val="ListParagraphChar"/>
    <w:uiPriority w:val="34"/>
    <w:qFormat/>
    <w:pPr>
      <w:ind w:left="720"/>
      <w:contextualSpacing/>
    </w:pPr>
  </w:style>
  <w:style w:type="paragraph" w:styleId="FootnoteText">
    <w:name w:val="footnote text"/>
    <w:aliases w:val="Char,Fußnote,Carattere,fn,Footnotes,Footnote ak,Footnote Text Char Char,fn Char Char,footnote text Char Char,Footnotes Char Char,Footnote ak Char Char,fn Char1,footnote text Char1,Footnotes Char1,ft,Footnote Text_EP-LC,foottextfra,A,ftx,o"/>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Char Char,Fußnote Char,Carattere Char,fn Char,Footnotes Char,Footnote ak Char,Footnote Text Char Char Char,fn Char Char Char,footnote text Char Char Char,Footnotes Char Char Char,Footnote ak Char Char Char,fn Char1 Char,ft Char,A Char"/>
    <w:basedOn w:val="DefaultParagraphFont"/>
    <w:link w:val="FootnoteText"/>
    <w:uiPriority w:val="99"/>
    <w:qFormat/>
    <w:rPr>
      <w:sz w:val="20"/>
      <w:szCs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customStyle="1" w:styleId="ListParagraphChar">
    <w:name w:val="List Paragraph Char"/>
    <w:aliases w:val="Heading 2_sj Char,List Paragraph1 Char,Számozott lista 1 Char,LISTA Char,Listaszerű bekezdés1 Char,Dot pt Char,No Spacing1 Char,List Paragraph Char Char Char Char,Indicator Text Char,Numbered Para 1 Char,List Paragraph à moi Char"/>
    <w:basedOn w:val="DefaultParagraphFont"/>
    <w:link w:val="ListParagraph"/>
    <w:uiPriority w:val="34"/>
    <w:qFormat/>
    <w:lock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FootnoteReference">
    <w:name w:val="footnote reference"/>
    <w:aliases w:val="Footnote Refernece,Fussnota,Footnote symbol,Footnote,Fußnotenzeichen_Raxen,Footnote Reference Superscript,Footnote Reference/,Footnote Reference text,Voetnootverwijzing,footnote ref,FR,Fußnotenzeichen diss neu,Times 10 Point,number,fr"/>
    <w:basedOn w:val="DefaultParagraphFont"/>
    <w:link w:val="BVIfnrChar"/>
    <w:uiPriority w:val="99"/>
    <w:unhideWhenUsed/>
    <w:qFormat/>
    <w:rPr>
      <w:vertAlign w:val="superscript"/>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styleId="Hyperlink">
    <w:name w:val="Hyperlink"/>
    <w:basedOn w:val="DefaultParagraphFont"/>
    <w:uiPriority w:val="99"/>
    <w:unhideWhenUsed/>
    <w:rPr>
      <w:color w:val="0563C1" w:themeColor="hyperlink"/>
      <w:u w:val="single"/>
    </w:rPr>
  </w:style>
  <w:style w:type="paragraph" w:customStyle="1" w:styleId="BVIfnrChar">
    <w:name w:val="BVI fnr Char"/>
    <w:aliases w:val="Appel note de bas de p.;BVI fnr Car Car Car Car, BVI fnr Car Car,BVI fnr Car, BVI fnr Car Car Car Car, BVI fnr Car Car Car Car Char,Appel note de bas de p..BVI fnr Car Car Car Car,Appel note de bas de p.,BVI fnr Car Car Car Car"/>
    <w:basedOn w:val="Normal"/>
    <w:link w:val="FootnoteReference"/>
    <w:uiPriority w:val="99"/>
    <w:pPr>
      <w:spacing w:after="160" w:line="240" w:lineRule="exact"/>
    </w:pPr>
    <w:rPr>
      <w:vertAlign w:val="superscript"/>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styleId="Caption">
    <w:name w:val="caption"/>
    <w:basedOn w:val="Normal"/>
    <w:next w:val="Normal"/>
    <w:uiPriority w:val="35"/>
    <w:unhideWhenUsed/>
    <w:qFormat/>
    <w:pPr>
      <w:spacing w:line="240" w:lineRule="auto"/>
    </w:pPr>
    <w:rPr>
      <w:i/>
      <w:iCs/>
      <w:color w:val="44546A" w:themeColor="text2"/>
      <w:sz w:val="18"/>
      <w:szCs w:val="18"/>
      <w:lang w:val="en-US"/>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2269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841A6A-C772-4BC5-A7AF-0B77BA624B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690</Words>
  <Characters>4599</Characters>
  <Application>Microsoft Office Word</Application>
  <DocSecurity>0</DocSecurity>
  <Lines>85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2020-12-04T18:34:00Z</dcterms:created>
  <dcterms:modified xsi:type="dcterms:W3CDTF">2020-12-08T20:08:00Z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Level of sensitivity">
    <vt:lpwstr>Standard treatment</vt:lpwstr>
  </property>
  <property fmtid="{D5CDD505-2E9C-101B-9397-08002B2CF9AE}" pid="4" name="Last edited using">
    <vt:lpwstr>LW 7.0.1, Build 20190916</vt:lpwstr>
  </property>
  <property fmtid="{D5CDD505-2E9C-101B-9397-08002B2CF9AE}" pid="5" name="First annex">
    <vt:lpwstr>1</vt:lpwstr>
  </property>
  <property fmtid="{D5CDD505-2E9C-101B-9397-08002B2CF9AE}" pid="6" name="Last annex">
    <vt:lpwstr>1</vt:lpwstr>
  </property>
  <property fmtid="{D5CDD505-2E9C-101B-9397-08002B2CF9AE}" pid="7" name="Unique annex">
    <vt:lpwstr>0</vt:lpwstr>
  </property>
  <property fmtid="{D5CDD505-2E9C-101B-9397-08002B2CF9AE}" pid="8" name="Part">
    <vt:lpwstr>1</vt:lpwstr>
  </property>
  <property fmtid="{D5CDD505-2E9C-101B-9397-08002B2CF9AE}" pid="9" name="Total parts">
    <vt:lpwstr>1</vt:lpwstr>
  </property>
  <property fmtid="{D5CDD505-2E9C-101B-9397-08002B2CF9AE}" pid="10" name="CPTemplateID">
    <vt:lpwstr>CP-039</vt:lpwstr>
  </property>
</Properties>
</file>