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A85B9693-10B7-4D60-820E-681A7283635A" style="width:450.75pt;height:434.2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-20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5748"/>
      </w:tblGrid>
      <w:tr>
        <w:tc>
          <w:tcPr>
            <w:tcW w:w="2979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Actions</w:t>
            </w:r>
          </w:p>
        </w:tc>
        <w:tc>
          <w:tcPr>
            <w:tcW w:w="2021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State of Play</w:t>
            </w:r>
          </w:p>
        </w:tc>
      </w:tr>
      <w:tr>
        <w:tc>
          <w:tcPr>
            <w:tcW w:w="5000" w:type="pct"/>
            <w:gridSpan w:val="2"/>
            <w:shd w:val="clear" w:color="auto" w:fill="FFFF00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I. A future-proof security environment (critical infrastructure, cybersecurity, public spaces)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>Proposal for a Directive on the resilience of critical entities</w:t>
            </w:r>
          </w:p>
          <w:p>
            <w:pPr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To be adopted by Commission in December 2020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Review of NIS Directive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To be adopted  by Commission in December 2020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 xml:space="preserve"> Cross-sectoral financial services act on operational and cyber resilience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Adopted by Commission  on 23.09.2020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 xml:space="preserve">  Resilience of critical energy infrastructure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Ongoing  consultation of relevant energy operators and Member States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 xml:space="preserve"> Network code on cybersecurity for cross-border electricity flows 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COM adoption planned 2022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A European Cybersecurity Strategy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To be adopted  by Commission in December 2020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>Amendment to EU judicial cooperation instruments in view of their digitalisation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COM adoption plan Q4 2021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 xml:space="preserve"> Creation of a Joint Cyber Unit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Cybersecurity Strategy to be adopted December 2020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 xml:space="preserve"> Common rules on information security and cybersecurity for EU institutions, bodies and agencies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COM adoption planned Q4 2021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 xml:space="preserve"> Step up cooperation for the protection of public spaces, including spaces of worship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Counter-Terrorism Agenda for the EU, to be adopted on 9 December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 xml:space="preserve"> 2020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 xml:space="preserve"> Sharing of best practices on addressing misuse of drones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Ongoing</w:t>
            </w:r>
          </w:p>
        </w:tc>
      </w:tr>
      <w:tr>
        <w:tc>
          <w:tcPr>
            <w:tcW w:w="5000" w:type="pct"/>
            <w:gridSpan w:val="2"/>
            <w:shd w:val="clear" w:color="auto" w:fill="FFFF00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IE"/>
              </w:rPr>
              <w:t>II. Tackling evolving threats (Cybercrime, modern law enforcement, illegal content online, hybrid threats)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>Ensure full and fit-for purpose implementation of legislation on cybercrime (Directive 2013/40/EU)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>Infringement proceedings and preparations for additional proceedings are ongoing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>Enhance law enforcement / judiciary capacity in digital investigations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>Digital Capacity Building action plan for law enforcement in preparation, to be adopted in 2021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 xml:space="preserve">EU Strategy for fight against child sexual abuse 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Adopted by  Commission  on 24.07.2020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 xml:space="preserve"> Proposals on detection and removal of child sexual abuse</w:t>
            </w:r>
          </w:p>
          <w:p>
            <w:pPr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Short term proposal: Adopted by  Commission  on 10.09.2020</w:t>
            </w:r>
          </w:p>
          <w:p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Long term proposal: Work ongoing – adoption planned for Q2 2020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 xml:space="preserve"> Set out an EU approach to countering hybrid threats: mainstream considerations on hybrid into policy making</w:t>
            </w:r>
          </w:p>
        </w:tc>
        <w:tc>
          <w:tcPr>
            <w:tcW w:w="2021" w:type="pct"/>
            <w:shd w:val="clear" w:color="auto" w:fill="auto"/>
          </w:tcPr>
          <w:p>
            <w:pPr>
              <w:ind w:left="36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E"/>
              </w:rPr>
            </w:pP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 xml:space="preserve"> Review of EU operational protocol for countering hybrid threats (EU Playbook) SWD(2016)227</w:t>
            </w:r>
          </w:p>
        </w:tc>
        <w:tc>
          <w:tcPr>
            <w:tcW w:w="2021" w:type="pct"/>
            <w:shd w:val="clear" w:color="auto" w:fill="auto"/>
          </w:tcPr>
          <w:p>
            <w:pPr>
              <w:ind w:left="36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E"/>
              </w:rPr>
            </w:pP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>Legislative proposal on the digitalisation of crossborder judicial cooperation (see Commission work programme for 2021)</w:t>
            </w:r>
          </w:p>
        </w:tc>
        <w:tc>
          <w:tcPr>
            <w:tcW w:w="2021" w:type="pct"/>
            <w:shd w:val="clear" w:color="auto" w:fill="auto"/>
          </w:tcPr>
          <w:p>
            <w:pPr>
              <w:ind w:left="36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To be adopted by the Commission in Q4 2021</w:t>
            </w:r>
          </w:p>
        </w:tc>
      </w:tr>
      <w:tr>
        <w:tc>
          <w:tcPr>
            <w:tcW w:w="5000" w:type="pct"/>
            <w:gridSpan w:val="2"/>
            <w:shd w:val="clear" w:color="auto" w:fill="FFFF00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E"/>
              </w:rPr>
              <w:t>III. Protecting Europeans from terrorism and organised crime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 xml:space="preserve"> A Counter-Terrorism Agenda for the EU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Adopted by Commission on 9.12.2020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 xml:space="preserve"> Negotiations with third countries for cooperation with Europol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Negotiations with Turkey are ongoing. On 13 May 2020, the Council authorised the opening of negotiations with New Zealand.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IE"/>
              </w:rPr>
              <w:t>Opening of negotiations with 10 third countries for cooperation between the latter and Eurojust</w:t>
            </w:r>
          </w:p>
          <w:p>
            <w:pPr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Recommendation for the adoption of a Council Decision on authorising the negotiations with 10 third countries was sent to the Council on 19 November 2020, awaiting authorisation.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 xml:space="preserve"> European Public Prosecutor’s Office (EPPO): Recommendation on cooperation agreements with selected third countries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IE"/>
              </w:rPr>
              <w:t>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ecommendation for the adoption of a Council Decision authorising the negotiations for the conclusion of cooperation agreements between the EPPO and selected third countries.</w:t>
            </w:r>
          </w:p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Adoption planned for Q2 2021</w:t>
            </w:r>
          </w:p>
        </w:tc>
      </w:tr>
      <w:tr>
        <w:trPr>
          <w:trHeight w:val="297"/>
        </w:trPr>
        <w:tc>
          <w:tcPr>
            <w:tcW w:w="2979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MS Gothic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An Agenda on tackling organised crime, including trafficking in human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beings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Targeted consultations took place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Adoption planned for Q1 2021</w:t>
            </w:r>
          </w:p>
          <w:p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150"/>
        </w:trP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MS Gothic" w:hAnsi="Times New Roman" w:cs="Times New Roman"/>
                <w:bCs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>EU Agenda on Drugs and Action Plan 2021-2025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Adopted by  Commission  on 24.07.2020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Revision of the mandate of the European Monitoring Centre for Drugs and Drug Addiction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Inception impact assessment published and feed-back period closed on 31. 07. 2020</w:t>
            </w:r>
          </w:p>
          <w:p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Adoption planned for Q1 2021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 xml:space="preserve"> 2020-2025 EU Action Plan on Firearms trafficking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Adopted by Commission on 24.07.2020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>Commission report on the application of the Firearms Directive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Adoption planned for Q1 2021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>Review of the Regulation on export authorisation, and import and transit measures for firearms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Adoption planned for Q4 2021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>Review of Directive on freezing and confiscation  of proceeds of crime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Adoption planned for Q4 2021</w:t>
            </w:r>
          </w:p>
        </w:tc>
      </w:tr>
      <w:tr>
        <w:trPr>
          <w:trHeight w:val="50"/>
        </w:trP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>Proposal for a Directive on Asset Recovery Offices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>Adoption planned for Q3 2021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>Review of the Environmental Crime Directive 99/2008/EC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Adoption of a proposal planned for Q4 2021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 xml:space="preserve">An EU Action Plan against Migrant Smuggling, 2021-2025  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Consultations ongoing</w:t>
            </w:r>
          </w:p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Adoption planned for Q2 2021</w:t>
            </w:r>
          </w:p>
        </w:tc>
      </w:tr>
      <w:tr>
        <w:tc>
          <w:tcPr>
            <w:tcW w:w="5000" w:type="pct"/>
            <w:gridSpan w:val="2"/>
            <w:shd w:val="clear" w:color="auto" w:fill="FFFF00"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E"/>
              </w:rPr>
              <w:t>IV. A strong European security ecosystem</w:t>
            </w:r>
          </w:p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</w:p>
        </w:tc>
      </w:tr>
      <w:tr>
        <w:trPr>
          <w:trHeight w:val="450"/>
        </w:trP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Strengthening the Europol mandate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Adopted by Commission on 09.12.2020</w:t>
            </w:r>
          </w:p>
        </w:tc>
      </w:tr>
      <w:tr>
        <w:trPr>
          <w:trHeight w:val="273"/>
        </w:trPr>
        <w:tc>
          <w:tcPr>
            <w:tcW w:w="2979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Revision of the Prüm decisions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>Adoption planned for Q2 2021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>An EU ‘Police Cooperation Code’ and police coordination in times of crisis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Adoption planned for Q4 2021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>Revision of the Advance Passenger Information Directive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Adoption planned for Q2 2021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>Digital information exchange on cross-border terrorism cases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Adoption planned for Q4 2021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>IT collaboration platform for Joint Investigation Teams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Adoption planned for Q4 2021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>Communication on the external dimension of Passenger Name Records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Roadmap published on 24.07.2020</w:t>
            </w:r>
          </w:p>
          <w:p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Adoption planned for Q1 2021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>Strengthening cooperation between the EU and Interpol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Adoption planned for Q1 2021 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>A framework to negotiate with key third countries on sharing of information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Adoption planned for Q2 2022</w:t>
            </w:r>
          </w:p>
        </w:tc>
      </w:tr>
      <w:tr>
        <w:trPr>
          <w:trHeight w:val="67"/>
        </w:trP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>Better security standards for  identity cards and residence  documents (implementation of regulation 2019/1157)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Ongoing (Member States will start issuing identity cards and residence documents according to tighter  security standards as of August 2021)</w:t>
            </w:r>
          </w:p>
          <w:p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67"/>
        </w:trP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>European Innovation hub for internal security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Report planned for Q4 2020</w:t>
            </w:r>
          </w:p>
        </w:tc>
      </w:tr>
      <w:tr>
        <w:trPr>
          <w:trHeight w:val="67"/>
        </w:trP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>Strengthening and improving of the exchange of criminal records information (ECRIS and ECRIS-TCN)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>Adoption of the Report on the functioning of ECRIS planned for Q4 2020/ Q1 2021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Adoption of the implementing acts for ECRIS-TCN planned for 2021.</w:t>
            </w:r>
          </w:p>
        </w:tc>
      </w:tr>
      <w:tr>
        <w:trPr>
          <w:trHeight w:val="67"/>
        </w:trP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>European Cybersecurity Industrial, Technology and Research Competence Centre and Network of National Coordination Centres proposal Regulation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/>
              </w:rPr>
              <w:t>Ongoing negotiations (subject to conclusion of negotiations and adoption of Regulation)</w:t>
            </w:r>
          </w:p>
        </w:tc>
      </w:tr>
    </w:tbl>
    <w:p>
      <w:pPr>
        <w:rPr>
          <w:noProof/>
          <w:lang w:val="en-IE"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08548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49D2"/>
    <w:multiLevelType w:val="hybridMultilevel"/>
    <w:tmpl w:val="08CCD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04352"/>
    <w:multiLevelType w:val="hybridMultilevel"/>
    <w:tmpl w:val="2B1EA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DC320F"/>
    <w:multiLevelType w:val="hybridMultilevel"/>
    <w:tmpl w:val="F78C7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77677F"/>
    <w:multiLevelType w:val="hybridMultilevel"/>
    <w:tmpl w:val="721E6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93668E"/>
    <w:multiLevelType w:val="hybridMultilevel"/>
    <w:tmpl w:val="320C6C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5C1208"/>
    <w:multiLevelType w:val="hybridMultilevel"/>
    <w:tmpl w:val="4E243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AA576E"/>
    <w:multiLevelType w:val="hybridMultilevel"/>
    <w:tmpl w:val="B0E60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DB6947"/>
    <w:multiLevelType w:val="hybridMultilevel"/>
    <w:tmpl w:val="6A8E24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C02B97"/>
    <w:multiLevelType w:val="hybridMultilevel"/>
    <w:tmpl w:val="AE7E87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82569B"/>
    <w:multiLevelType w:val="hybridMultilevel"/>
    <w:tmpl w:val="43A6BB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EA3462"/>
    <w:multiLevelType w:val="hybridMultilevel"/>
    <w:tmpl w:val="7EB67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B0BD4"/>
    <w:multiLevelType w:val="hybridMultilevel"/>
    <w:tmpl w:val="B97099F4"/>
    <w:lvl w:ilvl="0" w:tplc="43F44B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029D7"/>
    <w:multiLevelType w:val="hybridMultilevel"/>
    <w:tmpl w:val="F558F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DD1AC9"/>
    <w:multiLevelType w:val="hybridMultilevel"/>
    <w:tmpl w:val="4ED24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3"/>
  </w:num>
  <w:num w:numId="7">
    <w:abstractNumId w:val="5"/>
  </w:num>
  <w:num w:numId="8">
    <w:abstractNumId w:val="10"/>
  </w:num>
  <w:num w:numId="9">
    <w:abstractNumId w:val="12"/>
  </w:num>
  <w:num w:numId="10">
    <w:abstractNumId w:val="9"/>
  </w:num>
  <w:num w:numId="11">
    <w:abstractNumId w:val="0"/>
  </w:num>
  <w:num w:numId="12">
    <w:abstractNumId w:val="8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activeWritingStyle w:appName="MSWord" w:lang="fr-BE" w:vendorID="64" w:dllVersion="131078" w:nlCheck="1" w:checkStyle="0"/>
  <w:activeWritingStyle w:appName="MSWord" w:lang="en-IE" w:vendorID="64" w:dllVersion="131078" w:nlCheck="1" w:checkStyle="1"/>
  <w:activeWritingStyle w:appName="MSWord" w:lang="en-GB" w:vendorID="64" w:dllVersion="131078" w:nlCheck="1" w:checkStyle="1"/>
  <w:revisionView w:markup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2"/>
    <w:docVar w:name="LW_ANNEX_NBR_LAST" w:val="2"/>
    <w:docVar w:name="LW_ANNEX_UNIQUE" w:val="0"/>
    <w:docVar w:name="LW_CORRIGENDUM" w:val="&lt;UNUSED&gt;"/>
    <w:docVar w:name="LW_COVERPAGE_EXISTS" w:val="True"/>
    <w:docVar w:name="LW_COVERPAGE_GUID" w:val="A85B9693-10B7-4D60-820E-681A7283635A"/>
    <w:docVar w:name="LW_COVERPAGE_TYPE" w:val="1"/>
    <w:docVar w:name="LW_CROSSREFERENCE" w:val="&lt;UNUSED&gt;"/>
    <w:docVar w:name="LW_DocType" w:val="NORMAL"/>
    <w:docVar w:name="LW_EMISSION" w:val="9.12.2020"/>
    <w:docVar w:name="LW_EMISSION_ISODATE" w:val="2020-12-09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First Progress Report on the EU Security Union Strategy_x000d__x000d__x000d__x000d__x000d__x000b__x000d__x000d__x000d__x000d__x000d__x000b__x000d__x000d__x000d__x000d__x000d__x000b__x000d__x000d__x000d__x000d__x000d__x000b__x000d__x000d_Implementation Roadmap"/>
    <w:docVar w:name="LW_PART_NBR" w:val="1"/>
    <w:docVar w:name="LW_PART_NBR_TOTAL" w:val="1"/>
    <w:docVar w:name="LW_REF.INST.NEW" w:val="COM"/>
    <w:docVar w:name="LW_REF.INST.NEW_ADOPTED" w:val="final"/>
    <w:docVar w:name="LW_REF.INST.NEW_TEXT" w:val="(2020) 79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COMMUNICATION FROM THE COMMISSION TO THE EUROPEAN PARLIAMENT AND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40" w:line="360" w:lineRule="auto"/>
        <w:ind w:left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B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ind w:left="0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fr-B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fr-BE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jc w:val="left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lang w:val="fr-BE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  <w:lang w:val="fr-B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ind w:left="0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lang w:val="fr-BE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  <w:lang w:val="fr-BE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ind w:left="0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  <w:lang w:val="fr-BE"/>
    </w:rPr>
  </w:style>
  <w:style w:type="paragraph" w:styleId="ListParagraph">
    <w:name w:val="List Paragraph"/>
    <w:aliases w:val="Task Body,Viñetas (Inicio Parrafo),3 Txt tabla,Zerrenda-paragrafoa,Lista multicolor - Énfasis 11,Fiche List Paragraph,List Paragraph compact,Dot pt,F5 List Paragraph,List Paragraph1,No Spacing1,List Paragraph Char Char Char,Indicator Text"/>
    <w:basedOn w:val="Normal"/>
    <w:link w:val="ListParagraphChar"/>
    <w:uiPriority w:val="34"/>
    <w:qFormat/>
    <w:pPr>
      <w:spacing w:after="200" w:line="276" w:lineRule="auto"/>
      <w:ind w:left="720"/>
      <w:contextualSpacing/>
      <w:jc w:val="left"/>
    </w:pPr>
    <w:rPr>
      <w:lang w:val="en-GB"/>
    </w:rPr>
  </w:style>
  <w:style w:type="character" w:customStyle="1" w:styleId="ListParagraphChar">
    <w:name w:val="List Paragraph Char"/>
    <w:aliases w:val="Task Body Char,Viñetas (Inicio Parrafo) Char,3 Txt tabla Char,Zerrenda-paragrafoa Char,Lista multicolor - Énfasis 11 Char,Fiche List Paragraph Char,List Paragraph compact Char,Dot pt Char,F5 List Paragraph Char,List Paragraph1 Char"/>
    <w:link w:val="ListParagraph"/>
    <w:uiPriority w:val="34"/>
    <w:qFormat/>
    <w:lock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fr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fr-B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BE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ind w:left="0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 w:line="276" w:lineRule="auto"/>
      <w:ind w:left="5103"/>
      <w:jc w:val="left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 w:line="276" w:lineRule="auto"/>
      <w:ind w:left="5103"/>
      <w:jc w:val="left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 w:line="276" w:lineRule="auto"/>
      <w:ind w:left="5103"/>
      <w:jc w:val="left"/>
    </w:pPr>
    <w:rPr>
      <w:rFonts w:ascii="Times New Roman" w:hAnsi="Times New Roman" w:cs="Times New Roman"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40" w:line="360" w:lineRule="auto"/>
        <w:ind w:left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B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ind w:left="0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fr-B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fr-BE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jc w:val="left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lang w:val="fr-BE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  <w:lang w:val="fr-B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ind w:left="0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lang w:val="fr-BE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  <w:lang w:val="fr-BE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ind w:left="0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  <w:lang w:val="fr-BE"/>
    </w:rPr>
  </w:style>
  <w:style w:type="paragraph" w:styleId="ListParagraph">
    <w:name w:val="List Paragraph"/>
    <w:aliases w:val="Task Body,Viñetas (Inicio Parrafo),3 Txt tabla,Zerrenda-paragrafoa,Lista multicolor - Énfasis 11,Fiche List Paragraph,List Paragraph compact,Dot pt,F5 List Paragraph,List Paragraph1,No Spacing1,List Paragraph Char Char Char,Indicator Text"/>
    <w:basedOn w:val="Normal"/>
    <w:link w:val="ListParagraphChar"/>
    <w:uiPriority w:val="34"/>
    <w:qFormat/>
    <w:pPr>
      <w:spacing w:after="200" w:line="276" w:lineRule="auto"/>
      <w:ind w:left="720"/>
      <w:contextualSpacing/>
      <w:jc w:val="left"/>
    </w:pPr>
    <w:rPr>
      <w:lang w:val="en-GB"/>
    </w:rPr>
  </w:style>
  <w:style w:type="character" w:customStyle="1" w:styleId="ListParagraphChar">
    <w:name w:val="List Paragraph Char"/>
    <w:aliases w:val="Task Body Char,Viñetas (Inicio Parrafo) Char,3 Txt tabla Char,Zerrenda-paragrafoa Char,Lista multicolor - Énfasis 11 Char,Fiche List Paragraph Char,List Paragraph compact Char,Dot pt Char,F5 List Paragraph Char,List Paragraph1 Char"/>
    <w:link w:val="ListParagraph"/>
    <w:uiPriority w:val="34"/>
    <w:qFormat/>
    <w:lock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fr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fr-B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BE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ind w:left="0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 w:line="276" w:lineRule="auto"/>
      <w:ind w:left="5103"/>
      <w:jc w:val="left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 w:line="276" w:lineRule="auto"/>
      <w:ind w:left="5103"/>
      <w:jc w:val="left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 w:line="276" w:lineRule="auto"/>
      <w:ind w:left="5103"/>
      <w:jc w:val="left"/>
    </w:pPr>
    <w:rPr>
      <w:rFonts w:ascii="Times New Roman" w:hAnsi="Times New Roman" w:cs="Times New Roman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D39D7-7908-4010-BE78-BCD1B1DF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860</Words>
  <Characters>5207</Characters>
  <Application>Microsoft Office Word</Application>
  <DocSecurity>0</DocSecurity>
  <Lines>144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2020-12-04T18:44:00Z</dcterms:created>
  <dcterms:modified xsi:type="dcterms:W3CDTF">2020-12-08T20:08:00Z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Level of sensitivity">
    <vt:lpwstr>Standard treatment</vt:lpwstr>
  </property>
  <property fmtid="{D5CDD505-2E9C-101B-9397-08002B2CF9AE}" pid="4" name="Last edited using">
    <vt:lpwstr>LW 7.0.1, Build 20190916</vt:lpwstr>
  </property>
  <property fmtid="{D5CDD505-2E9C-101B-9397-08002B2CF9AE}" pid="5" name="First annex">
    <vt:lpwstr>2</vt:lpwstr>
  </property>
  <property fmtid="{D5CDD505-2E9C-101B-9397-08002B2CF9AE}" pid="6" name="Last annex">
    <vt:lpwstr>2</vt:lpwstr>
  </property>
  <property fmtid="{D5CDD505-2E9C-101B-9397-08002B2CF9AE}" pid="7" name="Unique annex">
    <vt:lpwstr>0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CPTemplateID">
    <vt:lpwstr>CP-039</vt:lpwstr>
  </property>
</Properties>
</file>