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352975FA-BACF-4EEF-9172-47BD1E4CC56B" style="width:451.05pt;height:381.6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26"/>
        </w:sectPr>
      </w:pPr>
    </w:p>
    <w:p>
      <w:pPr>
        <w:pStyle w:val="TOCHeading"/>
        <w:rPr>
          <w:rFonts w:ascii="Times New Roman" w:hAnsi="Times New Roman"/>
          <w:b w:val="0"/>
          <w:noProof/>
          <w:sz w:val="20"/>
        </w:rPr>
      </w:pPr>
      <w:bookmarkStart w:id="1" w:name="_Toc42703541"/>
      <w:bookmarkStart w:id="2" w:name="_GoBack"/>
      <w:bookmarkEnd w:id="2"/>
    </w:p>
    <w:sdt>
      <w:sdtPr>
        <w:rPr>
          <w:rFonts w:ascii="Times New Roman" w:hAnsi="Times New Roman"/>
          <w:b w:val="0"/>
          <w:noProof/>
          <w:sz w:val="20"/>
        </w:rPr>
        <w:id w:val="-732465866"/>
        <w:docPartObj>
          <w:docPartGallery w:val="Table of Contents"/>
          <w:docPartUnique/>
        </w:docPartObj>
      </w:sdtPr>
      <w:sdtContent>
        <w:p>
          <w:pPr>
            <w:pStyle w:val="TOCHeading"/>
            <w:rPr>
              <w:rFonts w:ascii="Times New Roman" w:hAnsi="Times New Roman"/>
              <w:noProof/>
              <w:sz w:val="20"/>
            </w:rPr>
          </w:pPr>
          <w:r>
            <w:rPr>
              <w:rFonts w:ascii="Times New Roman" w:hAnsi="Times New Roman"/>
              <w:noProof/>
              <w:sz w:val="20"/>
            </w:rPr>
            <w:t>Contents</w:t>
          </w:r>
        </w:p>
        <w:p>
          <w:pPr>
            <w:pStyle w:val="TOC1"/>
            <w:tabs>
              <w:tab w:val="left" w:pos="440"/>
              <w:tab w:val="right" w:leader="dot" w:pos="8494"/>
            </w:tabs>
            <w:rPr>
              <w:rFonts w:eastAsiaTheme="minorEastAsia" w:cs="Times New Roman"/>
              <w:b w:val="0"/>
              <w:bCs w:val="0"/>
              <w:i w:val="0"/>
              <w:iCs w:val="0"/>
              <w:noProof/>
              <w:szCs w:val="20"/>
              <w:lang w:eastAsia="ja-JP"/>
            </w:rPr>
          </w:pPr>
          <w:r>
            <w:rPr>
              <w:rFonts w:cs="Times New Roman"/>
              <w:bCs w:val="0"/>
              <w:i w:val="0"/>
              <w:iCs w:val="0"/>
              <w:noProof/>
              <w:szCs w:val="20"/>
            </w:rPr>
            <w:fldChar w:fldCharType="begin"/>
          </w:r>
          <w:r>
            <w:rPr>
              <w:rFonts w:cs="Times New Roman"/>
              <w:bCs w:val="0"/>
              <w:i w:val="0"/>
              <w:iCs w:val="0"/>
              <w:noProof/>
              <w:szCs w:val="20"/>
            </w:rPr>
            <w:instrText xml:space="preserve"> TOC \o "1-4" \h \z \u </w:instrText>
          </w:r>
          <w:r>
            <w:rPr>
              <w:rFonts w:cs="Times New Roman"/>
              <w:i w:val="0"/>
              <w:noProof/>
              <w:szCs w:val="20"/>
            </w:rPr>
            <w:fldChar w:fldCharType="separate"/>
          </w:r>
          <w:hyperlink w:anchor="_Toc57291459" w:history="1">
            <w:r>
              <w:rPr>
                <w:rStyle w:val="Hyperlink"/>
                <w:noProof/>
                <w:sz w:val="20"/>
                <w:szCs w:val="20"/>
              </w:rPr>
              <w:t>1</w:t>
            </w:r>
            <w:r>
              <w:rPr>
                <w:rFonts w:eastAsiaTheme="minorEastAsia" w:cs="Times New Roman"/>
                <w:b w:val="0"/>
                <w:bCs w:val="0"/>
                <w:i w:val="0"/>
                <w:iCs w:val="0"/>
                <w:noProof/>
                <w:szCs w:val="20"/>
                <w:lang w:eastAsia="ja-JP"/>
              </w:rPr>
              <w:tab/>
            </w:r>
            <w:r>
              <w:rPr>
                <w:rStyle w:val="Hyperlink"/>
                <w:noProof/>
                <w:sz w:val="20"/>
                <w:szCs w:val="20"/>
              </w:rPr>
              <w:t>Introduction</w:t>
            </w:r>
            <w:r>
              <w:rPr>
                <w:rFonts w:cs="Times New Roman"/>
                <w:noProof/>
                <w:webHidden/>
                <w:szCs w:val="20"/>
              </w:rPr>
              <w:tab/>
            </w:r>
            <w:r>
              <w:rPr>
                <w:rFonts w:cs="Times New Roman"/>
                <w:noProof/>
                <w:webHidden/>
                <w:szCs w:val="20"/>
              </w:rPr>
              <w:fldChar w:fldCharType="begin"/>
            </w:r>
            <w:r>
              <w:rPr>
                <w:rFonts w:cs="Times New Roman"/>
                <w:noProof/>
                <w:webHidden/>
                <w:szCs w:val="20"/>
              </w:rPr>
              <w:instrText xml:space="preserve"> PAGEREF _Toc57291459 \h </w:instrText>
            </w:r>
            <w:r>
              <w:rPr>
                <w:rFonts w:cs="Times New Roman"/>
                <w:noProof/>
                <w:webHidden/>
                <w:szCs w:val="20"/>
              </w:rPr>
            </w:r>
            <w:r>
              <w:rPr>
                <w:rFonts w:cs="Times New Roman"/>
                <w:noProof/>
                <w:webHidden/>
                <w:szCs w:val="20"/>
              </w:rPr>
              <w:fldChar w:fldCharType="separate"/>
            </w:r>
            <w:r>
              <w:rPr>
                <w:rFonts w:cs="Times New Roman"/>
                <w:noProof/>
                <w:webHidden/>
                <w:szCs w:val="20"/>
              </w:rPr>
              <w:t>5</w:t>
            </w:r>
            <w:r>
              <w:rPr>
                <w:rFonts w:cs="Times New Roman"/>
                <w:noProof/>
                <w:webHidden/>
                <w:szCs w:val="20"/>
              </w:rPr>
              <w:fldChar w:fldCharType="end"/>
            </w:r>
          </w:hyperlink>
        </w:p>
        <w:p>
          <w:pPr>
            <w:pStyle w:val="TOC1"/>
            <w:tabs>
              <w:tab w:val="left" w:pos="440"/>
              <w:tab w:val="right" w:leader="dot" w:pos="8494"/>
            </w:tabs>
            <w:rPr>
              <w:rFonts w:eastAsiaTheme="minorEastAsia" w:cs="Times New Roman"/>
              <w:b w:val="0"/>
              <w:bCs w:val="0"/>
              <w:i w:val="0"/>
              <w:iCs w:val="0"/>
              <w:noProof/>
              <w:szCs w:val="20"/>
              <w:lang w:eastAsia="ja-JP"/>
            </w:rPr>
          </w:pPr>
          <w:hyperlink w:anchor="_Toc57291460" w:history="1">
            <w:r>
              <w:rPr>
                <w:rStyle w:val="Hyperlink"/>
                <w:noProof/>
                <w:sz w:val="20"/>
                <w:szCs w:val="20"/>
              </w:rPr>
              <w:t>2</w:t>
            </w:r>
            <w:r>
              <w:rPr>
                <w:rFonts w:eastAsiaTheme="minorEastAsia" w:cs="Times New Roman"/>
                <w:b w:val="0"/>
                <w:bCs w:val="0"/>
                <w:i w:val="0"/>
                <w:iCs w:val="0"/>
                <w:noProof/>
                <w:szCs w:val="20"/>
                <w:lang w:eastAsia="ja-JP"/>
              </w:rPr>
              <w:tab/>
            </w:r>
            <w:r>
              <w:rPr>
                <w:rStyle w:val="Hyperlink"/>
                <w:noProof/>
                <w:sz w:val="20"/>
                <w:szCs w:val="20"/>
              </w:rPr>
              <w:t>European mobility and transport – where are we heading?</w:t>
            </w:r>
            <w:r>
              <w:rPr>
                <w:rFonts w:cs="Times New Roman"/>
                <w:noProof/>
                <w:webHidden/>
                <w:szCs w:val="20"/>
              </w:rPr>
              <w:tab/>
            </w:r>
            <w:r>
              <w:rPr>
                <w:rFonts w:cs="Times New Roman"/>
                <w:noProof/>
                <w:webHidden/>
                <w:szCs w:val="20"/>
              </w:rPr>
              <w:fldChar w:fldCharType="begin"/>
            </w:r>
            <w:r>
              <w:rPr>
                <w:rFonts w:cs="Times New Roman"/>
                <w:noProof/>
                <w:webHidden/>
                <w:szCs w:val="20"/>
              </w:rPr>
              <w:instrText xml:space="preserve"> PAGEREF _Toc57291460 \h </w:instrText>
            </w:r>
            <w:r>
              <w:rPr>
                <w:rFonts w:cs="Times New Roman"/>
                <w:noProof/>
                <w:webHidden/>
                <w:szCs w:val="20"/>
              </w:rPr>
            </w:r>
            <w:r>
              <w:rPr>
                <w:rFonts w:cs="Times New Roman"/>
                <w:noProof/>
                <w:webHidden/>
                <w:szCs w:val="20"/>
              </w:rPr>
              <w:fldChar w:fldCharType="separate"/>
            </w:r>
            <w:r>
              <w:rPr>
                <w:rFonts w:cs="Times New Roman"/>
                <w:noProof/>
                <w:webHidden/>
                <w:szCs w:val="20"/>
              </w:rPr>
              <w:t>9</w:t>
            </w:r>
            <w:r>
              <w:rPr>
                <w:rFonts w:cs="Times New Roman"/>
                <w:noProof/>
                <w:webHidden/>
                <w:szCs w:val="20"/>
              </w:rPr>
              <w:fldChar w:fldCharType="end"/>
            </w:r>
          </w:hyperlink>
        </w:p>
        <w:p>
          <w:pPr>
            <w:pStyle w:val="TOC2"/>
            <w:tabs>
              <w:tab w:val="left" w:pos="880"/>
              <w:tab w:val="right" w:leader="dot" w:pos="8494"/>
            </w:tabs>
            <w:rPr>
              <w:rFonts w:ascii="Times New Roman" w:eastAsiaTheme="minorEastAsia" w:hAnsi="Times New Roman" w:cs="Times New Roman"/>
              <w:b w:val="0"/>
              <w:bCs w:val="0"/>
              <w:noProof/>
              <w:sz w:val="20"/>
              <w:szCs w:val="20"/>
              <w:lang w:eastAsia="ja-JP"/>
            </w:rPr>
          </w:pPr>
          <w:hyperlink w:anchor="_Toc57291461" w:history="1">
            <w:r>
              <w:rPr>
                <w:rStyle w:val="Hyperlink"/>
                <w:noProof/>
                <w:sz w:val="20"/>
                <w:szCs w:val="20"/>
              </w:rPr>
              <w:t>2.1</w:t>
            </w:r>
            <w:r>
              <w:rPr>
                <w:rFonts w:ascii="Times New Roman" w:eastAsiaTheme="minorEastAsia" w:hAnsi="Times New Roman" w:cs="Times New Roman"/>
                <w:b w:val="0"/>
                <w:bCs w:val="0"/>
                <w:noProof/>
                <w:sz w:val="20"/>
                <w:szCs w:val="20"/>
                <w:lang w:eastAsia="ja-JP"/>
              </w:rPr>
              <w:tab/>
            </w:r>
            <w:r>
              <w:rPr>
                <w:rStyle w:val="Hyperlink"/>
                <w:noProof/>
                <w:sz w:val="20"/>
                <w:szCs w:val="20"/>
              </w:rPr>
              <w:t>Identifying the greenhouse gas emissions gap for transport</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_Toc57291461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9</w:t>
            </w:r>
            <w:r>
              <w:rPr>
                <w:rFonts w:ascii="Times New Roman" w:hAnsi="Times New Roman" w:cs="Times New Roman"/>
                <w:noProof/>
                <w:webHidden/>
                <w:sz w:val="20"/>
                <w:szCs w:val="20"/>
              </w:rPr>
              <w:fldChar w:fldCharType="end"/>
            </w:r>
          </w:hyperlink>
        </w:p>
        <w:p>
          <w:pPr>
            <w:pStyle w:val="TOC2"/>
            <w:tabs>
              <w:tab w:val="left" w:pos="880"/>
              <w:tab w:val="right" w:leader="dot" w:pos="8494"/>
            </w:tabs>
            <w:rPr>
              <w:rFonts w:ascii="Times New Roman" w:eastAsiaTheme="minorEastAsia" w:hAnsi="Times New Roman" w:cs="Times New Roman"/>
              <w:b w:val="0"/>
              <w:bCs w:val="0"/>
              <w:noProof/>
              <w:sz w:val="20"/>
              <w:szCs w:val="20"/>
              <w:lang w:eastAsia="ja-JP"/>
            </w:rPr>
          </w:pPr>
          <w:hyperlink w:anchor="_Toc57291462" w:history="1">
            <w:r>
              <w:rPr>
                <w:rStyle w:val="Hyperlink"/>
                <w:noProof/>
                <w:sz w:val="20"/>
                <w:szCs w:val="20"/>
              </w:rPr>
              <w:t>2.2</w:t>
            </w:r>
            <w:r>
              <w:rPr>
                <w:rFonts w:ascii="Times New Roman" w:eastAsiaTheme="minorEastAsia" w:hAnsi="Times New Roman" w:cs="Times New Roman"/>
                <w:b w:val="0"/>
                <w:bCs w:val="0"/>
                <w:noProof/>
                <w:sz w:val="20"/>
                <w:szCs w:val="20"/>
                <w:lang w:eastAsia="ja-JP"/>
              </w:rPr>
              <w:tab/>
            </w:r>
            <w:r>
              <w:rPr>
                <w:rStyle w:val="Hyperlink"/>
                <w:noProof/>
                <w:sz w:val="20"/>
                <w:szCs w:val="20"/>
              </w:rPr>
              <w:t>Developments under current policies</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_Toc57291462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10</w:t>
            </w:r>
            <w:r>
              <w:rPr>
                <w:rFonts w:ascii="Times New Roman" w:hAnsi="Times New Roman" w:cs="Times New Roman"/>
                <w:noProof/>
                <w:webHidden/>
                <w:sz w:val="20"/>
                <w:szCs w:val="20"/>
              </w:rPr>
              <w:fldChar w:fldCharType="end"/>
            </w:r>
          </w:hyperlink>
        </w:p>
        <w:p>
          <w:pPr>
            <w:pStyle w:val="TOC2"/>
            <w:tabs>
              <w:tab w:val="left" w:pos="880"/>
              <w:tab w:val="right" w:leader="dot" w:pos="8494"/>
            </w:tabs>
            <w:rPr>
              <w:rFonts w:ascii="Times New Roman" w:eastAsiaTheme="minorEastAsia" w:hAnsi="Times New Roman" w:cs="Times New Roman"/>
              <w:b w:val="0"/>
              <w:bCs w:val="0"/>
              <w:noProof/>
              <w:sz w:val="20"/>
              <w:szCs w:val="20"/>
              <w:lang w:eastAsia="ja-JP"/>
            </w:rPr>
          </w:pPr>
          <w:hyperlink w:anchor="_Toc57291463" w:history="1">
            <w:r>
              <w:rPr>
                <w:rStyle w:val="Hyperlink"/>
                <w:noProof/>
                <w:sz w:val="20"/>
                <w:szCs w:val="20"/>
              </w:rPr>
              <w:t>2.3</w:t>
            </w:r>
            <w:r>
              <w:rPr>
                <w:rFonts w:ascii="Times New Roman" w:eastAsiaTheme="minorEastAsia" w:hAnsi="Times New Roman" w:cs="Times New Roman"/>
                <w:b w:val="0"/>
                <w:bCs w:val="0"/>
                <w:noProof/>
                <w:sz w:val="20"/>
                <w:szCs w:val="20"/>
                <w:lang w:eastAsia="ja-JP"/>
              </w:rPr>
              <w:tab/>
            </w:r>
            <w:r>
              <w:rPr>
                <w:rStyle w:val="Hyperlink"/>
                <w:noProof/>
                <w:sz w:val="20"/>
                <w:szCs w:val="20"/>
              </w:rPr>
              <w:t>Overall economic, social and technological trends</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_Toc57291463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w:t>
            </w:r>
            <w:r>
              <w:rPr>
                <w:rFonts w:ascii="Times New Roman" w:hAnsi="Times New Roman" w:cs="Times New Roman"/>
                <w:noProof/>
                <w:webHidden/>
                <w:sz w:val="20"/>
                <w:szCs w:val="20"/>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464" w:history="1">
            <w:r>
              <w:rPr>
                <w:rStyle w:val="Hyperlink"/>
                <w:noProof/>
                <w:sz w:val="20"/>
              </w:rPr>
              <w:t>2.3.1</w:t>
            </w:r>
            <w:r>
              <w:rPr>
                <w:rFonts w:ascii="Times New Roman" w:eastAsiaTheme="minorEastAsia" w:hAnsi="Times New Roman" w:cs="Times New Roman"/>
                <w:noProof/>
                <w:lang w:eastAsia="ja-JP"/>
              </w:rPr>
              <w:tab/>
            </w:r>
            <w:r>
              <w:rPr>
                <w:rStyle w:val="Hyperlink"/>
                <w:noProof/>
                <w:sz w:val="20"/>
              </w:rPr>
              <w:t>Economic context</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_Toc57291464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17</w:t>
            </w:r>
            <w:r>
              <w:rPr>
                <w:rFonts w:ascii="Times New Roman" w:hAnsi="Times New Roman" w:cs="Times New Roman"/>
                <w:noProof/>
                <w:webHidden/>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465" w:history="1">
            <w:r>
              <w:rPr>
                <w:rStyle w:val="Hyperlink"/>
                <w:noProof/>
                <w:sz w:val="20"/>
              </w:rPr>
              <w:t>2.3.2</w:t>
            </w:r>
            <w:r>
              <w:rPr>
                <w:rFonts w:ascii="Times New Roman" w:eastAsiaTheme="minorEastAsia" w:hAnsi="Times New Roman" w:cs="Times New Roman"/>
                <w:noProof/>
                <w:lang w:eastAsia="ja-JP"/>
              </w:rPr>
              <w:tab/>
            </w:r>
            <w:r>
              <w:rPr>
                <w:rStyle w:val="Hyperlink"/>
                <w:noProof/>
                <w:sz w:val="20"/>
              </w:rPr>
              <w:t>Demographic trends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_Toc57291465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23</w:t>
            </w:r>
            <w:r>
              <w:rPr>
                <w:rFonts w:ascii="Times New Roman" w:hAnsi="Times New Roman" w:cs="Times New Roman"/>
                <w:noProof/>
                <w:webHidden/>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466" w:history="1">
            <w:r>
              <w:rPr>
                <w:rStyle w:val="Hyperlink"/>
                <w:noProof/>
                <w:sz w:val="20"/>
              </w:rPr>
              <w:t>2.3.3</w:t>
            </w:r>
            <w:r>
              <w:rPr>
                <w:rFonts w:ascii="Times New Roman" w:eastAsiaTheme="minorEastAsia" w:hAnsi="Times New Roman" w:cs="Times New Roman"/>
                <w:noProof/>
                <w:lang w:eastAsia="ja-JP"/>
              </w:rPr>
              <w:tab/>
            </w:r>
            <w:r>
              <w:rPr>
                <w:rStyle w:val="Hyperlink"/>
                <w:noProof/>
                <w:sz w:val="20"/>
              </w:rPr>
              <w:t>New technologies, changing consumer behaviour and working conditions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_Toc57291466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26</w:t>
            </w:r>
            <w:r>
              <w:rPr>
                <w:rFonts w:ascii="Times New Roman" w:hAnsi="Times New Roman" w:cs="Times New Roman"/>
                <w:noProof/>
                <w:webHidden/>
              </w:rPr>
              <w:fldChar w:fldCharType="end"/>
            </w:r>
          </w:hyperlink>
        </w:p>
        <w:p>
          <w:pPr>
            <w:pStyle w:val="TOC2"/>
            <w:tabs>
              <w:tab w:val="left" w:pos="880"/>
              <w:tab w:val="right" w:leader="dot" w:pos="8494"/>
            </w:tabs>
            <w:rPr>
              <w:rFonts w:ascii="Times New Roman" w:eastAsiaTheme="minorEastAsia" w:hAnsi="Times New Roman" w:cs="Times New Roman"/>
              <w:b w:val="0"/>
              <w:bCs w:val="0"/>
              <w:noProof/>
              <w:sz w:val="20"/>
              <w:szCs w:val="20"/>
              <w:lang w:eastAsia="ja-JP"/>
            </w:rPr>
          </w:pPr>
          <w:hyperlink w:anchor="_Toc57291467" w:history="1">
            <w:r>
              <w:rPr>
                <w:rStyle w:val="Hyperlink"/>
                <w:noProof/>
                <w:sz w:val="20"/>
                <w:szCs w:val="20"/>
              </w:rPr>
              <w:t>2.4</w:t>
            </w:r>
            <w:r>
              <w:rPr>
                <w:rFonts w:ascii="Times New Roman" w:eastAsiaTheme="minorEastAsia" w:hAnsi="Times New Roman" w:cs="Times New Roman"/>
                <w:b w:val="0"/>
                <w:bCs w:val="0"/>
                <w:noProof/>
                <w:sz w:val="20"/>
                <w:szCs w:val="20"/>
                <w:lang w:eastAsia="ja-JP"/>
              </w:rPr>
              <w:tab/>
            </w:r>
            <w:r>
              <w:rPr>
                <w:rStyle w:val="Hyperlink"/>
                <w:noProof/>
                <w:sz w:val="20"/>
                <w:szCs w:val="20"/>
              </w:rPr>
              <w:t>Impact of the COVID-19 pandemic on the transport sector</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_Toc57291467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31</w:t>
            </w:r>
            <w:r>
              <w:rPr>
                <w:rFonts w:ascii="Times New Roman" w:hAnsi="Times New Roman" w:cs="Times New Roman"/>
                <w:noProof/>
                <w:webHidden/>
                <w:sz w:val="20"/>
                <w:szCs w:val="20"/>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468" w:history="1">
            <w:r>
              <w:rPr>
                <w:rStyle w:val="Hyperlink"/>
                <w:noProof/>
                <w:sz w:val="20"/>
              </w:rPr>
              <w:t>2.4.1</w:t>
            </w:r>
            <w:r>
              <w:rPr>
                <w:rFonts w:ascii="Times New Roman" w:eastAsiaTheme="minorEastAsia" w:hAnsi="Times New Roman" w:cs="Times New Roman"/>
                <w:noProof/>
                <w:lang w:eastAsia="ja-JP"/>
              </w:rPr>
              <w:tab/>
            </w:r>
            <w:r>
              <w:rPr>
                <w:rStyle w:val="Hyperlink"/>
                <w:noProof/>
                <w:sz w:val="20"/>
              </w:rPr>
              <w:t>Air transport</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_Toc57291468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32</w:t>
            </w:r>
            <w:r>
              <w:rPr>
                <w:rFonts w:ascii="Times New Roman" w:hAnsi="Times New Roman" w:cs="Times New Roman"/>
                <w:noProof/>
                <w:webHidden/>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469" w:history="1">
            <w:r>
              <w:rPr>
                <w:rStyle w:val="Hyperlink"/>
                <w:noProof/>
                <w:sz w:val="20"/>
              </w:rPr>
              <w:t>2.4.2</w:t>
            </w:r>
            <w:r>
              <w:rPr>
                <w:rFonts w:ascii="Times New Roman" w:eastAsiaTheme="minorEastAsia" w:hAnsi="Times New Roman" w:cs="Times New Roman"/>
                <w:noProof/>
                <w:lang w:eastAsia="ja-JP"/>
              </w:rPr>
              <w:tab/>
            </w:r>
            <w:r>
              <w:rPr>
                <w:rStyle w:val="Hyperlink"/>
                <w:noProof/>
                <w:sz w:val="20"/>
              </w:rPr>
              <w:t>Waterborne transport</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_Toc57291469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33</w:t>
            </w:r>
            <w:r>
              <w:rPr>
                <w:rFonts w:ascii="Times New Roman" w:hAnsi="Times New Roman" w:cs="Times New Roman"/>
                <w:noProof/>
                <w:webHidden/>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470" w:history="1">
            <w:r>
              <w:rPr>
                <w:rStyle w:val="Hyperlink"/>
                <w:noProof/>
                <w:sz w:val="20"/>
              </w:rPr>
              <w:t>2.4.3</w:t>
            </w:r>
            <w:r>
              <w:rPr>
                <w:rFonts w:ascii="Times New Roman" w:eastAsiaTheme="minorEastAsia" w:hAnsi="Times New Roman" w:cs="Times New Roman"/>
                <w:noProof/>
                <w:lang w:eastAsia="ja-JP"/>
              </w:rPr>
              <w:tab/>
            </w:r>
            <w:r>
              <w:rPr>
                <w:rStyle w:val="Hyperlink"/>
                <w:noProof/>
                <w:sz w:val="20"/>
              </w:rPr>
              <w:t>Road transport</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_Toc57291470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35</w:t>
            </w:r>
            <w:r>
              <w:rPr>
                <w:rFonts w:ascii="Times New Roman" w:hAnsi="Times New Roman" w:cs="Times New Roman"/>
                <w:noProof/>
                <w:webHidden/>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471" w:history="1">
            <w:r>
              <w:rPr>
                <w:rStyle w:val="Hyperlink"/>
                <w:noProof/>
                <w:sz w:val="20"/>
              </w:rPr>
              <w:t>2.4.4</w:t>
            </w:r>
            <w:r>
              <w:rPr>
                <w:rFonts w:ascii="Times New Roman" w:eastAsiaTheme="minorEastAsia" w:hAnsi="Times New Roman" w:cs="Times New Roman"/>
                <w:noProof/>
                <w:lang w:eastAsia="ja-JP"/>
              </w:rPr>
              <w:tab/>
            </w:r>
            <w:r>
              <w:rPr>
                <w:rStyle w:val="Hyperlink"/>
                <w:noProof/>
                <w:sz w:val="20"/>
              </w:rPr>
              <w:t>Rail transport</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_Toc57291471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36</w:t>
            </w:r>
            <w:r>
              <w:rPr>
                <w:rFonts w:ascii="Times New Roman" w:hAnsi="Times New Roman" w:cs="Times New Roman"/>
                <w:noProof/>
                <w:webHidden/>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472" w:history="1">
            <w:r>
              <w:rPr>
                <w:rStyle w:val="Hyperlink"/>
                <w:noProof/>
                <w:sz w:val="20"/>
              </w:rPr>
              <w:t>2.4.5</w:t>
            </w:r>
            <w:r>
              <w:rPr>
                <w:rFonts w:ascii="Times New Roman" w:eastAsiaTheme="minorEastAsia" w:hAnsi="Times New Roman" w:cs="Times New Roman"/>
                <w:noProof/>
                <w:lang w:eastAsia="ja-JP"/>
              </w:rPr>
              <w:tab/>
            </w:r>
            <w:r>
              <w:rPr>
                <w:rStyle w:val="Hyperlink"/>
                <w:noProof/>
                <w:sz w:val="20"/>
              </w:rPr>
              <w:t>Urban transport</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_Toc57291472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37</w:t>
            </w:r>
            <w:r>
              <w:rPr>
                <w:rFonts w:ascii="Times New Roman" w:hAnsi="Times New Roman" w:cs="Times New Roman"/>
                <w:noProof/>
                <w:webHidden/>
              </w:rPr>
              <w:fldChar w:fldCharType="end"/>
            </w:r>
          </w:hyperlink>
        </w:p>
        <w:p>
          <w:pPr>
            <w:pStyle w:val="TOC1"/>
            <w:tabs>
              <w:tab w:val="left" w:pos="440"/>
              <w:tab w:val="right" w:leader="dot" w:pos="8494"/>
            </w:tabs>
            <w:rPr>
              <w:rFonts w:eastAsiaTheme="minorEastAsia" w:cs="Times New Roman"/>
              <w:b w:val="0"/>
              <w:bCs w:val="0"/>
              <w:i w:val="0"/>
              <w:iCs w:val="0"/>
              <w:noProof/>
              <w:szCs w:val="20"/>
              <w:lang w:eastAsia="ja-JP"/>
            </w:rPr>
          </w:pPr>
          <w:hyperlink w:anchor="_Toc57291473" w:history="1">
            <w:r>
              <w:rPr>
                <w:rStyle w:val="Hyperlink"/>
                <w:noProof/>
                <w:sz w:val="20"/>
                <w:szCs w:val="20"/>
              </w:rPr>
              <w:t>3</w:t>
            </w:r>
            <w:r>
              <w:rPr>
                <w:rFonts w:eastAsiaTheme="minorEastAsia" w:cs="Times New Roman"/>
                <w:b w:val="0"/>
                <w:bCs w:val="0"/>
                <w:i w:val="0"/>
                <w:iCs w:val="0"/>
                <w:noProof/>
                <w:szCs w:val="20"/>
                <w:lang w:eastAsia="ja-JP"/>
              </w:rPr>
              <w:tab/>
            </w:r>
            <w:r>
              <w:rPr>
                <w:rStyle w:val="Hyperlink"/>
                <w:noProof/>
                <w:sz w:val="20"/>
                <w:szCs w:val="20"/>
              </w:rPr>
              <w:t>Key policy developments over the last decade</w:t>
            </w:r>
            <w:r>
              <w:rPr>
                <w:rFonts w:cs="Times New Roman"/>
                <w:noProof/>
                <w:webHidden/>
                <w:szCs w:val="20"/>
              </w:rPr>
              <w:tab/>
            </w:r>
            <w:r>
              <w:rPr>
                <w:rFonts w:cs="Times New Roman"/>
                <w:noProof/>
                <w:webHidden/>
                <w:szCs w:val="20"/>
              </w:rPr>
              <w:fldChar w:fldCharType="begin"/>
            </w:r>
            <w:r>
              <w:rPr>
                <w:rFonts w:cs="Times New Roman"/>
                <w:noProof/>
                <w:webHidden/>
                <w:szCs w:val="20"/>
              </w:rPr>
              <w:instrText xml:space="preserve"> PAGEREF _Toc57291473 \h </w:instrText>
            </w:r>
            <w:r>
              <w:rPr>
                <w:rFonts w:cs="Times New Roman"/>
                <w:noProof/>
                <w:webHidden/>
                <w:szCs w:val="20"/>
              </w:rPr>
            </w:r>
            <w:r>
              <w:rPr>
                <w:rFonts w:cs="Times New Roman"/>
                <w:noProof/>
                <w:webHidden/>
                <w:szCs w:val="20"/>
              </w:rPr>
              <w:fldChar w:fldCharType="separate"/>
            </w:r>
            <w:r>
              <w:rPr>
                <w:rFonts w:cs="Times New Roman"/>
                <w:noProof/>
                <w:webHidden/>
                <w:szCs w:val="20"/>
              </w:rPr>
              <w:t>39</w:t>
            </w:r>
            <w:r>
              <w:rPr>
                <w:rFonts w:cs="Times New Roman"/>
                <w:noProof/>
                <w:webHidden/>
                <w:szCs w:val="20"/>
              </w:rPr>
              <w:fldChar w:fldCharType="end"/>
            </w:r>
          </w:hyperlink>
        </w:p>
        <w:p>
          <w:pPr>
            <w:pStyle w:val="TOC2"/>
            <w:tabs>
              <w:tab w:val="left" w:pos="880"/>
              <w:tab w:val="right" w:leader="dot" w:pos="8494"/>
            </w:tabs>
            <w:rPr>
              <w:rFonts w:ascii="Times New Roman" w:eastAsiaTheme="minorEastAsia" w:hAnsi="Times New Roman" w:cs="Times New Roman"/>
              <w:b w:val="0"/>
              <w:bCs w:val="0"/>
              <w:noProof/>
              <w:sz w:val="20"/>
              <w:szCs w:val="20"/>
              <w:lang w:eastAsia="ja-JP"/>
            </w:rPr>
          </w:pPr>
          <w:hyperlink w:anchor="_Toc57291474" w:history="1">
            <w:r>
              <w:rPr>
                <w:rStyle w:val="Hyperlink"/>
                <w:noProof/>
                <w:sz w:val="20"/>
                <w:szCs w:val="20"/>
              </w:rPr>
              <w:t>3.1</w:t>
            </w:r>
            <w:r>
              <w:rPr>
                <w:rFonts w:ascii="Times New Roman" w:eastAsiaTheme="minorEastAsia" w:hAnsi="Times New Roman" w:cs="Times New Roman"/>
                <w:b w:val="0"/>
                <w:bCs w:val="0"/>
                <w:noProof/>
                <w:sz w:val="20"/>
                <w:szCs w:val="20"/>
                <w:lang w:eastAsia="ja-JP"/>
              </w:rPr>
              <w:tab/>
            </w:r>
            <w:r>
              <w:rPr>
                <w:rStyle w:val="Hyperlink"/>
                <w:noProof/>
                <w:sz w:val="20"/>
                <w:szCs w:val="20"/>
              </w:rPr>
              <w:t>Sustainability</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_Toc57291474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39</w:t>
            </w:r>
            <w:r>
              <w:rPr>
                <w:rFonts w:ascii="Times New Roman" w:hAnsi="Times New Roman" w:cs="Times New Roman"/>
                <w:noProof/>
                <w:webHidden/>
                <w:sz w:val="20"/>
                <w:szCs w:val="20"/>
              </w:rPr>
              <w:fldChar w:fldCharType="end"/>
            </w:r>
          </w:hyperlink>
        </w:p>
        <w:p>
          <w:pPr>
            <w:pStyle w:val="TOC2"/>
            <w:tabs>
              <w:tab w:val="left" w:pos="880"/>
              <w:tab w:val="right" w:leader="dot" w:pos="8494"/>
            </w:tabs>
            <w:rPr>
              <w:rFonts w:ascii="Times New Roman" w:eastAsiaTheme="minorEastAsia" w:hAnsi="Times New Roman" w:cs="Times New Roman"/>
              <w:b w:val="0"/>
              <w:bCs w:val="0"/>
              <w:noProof/>
              <w:sz w:val="20"/>
              <w:szCs w:val="20"/>
              <w:lang w:eastAsia="ja-JP"/>
            </w:rPr>
          </w:pPr>
          <w:hyperlink w:anchor="_Toc57291475" w:history="1">
            <w:r>
              <w:rPr>
                <w:rStyle w:val="Hyperlink"/>
                <w:noProof/>
                <w:sz w:val="20"/>
                <w:szCs w:val="20"/>
              </w:rPr>
              <w:t>3.2</w:t>
            </w:r>
            <w:r>
              <w:rPr>
                <w:rFonts w:ascii="Times New Roman" w:eastAsiaTheme="minorEastAsia" w:hAnsi="Times New Roman" w:cs="Times New Roman"/>
                <w:b w:val="0"/>
                <w:bCs w:val="0"/>
                <w:noProof/>
                <w:sz w:val="20"/>
                <w:szCs w:val="20"/>
                <w:lang w:eastAsia="ja-JP"/>
              </w:rPr>
              <w:tab/>
            </w:r>
            <w:r>
              <w:rPr>
                <w:rStyle w:val="Hyperlink"/>
                <w:noProof/>
                <w:sz w:val="20"/>
                <w:szCs w:val="20"/>
              </w:rPr>
              <w:t>Digitalisation</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_Toc57291475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46</w:t>
            </w:r>
            <w:r>
              <w:rPr>
                <w:rFonts w:ascii="Times New Roman" w:hAnsi="Times New Roman" w:cs="Times New Roman"/>
                <w:noProof/>
                <w:webHidden/>
                <w:sz w:val="20"/>
                <w:szCs w:val="20"/>
              </w:rPr>
              <w:fldChar w:fldCharType="end"/>
            </w:r>
          </w:hyperlink>
        </w:p>
        <w:p>
          <w:pPr>
            <w:pStyle w:val="TOC2"/>
            <w:tabs>
              <w:tab w:val="left" w:pos="880"/>
              <w:tab w:val="right" w:leader="dot" w:pos="8494"/>
            </w:tabs>
            <w:rPr>
              <w:rFonts w:ascii="Times New Roman" w:eastAsiaTheme="minorEastAsia" w:hAnsi="Times New Roman" w:cs="Times New Roman"/>
              <w:b w:val="0"/>
              <w:bCs w:val="0"/>
              <w:noProof/>
              <w:sz w:val="20"/>
              <w:szCs w:val="20"/>
              <w:lang w:eastAsia="ja-JP"/>
            </w:rPr>
          </w:pPr>
          <w:hyperlink w:anchor="_Toc57291476" w:history="1">
            <w:r>
              <w:rPr>
                <w:rStyle w:val="Hyperlink"/>
                <w:noProof/>
                <w:sz w:val="20"/>
                <w:szCs w:val="20"/>
              </w:rPr>
              <w:t>3.3</w:t>
            </w:r>
            <w:r>
              <w:rPr>
                <w:rFonts w:ascii="Times New Roman" w:eastAsiaTheme="minorEastAsia" w:hAnsi="Times New Roman" w:cs="Times New Roman"/>
                <w:b w:val="0"/>
                <w:bCs w:val="0"/>
                <w:noProof/>
                <w:sz w:val="20"/>
                <w:szCs w:val="20"/>
                <w:lang w:eastAsia="ja-JP"/>
              </w:rPr>
              <w:tab/>
            </w:r>
            <w:r>
              <w:rPr>
                <w:rStyle w:val="Hyperlink"/>
                <w:noProof/>
                <w:sz w:val="20"/>
                <w:szCs w:val="20"/>
              </w:rPr>
              <w:t>Single Market</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_Toc57291476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51</w:t>
            </w:r>
            <w:r>
              <w:rPr>
                <w:rFonts w:ascii="Times New Roman" w:hAnsi="Times New Roman" w:cs="Times New Roman"/>
                <w:noProof/>
                <w:webHidden/>
                <w:sz w:val="20"/>
                <w:szCs w:val="20"/>
              </w:rPr>
              <w:fldChar w:fldCharType="end"/>
            </w:r>
          </w:hyperlink>
        </w:p>
        <w:p>
          <w:pPr>
            <w:pStyle w:val="TOC2"/>
            <w:tabs>
              <w:tab w:val="left" w:pos="880"/>
              <w:tab w:val="right" w:leader="dot" w:pos="8494"/>
            </w:tabs>
            <w:rPr>
              <w:rFonts w:ascii="Times New Roman" w:eastAsiaTheme="minorEastAsia" w:hAnsi="Times New Roman" w:cs="Times New Roman"/>
              <w:b w:val="0"/>
              <w:bCs w:val="0"/>
              <w:noProof/>
              <w:sz w:val="20"/>
              <w:szCs w:val="20"/>
              <w:lang w:eastAsia="ja-JP"/>
            </w:rPr>
          </w:pPr>
          <w:hyperlink w:anchor="_Toc57291477" w:history="1">
            <w:r>
              <w:rPr>
                <w:rStyle w:val="Hyperlink"/>
                <w:noProof/>
                <w:sz w:val="20"/>
                <w:szCs w:val="20"/>
              </w:rPr>
              <w:t>3.4</w:t>
            </w:r>
            <w:r>
              <w:rPr>
                <w:rFonts w:ascii="Times New Roman" w:eastAsiaTheme="minorEastAsia" w:hAnsi="Times New Roman" w:cs="Times New Roman"/>
                <w:b w:val="0"/>
                <w:bCs w:val="0"/>
                <w:noProof/>
                <w:sz w:val="20"/>
                <w:szCs w:val="20"/>
                <w:lang w:eastAsia="ja-JP"/>
              </w:rPr>
              <w:tab/>
            </w:r>
            <w:r>
              <w:rPr>
                <w:rStyle w:val="Hyperlink"/>
                <w:noProof/>
                <w:sz w:val="20"/>
                <w:szCs w:val="20"/>
              </w:rPr>
              <w:t>Safety &amp; security</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_Toc57291477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56</w:t>
            </w:r>
            <w:r>
              <w:rPr>
                <w:rFonts w:ascii="Times New Roman" w:hAnsi="Times New Roman" w:cs="Times New Roman"/>
                <w:noProof/>
                <w:webHidden/>
                <w:sz w:val="20"/>
                <w:szCs w:val="20"/>
              </w:rPr>
              <w:fldChar w:fldCharType="end"/>
            </w:r>
          </w:hyperlink>
        </w:p>
        <w:p>
          <w:pPr>
            <w:pStyle w:val="TOC2"/>
            <w:tabs>
              <w:tab w:val="left" w:pos="880"/>
              <w:tab w:val="right" w:leader="dot" w:pos="8494"/>
            </w:tabs>
            <w:rPr>
              <w:rFonts w:ascii="Times New Roman" w:eastAsiaTheme="minorEastAsia" w:hAnsi="Times New Roman" w:cs="Times New Roman"/>
              <w:b w:val="0"/>
              <w:bCs w:val="0"/>
              <w:noProof/>
              <w:sz w:val="20"/>
              <w:szCs w:val="20"/>
              <w:lang w:eastAsia="ja-JP"/>
            </w:rPr>
          </w:pPr>
          <w:hyperlink w:anchor="_Toc57291478" w:history="1">
            <w:r>
              <w:rPr>
                <w:rStyle w:val="Hyperlink"/>
                <w:noProof/>
                <w:sz w:val="20"/>
                <w:szCs w:val="20"/>
              </w:rPr>
              <w:t>3.5</w:t>
            </w:r>
            <w:r>
              <w:rPr>
                <w:rFonts w:ascii="Times New Roman" w:eastAsiaTheme="minorEastAsia" w:hAnsi="Times New Roman" w:cs="Times New Roman"/>
                <w:b w:val="0"/>
                <w:bCs w:val="0"/>
                <w:noProof/>
                <w:sz w:val="20"/>
                <w:szCs w:val="20"/>
                <w:lang w:eastAsia="ja-JP"/>
              </w:rPr>
              <w:tab/>
            </w:r>
            <w:r>
              <w:rPr>
                <w:rStyle w:val="Hyperlink"/>
                <w:noProof/>
                <w:sz w:val="20"/>
                <w:szCs w:val="20"/>
              </w:rPr>
              <w:t>Social issues</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_Toc57291478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60</w:t>
            </w:r>
            <w:r>
              <w:rPr>
                <w:rFonts w:ascii="Times New Roman" w:hAnsi="Times New Roman" w:cs="Times New Roman"/>
                <w:noProof/>
                <w:webHidden/>
                <w:sz w:val="20"/>
                <w:szCs w:val="20"/>
              </w:rPr>
              <w:fldChar w:fldCharType="end"/>
            </w:r>
          </w:hyperlink>
        </w:p>
        <w:p>
          <w:pPr>
            <w:pStyle w:val="TOC2"/>
            <w:tabs>
              <w:tab w:val="left" w:pos="880"/>
              <w:tab w:val="right" w:leader="dot" w:pos="8494"/>
            </w:tabs>
            <w:rPr>
              <w:rFonts w:ascii="Times New Roman" w:eastAsiaTheme="minorEastAsia" w:hAnsi="Times New Roman" w:cs="Times New Roman"/>
              <w:b w:val="0"/>
              <w:bCs w:val="0"/>
              <w:noProof/>
              <w:sz w:val="20"/>
              <w:szCs w:val="20"/>
              <w:lang w:eastAsia="ja-JP"/>
            </w:rPr>
          </w:pPr>
          <w:hyperlink w:anchor="_Toc57291479" w:history="1">
            <w:r>
              <w:rPr>
                <w:rStyle w:val="Hyperlink"/>
                <w:noProof/>
                <w:sz w:val="20"/>
                <w:szCs w:val="20"/>
              </w:rPr>
              <w:t>3.6</w:t>
            </w:r>
            <w:r>
              <w:rPr>
                <w:rFonts w:ascii="Times New Roman" w:eastAsiaTheme="minorEastAsia" w:hAnsi="Times New Roman" w:cs="Times New Roman"/>
                <w:b w:val="0"/>
                <w:bCs w:val="0"/>
                <w:noProof/>
                <w:sz w:val="20"/>
                <w:szCs w:val="20"/>
                <w:lang w:eastAsia="ja-JP"/>
              </w:rPr>
              <w:tab/>
            </w:r>
            <w:r>
              <w:rPr>
                <w:rStyle w:val="Hyperlink"/>
                <w:noProof/>
                <w:sz w:val="20"/>
                <w:szCs w:val="20"/>
              </w:rPr>
              <w:t>Enforcement of the EU transport acquis</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_Toc57291479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66</w:t>
            </w:r>
            <w:r>
              <w:rPr>
                <w:rFonts w:ascii="Times New Roman" w:hAnsi="Times New Roman" w:cs="Times New Roman"/>
                <w:noProof/>
                <w:webHidden/>
                <w:sz w:val="20"/>
                <w:szCs w:val="20"/>
              </w:rPr>
              <w:fldChar w:fldCharType="end"/>
            </w:r>
          </w:hyperlink>
        </w:p>
        <w:p>
          <w:pPr>
            <w:pStyle w:val="TOC1"/>
            <w:tabs>
              <w:tab w:val="left" w:pos="440"/>
              <w:tab w:val="right" w:leader="dot" w:pos="8494"/>
            </w:tabs>
            <w:rPr>
              <w:rFonts w:eastAsiaTheme="minorEastAsia" w:cs="Times New Roman"/>
              <w:b w:val="0"/>
              <w:bCs w:val="0"/>
              <w:i w:val="0"/>
              <w:iCs w:val="0"/>
              <w:noProof/>
              <w:szCs w:val="20"/>
              <w:lang w:eastAsia="ja-JP"/>
            </w:rPr>
          </w:pPr>
          <w:hyperlink w:anchor="_Toc57291480" w:history="1">
            <w:r>
              <w:rPr>
                <w:rStyle w:val="Hyperlink"/>
                <w:noProof/>
                <w:sz w:val="20"/>
                <w:szCs w:val="20"/>
              </w:rPr>
              <w:t>4</w:t>
            </w:r>
            <w:r>
              <w:rPr>
                <w:rFonts w:eastAsiaTheme="minorEastAsia" w:cs="Times New Roman"/>
                <w:b w:val="0"/>
                <w:bCs w:val="0"/>
                <w:i w:val="0"/>
                <w:iCs w:val="0"/>
                <w:noProof/>
                <w:szCs w:val="20"/>
                <w:lang w:eastAsia="ja-JP"/>
              </w:rPr>
              <w:tab/>
            </w:r>
            <w:r>
              <w:rPr>
                <w:rStyle w:val="Hyperlink"/>
                <w:noProof/>
                <w:sz w:val="20"/>
                <w:szCs w:val="20"/>
              </w:rPr>
              <w:t>Challenges to sustainable, smart and resilient mobility</w:t>
            </w:r>
            <w:r>
              <w:rPr>
                <w:rFonts w:cs="Times New Roman"/>
                <w:noProof/>
                <w:webHidden/>
                <w:szCs w:val="20"/>
              </w:rPr>
              <w:tab/>
            </w:r>
            <w:r>
              <w:rPr>
                <w:rFonts w:cs="Times New Roman"/>
                <w:noProof/>
                <w:webHidden/>
                <w:szCs w:val="20"/>
              </w:rPr>
              <w:fldChar w:fldCharType="begin"/>
            </w:r>
            <w:r>
              <w:rPr>
                <w:rFonts w:cs="Times New Roman"/>
                <w:noProof/>
                <w:webHidden/>
                <w:szCs w:val="20"/>
              </w:rPr>
              <w:instrText xml:space="preserve"> PAGEREF _Toc57291480 \h </w:instrText>
            </w:r>
            <w:r>
              <w:rPr>
                <w:rFonts w:cs="Times New Roman"/>
                <w:noProof/>
                <w:webHidden/>
                <w:szCs w:val="20"/>
              </w:rPr>
            </w:r>
            <w:r>
              <w:rPr>
                <w:rFonts w:cs="Times New Roman"/>
                <w:noProof/>
                <w:webHidden/>
                <w:szCs w:val="20"/>
              </w:rPr>
              <w:fldChar w:fldCharType="separate"/>
            </w:r>
            <w:r>
              <w:rPr>
                <w:rFonts w:cs="Times New Roman"/>
                <w:noProof/>
                <w:webHidden/>
                <w:szCs w:val="20"/>
              </w:rPr>
              <w:t>70</w:t>
            </w:r>
            <w:r>
              <w:rPr>
                <w:rFonts w:cs="Times New Roman"/>
                <w:noProof/>
                <w:webHidden/>
                <w:szCs w:val="20"/>
              </w:rPr>
              <w:fldChar w:fldCharType="end"/>
            </w:r>
          </w:hyperlink>
        </w:p>
        <w:p>
          <w:pPr>
            <w:pStyle w:val="TOC2"/>
            <w:tabs>
              <w:tab w:val="left" w:pos="880"/>
              <w:tab w:val="right" w:leader="dot" w:pos="8494"/>
            </w:tabs>
            <w:rPr>
              <w:rFonts w:ascii="Times New Roman" w:eastAsiaTheme="minorEastAsia" w:hAnsi="Times New Roman" w:cs="Times New Roman"/>
              <w:b w:val="0"/>
              <w:bCs w:val="0"/>
              <w:noProof/>
              <w:sz w:val="20"/>
              <w:szCs w:val="20"/>
              <w:lang w:eastAsia="ja-JP"/>
            </w:rPr>
          </w:pPr>
          <w:hyperlink w:anchor="_Toc57291481" w:history="1">
            <w:r>
              <w:rPr>
                <w:rStyle w:val="Hyperlink"/>
                <w:noProof/>
                <w:sz w:val="20"/>
                <w:szCs w:val="20"/>
              </w:rPr>
              <w:t>4.1</w:t>
            </w:r>
            <w:r>
              <w:rPr>
                <w:rFonts w:ascii="Times New Roman" w:eastAsiaTheme="minorEastAsia" w:hAnsi="Times New Roman" w:cs="Times New Roman"/>
                <w:b w:val="0"/>
                <w:bCs w:val="0"/>
                <w:noProof/>
                <w:sz w:val="20"/>
                <w:szCs w:val="20"/>
                <w:lang w:eastAsia="ja-JP"/>
              </w:rPr>
              <w:tab/>
            </w:r>
            <w:r>
              <w:rPr>
                <w:rStyle w:val="Hyperlink"/>
                <w:noProof/>
                <w:sz w:val="20"/>
                <w:szCs w:val="20"/>
              </w:rPr>
              <w:t>The sustainability challenge</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_Toc57291481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70</w:t>
            </w:r>
            <w:r>
              <w:rPr>
                <w:rFonts w:ascii="Times New Roman" w:hAnsi="Times New Roman" w:cs="Times New Roman"/>
                <w:noProof/>
                <w:webHidden/>
                <w:sz w:val="20"/>
                <w:szCs w:val="20"/>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482" w:history="1">
            <w:r>
              <w:rPr>
                <w:rStyle w:val="Hyperlink"/>
                <w:noProof/>
                <w:sz w:val="20"/>
              </w:rPr>
              <w:t>4.1.1</w:t>
            </w:r>
            <w:r>
              <w:rPr>
                <w:rFonts w:ascii="Times New Roman" w:eastAsiaTheme="minorEastAsia" w:hAnsi="Times New Roman" w:cs="Times New Roman"/>
                <w:noProof/>
                <w:lang w:eastAsia="ja-JP"/>
              </w:rPr>
              <w:tab/>
            </w:r>
            <w:r>
              <w:rPr>
                <w:rStyle w:val="Hyperlink"/>
                <w:noProof/>
                <w:sz w:val="20"/>
              </w:rPr>
              <w:t>Zero- and low-emission vehicles and renewable and low carbon transport fuels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_Toc57291482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81</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483" w:history="1">
            <w:r>
              <w:rPr>
                <w:rStyle w:val="Hyperlink"/>
                <w:noProof/>
                <w:sz w:val="20"/>
              </w:rPr>
              <w:t>4.1.1.1</w:t>
            </w:r>
            <w:r>
              <w:rPr>
                <w:rFonts w:ascii="Times New Roman" w:eastAsiaTheme="minorEastAsia" w:hAnsi="Times New Roman" w:cs="Times New Roman"/>
                <w:noProof/>
                <w:lang w:eastAsia="ja-JP"/>
              </w:rPr>
              <w:tab/>
            </w:r>
            <w:r>
              <w:rPr>
                <w:rStyle w:val="Hyperlink"/>
                <w:noProof/>
                <w:sz w:val="20"/>
              </w:rPr>
              <w:t>Fuel supply</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_Toc57291483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88</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484" w:history="1">
            <w:r>
              <w:rPr>
                <w:rStyle w:val="Hyperlink"/>
                <w:noProof/>
                <w:sz w:val="20"/>
              </w:rPr>
              <w:t>4.1.1.2</w:t>
            </w:r>
            <w:r>
              <w:rPr>
                <w:rFonts w:ascii="Times New Roman" w:eastAsiaTheme="minorEastAsia" w:hAnsi="Times New Roman" w:cs="Times New Roman"/>
                <w:noProof/>
                <w:lang w:eastAsia="ja-JP"/>
              </w:rPr>
              <w:tab/>
            </w:r>
            <w:r>
              <w:rPr>
                <w:rStyle w:val="Hyperlink"/>
                <w:noProof/>
                <w:sz w:val="20"/>
              </w:rPr>
              <w:t>Fuel infrastructure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_Toc57291484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90</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485" w:history="1">
            <w:r>
              <w:rPr>
                <w:rStyle w:val="Hyperlink"/>
                <w:noProof/>
                <w:sz w:val="20"/>
              </w:rPr>
              <w:t>4.1.1.3</w:t>
            </w:r>
            <w:r>
              <w:rPr>
                <w:rFonts w:ascii="Times New Roman" w:eastAsiaTheme="minorEastAsia" w:hAnsi="Times New Roman" w:cs="Times New Roman"/>
                <w:noProof/>
                <w:lang w:eastAsia="ja-JP"/>
              </w:rPr>
              <w:tab/>
            </w:r>
            <w:r>
              <w:rPr>
                <w:rStyle w:val="Hyperlink"/>
                <w:noProof/>
                <w:sz w:val="20"/>
              </w:rPr>
              <w:t>Other incentives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_Toc57291485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91</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486" w:history="1">
            <w:r>
              <w:rPr>
                <w:rStyle w:val="Hyperlink"/>
                <w:noProof/>
                <w:sz w:val="20"/>
              </w:rPr>
              <w:t>4.1.1.4</w:t>
            </w:r>
            <w:r>
              <w:rPr>
                <w:rFonts w:ascii="Times New Roman" w:eastAsiaTheme="minorEastAsia" w:hAnsi="Times New Roman" w:cs="Times New Roman"/>
                <w:noProof/>
                <w:lang w:eastAsia="ja-JP"/>
              </w:rPr>
              <w:tab/>
            </w:r>
            <w:r>
              <w:rPr>
                <w:rStyle w:val="Hyperlink"/>
                <w:noProof/>
                <w:sz w:val="20"/>
              </w:rPr>
              <w:t>Pollutant standards, batteries and roadworthiness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_Toc57291486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92</w:t>
            </w:r>
            <w:r>
              <w:rPr>
                <w:rFonts w:ascii="Times New Roman" w:hAnsi="Times New Roman" w:cs="Times New Roman"/>
                <w:noProof/>
                <w:webHidden/>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487" w:history="1">
            <w:r>
              <w:rPr>
                <w:rStyle w:val="Hyperlink"/>
                <w:noProof/>
                <w:sz w:val="20"/>
              </w:rPr>
              <w:t>4.1.2</w:t>
            </w:r>
            <w:r>
              <w:rPr>
                <w:rFonts w:ascii="Times New Roman" w:eastAsiaTheme="minorEastAsia" w:hAnsi="Times New Roman" w:cs="Times New Roman"/>
                <w:noProof/>
                <w:lang w:eastAsia="ja-JP"/>
              </w:rPr>
              <w:tab/>
            </w:r>
            <w:r>
              <w:rPr>
                <w:rStyle w:val="Hyperlink"/>
                <w:noProof/>
                <w:sz w:val="20"/>
              </w:rPr>
              <w:t>Clean ports and airports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_Toc57291487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95</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488" w:history="1">
            <w:r>
              <w:rPr>
                <w:rStyle w:val="Hyperlink"/>
                <w:noProof/>
                <w:sz w:val="20"/>
              </w:rPr>
              <w:t>4.1.2.1</w:t>
            </w:r>
            <w:r>
              <w:rPr>
                <w:rFonts w:ascii="Times New Roman" w:eastAsiaTheme="minorEastAsia" w:hAnsi="Times New Roman" w:cs="Times New Roman"/>
                <w:noProof/>
                <w:lang w:eastAsia="ja-JP"/>
              </w:rPr>
              <w:tab/>
            </w:r>
            <w:r>
              <w:rPr>
                <w:rStyle w:val="Hyperlink"/>
                <w:noProof/>
                <w:sz w:val="20"/>
              </w:rPr>
              <w:t>Ports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_Toc57291488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95</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489" w:history="1">
            <w:r>
              <w:rPr>
                <w:rStyle w:val="Hyperlink"/>
                <w:noProof/>
                <w:sz w:val="20"/>
              </w:rPr>
              <w:t>4.1.2.2</w:t>
            </w:r>
            <w:r>
              <w:rPr>
                <w:rFonts w:ascii="Times New Roman" w:eastAsiaTheme="minorEastAsia" w:hAnsi="Times New Roman" w:cs="Times New Roman"/>
                <w:noProof/>
                <w:lang w:eastAsia="ja-JP"/>
              </w:rPr>
              <w:tab/>
            </w:r>
            <w:r>
              <w:rPr>
                <w:rStyle w:val="Hyperlink"/>
                <w:noProof/>
                <w:sz w:val="20"/>
              </w:rPr>
              <w:t>Airports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_Toc57291489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100</w:t>
            </w:r>
            <w:r>
              <w:rPr>
                <w:rFonts w:ascii="Times New Roman" w:hAnsi="Times New Roman" w:cs="Times New Roman"/>
                <w:noProof/>
                <w:webHidden/>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490" w:history="1">
            <w:r>
              <w:rPr>
                <w:rStyle w:val="Hyperlink"/>
                <w:noProof/>
                <w:sz w:val="20"/>
              </w:rPr>
              <w:t>4.1.3</w:t>
            </w:r>
            <w:r>
              <w:rPr>
                <w:rFonts w:ascii="Times New Roman" w:eastAsiaTheme="minorEastAsia" w:hAnsi="Times New Roman" w:cs="Times New Roman"/>
                <w:noProof/>
                <w:lang w:eastAsia="ja-JP"/>
              </w:rPr>
              <w:tab/>
            </w:r>
            <w:r>
              <w:rPr>
                <w:rStyle w:val="Hyperlink"/>
                <w:noProof/>
                <w:sz w:val="20"/>
              </w:rPr>
              <w:t>Sustainable urban mobility</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_Toc57291490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105</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491" w:history="1">
            <w:r>
              <w:rPr>
                <w:rStyle w:val="Hyperlink"/>
                <w:noProof/>
                <w:sz w:val="20"/>
              </w:rPr>
              <w:t>4.1.3.1</w:t>
            </w:r>
            <w:r>
              <w:rPr>
                <w:rFonts w:ascii="Times New Roman" w:eastAsiaTheme="minorEastAsia" w:hAnsi="Times New Roman" w:cs="Times New Roman"/>
                <w:noProof/>
                <w:lang w:eastAsia="ja-JP"/>
              </w:rPr>
              <w:tab/>
            </w:r>
            <w:r>
              <w:rPr>
                <w:rStyle w:val="Hyperlink"/>
                <w:noProof/>
                <w:sz w:val="20"/>
              </w:rPr>
              <w:t>Urban vehicle access regulations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_Toc57291491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109</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492" w:history="1">
            <w:r>
              <w:rPr>
                <w:rStyle w:val="Hyperlink"/>
                <w:noProof/>
                <w:sz w:val="20"/>
              </w:rPr>
              <w:t>4.1.3.2</w:t>
            </w:r>
            <w:r>
              <w:rPr>
                <w:rFonts w:ascii="Times New Roman" w:eastAsiaTheme="minorEastAsia" w:hAnsi="Times New Roman" w:cs="Times New Roman"/>
                <w:noProof/>
                <w:lang w:eastAsia="ja-JP"/>
              </w:rPr>
              <w:tab/>
            </w:r>
            <w:r>
              <w:rPr>
                <w:rStyle w:val="Hyperlink"/>
                <w:noProof/>
                <w:sz w:val="20"/>
              </w:rPr>
              <w:t>Walking, cycling and micromobility</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_Toc57291492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110</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493" w:history="1">
            <w:r>
              <w:rPr>
                <w:rStyle w:val="Hyperlink"/>
                <w:noProof/>
                <w:sz w:val="20"/>
              </w:rPr>
              <w:t>4.1.3.3</w:t>
            </w:r>
            <w:r>
              <w:rPr>
                <w:rFonts w:ascii="Times New Roman" w:eastAsiaTheme="minorEastAsia" w:hAnsi="Times New Roman" w:cs="Times New Roman"/>
                <w:noProof/>
                <w:lang w:eastAsia="ja-JP"/>
              </w:rPr>
              <w:tab/>
            </w:r>
            <w:r>
              <w:rPr>
                <w:rStyle w:val="Hyperlink"/>
                <w:noProof/>
                <w:sz w:val="20"/>
              </w:rPr>
              <w:t>Public transport, shared mobility and transport on demand</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_Toc57291493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115</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494" w:history="1">
            <w:r>
              <w:rPr>
                <w:rStyle w:val="Hyperlink"/>
                <w:noProof/>
                <w:sz w:val="20"/>
              </w:rPr>
              <w:t>4.1.3.4</w:t>
            </w:r>
            <w:r>
              <w:rPr>
                <w:rFonts w:ascii="Times New Roman" w:eastAsiaTheme="minorEastAsia" w:hAnsi="Times New Roman" w:cs="Times New Roman"/>
                <w:noProof/>
                <w:lang w:eastAsia="ja-JP"/>
              </w:rPr>
              <w:tab/>
            </w:r>
            <w:r>
              <w:rPr>
                <w:rStyle w:val="Hyperlink"/>
                <w:noProof/>
                <w:sz w:val="20"/>
              </w:rPr>
              <w:t>Urban logistics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_Toc57291494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117</w:t>
            </w:r>
            <w:r>
              <w:rPr>
                <w:rFonts w:ascii="Times New Roman" w:hAnsi="Times New Roman" w:cs="Times New Roman"/>
                <w:noProof/>
                <w:webHidden/>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495" w:history="1">
            <w:r>
              <w:rPr>
                <w:rStyle w:val="Hyperlink"/>
                <w:noProof/>
                <w:sz w:val="20"/>
              </w:rPr>
              <w:t>4.1.4</w:t>
            </w:r>
            <w:r>
              <w:rPr>
                <w:rFonts w:ascii="Times New Roman" w:eastAsiaTheme="minorEastAsia" w:hAnsi="Times New Roman" w:cs="Times New Roman"/>
                <w:noProof/>
                <w:lang w:eastAsia="ja-JP"/>
              </w:rPr>
              <w:tab/>
            </w:r>
            <w:r>
              <w:rPr>
                <w:rStyle w:val="Hyperlink"/>
                <w:noProof/>
                <w:sz w:val="20"/>
              </w:rPr>
              <w:t>Multimodality and modal shift</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_Toc57291495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118</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496" w:history="1">
            <w:r>
              <w:rPr>
                <w:rStyle w:val="Hyperlink"/>
                <w:noProof/>
                <w:sz w:val="20"/>
              </w:rPr>
              <w:t>4.1.4.1</w:t>
            </w:r>
            <w:r>
              <w:rPr>
                <w:rFonts w:ascii="Times New Roman" w:eastAsiaTheme="minorEastAsia" w:hAnsi="Times New Roman" w:cs="Times New Roman"/>
                <w:noProof/>
                <w:lang w:eastAsia="ja-JP"/>
              </w:rPr>
              <w:tab/>
            </w:r>
            <w:r>
              <w:rPr>
                <w:rStyle w:val="Hyperlink"/>
                <w:noProof/>
                <w:sz w:val="20"/>
              </w:rPr>
              <w:t>Improving multimodal freight operations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_Toc57291496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124</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497" w:history="1">
            <w:r>
              <w:rPr>
                <w:rStyle w:val="Hyperlink"/>
                <w:noProof/>
                <w:sz w:val="20"/>
              </w:rPr>
              <w:t>4.1.4.2</w:t>
            </w:r>
            <w:r>
              <w:rPr>
                <w:rFonts w:ascii="Times New Roman" w:eastAsiaTheme="minorEastAsia" w:hAnsi="Times New Roman" w:cs="Times New Roman"/>
                <w:noProof/>
                <w:lang w:eastAsia="ja-JP"/>
              </w:rPr>
              <w:tab/>
            </w:r>
            <w:r>
              <w:rPr>
                <w:rStyle w:val="Hyperlink"/>
                <w:noProof/>
                <w:sz w:val="20"/>
              </w:rPr>
              <w:t>Rail freight</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_Toc57291497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127</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498" w:history="1">
            <w:r>
              <w:rPr>
                <w:rStyle w:val="Hyperlink"/>
                <w:noProof/>
                <w:sz w:val="20"/>
              </w:rPr>
              <w:t>4.1.4.3</w:t>
            </w:r>
            <w:r>
              <w:rPr>
                <w:rFonts w:ascii="Times New Roman" w:eastAsiaTheme="minorEastAsia" w:hAnsi="Times New Roman" w:cs="Times New Roman"/>
                <w:noProof/>
                <w:lang w:eastAsia="ja-JP"/>
              </w:rPr>
              <w:tab/>
            </w:r>
            <w:r>
              <w:rPr>
                <w:rStyle w:val="Hyperlink"/>
                <w:noProof/>
                <w:sz w:val="20"/>
              </w:rPr>
              <w:t>Inland waterways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_Toc57291498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130</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499" w:history="1">
            <w:r>
              <w:rPr>
                <w:rStyle w:val="Hyperlink"/>
                <w:noProof/>
                <w:sz w:val="20"/>
              </w:rPr>
              <w:t>4.1.4.4</w:t>
            </w:r>
            <w:r>
              <w:rPr>
                <w:rFonts w:ascii="Times New Roman" w:eastAsiaTheme="minorEastAsia" w:hAnsi="Times New Roman" w:cs="Times New Roman"/>
                <w:noProof/>
                <w:lang w:eastAsia="ja-JP"/>
              </w:rPr>
              <w:tab/>
            </w:r>
            <w:r>
              <w:rPr>
                <w:rStyle w:val="Hyperlink"/>
                <w:noProof/>
                <w:sz w:val="20"/>
              </w:rPr>
              <w:t>Short sea shipping</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_Toc57291499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131</w:t>
            </w:r>
            <w:r>
              <w:rPr>
                <w:rFonts w:ascii="Times New Roman" w:hAnsi="Times New Roman" w:cs="Times New Roman"/>
                <w:noProof/>
                <w:webHidden/>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500" w:history="1">
            <w:r>
              <w:rPr>
                <w:rStyle w:val="Hyperlink"/>
                <w:noProof/>
                <w:sz w:val="20"/>
              </w:rPr>
              <w:t>4.1.5</w:t>
            </w:r>
            <w:r>
              <w:rPr>
                <w:rFonts w:ascii="Times New Roman" w:eastAsiaTheme="minorEastAsia" w:hAnsi="Times New Roman" w:cs="Times New Roman"/>
                <w:noProof/>
                <w:lang w:eastAsia="ja-JP"/>
              </w:rPr>
              <w:tab/>
            </w:r>
            <w:r>
              <w:rPr>
                <w:rStyle w:val="Hyperlink"/>
                <w:noProof/>
                <w:sz w:val="20"/>
              </w:rPr>
              <w:t>Better incentives to users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_Toc57291500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131</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01" w:history="1">
            <w:r>
              <w:rPr>
                <w:rStyle w:val="Hyperlink"/>
                <w:noProof/>
                <w:sz w:val="20"/>
              </w:rPr>
              <w:t>4.1.5.1</w:t>
            </w:r>
            <w:r>
              <w:rPr>
                <w:rFonts w:ascii="Times New Roman" w:eastAsiaTheme="minorEastAsia" w:hAnsi="Times New Roman" w:cs="Times New Roman"/>
                <w:noProof/>
                <w:lang w:eastAsia="ja-JP"/>
              </w:rPr>
              <w:tab/>
            </w:r>
            <w:r>
              <w:rPr>
                <w:rStyle w:val="Hyperlink"/>
                <w:noProof/>
                <w:sz w:val="20"/>
              </w:rPr>
              <w:t>Pricing and internalisation of external costs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_Toc57291501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131</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02" w:history="1">
            <w:r>
              <w:rPr>
                <w:rStyle w:val="Hyperlink"/>
                <w:noProof/>
                <w:sz w:val="20"/>
              </w:rPr>
              <w:t>4.1.5.2</w:t>
            </w:r>
            <w:r>
              <w:rPr>
                <w:rFonts w:ascii="Times New Roman" w:eastAsiaTheme="minorEastAsia" w:hAnsi="Times New Roman" w:cs="Times New Roman"/>
                <w:noProof/>
                <w:lang w:eastAsia="ja-JP"/>
              </w:rPr>
              <w:tab/>
            </w:r>
            <w:r>
              <w:rPr>
                <w:rStyle w:val="Hyperlink"/>
                <w:noProof/>
                <w:sz w:val="20"/>
              </w:rPr>
              <w:t>Better information to users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_Toc57291502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140</w:t>
            </w:r>
            <w:r>
              <w:rPr>
                <w:rFonts w:ascii="Times New Roman" w:hAnsi="Times New Roman" w:cs="Times New Roman"/>
                <w:noProof/>
                <w:webHidden/>
              </w:rPr>
              <w:fldChar w:fldCharType="end"/>
            </w:r>
          </w:hyperlink>
        </w:p>
        <w:p>
          <w:pPr>
            <w:pStyle w:val="TOC2"/>
            <w:tabs>
              <w:tab w:val="left" w:pos="880"/>
              <w:tab w:val="right" w:leader="dot" w:pos="8494"/>
            </w:tabs>
            <w:rPr>
              <w:rFonts w:ascii="Times New Roman" w:eastAsiaTheme="minorEastAsia" w:hAnsi="Times New Roman" w:cs="Times New Roman"/>
              <w:b w:val="0"/>
              <w:bCs w:val="0"/>
              <w:noProof/>
              <w:sz w:val="20"/>
              <w:szCs w:val="20"/>
              <w:lang w:eastAsia="ja-JP"/>
            </w:rPr>
          </w:pPr>
          <w:hyperlink w:anchor="_Toc57291503" w:history="1">
            <w:r>
              <w:rPr>
                <w:rStyle w:val="Hyperlink"/>
                <w:noProof/>
                <w:sz w:val="20"/>
                <w:szCs w:val="20"/>
              </w:rPr>
              <w:t>4.2</w:t>
            </w:r>
            <w:r>
              <w:rPr>
                <w:rFonts w:ascii="Times New Roman" w:eastAsiaTheme="minorEastAsia" w:hAnsi="Times New Roman" w:cs="Times New Roman"/>
                <w:b w:val="0"/>
                <w:bCs w:val="0"/>
                <w:noProof/>
                <w:sz w:val="20"/>
                <w:szCs w:val="20"/>
                <w:lang w:eastAsia="ja-JP"/>
              </w:rPr>
              <w:tab/>
            </w:r>
            <w:r>
              <w:rPr>
                <w:rStyle w:val="Hyperlink"/>
                <w:noProof/>
                <w:sz w:val="20"/>
                <w:szCs w:val="20"/>
              </w:rPr>
              <w:t>The challenge of digitalisation and modernisation</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_Toc57291503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144</w:t>
            </w:r>
            <w:r>
              <w:rPr>
                <w:rFonts w:ascii="Times New Roman" w:hAnsi="Times New Roman" w:cs="Times New Roman"/>
                <w:noProof/>
                <w:webHidden/>
                <w:sz w:val="20"/>
                <w:szCs w:val="20"/>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504" w:history="1">
            <w:r>
              <w:rPr>
                <w:rStyle w:val="Hyperlink"/>
                <w:noProof/>
                <w:sz w:val="20"/>
              </w:rPr>
              <w:t>4.2.1</w:t>
            </w:r>
            <w:r>
              <w:rPr>
                <w:rFonts w:ascii="Times New Roman" w:eastAsiaTheme="minorEastAsia" w:hAnsi="Times New Roman" w:cs="Times New Roman"/>
                <w:noProof/>
                <w:lang w:eastAsia="ja-JP"/>
              </w:rPr>
              <w:tab/>
            </w:r>
            <w:r>
              <w:rPr>
                <w:rStyle w:val="Hyperlink"/>
                <w:noProof/>
                <w:sz w:val="20"/>
              </w:rPr>
              <w:t>Smart multimodal transport – challenges for seamless experience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_Toc57291504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144</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05" w:history="1">
            <w:r>
              <w:rPr>
                <w:rStyle w:val="Hyperlink"/>
                <w:noProof/>
                <w:sz w:val="20"/>
              </w:rPr>
              <w:t>4.2.1.1</w:t>
            </w:r>
            <w:r>
              <w:rPr>
                <w:rFonts w:ascii="Times New Roman" w:eastAsiaTheme="minorEastAsia" w:hAnsi="Times New Roman" w:cs="Times New Roman"/>
                <w:noProof/>
                <w:lang w:eastAsia="ja-JP"/>
              </w:rPr>
              <w:tab/>
            </w:r>
            <w:r>
              <w:rPr>
                <w:rStyle w:val="Hyperlink"/>
                <w:noProof/>
                <w:sz w:val="20"/>
              </w:rPr>
              <w:t>Cross-border multimodal challenges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_Toc57291505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145</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06" w:history="1">
            <w:r>
              <w:rPr>
                <w:rStyle w:val="Hyperlink"/>
                <w:noProof/>
                <w:sz w:val="20"/>
              </w:rPr>
              <w:t>4.2.1.2</w:t>
            </w:r>
            <w:r>
              <w:rPr>
                <w:rFonts w:ascii="Times New Roman" w:eastAsiaTheme="minorEastAsia" w:hAnsi="Times New Roman" w:cs="Times New Roman"/>
                <w:noProof/>
                <w:lang w:eastAsia="ja-JP"/>
              </w:rPr>
              <w:tab/>
            </w:r>
            <w:r>
              <w:rPr>
                <w:rStyle w:val="Hyperlink"/>
                <w:noProof/>
                <w:sz w:val="20"/>
              </w:rPr>
              <w:t>Multimodal &amp; collaborative economy challenges in urban context</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_Toc57291506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147</w:t>
            </w:r>
            <w:r>
              <w:rPr>
                <w:rFonts w:ascii="Times New Roman" w:hAnsi="Times New Roman" w:cs="Times New Roman"/>
                <w:noProof/>
                <w:webHidden/>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507" w:history="1">
            <w:r>
              <w:rPr>
                <w:rStyle w:val="Hyperlink"/>
                <w:noProof/>
                <w:sz w:val="20"/>
              </w:rPr>
              <w:t>4.2.2</w:t>
            </w:r>
            <w:r>
              <w:rPr>
                <w:rFonts w:ascii="Times New Roman" w:eastAsiaTheme="minorEastAsia" w:hAnsi="Times New Roman" w:cs="Times New Roman"/>
                <w:noProof/>
                <w:lang w:eastAsia="ja-JP"/>
              </w:rPr>
              <w:tab/>
            </w:r>
            <w:r>
              <w:rPr>
                <w:rStyle w:val="Hyperlink"/>
                <w:noProof/>
                <w:sz w:val="20"/>
              </w:rPr>
              <w:t>Intelligent Transport Systems and connected, automated mobility</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_Toc57291507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150</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08" w:history="1">
            <w:r>
              <w:rPr>
                <w:rStyle w:val="Hyperlink"/>
                <w:noProof/>
                <w:sz w:val="20"/>
              </w:rPr>
              <w:t>4.2.2.1</w:t>
            </w:r>
            <w:r>
              <w:rPr>
                <w:rFonts w:ascii="Times New Roman" w:eastAsiaTheme="minorEastAsia" w:hAnsi="Times New Roman" w:cs="Times New Roman"/>
                <w:noProof/>
                <w:lang w:eastAsia="ja-JP"/>
              </w:rPr>
              <w:tab/>
            </w:r>
            <w:r>
              <w:rPr>
                <w:rStyle w:val="Hyperlink"/>
                <w:noProof/>
                <w:sz w:val="20"/>
              </w:rPr>
              <w:t>ITS challenges in road transport</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_Toc57291508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150</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09" w:history="1">
            <w:r>
              <w:rPr>
                <w:rStyle w:val="Hyperlink"/>
                <w:noProof/>
                <w:sz w:val="20"/>
              </w:rPr>
              <w:t>4.2.2.2</w:t>
            </w:r>
            <w:r>
              <w:rPr>
                <w:rFonts w:ascii="Times New Roman" w:eastAsiaTheme="minorEastAsia" w:hAnsi="Times New Roman" w:cs="Times New Roman"/>
                <w:noProof/>
                <w:lang w:eastAsia="ja-JP"/>
              </w:rPr>
              <w:tab/>
            </w:r>
            <w:r>
              <w:rPr>
                <w:rStyle w:val="Hyperlink"/>
                <w:noProof/>
                <w:sz w:val="20"/>
              </w:rPr>
              <w:t>ITS challenges in other modes of transport</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_Toc57291509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152</w:t>
            </w:r>
            <w:r>
              <w:rPr>
                <w:rFonts w:ascii="Times New Roman" w:hAnsi="Times New Roman" w:cs="Times New Roman"/>
                <w:noProof/>
                <w:webHidden/>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510" w:history="1">
            <w:r>
              <w:rPr>
                <w:rStyle w:val="Hyperlink"/>
                <w:noProof/>
                <w:sz w:val="20"/>
              </w:rPr>
              <w:t>4.2.3</w:t>
            </w:r>
            <w:r>
              <w:rPr>
                <w:rFonts w:ascii="Times New Roman" w:eastAsiaTheme="minorEastAsia" w:hAnsi="Times New Roman" w:cs="Times New Roman"/>
                <w:noProof/>
                <w:lang w:eastAsia="ja-JP"/>
              </w:rPr>
              <w:tab/>
            </w:r>
            <w:r>
              <w:rPr>
                <w:rStyle w:val="Hyperlink"/>
                <w:noProof/>
                <w:sz w:val="20"/>
              </w:rPr>
              <w:t>Innovation and mobility of the future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_Toc57291510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157</w:t>
            </w:r>
            <w:r>
              <w:rPr>
                <w:rFonts w:ascii="Times New Roman" w:hAnsi="Times New Roman" w:cs="Times New Roman"/>
                <w:noProof/>
                <w:webHidden/>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511" w:history="1">
            <w:r>
              <w:rPr>
                <w:rStyle w:val="Hyperlink"/>
                <w:noProof/>
                <w:sz w:val="20"/>
              </w:rPr>
              <w:t>4.2.4</w:t>
            </w:r>
            <w:r>
              <w:rPr>
                <w:rFonts w:ascii="Times New Roman" w:eastAsiaTheme="minorEastAsia" w:hAnsi="Times New Roman" w:cs="Times New Roman"/>
                <w:noProof/>
                <w:lang w:eastAsia="ja-JP"/>
              </w:rPr>
              <w:tab/>
            </w:r>
            <w:r>
              <w:rPr>
                <w:rStyle w:val="Hyperlink"/>
                <w:noProof/>
                <w:sz w:val="20"/>
              </w:rPr>
              <w:t>Digital enablers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_Toc57291511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159</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12" w:history="1">
            <w:r>
              <w:rPr>
                <w:rStyle w:val="Hyperlink"/>
                <w:rFonts w:eastAsia="MS Mincho"/>
                <w:noProof/>
                <w:sz w:val="20"/>
              </w:rPr>
              <w:t>4.2.4.1</w:t>
            </w:r>
            <w:r>
              <w:rPr>
                <w:rFonts w:ascii="Times New Roman" w:eastAsiaTheme="minorEastAsia" w:hAnsi="Times New Roman" w:cs="Times New Roman"/>
                <w:noProof/>
                <w:lang w:eastAsia="ja-JP"/>
              </w:rPr>
              <w:tab/>
            </w:r>
            <w:r>
              <w:rPr>
                <w:rStyle w:val="Hyperlink"/>
                <w:rFonts w:eastAsia="MS Mincho"/>
                <w:noProof/>
                <w:sz w:val="20"/>
              </w:rPr>
              <w:t>Data for smart transport and mobility</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_Toc57291512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160</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13" w:history="1">
            <w:r>
              <w:rPr>
                <w:rStyle w:val="Hyperlink"/>
                <w:rFonts w:eastAsia="MS Mincho"/>
                <w:noProof/>
                <w:sz w:val="20"/>
              </w:rPr>
              <w:t>4.2.4.2</w:t>
            </w:r>
            <w:r>
              <w:rPr>
                <w:rFonts w:ascii="Times New Roman" w:eastAsiaTheme="minorEastAsia" w:hAnsi="Times New Roman" w:cs="Times New Roman"/>
                <w:noProof/>
                <w:lang w:eastAsia="ja-JP"/>
              </w:rPr>
              <w:tab/>
            </w:r>
            <w:r>
              <w:rPr>
                <w:rStyle w:val="Hyperlink"/>
                <w:rFonts w:eastAsia="MS Mincho"/>
                <w:noProof/>
                <w:sz w:val="20"/>
              </w:rPr>
              <w:t>Artificial Intelligence, 5G and other key enabling technologies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_Toc57291513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164</w:t>
            </w:r>
            <w:r>
              <w:rPr>
                <w:rFonts w:ascii="Times New Roman" w:hAnsi="Times New Roman" w:cs="Times New Roman"/>
                <w:noProof/>
                <w:webHidden/>
              </w:rPr>
              <w:fldChar w:fldCharType="end"/>
            </w:r>
          </w:hyperlink>
        </w:p>
        <w:p>
          <w:pPr>
            <w:pStyle w:val="TOC2"/>
            <w:tabs>
              <w:tab w:val="left" w:pos="880"/>
              <w:tab w:val="right" w:leader="dot" w:pos="8494"/>
            </w:tabs>
            <w:rPr>
              <w:rFonts w:ascii="Times New Roman" w:eastAsiaTheme="minorEastAsia" w:hAnsi="Times New Roman" w:cs="Times New Roman"/>
              <w:b w:val="0"/>
              <w:bCs w:val="0"/>
              <w:noProof/>
              <w:sz w:val="20"/>
              <w:szCs w:val="20"/>
              <w:lang w:eastAsia="ja-JP"/>
            </w:rPr>
          </w:pPr>
          <w:hyperlink w:anchor="_Toc57291514" w:history="1">
            <w:r>
              <w:rPr>
                <w:rStyle w:val="Hyperlink"/>
                <w:noProof/>
                <w:sz w:val="20"/>
                <w:szCs w:val="20"/>
              </w:rPr>
              <w:t>4.3</w:t>
            </w:r>
            <w:r>
              <w:rPr>
                <w:rFonts w:ascii="Times New Roman" w:eastAsiaTheme="minorEastAsia" w:hAnsi="Times New Roman" w:cs="Times New Roman"/>
                <w:b w:val="0"/>
                <w:bCs w:val="0"/>
                <w:noProof/>
                <w:sz w:val="20"/>
                <w:szCs w:val="20"/>
                <w:lang w:eastAsia="ja-JP"/>
              </w:rPr>
              <w:tab/>
            </w:r>
            <w:r>
              <w:rPr>
                <w:rStyle w:val="Hyperlink"/>
                <w:noProof/>
                <w:sz w:val="20"/>
                <w:szCs w:val="20"/>
              </w:rPr>
              <w:t>The challenge of making the transport sector more resilient</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_Toc57291514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166</w:t>
            </w:r>
            <w:r>
              <w:rPr>
                <w:rFonts w:ascii="Times New Roman" w:hAnsi="Times New Roman" w:cs="Times New Roman"/>
                <w:noProof/>
                <w:webHidden/>
                <w:sz w:val="20"/>
                <w:szCs w:val="20"/>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515" w:history="1">
            <w:r>
              <w:rPr>
                <w:rStyle w:val="Hyperlink"/>
                <w:noProof/>
                <w:sz w:val="20"/>
              </w:rPr>
              <w:t>4.3.1</w:t>
            </w:r>
            <w:r>
              <w:rPr>
                <w:rFonts w:ascii="Times New Roman" w:eastAsiaTheme="minorEastAsia" w:hAnsi="Times New Roman" w:cs="Times New Roman"/>
                <w:noProof/>
                <w:lang w:eastAsia="ja-JP"/>
              </w:rPr>
              <w:tab/>
            </w:r>
            <w:r>
              <w:rPr>
                <w:rStyle w:val="Hyperlink"/>
                <w:noProof/>
                <w:sz w:val="20"/>
              </w:rPr>
              <w:t>Crisis resilience and management</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_Toc57291515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167</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16" w:history="1">
            <w:r>
              <w:rPr>
                <w:rStyle w:val="Hyperlink"/>
                <w:noProof/>
                <w:sz w:val="20"/>
              </w:rPr>
              <w:t>4.3.1.1</w:t>
            </w:r>
            <w:r>
              <w:rPr>
                <w:rFonts w:ascii="Times New Roman" w:eastAsiaTheme="minorEastAsia" w:hAnsi="Times New Roman" w:cs="Times New Roman"/>
                <w:noProof/>
                <w:lang w:eastAsia="ja-JP"/>
              </w:rPr>
              <w:tab/>
            </w:r>
            <w:r>
              <w:rPr>
                <w:rStyle w:val="Hyperlink"/>
                <w:noProof/>
                <w:sz w:val="20"/>
              </w:rPr>
              <w:t>Governance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_Toc57291516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172</w:t>
            </w:r>
            <w:r>
              <w:rPr>
                <w:rFonts w:ascii="Times New Roman" w:hAnsi="Times New Roman" w:cs="Times New Roman"/>
                <w:noProof/>
                <w:webHidden/>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517" w:history="1">
            <w:r>
              <w:rPr>
                <w:rStyle w:val="Hyperlink"/>
                <w:noProof/>
                <w:sz w:val="20"/>
              </w:rPr>
              <w:t>4.3.2</w:t>
            </w:r>
            <w:r>
              <w:rPr>
                <w:rFonts w:ascii="Times New Roman" w:eastAsiaTheme="minorEastAsia" w:hAnsi="Times New Roman" w:cs="Times New Roman"/>
                <w:noProof/>
                <w:lang w:eastAsia="ja-JP"/>
              </w:rPr>
              <w:tab/>
            </w:r>
            <w:r>
              <w:rPr>
                <w:rStyle w:val="Hyperlink"/>
                <w:noProof/>
                <w:sz w:val="20"/>
              </w:rPr>
              <w:t>Infrastructure and investment</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_Toc57291517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174</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18" w:history="1">
            <w:r>
              <w:rPr>
                <w:rStyle w:val="Hyperlink"/>
                <w:noProof/>
                <w:sz w:val="20"/>
              </w:rPr>
              <w:t>4.3.2.1</w:t>
            </w:r>
            <w:r>
              <w:rPr>
                <w:rFonts w:ascii="Times New Roman" w:eastAsiaTheme="minorEastAsia" w:hAnsi="Times New Roman" w:cs="Times New Roman"/>
                <w:noProof/>
                <w:lang w:eastAsia="ja-JP"/>
              </w:rPr>
              <w:tab/>
            </w:r>
            <w:r>
              <w:rPr>
                <w:rStyle w:val="Hyperlink"/>
                <w:noProof/>
                <w:sz w:val="20"/>
              </w:rPr>
              <w:t>Capacity across modes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_Toc57291518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177</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19" w:history="1">
            <w:r>
              <w:rPr>
                <w:rStyle w:val="Hyperlink"/>
                <w:noProof/>
                <w:sz w:val="20"/>
              </w:rPr>
              <w:t>4.3.2.2</w:t>
            </w:r>
            <w:r>
              <w:rPr>
                <w:rFonts w:ascii="Times New Roman" w:eastAsiaTheme="minorEastAsia" w:hAnsi="Times New Roman" w:cs="Times New Roman"/>
                <w:noProof/>
                <w:lang w:eastAsia="ja-JP"/>
              </w:rPr>
              <w:tab/>
            </w:r>
            <w:r>
              <w:rPr>
                <w:rStyle w:val="Hyperlink"/>
                <w:noProof/>
                <w:sz w:val="20"/>
              </w:rPr>
              <w:t>Future-proof infrastructure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_Toc57291519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181</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20" w:history="1">
            <w:r>
              <w:rPr>
                <w:rStyle w:val="Hyperlink"/>
                <w:noProof/>
                <w:sz w:val="20"/>
              </w:rPr>
              <w:t>4.3.2.3</w:t>
            </w:r>
            <w:r>
              <w:rPr>
                <w:rFonts w:ascii="Times New Roman" w:eastAsiaTheme="minorEastAsia" w:hAnsi="Times New Roman" w:cs="Times New Roman"/>
                <w:noProof/>
                <w:lang w:eastAsia="ja-JP"/>
              </w:rPr>
              <w:tab/>
            </w:r>
            <w:r>
              <w:rPr>
                <w:rStyle w:val="Hyperlink"/>
                <w:noProof/>
                <w:sz w:val="20"/>
              </w:rPr>
              <w:t>Access to funding</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_Toc57291520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184</w:t>
            </w:r>
            <w:r>
              <w:rPr>
                <w:rFonts w:ascii="Times New Roman" w:hAnsi="Times New Roman" w:cs="Times New Roman"/>
                <w:noProof/>
                <w:webHidden/>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521" w:history="1">
            <w:r>
              <w:rPr>
                <w:rStyle w:val="Hyperlink"/>
                <w:noProof/>
                <w:sz w:val="20"/>
              </w:rPr>
              <w:t>4.3.3</w:t>
            </w:r>
            <w:r>
              <w:rPr>
                <w:rFonts w:ascii="Times New Roman" w:eastAsiaTheme="minorEastAsia" w:hAnsi="Times New Roman" w:cs="Times New Roman"/>
                <w:noProof/>
                <w:lang w:eastAsia="ja-JP"/>
              </w:rPr>
              <w:tab/>
            </w:r>
            <w:r>
              <w:rPr>
                <w:rStyle w:val="Hyperlink"/>
                <w:noProof/>
                <w:sz w:val="20"/>
              </w:rPr>
              <w:t>Single Market</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_Toc57291521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187</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22" w:history="1">
            <w:r>
              <w:rPr>
                <w:rStyle w:val="Hyperlink"/>
                <w:noProof/>
                <w:sz w:val="20"/>
              </w:rPr>
              <w:t>4.3.3.1</w:t>
            </w:r>
            <w:r>
              <w:rPr>
                <w:rFonts w:ascii="Times New Roman" w:eastAsiaTheme="minorEastAsia" w:hAnsi="Times New Roman" w:cs="Times New Roman"/>
                <w:noProof/>
                <w:lang w:eastAsia="ja-JP"/>
              </w:rPr>
              <w:tab/>
            </w:r>
            <w:r>
              <w:rPr>
                <w:rStyle w:val="Hyperlink"/>
                <w:noProof/>
                <w:sz w:val="20"/>
              </w:rPr>
              <w:t>Single Market for road transport</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_Toc57291522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187</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23" w:history="1">
            <w:r>
              <w:rPr>
                <w:rStyle w:val="Hyperlink"/>
                <w:noProof/>
                <w:sz w:val="20"/>
              </w:rPr>
              <w:t>4.3.3.2</w:t>
            </w:r>
            <w:r>
              <w:rPr>
                <w:rFonts w:ascii="Times New Roman" w:eastAsiaTheme="minorEastAsia" w:hAnsi="Times New Roman" w:cs="Times New Roman"/>
                <w:noProof/>
                <w:lang w:eastAsia="ja-JP"/>
              </w:rPr>
              <w:tab/>
            </w:r>
            <w:r>
              <w:rPr>
                <w:rStyle w:val="Hyperlink"/>
                <w:noProof/>
                <w:sz w:val="20"/>
              </w:rPr>
              <w:t>Single European Railway Area</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_Toc57291523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188</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24" w:history="1">
            <w:r>
              <w:rPr>
                <w:rStyle w:val="Hyperlink"/>
                <w:noProof/>
                <w:sz w:val="20"/>
              </w:rPr>
              <w:t>4.3.3.3</w:t>
            </w:r>
            <w:r>
              <w:rPr>
                <w:rFonts w:ascii="Times New Roman" w:eastAsiaTheme="minorEastAsia" w:hAnsi="Times New Roman" w:cs="Times New Roman"/>
                <w:noProof/>
                <w:lang w:eastAsia="ja-JP"/>
              </w:rPr>
              <w:tab/>
            </w:r>
            <w:r>
              <w:rPr>
                <w:rStyle w:val="Hyperlink"/>
                <w:noProof/>
                <w:sz w:val="20"/>
              </w:rPr>
              <w:t>Aviation Single Market</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_Toc57291524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191</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25" w:history="1">
            <w:r>
              <w:rPr>
                <w:rStyle w:val="Hyperlink"/>
                <w:noProof/>
                <w:sz w:val="20"/>
              </w:rPr>
              <w:t>4.3.3.4</w:t>
            </w:r>
            <w:r>
              <w:rPr>
                <w:rFonts w:ascii="Times New Roman" w:eastAsiaTheme="minorEastAsia" w:hAnsi="Times New Roman" w:cs="Times New Roman"/>
                <w:noProof/>
                <w:lang w:eastAsia="ja-JP"/>
              </w:rPr>
              <w:tab/>
            </w:r>
            <w:r>
              <w:rPr>
                <w:rStyle w:val="Hyperlink"/>
                <w:noProof/>
                <w:sz w:val="20"/>
              </w:rPr>
              <w:t>Waterborne Single Market</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_Toc57291525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195</w:t>
            </w:r>
            <w:r>
              <w:rPr>
                <w:rFonts w:ascii="Times New Roman" w:hAnsi="Times New Roman" w:cs="Times New Roman"/>
                <w:noProof/>
                <w:webHidden/>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526" w:history="1">
            <w:r>
              <w:rPr>
                <w:rStyle w:val="Hyperlink"/>
                <w:noProof/>
                <w:sz w:val="20"/>
              </w:rPr>
              <w:t>4.3.4</w:t>
            </w:r>
            <w:r>
              <w:rPr>
                <w:rFonts w:ascii="Times New Roman" w:eastAsiaTheme="minorEastAsia" w:hAnsi="Times New Roman" w:cs="Times New Roman"/>
                <w:noProof/>
                <w:lang w:eastAsia="ja-JP"/>
              </w:rPr>
              <w:tab/>
            </w:r>
            <w:r>
              <w:rPr>
                <w:rStyle w:val="Hyperlink"/>
                <w:noProof/>
                <w:sz w:val="20"/>
              </w:rPr>
              <w:t>Social aspects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_Toc57291526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197</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27" w:history="1">
            <w:r>
              <w:rPr>
                <w:rStyle w:val="Hyperlink"/>
                <w:noProof/>
                <w:sz w:val="20"/>
              </w:rPr>
              <w:t>4.3.4.1</w:t>
            </w:r>
            <w:r>
              <w:rPr>
                <w:rFonts w:ascii="Times New Roman" w:eastAsiaTheme="minorEastAsia" w:hAnsi="Times New Roman" w:cs="Times New Roman"/>
                <w:noProof/>
                <w:lang w:eastAsia="ja-JP"/>
              </w:rPr>
              <w:tab/>
            </w:r>
            <w:r>
              <w:rPr>
                <w:rStyle w:val="Hyperlink"/>
                <w:noProof/>
                <w:sz w:val="20"/>
              </w:rPr>
              <w:t>Workers’ rights and transition to automation and sustainability</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_Toc57291527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197</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28" w:history="1">
            <w:r>
              <w:rPr>
                <w:rStyle w:val="Hyperlink"/>
                <w:noProof/>
                <w:sz w:val="20"/>
              </w:rPr>
              <w:t>4.3.4.2</w:t>
            </w:r>
            <w:r>
              <w:rPr>
                <w:rFonts w:ascii="Times New Roman" w:eastAsiaTheme="minorEastAsia" w:hAnsi="Times New Roman" w:cs="Times New Roman"/>
                <w:noProof/>
                <w:lang w:eastAsia="ja-JP"/>
              </w:rPr>
              <w:tab/>
            </w:r>
            <w:r>
              <w:rPr>
                <w:rStyle w:val="Hyperlink"/>
                <w:noProof/>
                <w:sz w:val="20"/>
              </w:rPr>
              <w:t>Skills and attractiveness of transport jobs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_Toc57291528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203</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29" w:history="1">
            <w:r>
              <w:rPr>
                <w:rStyle w:val="Hyperlink"/>
                <w:noProof/>
                <w:sz w:val="20"/>
              </w:rPr>
              <w:t>4.3.4.3</w:t>
            </w:r>
            <w:r>
              <w:rPr>
                <w:rFonts w:ascii="Times New Roman" w:eastAsiaTheme="minorEastAsia" w:hAnsi="Times New Roman" w:cs="Times New Roman"/>
                <w:noProof/>
                <w:lang w:eastAsia="ja-JP"/>
              </w:rPr>
              <w:tab/>
            </w:r>
            <w:r>
              <w:rPr>
                <w:rStyle w:val="Hyperlink"/>
                <w:noProof/>
                <w:sz w:val="20"/>
              </w:rPr>
              <w:t>Access to transport: affordability, availability and accessibility</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_Toc57291529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205</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30" w:history="1">
            <w:r>
              <w:rPr>
                <w:rStyle w:val="Hyperlink"/>
                <w:noProof/>
                <w:sz w:val="20"/>
              </w:rPr>
              <w:t>4.3.4.4</w:t>
            </w:r>
            <w:r>
              <w:rPr>
                <w:rFonts w:ascii="Times New Roman" w:eastAsiaTheme="minorEastAsia" w:hAnsi="Times New Roman" w:cs="Times New Roman"/>
                <w:noProof/>
                <w:lang w:eastAsia="ja-JP"/>
              </w:rPr>
              <w:tab/>
            </w:r>
            <w:r>
              <w:rPr>
                <w:rStyle w:val="Hyperlink"/>
                <w:noProof/>
                <w:sz w:val="20"/>
              </w:rPr>
              <w:t>Protection of European passengers and consumers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_Toc57291530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211</w:t>
            </w:r>
            <w:r>
              <w:rPr>
                <w:rFonts w:ascii="Times New Roman" w:hAnsi="Times New Roman" w:cs="Times New Roman"/>
                <w:noProof/>
                <w:webHidden/>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531" w:history="1">
            <w:r>
              <w:rPr>
                <w:rStyle w:val="Hyperlink"/>
                <w:noProof/>
                <w:sz w:val="20"/>
              </w:rPr>
              <w:t>4.3.5</w:t>
            </w:r>
            <w:r>
              <w:rPr>
                <w:rFonts w:ascii="Times New Roman" w:eastAsiaTheme="minorEastAsia" w:hAnsi="Times New Roman" w:cs="Times New Roman"/>
                <w:noProof/>
                <w:lang w:eastAsia="ja-JP"/>
              </w:rPr>
              <w:tab/>
            </w:r>
            <w:r>
              <w:rPr>
                <w:rStyle w:val="Hyperlink"/>
                <w:noProof/>
                <w:sz w:val="20"/>
              </w:rPr>
              <w:t>Safety and security</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_Toc57291531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216</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32" w:history="1">
            <w:r>
              <w:rPr>
                <w:rStyle w:val="Hyperlink"/>
                <w:noProof/>
                <w:sz w:val="20"/>
              </w:rPr>
              <w:t>4.3.5.1</w:t>
            </w:r>
            <w:r>
              <w:rPr>
                <w:rFonts w:ascii="Times New Roman" w:eastAsiaTheme="minorEastAsia" w:hAnsi="Times New Roman" w:cs="Times New Roman"/>
                <w:noProof/>
                <w:lang w:eastAsia="ja-JP"/>
              </w:rPr>
              <w:tab/>
            </w:r>
            <w:r>
              <w:rPr>
                <w:rStyle w:val="Hyperlink"/>
                <w:noProof/>
                <w:sz w:val="20"/>
              </w:rPr>
              <w:t>Ever evolving challenges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_Toc57291532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220</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33" w:history="1">
            <w:r>
              <w:rPr>
                <w:rStyle w:val="Hyperlink"/>
                <w:noProof/>
                <w:sz w:val="20"/>
              </w:rPr>
              <w:t>4.3.5.2</w:t>
            </w:r>
            <w:r>
              <w:rPr>
                <w:rFonts w:ascii="Times New Roman" w:eastAsiaTheme="minorEastAsia" w:hAnsi="Times New Roman" w:cs="Times New Roman"/>
                <w:noProof/>
                <w:lang w:eastAsia="ja-JP"/>
              </w:rPr>
              <w:tab/>
            </w:r>
            <w:r>
              <w:rPr>
                <w:rStyle w:val="Hyperlink"/>
                <w:noProof/>
                <w:sz w:val="20"/>
              </w:rPr>
              <w:t>Safe and secure infrastructure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_Toc57291533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224</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34" w:history="1">
            <w:r>
              <w:rPr>
                <w:rStyle w:val="Hyperlink"/>
                <w:noProof/>
                <w:sz w:val="20"/>
              </w:rPr>
              <w:t>4.3.5.3</w:t>
            </w:r>
            <w:r>
              <w:rPr>
                <w:rFonts w:ascii="Times New Roman" w:eastAsiaTheme="minorEastAsia" w:hAnsi="Times New Roman" w:cs="Times New Roman"/>
                <w:noProof/>
                <w:lang w:eastAsia="ja-JP"/>
              </w:rPr>
              <w:tab/>
            </w:r>
            <w:r>
              <w:rPr>
                <w:rStyle w:val="Hyperlink"/>
                <w:noProof/>
                <w:sz w:val="20"/>
              </w:rPr>
              <w:t>Vehicle safety</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_Toc57291534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225</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35" w:history="1">
            <w:r>
              <w:rPr>
                <w:rStyle w:val="Hyperlink"/>
                <w:noProof/>
                <w:sz w:val="20"/>
              </w:rPr>
              <w:t>4.3.5.4</w:t>
            </w:r>
            <w:r>
              <w:rPr>
                <w:rFonts w:ascii="Times New Roman" w:eastAsiaTheme="minorEastAsia" w:hAnsi="Times New Roman" w:cs="Times New Roman"/>
                <w:noProof/>
                <w:lang w:eastAsia="ja-JP"/>
              </w:rPr>
              <w:tab/>
            </w:r>
            <w:r>
              <w:rPr>
                <w:rStyle w:val="Hyperlink"/>
                <w:noProof/>
                <w:sz w:val="20"/>
              </w:rPr>
              <w:t>The human factor</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_Toc57291535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226</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36" w:history="1">
            <w:r>
              <w:rPr>
                <w:rStyle w:val="Hyperlink"/>
                <w:noProof/>
                <w:sz w:val="20"/>
              </w:rPr>
              <w:t>4.3.5.5</w:t>
            </w:r>
            <w:r>
              <w:rPr>
                <w:rFonts w:ascii="Times New Roman" w:eastAsiaTheme="minorEastAsia" w:hAnsi="Times New Roman" w:cs="Times New Roman"/>
                <w:noProof/>
                <w:lang w:eastAsia="ja-JP"/>
              </w:rPr>
              <w:tab/>
            </w:r>
            <w:r>
              <w:rPr>
                <w:rStyle w:val="Hyperlink"/>
                <w:noProof/>
                <w:sz w:val="20"/>
              </w:rPr>
              <w:t>Ensuring a high and equal level of safety and security across modes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_Toc57291536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228</w:t>
            </w:r>
            <w:r>
              <w:rPr>
                <w:rFonts w:ascii="Times New Roman" w:hAnsi="Times New Roman" w:cs="Times New Roman"/>
                <w:noProof/>
                <w:webHidden/>
              </w:rPr>
              <w:fldChar w:fldCharType="end"/>
            </w:r>
          </w:hyperlink>
        </w:p>
        <w:p>
          <w:pPr>
            <w:pStyle w:val="TOC2"/>
            <w:tabs>
              <w:tab w:val="left" w:pos="880"/>
              <w:tab w:val="right" w:leader="dot" w:pos="8494"/>
            </w:tabs>
            <w:rPr>
              <w:rFonts w:ascii="Times New Roman" w:eastAsiaTheme="minorEastAsia" w:hAnsi="Times New Roman" w:cs="Times New Roman"/>
              <w:b w:val="0"/>
              <w:bCs w:val="0"/>
              <w:noProof/>
              <w:sz w:val="20"/>
              <w:szCs w:val="20"/>
              <w:lang w:eastAsia="ja-JP"/>
            </w:rPr>
          </w:pPr>
          <w:hyperlink w:anchor="_Toc57291537" w:history="1">
            <w:r>
              <w:rPr>
                <w:rStyle w:val="Hyperlink"/>
                <w:noProof/>
                <w:sz w:val="20"/>
                <w:szCs w:val="20"/>
              </w:rPr>
              <w:t>4.4</w:t>
            </w:r>
            <w:r>
              <w:rPr>
                <w:rFonts w:ascii="Times New Roman" w:eastAsiaTheme="minorEastAsia" w:hAnsi="Times New Roman" w:cs="Times New Roman"/>
                <w:b w:val="0"/>
                <w:bCs w:val="0"/>
                <w:noProof/>
                <w:sz w:val="20"/>
                <w:szCs w:val="20"/>
                <w:lang w:eastAsia="ja-JP"/>
              </w:rPr>
              <w:tab/>
            </w:r>
            <w:r>
              <w:rPr>
                <w:rStyle w:val="Hyperlink"/>
                <w:noProof/>
                <w:sz w:val="20"/>
                <w:szCs w:val="20"/>
              </w:rPr>
              <w:t>External dimension</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_Toc57291537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233</w:t>
            </w:r>
            <w:r>
              <w:rPr>
                <w:rFonts w:ascii="Times New Roman" w:hAnsi="Times New Roman" w:cs="Times New Roman"/>
                <w:noProof/>
                <w:webHidden/>
                <w:sz w:val="20"/>
                <w:szCs w:val="20"/>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538" w:history="1">
            <w:r>
              <w:rPr>
                <w:rStyle w:val="Hyperlink"/>
                <w:noProof/>
                <w:sz w:val="20"/>
              </w:rPr>
              <w:t>4.4.1</w:t>
            </w:r>
            <w:r>
              <w:rPr>
                <w:rFonts w:ascii="Times New Roman" w:eastAsiaTheme="minorEastAsia" w:hAnsi="Times New Roman" w:cs="Times New Roman"/>
                <w:noProof/>
                <w:lang w:eastAsia="ja-JP"/>
              </w:rPr>
              <w:tab/>
            </w:r>
            <w:r>
              <w:rPr>
                <w:rStyle w:val="Hyperlink"/>
                <w:noProof/>
                <w:sz w:val="20"/>
              </w:rPr>
              <w:t>EU leadership</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_Toc57291538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234</w:t>
            </w:r>
            <w:r>
              <w:rPr>
                <w:rFonts w:ascii="Times New Roman" w:hAnsi="Times New Roman" w:cs="Times New Roman"/>
                <w:noProof/>
                <w:webHidden/>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539" w:history="1">
            <w:r>
              <w:rPr>
                <w:rStyle w:val="Hyperlink"/>
                <w:noProof/>
                <w:sz w:val="20"/>
              </w:rPr>
              <w:t>4.4.2</w:t>
            </w:r>
            <w:r>
              <w:rPr>
                <w:rFonts w:ascii="Times New Roman" w:eastAsiaTheme="minorEastAsia" w:hAnsi="Times New Roman" w:cs="Times New Roman"/>
                <w:noProof/>
                <w:lang w:eastAsia="ja-JP"/>
              </w:rPr>
              <w:tab/>
            </w:r>
            <w:r>
              <w:rPr>
                <w:rStyle w:val="Hyperlink"/>
                <w:noProof/>
                <w:sz w:val="20"/>
              </w:rPr>
              <w:t>EU global competitiveness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_Toc57291539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235</w:t>
            </w:r>
            <w:r>
              <w:rPr>
                <w:rFonts w:ascii="Times New Roman" w:hAnsi="Times New Roman" w:cs="Times New Roman"/>
                <w:noProof/>
                <w:webHidden/>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540" w:history="1">
            <w:r>
              <w:rPr>
                <w:rStyle w:val="Hyperlink"/>
                <w:noProof/>
                <w:sz w:val="20"/>
              </w:rPr>
              <w:t>4.4.3</w:t>
            </w:r>
            <w:r>
              <w:rPr>
                <w:rFonts w:ascii="Times New Roman" w:eastAsiaTheme="minorEastAsia" w:hAnsi="Times New Roman" w:cs="Times New Roman"/>
                <w:noProof/>
                <w:lang w:eastAsia="ja-JP"/>
              </w:rPr>
              <w:tab/>
            </w:r>
            <w:r>
              <w:rPr>
                <w:rStyle w:val="Hyperlink"/>
                <w:noProof/>
                <w:sz w:val="20"/>
              </w:rPr>
              <w:t>External connectivity</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_Toc57291540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237</w:t>
            </w:r>
            <w:r>
              <w:rPr>
                <w:rFonts w:ascii="Times New Roman" w:hAnsi="Times New Roman" w:cs="Times New Roman"/>
                <w:noProof/>
                <w:webHidden/>
              </w:rPr>
              <w:fldChar w:fldCharType="end"/>
            </w:r>
          </w:hyperlink>
        </w:p>
        <w:p>
          <w:pPr>
            <w:pStyle w:val="TOC1"/>
            <w:tabs>
              <w:tab w:val="left" w:pos="440"/>
              <w:tab w:val="right" w:leader="dot" w:pos="8494"/>
            </w:tabs>
            <w:rPr>
              <w:rFonts w:eastAsiaTheme="minorEastAsia" w:cs="Times New Roman"/>
              <w:b w:val="0"/>
              <w:bCs w:val="0"/>
              <w:i w:val="0"/>
              <w:iCs w:val="0"/>
              <w:noProof/>
              <w:szCs w:val="20"/>
              <w:lang w:eastAsia="ja-JP"/>
            </w:rPr>
          </w:pPr>
          <w:hyperlink w:anchor="_Toc57291541" w:history="1">
            <w:r>
              <w:rPr>
                <w:rStyle w:val="Hyperlink"/>
                <w:noProof/>
                <w:sz w:val="20"/>
                <w:szCs w:val="20"/>
              </w:rPr>
              <w:t>5</w:t>
            </w:r>
            <w:r>
              <w:rPr>
                <w:rFonts w:eastAsiaTheme="minorEastAsia" w:cs="Times New Roman"/>
                <w:b w:val="0"/>
                <w:bCs w:val="0"/>
                <w:i w:val="0"/>
                <w:iCs w:val="0"/>
                <w:noProof/>
                <w:szCs w:val="20"/>
                <w:lang w:eastAsia="ja-JP"/>
              </w:rPr>
              <w:tab/>
            </w:r>
            <w:r>
              <w:rPr>
                <w:rStyle w:val="Hyperlink"/>
                <w:noProof/>
                <w:sz w:val="20"/>
                <w:szCs w:val="20"/>
              </w:rPr>
              <w:t>Description of the pathways/scenarios</w:t>
            </w:r>
            <w:r>
              <w:rPr>
                <w:rFonts w:cs="Times New Roman"/>
                <w:noProof/>
                <w:webHidden/>
                <w:szCs w:val="20"/>
              </w:rPr>
              <w:tab/>
            </w:r>
            <w:r>
              <w:rPr>
                <w:rFonts w:cs="Times New Roman"/>
                <w:noProof/>
                <w:webHidden/>
                <w:szCs w:val="20"/>
              </w:rPr>
              <w:fldChar w:fldCharType="begin"/>
            </w:r>
            <w:r>
              <w:rPr>
                <w:rFonts w:cs="Times New Roman"/>
                <w:noProof/>
                <w:webHidden/>
                <w:szCs w:val="20"/>
              </w:rPr>
              <w:instrText xml:space="preserve"> PAGEREF _Toc57291541 \h </w:instrText>
            </w:r>
            <w:r>
              <w:rPr>
                <w:rFonts w:cs="Times New Roman"/>
                <w:noProof/>
                <w:webHidden/>
                <w:szCs w:val="20"/>
              </w:rPr>
            </w:r>
            <w:r>
              <w:rPr>
                <w:rFonts w:cs="Times New Roman"/>
                <w:noProof/>
                <w:webHidden/>
                <w:szCs w:val="20"/>
              </w:rPr>
              <w:fldChar w:fldCharType="separate"/>
            </w:r>
            <w:r>
              <w:rPr>
                <w:rFonts w:cs="Times New Roman"/>
                <w:noProof/>
                <w:webHidden/>
                <w:szCs w:val="20"/>
              </w:rPr>
              <w:t>241</w:t>
            </w:r>
            <w:r>
              <w:rPr>
                <w:rFonts w:cs="Times New Roman"/>
                <w:noProof/>
                <w:webHidden/>
                <w:szCs w:val="20"/>
              </w:rPr>
              <w:fldChar w:fldCharType="end"/>
            </w:r>
          </w:hyperlink>
        </w:p>
        <w:p>
          <w:pPr>
            <w:pStyle w:val="TOC2"/>
            <w:tabs>
              <w:tab w:val="left" w:pos="880"/>
              <w:tab w:val="right" w:leader="dot" w:pos="8494"/>
            </w:tabs>
            <w:rPr>
              <w:rFonts w:ascii="Times New Roman" w:eastAsiaTheme="minorEastAsia" w:hAnsi="Times New Roman" w:cs="Times New Roman"/>
              <w:b w:val="0"/>
              <w:bCs w:val="0"/>
              <w:noProof/>
              <w:sz w:val="20"/>
              <w:szCs w:val="20"/>
              <w:lang w:eastAsia="ja-JP"/>
            </w:rPr>
          </w:pPr>
          <w:hyperlink w:anchor="_Toc57291542" w:history="1">
            <w:r>
              <w:rPr>
                <w:rStyle w:val="Hyperlink"/>
                <w:noProof/>
                <w:sz w:val="20"/>
                <w:szCs w:val="20"/>
              </w:rPr>
              <w:t>5.1</w:t>
            </w:r>
            <w:r>
              <w:rPr>
                <w:rFonts w:ascii="Times New Roman" w:eastAsiaTheme="minorEastAsia" w:hAnsi="Times New Roman" w:cs="Times New Roman"/>
                <w:b w:val="0"/>
                <w:bCs w:val="0"/>
                <w:noProof/>
                <w:sz w:val="20"/>
                <w:szCs w:val="20"/>
                <w:lang w:eastAsia="ja-JP"/>
              </w:rPr>
              <w:tab/>
            </w:r>
            <w:r>
              <w:rPr>
                <w:rStyle w:val="Hyperlink"/>
                <w:noProof/>
                <w:sz w:val="20"/>
                <w:szCs w:val="20"/>
              </w:rPr>
              <w:t>Scenario design</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_Toc57291542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241</w:t>
            </w:r>
            <w:r>
              <w:rPr>
                <w:rFonts w:ascii="Times New Roman" w:hAnsi="Times New Roman" w:cs="Times New Roman"/>
                <w:noProof/>
                <w:webHidden/>
                <w:sz w:val="20"/>
                <w:szCs w:val="20"/>
              </w:rPr>
              <w:fldChar w:fldCharType="end"/>
            </w:r>
          </w:hyperlink>
        </w:p>
        <w:p>
          <w:pPr>
            <w:pStyle w:val="TOC2"/>
            <w:tabs>
              <w:tab w:val="left" w:pos="880"/>
              <w:tab w:val="right" w:leader="dot" w:pos="8494"/>
            </w:tabs>
            <w:rPr>
              <w:rFonts w:ascii="Times New Roman" w:eastAsiaTheme="minorEastAsia" w:hAnsi="Times New Roman" w:cs="Times New Roman"/>
              <w:b w:val="0"/>
              <w:bCs w:val="0"/>
              <w:noProof/>
              <w:sz w:val="20"/>
              <w:szCs w:val="20"/>
              <w:lang w:eastAsia="ja-JP"/>
            </w:rPr>
          </w:pPr>
          <w:hyperlink w:anchor="_Toc57291543" w:history="1">
            <w:r>
              <w:rPr>
                <w:rStyle w:val="Hyperlink"/>
                <w:noProof/>
                <w:sz w:val="20"/>
                <w:szCs w:val="20"/>
              </w:rPr>
              <w:t>5.2</w:t>
            </w:r>
            <w:r>
              <w:rPr>
                <w:rFonts w:ascii="Times New Roman" w:eastAsiaTheme="minorEastAsia" w:hAnsi="Times New Roman" w:cs="Times New Roman"/>
                <w:b w:val="0"/>
                <w:bCs w:val="0"/>
                <w:noProof/>
                <w:sz w:val="20"/>
                <w:szCs w:val="20"/>
                <w:lang w:eastAsia="ja-JP"/>
              </w:rPr>
              <w:tab/>
            </w:r>
            <w:r>
              <w:rPr>
                <w:rStyle w:val="Hyperlink"/>
                <w:noProof/>
                <w:sz w:val="20"/>
                <w:szCs w:val="20"/>
              </w:rPr>
              <w:t>Analysis of impacts of the pathways/scenarios</w:t>
            </w:r>
            <w:r>
              <w:rPr>
                <w:rFonts w:ascii="Times New Roman" w:hAnsi="Times New Roman" w:cs="Times New Roman"/>
                <w:noProof/>
                <w:webHidden/>
                <w:sz w:val="20"/>
                <w:szCs w:val="20"/>
              </w:rPr>
              <w:tab/>
            </w:r>
            <w:r>
              <w:rPr>
                <w:rFonts w:ascii="Times New Roman" w:hAnsi="Times New Roman" w:cs="Times New Roman"/>
                <w:noProof/>
                <w:webHidden/>
                <w:sz w:val="20"/>
                <w:szCs w:val="20"/>
              </w:rPr>
              <w:fldChar w:fldCharType="begin"/>
            </w:r>
            <w:r>
              <w:rPr>
                <w:rFonts w:ascii="Times New Roman" w:hAnsi="Times New Roman" w:cs="Times New Roman"/>
                <w:noProof/>
                <w:webHidden/>
                <w:sz w:val="20"/>
                <w:szCs w:val="20"/>
              </w:rPr>
              <w:instrText xml:space="preserve"> PAGEREF _Toc57291543 \h </w:instrText>
            </w:r>
            <w:r>
              <w:rPr>
                <w:rFonts w:ascii="Times New Roman" w:hAnsi="Times New Roman" w:cs="Times New Roman"/>
                <w:noProof/>
                <w:webHidden/>
                <w:sz w:val="20"/>
                <w:szCs w:val="20"/>
              </w:rPr>
            </w:r>
            <w:r>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246</w:t>
            </w:r>
            <w:r>
              <w:rPr>
                <w:rFonts w:ascii="Times New Roman" w:hAnsi="Times New Roman" w:cs="Times New Roman"/>
                <w:noProof/>
                <w:webHidden/>
                <w:sz w:val="20"/>
                <w:szCs w:val="20"/>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544" w:history="1">
            <w:r>
              <w:rPr>
                <w:rStyle w:val="Hyperlink"/>
                <w:noProof/>
                <w:sz w:val="20"/>
              </w:rPr>
              <w:t>5.2.1</w:t>
            </w:r>
            <w:r>
              <w:rPr>
                <w:rFonts w:ascii="Times New Roman" w:eastAsiaTheme="minorEastAsia" w:hAnsi="Times New Roman" w:cs="Times New Roman"/>
                <w:noProof/>
                <w:lang w:eastAsia="ja-JP"/>
              </w:rPr>
              <w:tab/>
            </w:r>
            <w:r>
              <w:rPr>
                <w:rStyle w:val="Hyperlink"/>
                <w:noProof/>
                <w:sz w:val="20"/>
              </w:rPr>
              <w:t>Impacts on transport activity</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_Toc57291544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246</w:t>
            </w:r>
            <w:r>
              <w:rPr>
                <w:rFonts w:ascii="Times New Roman" w:hAnsi="Times New Roman" w:cs="Times New Roman"/>
                <w:noProof/>
                <w:webHidden/>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545" w:history="1">
            <w:r>
              <w:rPr>
                <w:rStyle w:val="Hyperlink"/>
                <w:noProof/>
                <w:sz w:val="20"/>
              </w:rPr>
              <w:t>5.2.2</w:t>
            </w:r>
            <w:r>
              <w:rPr>
                <w:rFonts w:ascii="Times New Roman" w:eastAsiaTheme="minorEastAsia" w:hAnsi="Times New Roman" w:cs="Times New Roman"/>
                <w:noProof/>
                <w:lang w:eastAsia="ja-JP"/>
              </w:rPr>
              <w:tab/>
            </w:r>
            <w:r>
              <w:rPr>
                <w:rStyle w:val="Hyperlink"/>
                <w:noProof/>
                <w:sz w:val="20"/>
              </w:rPr>
              <w:t>Technology development projections by transport mode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_Toc57291545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248</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46" w:history="1">
            <w:r>
              <w:rPr>
                <w:rStyle w:val="Hyperlink"/>
                <w:noProof/>
                <w:sz w:val="20"/>
              </w:rPr>
              <w:t>5.2.2.1</w:t>
            </w:r>
            <w:r>
              <w:rPr>
                <w:rFonts w:ascii="Times New Roman" w:eastAsiaTheme="minorEastAsia" w:hAnsi="Times New Roman" w:cs="Times New Roman"/>
                <w:noProof/>
                <w:lang w:eastAsia="ja-JP"/>
              </w:rPr>
              <w:tab/>
            </w:r>
            <w:r>
              <w:rPr>
                <w:rStyle w:val="Hyperlink"/>
                <w:noProof/>
                <w:sz w:val="20"/>
              </w:rPr>
              <w:t>Road transport</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_Toc57291546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248</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47" w:history="1">
            <w:r>
              <w:rPr>
                <w:rStyle w:val="Hyperlink"/>
                <w:noProof/>
                <w:sz w:val="20"/>
              </w:rPr>
              <w:t>5.2.2.2</w:t>
            </w:r>
            <w:r>
              <w:rPr>
                <w:rFonts w:ascii="Times New Roman" w:eastAsiaTheme="minorEastAsia" w:hAnsi="Times New Roman" w:cs="Times New Roman"/>
                <w:noProof/>
                <w:lang w:eastAsia="ja-JP"/>
              </w:rPr>
              <w:tab/>
            </w:r>
            <w:r>
              <w:rPr>
                <w:rStyle w:val="Hyperlink"/>
                <w:noProof/>
                <w:sz w:val="20"/>
              </w:rPr>
              <w:t>Rail</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_Toc57291547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251</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48" w:history="1">
            <w:r>
              <w:rPr>
                <w:rStyle w:val="Hyperlink"/>
                <w:noProof/>
                <w:sz w:val="20"/>
              </w:rPr>
              <w:t>5.2.2.3</w:t>
            </w:r>
            <w:r>
              <w:rPr>
                <w:rFonts w:ascii="Times New Roman" w:eastAsiaTheme="minorEastAsia" w:hAnsi="Times New Roman" w:cs="Times New Roman"/>
                <w:noProof/>
                <w:lang w:eastAsia="ja-JP"/>
              </w:rPr>
              <w:tab/>
            </w:r>
            <w:r>
              <w:rPr>
                <w:rStyle w:val="Hyperlink"/>
                <w:noProof/>
                <w:sz w:val="20"/>
              </w:rPr>
              <w:t>Aviation</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_Toc57291548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252</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49" w:history="1">
            <w:r>
              <w:rPr>
                <w:rStyle w:val="Hyperlink"/>
                <w:noProof/>
                <w:sz w:val="20"/>
              </w:rPr>
              <w:t>5.2.2.4</w:t>
            </w:r>
            <w:r>
              <w:rPr>
                <w:rFonts w:ascii="Times New Roman" w:eastAsiaTheme="minorEastAsia" w:hAnsi="Times New Roman" w:cs="Times New Roman"/>
                <w:noProof/>
                <w:lang w:eastAsia="ja-JP"/>
              </w:rPr>
              <w:tab/>
            </w:r>
            <w:r>
              <w:rPr>
                <w:rStyle w:val="Hyperlink"/>
                <w:noProof/>
                <w:sz w:val="20"/>
              </w:rPr>
              <w:t>Inland waterways and national maritime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_Toc57291549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253</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50" w:history="1">
            <w:r>
              <w:rPr>
                <w:rStyle w:val="Hyperlink"/>
                <w:noProof/>
                <w:sz w:val="20"/>
              </w:rPr>
              <w:t>5.2.2.5</w:t>
            </w:r>
            <w:r>
              <w:rPr>
                <w:rFonts w:ascii="Times New Roman" w:eastAsiaTheme="minorEastAsia" w:hAnsi="Times New Roman" w:cs="Times New Roman"/>
                <w:noProof/>
                <w:lang w:eastAsia="ja-JP"/>
              </w:rPr>
              <w:tab/>
            </w:r>
            <w:r>
              <w:rPr>
                <w:rStyle w:val="Hyperlink"/>
                <w:noProof/>
                <w:sz w:val="20"/>
              </w:rPr>
              <w:t>International maritime transport</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_Toc57291550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254</w:t>
            </w:r>
            <w:r>
              <w:rPr>
                <w:rFonts w:ascii="Times New Roman" w:hAnsi="Times New Roman" w:cs="Times New Roman"/>
                <w:noProof/>
                <w:webHidden/>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551" w:history="1">
            <w:r>
              <w:rPr>
                <w:rStyle w:val="Hyperlink"/>
                <w:noProof/>
                <w:sz w:val="20"/>
              </w:rPr>
              <w:t>5.2.3</w:t>
            </w:r>
            <w:r>
              <w:rPr>
                <w:rFonts w:ascii="Times New Roman" w:eastAsiaTheme="minorEastAsia" w:hAnsi="Times New Roman" w:cs="Times New Roman"/>
                <w:noProof/>
                <w:lang w:eastAsia="ja-JP"/>
              </w:rPr>
              <w:tab/>
            </w:r>
            <w:r>
              <w:rPr>
                <w:rStyle w:val="Hyperlink"/>
                <w:noProof/>
                <w:sz w:val="20"/>
              </w:rPr>
              <w:t>Energy demand and fuel mix projections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_Toc57291551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255</w:t>
            </w:r>
            <w:r>
              <w:rPr>
                <w:rFonts w:ascii="Times New Roman" w:hAnsi="Times New Roman" w:cs="Times New Roman"/>
                <w:noProof/>
                <w:webHidden/>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552" w:history="1">
            <w:r>
              <w:rPr>
                <w:rStyle w:val="Hyperlink"/>
                <w:noProof/>
                <w:sz w:val="20"/>
              </w:rPr>
              <w:t>5.2.4</w:t>
            </w:r>
            <w:r>
              <w:rPr>
                <w:rFonts w:ascii="Times New Roman" w:eastAsiaTheme="minorEastAsia" w:hAnsi="Times New Roman" w:cs="Times New Roman"/>
                <w:noProof/>
                <w:lang w:eastAsia="ja-JP"/>
              </w:rPr>
              <w:tab/>
            </w:r>
            <w:r>
              <w:rPr>
                <w:rStyle w:val="Hyperlink"/>
                <w:noProof/>
                <w:sz w:val="20"/>
              </w:rPr>
              <w:t>GHG emissions from transport</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_Toc57291552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257</w:t>
            </w:r>
            <w:r>
              <w:rPr>
                <w:rFonts w:ascii="Times New Roman" w:hAnsi="Times New Roman" w:cs="Times New Roman"/>
                <w:noProof/>
                <w:webHidden/>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553" w:history="1">
            <w:r>
              <w:rPr>
                <w:rStyle w:val="Hyperlink"/>
                <w:noProof/>
                <w:sz w:val="20"/>
              </w:rPr>
              <w:t>5.2.5</w:t>
            </w:r>
            <w:r>
              <w:rPr>
                <w:rFonts w:ascii="Times New Roman" w:eastAsiaTheme="minorEastAsia" w:hAnsi="Times New Roman" w:cs="Times New Roman"/>
                <w:noProof/>
                <w:lang w:eastAsia="ja-JP"/>
              </w:rPr>
              <w:tab/>
            </w:r>
            <w:r>
              <w:rPr>
                <w:rStyle w:val="Hyperlink"/>
                <w:noProof/>
                <w:sz w:val="20"/>
              </w:rPr>
              <w:t>Impacts on noise, NOx and particulate matter emissions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_Toc57291553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260</w:t>
            </w:r>
            <w:r>
              <w:rPr>
                <w:rFonts w:ascii="Times New Roman" w:hAnsi="Times New Roman" w:cs="Times New Roman"/>
                <w:noProof/>
                <w:webHidden/>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554" w:history="1">
            <w:r>
              <w:rPr>
                <w:rStyle w:val="Hyperlink"/>
                <w:noProof/>
                <w:sz w:val="20"/>
              </w:rPr>
              <w:t>5.2.6</w:t>
            </w:r>
            <w:r>
              <w:rPr>
                <w:rFonts w:ascii="Times New Roman" w:eastAsiaTheme="minorEastAsia" w:hAnsi="Times New Roman" w:cs="Times New Roman"/>
                <w:noProof/>
                <w:lang w:eastAsia="ja-JP"/>
              </w:rPr>
              <w:tab/>
            </w:r>
            <w:r>
              <w:rPr>
                <w:rStyle w:val="Hyperlink"/>
                <w:noProof/>
                <w:sz w:val="20"/>
              </w:rPr>
              <w:t>Impacts on external costs of transport</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_Toc57291554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261</w:t>
            </w:r>
            <w:r>
              <w:rPr>
                <w:rFonts w:ascii="Times New Roman" w:hAnsi="Times New Roman" w:cs="Times New Roman"/>
                <w:noProof/>
                <w:webHidden/>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555" w:history="1">
            <w:r>
              <w:rPr>
                <w:rStyle w:val="Hyperlink"/>
                <w:noProof/>
                <w:sz w:val="20"/>
              </w:rPr>
              <w:t>5.2.7</w:t>
            </w:r>
            <w:r>
              <w:rPr>
                <w:rFonts w:ascii="Times New Roman" w:eastAsiaTheme="minorEastAsia" w:hAnsi="Times New Roman" w:cs="Times New Roman"/>
                <w:noProof/>
                <w:lang w:eastAsia="ja-JP"/>
              </w:rPr>
              <w:tab/>
            </w:r>
            <w:r>
              <w:rPr>
                <w:rStyle w:val="Hyperlink"/>
                <w:noProof/>
                <w:sz w:val="20"/>
              </w:rPr>
              <w:t>Investments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_Toc57291555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262</w:t>
            </w:r>
            <w:r>
              <w:rPr>
                <w:rFonts w:ascii="Times New Roman" w:hAnsi="Times New Roman" w:cs="Times New Roman"/>
                <w:noProof/>
                <w:webHidden/>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556" w:history="1">
            <w:r>
              <w:rPr>
                <w:rStyle w:val="Hyperlink"/>
                <w:noProof/>
                <w:sz w:val="20"/>
              </w:rPr>
              <w:t>5.2.8</w:t>
            </w:r>
            <w:r>
              <w:rPr>
                <w:rFonts w:ascii="Times New Roman" w:eastAsiaTheme="minorEastAsia" w:hAnsi="Times New Roman" w:cs="Times New Roman"/>
                <w:noProof/>
                <w:lang w:eastAsia="ja-JP"/>
              </w:rPr>
              <w:tab/>
            </w:r>
            <w:r>
              <w:rPr>
                <w:rStyle w:val="Hyperlink"/>
                <w:noProof/>
                <w:sz w:val="20"/>
              </w:rPr>
              <w:t>Social impacts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_Toc57291556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264</w:t>
            </w:r>
            <w:r>
              <w:rPr>
                <w:rFonts w:ascii="Times New Roman" w:hAnsi="Times New Roman" w:cs="Times New Roman"/>
                <w:noProof/>
                <w:webHidden/>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557" w:history="1">
            <w:r>
              <w:rPr>
                <w:rStyle w:val="Hyperlink"/>
                <w:noProof/>
                <w:sz w:val="20"/>
              </w:rPr>
              <w:t>5.2.9</w:t>
            </w:r>
            <w:r>
              <w:rPr>
                <w:rFonts w:ascii="Times New Roman" w:eastAsiaTheme="minorEastAsia" w:hAnsi="Times New Roman" w:cs="Times New Roman"/>
                <w:noProof/>
                <w:lang w:eastAsia="ja-JP"/>
              </w:rPr>
              <w:tab/>
            </w:r>
            <w:r>
              <w:rPr>
                <w:rStyle w:val="Hyperlink"/>
                <w:noProof/>
                <w:sz w:val="20"/>
              </w:rPr>
              <w:t>Sensitivity analysis on the COVID-19 pandemic</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_Toc57291557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266</w:t>
            </w:r>
            <w:r>
              <w:rPr>
                <w:rFonts w:ascii="Times New Roman" w:hAnsi="Times New Roman" w:cs="Times New Roman"/>
                <w:noProof/>
                <w:webHidden/>
              </w:rPr>
              <w:fldChar w:fldCharType="end"/>
            </w:r>
          </w:hyperlink>
        </w:p>
        <w:p>
          <w:pPr>
            <w:pStyle w:val="TOC1"/>
            <w:tabs>
              <w:tab w:val="left" w:pos="440"/>
              <w:tab w:val="right" w:leader="dot" w:pos="8494"/>
            </w:tabs>
            <w:rPr>
              <w:rFonts w:eastAsiaTheme="minorEastAsia" w:cs="Times New Roman"/>
              <w:b w:val="0"/>
              <w:bCs w:val="0"/>
              <w:i w:val="0"/>
              <w:iCs w:val="0"/>
              <w:noProof/>
              <w:szCs w:val="20"/>
              <w:lang w:eastAsia="ja-JP"/>
            </w:rPr>
          </w:pPr>
          <w:hyperlink w:anchor="_Toc57291558" w:history="1">
            <w:r>
              <w:rPr>
                <w:rStyle w:val="Hyperlink"/>
                <w:noProof/>
                <w:sz w:val="20"/>
                <w:szCs w:val="20"/>
              </w:rPr>
              <w:t>6</w:t>
            </w:r>
            <w:r>
              <w:rPr>
                <w:rFonts w:eastAsiaTheme="minorEastAsia" w:cs="Times New Roman"/>
                <w:b w:val="0"/>
                <w:bCs w:val="0"/>
                <w:i w:val="0"/>
                <w:iCs w:val="0"/>
                <w:noProof/>
                <w:szCs w:val="20"/>
                <w:lang w:eastAsia="ja-JP"/>
              </w:rPr>
              <w:tab/>
            </w:r>
            <w:r>
              <w:rPr>
                <w:rStyle w:val="Hyperlink"/>
                <w:noProof/>
                <w:sz w:val="20"/>
                <w:szCs w:val="20"/>
              </w:rPr>
              <w:t>Annex I - Analytical methods</w:t>
            </w:r>
            <w:r>
              <w:rPr>
                <w:rFonts w:cs="Times New Roman"/>
                <w:noProof/>
                <w:webHidden/>
                <w:szCs w:val="20"/>
              </w:rPr>
              <w:tab/>
            </w:r>
            <w:r>
              <w:rPr>
                <w:rFonts w:cs="Times New Roman"/>
                <w:noProof/>
                <w:webHidden/>
                <w:szCs w:val="20"/>
              </w:rPr>
              <w:fldChar w:fldCharType="begin"/>
            </w:r>
            <w:r>
              <w:rPr>
                <w:rFonts w:cs="Times New Roman"/>
                <w:noProof/>
                <w:webHidden/>
                <w:szCs w:val="20"/>
              </w:rPr>
              <w:instrText xml:space="preserve"> PAGEREF _Toc57291558 \h </w:instrText>
            </w:r>
            <w:r>
              <w:rPr>
                <w:rFonts w:cs="Times New Roman"/>
                <w:noProof/>
                <w:webHidden/>
                <w:szCs w:val="20"/>
              </w:rPr>
            </w:r>
            <w:r>
              <w:rPr>
                <w:rFonts w:cs="Times New Roman"/>
                <w:noProof/>
                <w:webHidden/>
                <w:szCs w:val="20"/>
              </w:rPr>
              <w:fldChar w:fldCharType="separate"/>
            </w:r>
            <w:r>
              <w:rPr>
                <w:rFonts w:cs="Times New Roman"/>
                <w:noProof/>
                <w:webHidden/>
                <w:szCs w:val="20"/>
              </w:rPr>
              <w:t>268</w:t>
            </w:r>
            <w:r>
              <w:rPr>
                <w:rFonts w:cs="Times New Roman"/>
                <w:noProof/>
                <w:webHidden/>
                <w:szCs w:val="20"/>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559" w:history="1">
            <w:r>
              <w:rPr>
                <w:rStyle w:val="Hyperlink"/>
                <w:noProof/>
                <w:sz w:val="20"/>
              </w:rPr>
              <w:t>6.1.1</w:t>
            </w:r>
            <w:r>
              <w:rPr>
                <w:rFonts w:ascii="Times New Roman" w:eastAsiaTheme="minorEastAsia" w:hAnsi="Times New Roman" w:cs="Times New Roman"/>
                <w:noProof/>
                <w:lang w:eastAsia="ja-JP"/>
              </w:rPr>
              <w:tab/>
            </w:r>
            <w:r>
              <w:rPr>
                <w:rStyle w:val="Hyperlink"/>
                <w:noProof/>
                <w:sz w:val="20"/>
              </w:rPr>
              <w:t>Description of the modelling tools used</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_Toc57291559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268</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60" w:history="1">
            <w:r>
              <w:rPr>
                <w:rStyle w:val="Hyperlink"/>
                <w:noProof/>
                <w:sz w:val="20"/>
              </w:rPr>
              <w:t>6.1.1.1</w:t>
            </w:r>
            <w:r>
              <w:rPr>
                <w:rFonts w:ascii="Times New Roman" w:eastAsiaTheme="minorEastAsia" w:hAnsi="Times New Roman" w:cs="Times New Roman"/>
                <w:noProof/>
                <w:lang w:eastAsia="ja-JP"/>
              </w:rPr>
              <w:tab/>
            </w:r>
            <w:r>
              <w:rPr>
                <w:rStyle w:val="Hyperlink"/>
                <w:noProof/>
                <w:sz w:val="20"/>
              </w:rPr>
              <w:t>Main modelling suite</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_Toc57291560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268</w:t>
            </w:r>
            <w:r>
              <w:rPr>
                <w:rFonts w:ascii="Times New Roman" w:hAnsi="Times New Roman" w:cs="Times New Roman"/>
                <w:noProof/>
                <w:webHidden/>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561" w:history="1">
            <w:r>
              <w:rPr>
                <w:rStyle w:val="Hyperlink"/>
                <w:noProof/>
                <w:sz w:val="20"/>
              </w:rPr>
              <w:t>6.1.2</w:t>
            </w:r>
            <w:r>
              <w:rPr>
                <w:rFonts w:ascii="Times New Roman" w:eastAsiaTheme="minorEastAsia" w:hAnsi="Times New Roman" w:cs="Times New Roman"/>
                <w:noProof/>
                <w:lang w:eastAsia="ja-JP"/>
              </w:rPr>
              <w:tab/>
            </w:r>
            <w:r>
              <w:rPr>
                <w:rStyle w:val="Hyperlink"/>
                <w:noProof/>
                <w:sz w:val="20"/>
              </w:rPr>
              <w:t>Assumptions on technology, economics and energy prices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_Toc57291561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277</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62" w:history="1">
            <w:r>
              <w:rPr>
                <w:rStyle w:val="Hyperlink"/>
                <w:noProof/>
                <w:sz w:val="20"/>
              </w:rPr>
              <w:t>6.1.2.1</w:t>
            </w:r>
            <w:r>
              <w:rPr>
                <w:rFonts w:ascii="Times New Roman" w:eastAsiaTheme="minorEastAsia" w:hAnsi="Times New Roman" w:cs="Times New Roman"/>
                <w:noProof/>
                <w:lang w:eastAsia="ja-JP"/>
              </w:rPr>
              <w:tab/>
            </w:r>
            <w:r>
              <w:rPr>
                <w:rStyle w:val="Hyperlink"/>
                <w:noProof/>
                <w:sz w:val="20"/>
              </w:rPr>
              <w:t>Economic assumptions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_Toc57291562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277</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63" w:history="1">
            <w:r>
              <w:rPr>
                <w:rStyle w:val="Hyperlink"/>
                <w:noProof/>
                <w:sz w:val="20"/>
              </w:rPr>
              <w:t>6.1.2.2</w:t>
            </w:r>
            <w:r>
              <w:rPr>
                <w:rFonts w:ascii="Times New Roman" w:eastAsiaTheme="minorEastAsia" w:hAnsi="Times New Roman" w:cs="Times New Roman"/>
                <w:noProof/>
                <w:lang w:eastAsia="ja-JP"/>
              </w:rPr>
              <w:tab/>
            </w:r>
            <w:r>
              <w:rPr>
                <w:rStyle w:val="Hyperlink"/>
                <w:noProof/>
                <w:sz w:val="20"/>
              </w:rPr>
              <w:t>Energy prices assumptions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_Toc57291563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278</w:t>
            </w:r>
            <w:r>
              <w:rPr>
                <w:rFonts w:ascii="Times New Roman" w:hAnsi="Times New Roman" w:cs="Times New Roman"/>
                <w:noProof/>
                <w:webHidden/>
              </w:rPr>
              <w:fldChar w:fldCharType="end"/>
            </w:r>
          </w:hyperlink>
        </w:p>
        <w:p>
          <w:pPr>
            <w:pStyle w:val="TOC4"/>
            <w:tabs>
              <w:tab w:val="left" w:pos="1540"/>
              <w:tab w:val="right" w:leader="dot" w:pos="8494"/>
            </w:tabs>
            <w:rPr>
              <w:rFonts w:ascii="Times New Roman" w:eastAsiaTheme="minorEastAsia" w:hAnsi="Times New Roman" w:cs="Times New Roman"/>
              <w:noProof/>
              <w:lang w:eastAsia="ja-JP"/>
            </w:rPr>
          </w:pPr>
          <w:hyperlink w:anchor="_Toc57291564" w:history="1">
            <w:r>
              <w:rPr>
                <w:rStyle w:val="Hyperlink"/>
                <w:noProof/>
                <w:sz w:val="20"/>
              </w:rPr>
              <w:t>6.1.2.3</w:t>
            </w:r>
            <w:r>
              <w:rPr>
                <w:rFonts w:ascii="Times New Roman" w:eastAsiaTheme="minorEastAsia" w:hAnsi="Times New Roman" w:cs="Times New Roman"/>
                <w:noProof/>
                <w:lang w:eastAsia="ja-JP"/>
              </w:rPr>
              <w:tab/>
            </w:r>
            <w:r>
              <w:rPr>
                <w:rStyle w:val="Hyperlink"/>
                <w:noProof/>
                <w:sz w:val="20"/>
              </w:rPr>
              <w:t>Technology assumptions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_Toc57291564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280</w:t>
            </w:r>
            <w:r>
              <w:rPr>
                <w:rFonts w:ascii="Times New Roman" w:hAnsi="Times New Roman" w:cs="Times New Roman"/>
                <w:noProof/>
                <w:webHidden/>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565" w:history="1">
            <w:r>
              <w:rPr>
                <w:rStyle w:val="Hyperlink"/>
                <w:noProof/>
                <w:sz w:val="20"/>
              </w:rPr>
              <w:t>6.1.3</w:t>
            </w:r>
            <w:r>
              <w:rPr>
                <w:rFonts w:ascii="Times New Roman" w:eastAsiaTheme="minorEastAsia" w:hAnsi="Times New Roman" w:cs="Times New Roman"/>
                <w:noProof/>
                <w:lang w:eastAsia="ja-JP"/>
              </w:rPr>
              <w:tab/>
            </w:r>
            <w:r>
              <w:rPr>
                <w:rStyle w:val="Hyperlink"/>
                <w:noProof/>
                <w:sz w:val="20"/>
              </w:rPr>
              <w:t>Policies in the existing policies scenario (Baseline scenario)</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_Toc57291565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280</w:t>
            </w:r>
            <w:r>
              <w:rPr>
                <w:rFonts w:ascii="Times New Roman" w:hAnsi="Times New Roman" w:cs="Times New Roman"/>
                <w:noProof/>
                <w:webHidden/>
              </w:rPr>
              <w:fldChar w:fldCharType="end"/>
            </w:r>
          </w:hyperlink>
        </w:p>
        <w:p>
          <w:pPr>
            <w:pStyle w:val="TOC3"/>
            <w:tabs>
              <w:tab w:val="left" w:pos="1100"/>
              <w:tab w:val="right" w:leader="dot" w:pos="8494"/>
            </w:tabs>
            <w:rPr>
              <w:rFonts w:ascii="Times New Roman" w:eastAsiaTheme="minorEastAsia" w:hAnsi="Times New Roman" w:cs="Times New Roman"/>
              <w:noProof/>
              <w:lang w:eastAsia="ja-JP"/>
            </w:rPr>
          </w:pPr>
          <w:hyperlink w:anchor="_Toc57291566" w:history="1">
            <w:r>
              <w:rPr>
                <w:rStyle w:val="Hyperlink"/>
                <w:noProof/>
                <w:sz w:val="20"/>
              </w:rPr>
              <w:t>6.1.4</w:t>
            </w:r>
            <w:r>
              <w:rPr>
                <w:rFonts w:ascii="Times New Roman" w:eastAsiaTheme="minorEastAsia" w:hAnsi="Times New Roman" w:cs="Times New Roman"/>
                <w:noProof/>
                <w:lang w:eastAsia="ja-JP"/>
              </w:rPr>
              <w:tab/>
            </w:r>
            <w:r>
              <w:rPr>
                <w:rStyle w:val="Hyperlink"/>
                <w:noProof/>
                <w:sz w:val="20"/>
              </w:rPr>
              <w:t>Policy scenarios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_Toc57291566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284</w:t>
            </w:r>
            <w:r>
              <w:rPr>
                <w:rFonts w:ascii="Times New Roman" w:hAnsi="Times New Roman" w:cs="Times New Roman"/>
                <w:noProof/>
                <w:webHidden/>
              </w:rPr>
              <w:fldChar w:fldCharType="end"/>
            </w:r>
          </w:hyperlink>
        </w:p>
        <w:p>
          <w:pPr>
            <w:rPr>
              <w:noProof/>
              <w:sz w:val="20"/>
            </w:rPr>
          </w:pPr>
          <w:r>
            <w:rPr>
              <w:bCs/>
              <w:i/>
              <w:iCs/>
              <w:noProof/>
              <w:sz w:val="20"/>
            </w:rPr>
            <w:fldChar w:fldCharType="end"/>
          </w:r>
        </w:p>
      </w:sdtContent>
    </w:sdt>
    <w:p>
      <w:pPr>
        <w:spacing w:after="0" w:line="240" w:lineRule="auto"/>
        <w:jc w:val="left"/>
        <w:rPr>
          <w:b/>
          <w:smallCaps/>
          <w:noProof/>
          <w:sz w:val="20"/>
        </w:rPr>
      </w:pPr>
    </w:p>
    <w:p>
      <w:pPr>
        <w:spacing w:after="0" w:line="240" w:lineRule="auto"/>
        <w:jc w:val="center"/>
        <w:rPr>
          <w:b/>
          <w:noProof/>
          <w:sz w:val="20"/>
        </w:rPr>
      </w:pPr>
      <w:r>
        <w:rPr>
          <w:b/>
          <w:bCs/>
          <w:noProof/>
          <w:sz w:val="20"/>
        </w:rPr>
        <w:t>List of figures</w:t>
      </w:r>
    </w:p>
    <w:p>
      <w:pPr>
        <w:spacing w:after="0" w:line="240" w:lineRule="auto"/>
        <w:jc w:val="center"/>
        <w:rPr>
          <w:b/>
          <w:bCs/>
          <w:noProof/>
          <w:sz w:val="20"/>
        </w:rPr>
      </w:pPr>
    </w:p>
    <w:p>
      <w:pPr>
        <w:spacing w:after="0" w:line="240" w:lineRule="auto"/>
        <w:jc w:val="left"/>
        <w:rPr>
          <w:b/>
          <w:smallCaps/>
          <w:noProof/>
          <w:sz w:val="20"/>
        </w:rPr>
      </w:pPr>
    </w:p>
    <w:p>
      <w:pPr>
        <w:pStyle w:val="TableofFigures"/>
        <w:tabs>
          <w:tab w:val="right" w:leader="dot" w:pos="8494"/>
        </w:tabs>
        <w:rPr>
          <w:rFonts w:asciiTheme="minorHAnsi" w:eastAsiaTheme="minorEastAsia" w:hAnsiTheme="minorHAnsi" w:cstheme="minorBidi"/>
          <w:noProof/>
          <w:sz w:val="22"/>
          <w:szCs w:val="22"/>
          <w:lang w:eastAsia="ja-JP"/>
        </w:rPr>
      </w:pPr>
      <w:r>
        <w:rPr>
          <w:noProof/>
        </w:rPr>
        <w:fldChar w:fldCharType="begin"/>
      </w:r>
      <w:r>
        <w:rPr>
          <w:smallCaps/>
          <w:noProof/>
        </w:rPr>
        <w:instrText xml:space="preserve"> TOC \c "Figure" </w:instrText>
      </w:r>
      <w:r>
        <w:rPr>
          <w:smallCaps/>
          <w:noProof/>
        </w:rPr>
        <w:fldChar w:fldCharType="separate"/>
      </w:r>
      <w:r>
        <w:rPr>
          <w:noProof/>
        </w:rPr>
        <w:t>Figure 1: The EU’s pathway to sustained economic prosperity and climate neutrality, 1990-2050</w:t>
      </w:r>
      <w:r>
        <w:rPr>
          <w:noProof/>
        </w:rPr>
        <w:tab/>
      </w:r>
      <w:r>
        <w:rPr>
          <w:noProof/>
        </w:rPr>
        <w:fldChar w:fldCharType="begin"/>
      </w:r>
      <w:r>
        <w:rPr>
          <w:noProof/>
        </w:rPr>
        <w:instrText xml:space="preserve"> PAGEREF _Toc57291645 \h </w:instrText>
      </w:r>
      <w:r>
        <w:rPr>
          <w:noProof/>
        </w:rPr>
      </w:r>
      <w:r>
        <w:rPr>
          <w:noProof/>
        </w:rPr>
        <w:fldChar w:fldCharType="separate"/>
      </w:r>
      <w:r>
        <w:rPr>
          <w:noProof/>
        </w:rPr>
        <w:t>7</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2: Passenger and freight transport activity in the Baseline scenario (average growth rate per year)</w:t>
      </w:r>
      <w:r>
        <w:rPr>
          <w:noProof/>
        </w:rPr>
        <w:tab/>
      </w:r>
      <w:r>
        <w:rPr>
          <w:noProof/>
        </w:rPr>
        <w:fldChar w:fldCharType="begin"/>
      </w:r>
      <w:r>
        <w:rPr>
          <w:noProof/>
        </w:rPr>
        <w:instrText xml:space="preserve"> PAGEREF _Toc57291646 \h </w:instrText>
      </w:r>
      <w:r>
        <w:rPr>
          <w:noProof/>
        </w:rPr>
      </w:r>
      <w:r>
        <w:rPr>
          <w:noProof/>
        </w:rPr>
        <w:fldChar w:fldCharType="separate"/>
      </w:r>
      <w:r>
        <w:rPr>
          <w:noProof/>
        </w:rPr>
        <w:t>11</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3: Projected evolution of international maritime transport activity in the Baseline scenario</w:t>
      </w:r>
      <w:r>
        <w:rPr>
          <w:noProof/>
        </w:rPr>
        <w:tab/>
      </w:r>
      <w:r>
        <w:rPr>
          <w:noProof/>
        </w:rPr>
        <w:fldChar w:fldCharType="begin"/>
      </w:r>
      <w:r>
        <w:rPr>
          <w:noProof/>
        </w:rPr>
        <w:instrText xml:space="preserve"> PAGEREF _Toc57291647 \h </w:instrText>
      </w:r>
      <w:r>
        <w:rPr>
          <w:noProof/>
        </w:rPr>
      </w:r>
      <w:r>
        <w:rPr>
          <w:noProof/>
        </w:rPr>
        <w:fldChar w:fldCharType="separate"/>
      </w:r>
      <w:r>
        <w:rPr>
          <w:noProof/>
        </w:rPr>
        <w:t>13</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4: Projected evolution of energy consumption per transport mode in 2030 and 2050 relative to 2015 (% change) in the Baseline scenario</w:t>
      </w:r>
      <w:r>
        <w:rPr>
          <w:noProof/>
        </w:rPr>
        <w:tab/>
      </w:r>
      <w:r>
        <w:rPr>
          <w:noProof/>
        </w:rPr>
        <w:fldChar w:fldCharType="begin"/>
      </w:r>
      <w:r>
        <w:rPr>
          <w:noProof/>
        </w:rPr>
        <w:instrText xml:space="preserve"> PAGEREF _Toc57291648 \h </w:instrText>
      </w:r>
      <w:r>
        <w:rPr>
          <w:noProof/>
        </w:rPr>
      </w:r>
      <w:r>
        <w:rPr>
          <w:noProof/>
        </w:rPr>
        <w:fldChar w:fldCharType="separate"/>
      </w:r>
      <w:r>
        <w:rPr>
          <w:noProof/>
        </w:rPr>
        <w:t>13</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5: Share of alternative fuels used in transport (including international aviation and maritime) in the Baseline scenario</w:t>
      </w:r>
      <w:r>
        <w:rPr>
          <w:noProof/>
        </w:rPr>
        <w:tab/>
      </w:r>
      <w:r>
        <w:rPr>
          <w:noProof/>
        </w:rPr>
        <w:fldChar w:fldCharType="begin"/>
      </w:r>
      <w:r>
        <w:rPr>
          <w:noProof/>
        </w:rPr>
        <w:instrText xml:space="preserve"> PAGEREF _Toc57291649 \h </w:instrText>
      </w:r>
      <w:r>
        <w:rPr>
          <w:noProof/>
        </w:rPr>
      </w:r>
      <w:r>
        <w:rPr>
          <w:noProof/>
        </w:rPr>
        <w:fldChar w:fldCharType="separate"/>
      </w:r>
      <w:r>
        <w:rPr>
          <w:noProof/>
        </w:rPr>
        <w:t>14</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6: Fuels use in transport (including international aviation and maritime) in the Baseline scenario</w:t>
      </w:r>
      <w:r>
        <w:rPr>
          <w:noProof/>
        </w:rPr>
        <w:tab/>
      </w:r>
      <w:r>
        <w:rPr>
          <w:noProof/>
        </w:rPr>
        <w:fldChar w:fldCharType="begin"/>
      </w:r>
      <w:r>
        <w:rPr>
          <w:noProof/>
        </w:rPr>
        <w:instrText xml:space="preserve"> PAGEREF _Toc57291650 \h </w:instrText>
      </w:r>
      <w:r>
        <w:rPr>
          <w:noProof/>
        </w:rPr>
      </w:r>
      <w:r>
        <w:rPr>
          <w:noProof/>
        </w:rPr>
        <w:fldChar w:fldCharType="separate"/>
      </w:r>
      <w:r>
        <w:rPr>
          <w:noProof/>
        </w:rPr>
        <w:t>15</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7: CO</w:t>
      </w:r>
      <w:r>
        <w:rPr>
          <w:noProof/>
          <w:vertAlign w:val="subscript"/>
        </w:rPr>
        <w:t>2</w:t>
      </w:r>
      <w:r>
        <w:rPr>
          <w:noProof/>
        </w:rPr>
        <w:t xml:space="preserve"> emissions from transport (including international aviation but excluding international maritime) in the Baseline scenario</w:t>
      </w:r>
      <w:r>
        <w:rPr>
          <w:noProof/>
        </w:rPr>
        <w:tab/>
      </w:r>
      <w:r>
        <w:rPr>
          <w:noProof/>
        </w:rPr>
        <w:fldChar w:fldCharType="begin"/>
      </w:r>
      <w:r>
        <w:rPr>
          <w:noProof/>
        </w:rPr>
        <w:instrText xml:space="preserve"> PAGEREF _Toc57291651 \h </w:instrText>
      </w:r>
      <w:r>
        <w:rPr>
          <w:noProof/>
        </w:rPr>
      </w:r>
      <w:r>
        <w:rPr>
          <w:noProof/>
        </w:rPr>
        <w:fldChar w:fldCharType="separate"/>
      </w:r>
      <w:r>
        <w:rPr>
          <w:noProof/>
        </w:rPr>
        <w:t>16</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8: Passenger transport activity in the Baseline and the COVID-Baseline scenarios (cumulative growth rates for 2015-2030 and 2015-2050)</w:t>
      </w:r>
      <w:r>
        <w:rPr>
          <w:noProof/>
        </w:rPr>
        <w:tab/>
      </w:r>
      <w:r>
        <w:rPr>
          <w:noProof/>
        </w:rPr>
        <w:fldChar w:fldCharType="begin"/>
      </w:r>
      <w:r>
        <w:rPr>
          <w:noProof/>
        </w:rPr>
        <w:instrText xml:space="preserve"> PAGEREF _Toc57291652 \h </w:instrText>
      </w:r>
      <w:r>
        <w:rPr>
          <w:noProof/>
        </w:rPr>
      </w:r>
      <w:r>
        <w:rPr>
          <w:noProof/>
        </w:rPr>
        <w:fldChar w:fldCharType="separate"/>
      </w:r>
      <w:r>
        <w:rPr>
          <w:noProof/>
        </w:rPr>
        <w:t>19</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9: Freight transport activity in the Baseline and COVID-Baseline scenarios (cumulative growth rates for 2015-2030 and 2015-2050)</w:t>
      </w:r>
      <w:r>
        <w:rPr>
          <w:noProof/>
        </w:rPr>
        <w:tab/>
      </w:r>
      <w:r>
        <w:rPr>
          <w:noProof/>
        </w:rPr>
        <w:fldChar w:fldCharType="begin"/>
      </w:r>
      <w:r>
        <w:rPr>
          <w:noProof/>
        </w:rPr>
        <w:instrText xml:space="preserve"> PAGEREF _Toc57291653 \h </w:instrText>
      </w:r>
      <w:r>
        <w:rPr>
          <w:noProof/>
        </w:rPr>
      </w:r>
      <w:r>
        <w:rPr>
          <w:noProof/>
        </w:rPr>
        <w:fldChar w:fldCharType="separate"/>
      </w:r>
      <w:r>
        <w:rPr>
          <w:noProof/>
        </w:rPr>
        <w:t>20</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10: CO</w:t>
      </w:r>
      <w:r>
        <w:rPr>
          <w:noProof/>
          <w:vertAlign w:val="subscript"/>
        </w:rPr>
        <w:t>2</w:t>
      </w:r>
      <w:r>
        <w:rPr>
          <w:noProof/>
        </w:rPr>
        <w:t xml:space="preserve"> emissions from transport (including international aviation but excluding international maritime) in the Baseline and COVID-Baseline scenarios</w:t>
      </w:r>
      <w:r>
        <w:rPr>
          <w:noProof/>
        </w:rPr>
        <w:tab/>
      </w:r>
      <w:r>
        <w:rPr>
          <w:noProof/>
        </w:rPr>
        <w:fldChar w:fldCharType="begin"/>
      </w:r>
      <w:r>
        <w:rPr>
          <w:noProof/>
        </w:rPr>
        <w:instrText xml:space="preserve"> PAGEREF _Toc57291654 \h </w:instrText>
      </w:r>
      <w:r>
        <w:rPr>
          <w:noProof/>
        </w:rPr>
      </w:r>
      <w:r>
        <w:rPr>
          <w:noProof/>
        </w:rPr>
        <w:fldChar w:fldCharType="separate"/>
      </w:r>
      <w:r>
        <w:rPr>
          <w:noProof/>
        </w:rPr>
        <w:t>21</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11: Workforce working at home several times per month in 2015</w:t>
      </w:r>
      <w:r>
        <w:rPr>
          <w:noProof/>
        </w:rPr>
        <w:tab/>
      </w:r>
      <w:r>
        <w:rPr>
          <w:noProof/>
        </w:rPr>
        <w:fldChar w:fldCharType="begin"/>
      </w:r>
      <w:r>
        <w:rPr>
          <w:noProof/>
        </w:rPr>
        <w:instrText xml:space="preserve"> PAGEREF _Toc57291655 \h </w:instrText>
      </w:r>
      <w:r>
        <w:rPr>
          <w:noProof/>
        </w:rPr>
      </w:r>
      <w:r>
        <w:rPr>
          <w:noProof/>
        </w:rPr>
        <w:fldChar w:fldCharType="separate"/>
      </w:r>
      <w:r>
        <w:rPr>
          <w:noProof/>
        </w:rPr>
        <w:t>28</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12: Market share of all but the principal railway undertakings in 2016</w:t>
      </w:r>
      <w:r>
        <w:rPr>
          <w:noProof/>
        </w:rPr>
        <w:tab/>
      </w:r>
      <w:r>
        <w:rPr>
          <w:noProof/>
        </w:rPr>
        <w:fldChar w:fldCharType="begin"/>
      </w:r>
      <w:r>
        <w:rPr>
          <w:noProof/>
        </w:rPr>
        <w:instrText xml:space="preserve"> PAGEREF _Toc57291656 \h </w:instrText>
      </w:r>
      <w:r>
        <w:rPr>
          <w:noProof/>
        </w:rPr>
      </w:r>
      <w:r>
        <w:rPr>
          <w:noProof/>
        </w:rPr>
        <w:fldChar w:fldCharType="separate"/>
      </w:r>
      <w:r>
        <w:rPr>
          <w:noProof/>
        </w:rPr>
        <w:t>52</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13: The use of EU Pilot concerning mobility and transport infringements between 2015-August 2020</w:t>
      </w:r>
      <w:r>
        <w:rPr>
          <w:noProof/>
        </w:rPr>
        <w:tab/>
      </w:r>
      <w:r>
        <w:rPr>
          <w:noProof/>
        </w:rPr>
        <w:fldChar w:fldCharType="begin"/>
      </w:r>
      <w:r>
        <w:rPr>
          <w:noProof/>
        </w:rPr>
        <w:instrText xml:space="preserve"> PAGEREF _Toc57291657 \h </w:instrText>
      </w:r>
      <w:r>
        <w:rPr>
          <w:noProof/>
        </w:rPr>
      </w:r>
      <w:r>
        <w:rPr>
          <w:noProof/>
        </w:rPr>
        <w:fldChar w:fldCharType="separate"/>
      </w:r>
      <w:r>
        <w:rPr>
          <w:noProof/>
        </w:rPr>
        <w:t>68</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14: Evolution of transport activity in tonne- and passenger-kilometres in the EU</w:t>
      </w:r>
      <w:r>
        <w:rPr>
          <w:noProof/>
        </w:rPr>
        <w:tab/>
      </w:r>
      <w:r>
        <w:rPr>
          <w:noProof/>
        </w:rPr>
        <w:fldChar w:fldCharType="begin"/>
      </w:r>
      <w:r>
        <w:rPr>
          <w:noProof/>
        </w:rPr>
        <w:instrText xml:space="preserve"> PAGEREF _Toc57291658 \h </w:instrText>
      </w:r>
      <w:r>
        <w:rPr>
          <w:noProof/>
        </w:rPr>
      </w:r>
      <w:r>
        <w:rPr>
          <w:noProof/>
        </w:rPr>
        <w:fldChar w:fldCharType="separate"/>
      </w:r>
      <w:r>
        <w:rPr>
          <w:noProof/>
        </w:rPr>
        <w:t>70</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15: Share by mode in total transport GHG emissions, including international bunkers, in the EU-27 in 2018</w:t>
      </w:r>
      <w:r>
        <w:rPr>
          <w:noProof/>
        </w:rPr>
        <w:tab/>
      </w:r>
      <w:r>
        <w:rPr>
          <w:noProof/>
        </w:rPr>
        <w:fldChar w:fldCharType="begin"/>
      </w:r>
      <w:r>
        <w:rPr>
          <w:noProof/>
        </w:rPr>
        <w:instrText xml:space="preserve"> PAGEREF _Toc57291659 \h </w:instrText>
      </w:r>
      <w:r>
        <w:rPr>
          <w:noProof/>
        </w:rPr>
      </w:r>
      <w:r>
        <w:rPr>
          <w:noProof/>
        </w:rPr>
        <w:fldChar w:fldCharType="separate"/>
      </w:r>
      <w:r>
        <w:rPr>
          <w:noProof/>
        </w:rPr>
        <w:t>73</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16: Evolution of GHG emissions by transport mode in the EU-27 (1990 = 1)</w:t>
      </w:r>
      <w:r>
        <w:rPr>
          <w:noProof/>
        </w:rPr>
        <w:tab/>
      </w:r>
      <w:r>
        <w:rPr>
          <w:noProof/>
        </w:rPr>
        <w:fldChar w:fldCharType="begin"/>
      </w:r>
      <w:r>
        <w:rPr>
          <w:noProof/>
        </w:rPr>
        <w:instrText xml:space="preserve"> PAGEREF _Toc57291660 \h </w:instrText>
      </w:r>
      <w:r>
        <w:rPr>
          <w:noProof/>
        </w:rPr>
      </w:r>
      <w:r>
        <w:rPr>
          <w:noProof/>
        </w:rPr>
        <w:fldChar w:fldCharType="separate"/>
      </w:r>
      <w:r>
        <w:rPr>
          <w:noProof/>
        </w:rPr>
        <w:t>74</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17: Evolution of final energy consumption by sector in the EU (million tonnes of oil equivalent)</w:t>
      </w:r>
      <w:r>
        <w:rPr>
          <w:noProof/>
        </w:rPr>
        <w:tab/>
      </w:r>
      <w:r>
        <w:rPr>
          <w:noProof/>
        </w:rPr>
        <w:fldChar w:fldCharType="begin"/>
      </w:r>
      <w:r>
        <w:rPr>
          <w:noProof/>
        </w:rPr>
        <w:instrText xml:space="preserve"> PAGEREF _Toc57291661 \h </w:instrText>
      </w:r>
      <w:r>
        <w:rPr>
          <w:noProof/>
        </w:rPr>
      </w:r>
      <w:r>
        <w:rPr>
          <w:noProof/>
        </w:rPr>
        <w:fldChar w:fldCharType="separate"/>
      </w:r>
      <w:r>
        <w:rPr>
          <w:noProof/>
        </w:rPr>
        <w:t>82</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18: Transport sector consumption of petroleum products &amp; biofuels, 2000-18</w:t>
      </w:r>
      <w:r>
        <w:rPr>
          <w:noProof/>
        </w:rPr>
        <w:tab/>
      </w:r>
      <w:r>
        <w:rPr>
          <w:noProof/>
        </w:rPr>
        <w:fldChar w:fldCharType="begin"/>
      </w:r>
      <w:r>
        <w:rPr>
          <w:noProof/>
        </w:rPr>
        <w:instrText xml:space="preserve"> PAGEREF _Toc57291662 \h </w:instrText>
      </w:r>
      <w:r>
        <w:rPr>
          <w:noProof/>
        </w:rPr>
      </w:r>
      <w:r>
        <w:rPr>
          <w:noProof/>
        </w:rPr>
        <w:fldChar w:fldCharType="separate"/>
      </w:r>
      <w:r>
        <w:rPr>
          <w:noProof/>
        </w:rPr>
        <w:t>82</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19: Number of BEV and PHEV passenger cars in 2020</w:t>
      </w:r>
      <w:r>
        <w:rPr>
          <w:noProof/>
        </w:rPr>
        <w:tab/>
      </w:r>
      <w:r>
        <w:rPr>
          <w:noProof/>
        </w:rPr>
        <w:fldChar w:fldCharType="begin"/>
      </w:r>
      <w:r>
        <w:rPr>
          <w:noProof/>
        </w:rPr>
        <w:instrText xml:space="preserve"> PAGEREF _Toc57291663 \h </w:instrText>
      </w:r>
      <w:r>
        <w:rPr>
          <w:noProof/>
        </w:rPr>
      </w:r>
      <w:r>
        <w:rPr>
          <w:noProof/>
        </w:rPr>
        <w:fldChar w:fldCharType="separate"/>
      </w:r>
      <w:r>
        <w:rPr>
          <w:noProof/>
        </w:rPr>
        <w:t>83</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20: Number of inland vessels per year of construction in the Belgian and German fleet</w:t>
      </w:r>
      <w:r>
        <w:rPr>
          <w:noProof/>
        </w:rPr>
        <w:tab/>
      </w:r>
      <w:r>
        <w:rPr>
          <w:noProof/>
        </w:rPr>
        <w:fldChar w:fldCharType="begin"/>
      </w:r>
      <w:r>
        <w:rPr>
          <w:noProof/>
        </w:rPr>
        <w:instrText xml:space="preserve"> PAGEREF _Toc57291664 \h </w:instrText>
      </w:r>
      <w:r>
        <w:rPr>
          <w:noProof/>
        </w:rPr>
      </w:r>
      <w:r>
        <w:rPr>
          <w:noProof/>
        </w:rPr>
        <w:fldChar w:fldCharType="separate"/>
      </w:r>
      <w:r>
        <w:rPr>
          <w:noProof/>
        </w:rPr>
        <w:t>87</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21: Number of inland vessels per year of construction in the Danube countries</w:t>
      </w:r>
      <w:r>
        <w:rPr>
          <w:noProof/>
        </w:rPr>
        <w:tab/>
      </w:r>
      <w:r>
        <w:rPr>
          <w:noProof/>
        </w:rPr>
        <w:fldChar w:fldCharType="begin"/>
      </w:r>
      <w:r>
        <w:rPr>
          <w:noProof/>
        </w:rPr>
        <w:instrText xml:space="preserve"> PAGEREF _Toc57291665 \h </w:instrText>
      </w:r>
      <w:r>
        <w:rPr>
          <w:noProof/>
        </w:rPr>
      </w:r>
      <w:r>
        <w:rPr>
          <w:noProof/>
        </w:rPr>
        <w:fldChar w:fldCharType="separate"/>
      </w:r>
      <w:r>
        <w:rPr>
          <w:noProof/>
        </w:rPr>
        <w:t>87</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22: Situation of the publicly accessible recharging points in 2018 across EU</w:t>
      </w:r>
      <w:r>
        <w:rPr>
          <w:noProof/>
        </w:rPr>
        <w:tab/>
      </w:r>
      <w:r>
        <w:rPr>
          <w:noProof/>
        </w:rPr>
        <w:fldChar w:fldCharType="begin"/>
      </w:r>
      <w:r>
        <w:rPr>
          <w:noProof/>
        </w:rPr>
        <w:instrText xml:space="preserve"> PAGEREF _Toc57291666 \h </w:instrText>
      </w:r>
      <w:r>
        <w:rPr>
          <w:noProof/>
        </w:rPr>
      </w:r>
      <w:r>
        <w:rPr>
          <w:noProof/>
        </w:rPr>
        <w:fldChar w:fldCharType="separate"/>
      </w:r>
      <w:r>
        <w:rPr>
          <w:noProof/>
        </w:rPr>
        <w:t>91</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23 Cruise ships docking in Barcelona emit 5 times more sulphur than the city’s 560,000 cars every year</w:t>
      </w:r>
      <w:r>
        <w:rPr>
          <w:noProof/>
        </w:rPr>
        <w:tab/>
      </w:r>
      <w:r>
        <w:rPr>
          <w:noProof/>
        </w:rPr>
        <w:fldChar w:fldCharType="begin"/>
      </w:r>
      <w:r>
        <w:rPr>
          <w:noProof/>
        </w:rPr>
        <w:instrText xml:space="preserve"> PAGEREF _Toc57291667 \h </w:instrText>
      </w:r>
      <w:r>
        <w:rPr>
          <w:noProof/>
        </w:rPr>
      </w:r>
      <w:r>
        <w:rPr>
          <w:noProof/>
        </w:rPr>
        <w:fldChar w:fldCharType="separate"/>
      </w:r>
      <w:r>
        <w:rPr>
          <w:noProof/>
        </w:rPr>
        <w:t>96</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24 CO</w:t>
      </w:r>
      <w:r>
        <w:rPr>
          <w:noProof/>
          <w:vertAlign w:val="subscript"/>
        </w:rPr>
        <w:t xml:space="preserve">2 </w:t>
      </w:r>
      <w:r>
        <w:rPr>
          <w:noProof/>
        </w:rPr>
        <w:t>emissions per flight phases</w:t>
      </w:r>
      <w:r>
        <w:rPr>
          <w:noProof/>
        </w:rPr>
        <w:tab/>
      </w:r>
      <w:r>
        <w:rPr>
          <w:noProof/>
        </w:rPr>
        <w:fldChar w:fldCharType="begin"/>
      </w:r>
      <w:r>
        <w:rPr>
          <w:noProof/>
        </w:rPr>
        <w:instrText xml:space="preserve"> PAGEREF _Toc57291668 \h </w:instrText>
      </w:r>
      <w:r>
        <w:rPr>
          <w:noProof/>
        </w:rPr>
      </w:r>
      <w:r>
        <w:rPr>
          <w:noProof/>
        </w:rPr>
        <w:fldChar w:fldCharType="separate"/>
      </w:r>
      <w:r>
        <w:rPr>
          <w:noProof/>
        </w:rPr>
        <w:t>103</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25 ATM inefficiencies</w:t>
      </w:r>
      <w:r>
        <w:rPr>
          <w:noProof/>
        </w:rPr>
        <w:tab/>
      </w:r>
      <w:r>
        <w:rPr>
          <w:noProof/>
        </w:rPr>
        <w:fldChar w:fldCharType="begin"/>
      </w:r>
      <w:r>
        <w:rPr>
          <w:noProof/>
        </w:rPr>
        <w:instrText xml:space="preserve"> PAGEREF _Toc57291669 \h </w:instrText>
      </w:r>
      <w:r>
        <w:rPr>
          <w:noProof/>
        </w:rPr>
      </w:r>
      <w:r>
        <w:rPr>
          <w:noProof/>
        </w:rPr>
        <w:fldChar w:fldCharType="separate"/>
      </w:r>
      <w:r>
        <w:rPr>
          <w:noProof/>
        </w:rPr>
        <w:t>104</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26: Annual mean NO</w:t>
      </w:r>
      <w:r>
        <w:rPr>
          <w:noProof/>
          <w:vertAlign w:val="subscript"/>
        </w:rPr>
        <w:t>2</w:t>
      </w:r>
      <w:r>
        <w:rPr>
          <w:noProof/>
        </w:rPr>
        <w:t xml:space="preserve"> concentrations observed at traffic stations, 2017</w:t>
      </w:r>
      <w:r>
        <w:rPr>
          <w:noProof/>
        </w:rPr>
        <w:tab/>
      </w:r>
      <w:r>
        <w:rPr>
          <w:noProof/>
        </w:rPr>
        <w:fldChar w:fldCharType="begin"/>
      </w:r>
      <w:r>
        <w:rPr>
          <w:noProof/>
        </w:rPr>
        <w:instrText xml:space="preserve"> PAGEREF _Toc57291670 \h </w:instrText>
      </w:r>
      <w:r>
        <w:rPr>
          <w:noProof/>
        </w:rPr>
      </w:r>
      <w:r>
        <w:rPr>
          <w:noProof/>
        </w:rPr>
        <w:fldChar w:fldCharType="separate"/>
      </w:r>
      <w:r>
        <w:rPr>
          <w:noProof/>
        </w:rPr>
        <w:t>107</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27: Percentile 90.4 of daily mean PM10 concentrations observed at traffic stations, 2017</w:t>
      </w:r>
      <w:r>
        <w:rPr>
          <w:noProof/>
        </w:rPr>
        <w:tab/>
      </w:r>
      <w:r>
        <w:rPr>
          <w:noProof/>
        </w:rPr>
        <w:fldChar w:fldCharType="begin"/>
      </w:r>
      <w:r>
        <w:rPr>
          <w:noProof/>
        </w:rPr>
        <w:instrText xml:space="preserve"> PAGEREF _Toc57291671 \h </w:instrText>
      </w:r>
      <w:r>
        <w:rPr>
          <w:noProof/>
        </w:rPr>
      </w:r>
      <w:r>
        <w:rPr>
          <w:noProof/>
        </w:rPr>
        <w:fldChar w:fldCharType="separate"/>
      </w:r>
      <w:r>
        <w:rPr>
          <w:noProof/>
        </w:rPr>
        <w:t>108</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28: Annual mean PM2.5 concentrations observed at traffic stations, 2017</w:t>
      </w:r>
      <w:r>
        <w:rPr>
          <w:noProof/>
        </w:rPr>
        <w:tab/>
      </w:r>
      <w:r>
        <w:rPr>
          <w:noProof/>
        </w:rPr>
        <w:fldChar w:fldCharType="begin"/>
      </w:r>
      <w:r>
        <w:rPr>
          <w:noProof/>
        </w:rPr>
        <w:instrText xml:space="preserve"> PAGEREF _Toc57291672 \h </w:instrText>
      </w:r>
      <w:r>
        <w:rPr>
          <w:noProof/>
        </w:rPr>
      </w:r>
      <w:r>
        <w:rPr>
          <w:noProof/>
        </w:rPr>
        <w:fldChar w:fldCharType="separate"/>
      </w:r>
      <w:r>
        <w:rPr>
          <w:noProof/>
        </w:rPr>
        <w:t>108</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29: Main mode of transport on a typical day</w:t>
      </w:r>
      <w:r>
        <w:rPr>
          <w:noProof/>
        </w:rPr>
        <w:tab/>
      </w:r>
      <w:r>
        <w:rPr>
          <w:noProof/>
        </w:rPr>
        <w:fldChar w:fldCharType="begin"/>
      </w:r>
      <w:r>
        <w:rPr>
          <w:noProof/>
        </w:rPr>
        <w:instrText xml:space="preserve"> PAGEREF _Toc57291673 \h </w:instrText>
      </w:r>
      <w:r>
        <w:rPr>
          <w:noProof/>
        </w:rPr>
      </w:r>
      <w:r>
        <w:rPr>
          <w:noProof/>
        </w:rPr>
        <w:fldChar w:fldCharType="separate"/>
      </w:r>
      <w:r>
        <w:rPr>
          <w:noProof/>
        </w:rPr>
        <w:t>113</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30: Percentage of road fatalities on urban roads in the EU by transport mode, 2018</w:t>
      </w:r>
      <w:r>
        <w:rPr>
          <w:noProof/>
        </w:rPr>
        <w:tab/>
      </w:r>
      <w:r>
        <w:rPr>
          <w:noProof/>
        </w:rPr>
        <w:fldChar w:fldCharType="begin"/>
      </w:r>
      <w:r>
        <w:rPr>
          <w:noProof/>
        </w:rPr>
        <w:instrText xml:space="preserve"> PAGEREF _Toc57291674 \h </w:instrText>
      </w:r>
      <w:r>
        <w:rPr>
          <w:noProof/>
        </w:rPr>
      </w:r>
      <w:r>
        <w:rPr>
          <w:noProof/>
        </w:rPr>
        <w:fldChar w:fldCharType="separate"/>
      </w:r>
      <w:r>
        <w:rPr>
          <w:noProof/>
        </w:rPr>
        <w:t>115</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31: Passenger land transport modal split by country (%, 2018) and change in percentage points for rail (2015-2018)</w:t>
      </w:r>
      <w:r>
        <w:rPr>
          <w:noProof/>
        </w:rPr>
        <w:tab/>
      </w:r>
      <w:r>
        <w:rPr>
          <w:noProof/>
        </w:rPr>
        <w:fldChar w:fldCharType="begin"/>
      </w:r>
      <w:r>
        <w:rPr>
          <w:noProof/>
        </w:rPr>
        <w:instrText xml:space="preserve"> PAGEREF _Toc57291675 \h </w:instrText>
      </w:r>
      <w:r>
        <w:rPr>
          <w:noProof/>
        </w:rPr>
      </w:r>
      <w:r>
        <w:rPr>
          <w:noProof/>
        </w:rPr>
        <w:fldChar w:fldCharType="separate"/>
      </w:r>
      <w:r>
        <w:rPr>
          <w:noProof/>
        </w:rPr>
        <w:t>120</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32: Air routes between metropolitan regions where rail travel times are below 2.5 hours by train</w:t>
      </w:r>
      <w:r>
        <w:rPr>
          <w:noProof/>
        </w:rPr>
        <w:tab/>
      </w:r>
      <w:r>
        <w:rPr>
          <w:noProof/>
        </w:rPr>
        <w:fldChar w:fldCharType="begin"/>
      </w:r>
      <w:r>
        <w:rPr>
          <w:noProof/>
        </w:rPr>
        <w:instrText xml:space="preserve"> PAGEREF _Toc57291676 \h </w:instrText>
      </w:r>
      <w:r>
        <w:rPr>
          <w:noProof/>
        </w:rPr>
      </w:r>
      <w:r>
        <w:rPr>
          <w:noProof/>
        </w:rPr>
        <w:fldChar w:fldCharType="separate"/>
      </w:r>
      <w:r>
        <w:rPr>
          <w:noProof/>
        </w:rPr>
        <w:t>121</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33: Air routes between metropolitan regions where rail travel times are below 4 hours by train</w:t>
      </w:r>
      <w:r>
        <w:rPr>
          <w:noProof/>
        </w:rPr>
        <w:tab/>
      </w:r>
      <w:r>
        <w:rPr>
          <w:noProof/>
        </w:rPr>
        <w:fldChar w:fldCharType="begin"/>
      </w:r>
      <w:r>
        <w:rPr>
          <w:noProof/>
        </w:rPr>
        <w:instrText xml:space="preserve"> PAGEREF _Toc57291677 \h </w:instrText>
      </w:r>
      <w:r>
        <w:rPr>
          <w:noProof/>
        </w:rPr>
      </w:r>
      <w:r>
        <w:rPr>
          <w:noProof/>
        </w:rPr>
        <w:fldChar w:fldCharType="separate"/>
      </w:r>
      <w:r>
        <w:rPr>
          <w:noProof/>
        </w:rPr>
        <w:t>122</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34 Cost level and composition of intermodal transport compared to road-only transport</w:t>
      </w:r>
      <w:r>
        <w:rPr>
          <w:noProof/>
        </w:rPr>
        <w:tab/>
      </w:r>
      <w:r>
        <w:rPr>
          <w:noProof/>
        </w:rPr>
        <w:fldChar w:fldCharType="begin"/>
      </w:r>
      <w:r>
        <w:rPr>
          <w:noProof/>
        </w:rPr>
        <w:instrText xml:space="preserve"> PAGEREF _Toc57291678 \h </w:instrText>
      </w:r>
      <w:r>
        <w:rPr>
          <w:noProof/>
        </w:rPr>
      </w:r>
      <w:r>
        <w:rPr>
          <w:noProof/>
        </w:rPr>
        <w:fldChar w:fldCharType="separate"/>
      </w:r>
      <w:r>
        <w:rPr>
          <w:noProof/>
        </w:rPr>
        <w:t>125</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35 Intermodal terminals with rail access occurrence in Europe</w:t>
      </w:r>
      <w:r>
        <w:rPr>
          <w:noProof/>
        </w:rPr>
        <w:tab/>
      </w:r>
      <w:r>
        <w:rPr>
          <w:noProof/>
        </w:rPr>
        <w:fldChar w:fldCharType="begin"/>
      </w:r>
      <w:r>
        <w:rPr>
          <w:noProof/>
        </w:rPr>
        <w:instrText xml:space="preserve"> PAGEREF _Toc57291679 \h </w:instrText>
      </w:r>
      <w:r>
        <w:rPr>
          <w:noProof/>
        </w:rPr>
      </w:r>
      <w:r>
        <w:rPr>
          <w:noProof/>
        </w:rPr>
        <w:fldChar w:fldCharType="separate"/>
      </w:r>
      <w:r>
        <w:rPr>
          <w:noProof/>
        </w:rPr>
        <w:t>126</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36 Minimum rates of taxation laid down in the ETD (1 Jan 2010)</w:t>
      </w:r>
      <w:r>
        <w:rPr>
          <w:noProof/>
          <w:vertAlign w:val="superscript"/>
        </w:rPr>
        <w:t xml:space="preserve"> </w:t>
      </w:r>
      <w:r>
        <w:rPr>
          <w:noProof/>
        </w:rPr>
        <w:tab/>
      </w:r>
      <w:r>
        <w:rPr>
          <w:noProof/>
        </w:rPr>
        <w:fldChar w:fldCharType="begin"/>
      </w:r>
      <w:r>
        <w:rPr>
          <w:noProof/>
        </w:rPr>
        <w:instrText xml:space="preserve"> PAGEREF _Toc57291680 \h </w:instrText>
      </w:r>
      <w:r>
        <w:rPr>
          <w:noProof/>
        </w:rPr>
      </w:r>
      <w:r>
        <w:rPr>
          <w:noProof/>
        </w:rPr>
        <w:fldChar w:fldCharType="separate"/>
      </w:r>
      <w:r>
        <w:rPr>
          <w:noProof/>
        </w:rPr>
        <w:t>134</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37 Purchase taxes in the EU in 2016</w:t>
      </w:r>
      <w:r>
        <w:rPr>
          <w:noProof/>
        </w:rPr>
        <w:tab/>
      </w:r>
      <w:r>
        <w:rPr>
          <w:noProof/>
        </w:rPr>
        <w:fldChar w:fldCharType="begin"/>
      </w:r>
      <w:r>
        <w:rPr>
          <w:noProof/>
        </w:rPr>
        <w:instrText xml:space="preserve"> PAGEREF _Toc57291681 \h </w:instrText>
      </w:r>
      <w:r>
        <w:rPr>
          <w:noProof/>
        </w:rPr>
      </w:r>
      <w:r>
        <w:rPr>
          <w:noProof/>
        </w:rPr>
        <w:fldChar w:fldCharType="separate"/>
      </w:r>
      <w:r>
        <w:rPr>
          <w:noProof/>
        </w:rPr>
        <w:t>137</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38: Perceived quality of transport infrastructure in the EU countries</w:t>
      </w:r>
      <w:r>
        <w:rPr>
          <w:noProof/>
        </w:rPr>
        <w:tab/>
      </w:r>
      <w:r>
        <w:rPr>
          <w:noProof/>
        </w:rPr>
        <w:fldChar w:fldCharType="begin"/>
      </w:r>
      <w:r>
        <w:rPr>
          <w:noProof/>
        </w:rPr>
        <w:instrText xml:space="preserve"> PAGEREF _Toc57291682 \h </w:instrText>
      </w:r>
      <w:r>
        <w:rPr>
          <w:noProof/>
        </w:rPr>
      </w:r>
      <w:r>
        <w:rPr>
          <w:noProof/>
        </w:rPr>
        <w:fldChar w:fldCharType="separate"/>
      </w:r>
      <w:r>
        <w:rPr>
          <w:noProof/>
        </w:rPr>
        <w:t>176</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39: Average peak-hour delay per representative driver (hours per year) in 2018</w:t>
      </w:r>
      <w:r>
        <w:rPr>
          <w:noProof/>
        </w:rPr>
        <w:tab/>
      </w:r>
      <w:r>
        <w:rPr>
          <w:noProof/>
        </w:rPr>
        <w:fldChar w:fldCharType="begin"/>
      </w:r>
      <w:r>
        <w:rPr>
          <w:noProof/>
        </w:rPr>
        <w:instrText xml:space="preserve"> PAGEREF _Toc57291683 \h </w:instrText>
      </w:r>
      <w:r>
        <w:rPr>
          <w:noProof/>
        </w:rPr>
      </w:r>
      <w:r>
        <w:rPr>
          <w:noProof/>
        </w:rPr>
        <w:fldChar w:fldCharType="separate"/>
      </w:r>
      <w:r>
        <w:rPr>
          <w:noProof/>
        </w:rPr>
        <w:t>178</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40: Share of different items in household consumption expenditure in the EU</w:t>
      </w:r>
      <w:r>
        <w:rPr>
          <w:noProof/>
        </w:rPr>
        <w:tab/>
      </w:r>
      <w:r>
        <w:rPr>
          <w:noProof/>
        </w:rPr>
        <w:fldChar w:fldCharType="begin"/>
      </w:r>
      <w:r>
        <w:rPr>
          <w:noProof/>
        </w:rPr>
        <w:instrText xml:space="preserve"> PAGEREF _Toc57291684 \h </w:instrText>
      </w:r>
      <w:r>
        <w:rPr>
          <w:noProof/>
        </w:rPr>
      </w:r>
      <w:r>
        <w:rPr>
          <w:noProof/>
        </w:rPr>
        <w:fldChar w:fldCharType="separate"/>
      </w:r>
      <w:r>
        <w:rPr>
          <w:noProof/>
        </w:rPr>
        <w:t>206</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41: Conditions to switch to more environmentally friendly modes of transport</w:t>
      </w:r>
      <w:r>
        <w:rPr>
          <w:noProof/>
        </w:rPr>
        <w:tab/>
      </w:r>
      <w:r>
        <w:rPr>
          <w:noProof/>
        </w:rPr>
        <w:fldChar w:fldCharType="begin"/>
      </w:r>
      <w:r>
        <w:rPr>
          <w:noProof/>
        </w:rPr>
        <w:instrText xml:space="preserve"> PAGEREF _Toc57291685 \h </w:instrText>
      </w:r>
      <w:r>
        <w:rPr>
          <w:noProof/>
        </w:rPr>
      </w:r>
      <w:r>
        <w:rPr>
          <w:noProof/>
        </w:rPr>
        <w:fldChar w:fldCharType="separate"/>
      </w:r>
      <w:r>
        <w:rPr>
          <w:noProof/>
        </w:rPr>
        <w:t>208</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42: Road fatalities in the EU and current target</w:t>
      </w:r>
      <w:r>
        <w:rPr>
          <w:noProof/>
        </w:rPr>
        <w:tab/>
      </w:r>
      <w:r>
        <w:rPr>
          <w:noProof/>
        </w:rPr>
        <w:fldChar w:fldCharType="begin"/>
      </w:r>
      <w:r>
        <w:rPr>
          <w:noProof/>
        </w:rPr>
        <w:instrText xml:space="preserve"> PAGEREF _Toc57291686 \h </w:instrText>
      </w:r>
      <w:r>
        <w:rPr>
          <w:noProof/>
        </w:rPr>
      </w:r>
      <w:r>
        <w:rPr>
          <w:noProof/>
        </w:rPr>
        <w:fldChar w:fldCharType="separate"/>
      </w:r>
      <w:r>
        <w:rPr>
          <w:noProof/>
        </w:rPr>
        <w:t>217</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43: Trend in road deaths per million inhabitants 2010-2019</w:t>
      </w:r>
      <w:r>
        <w:rPr>
          <w:noProof/>
        </w:rPr>
        <w:tab/>
      </w:r>
      <w:r>
        <w:rPr>
          <w:noProof/>
        </w:rPr>
        <w:fldChar w:fldCharType="begin"/>
      </w:r>
      <w:r>
        <w:rPr>
          <w:noProof/>
        </w:rPr>
        <w:instrText xml:space="preserve"> PAGEREF _Toc57291687 \h </w:instrText>
      </w:r>
      <w:r>
        <w:rPr>
          <w:noProof/>
        </w:rPr>
      </w:r>
      <w:r>
        <w:rPr>
          <w:noProof/>
        </w:rPr>
        <w:fldChar w:fldCharType="separate"/>
      </w:r>
      <w:r>
        <w:rPr>
          <w:noProof/>
        </w:rPr>
        <w:t>218</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44: Overview of the policy scenarios</w:t>
      </w:r>
      <w:r>
        <w:rPr>
          <w:noProof/>
        </w:rPr>
        <w:tab/>
      </w:r>
      <w:r>
        <w:rPr>
          <w:noProof/>
        </w:rPr>
        <w:fldChar w:fldCharType="begin"/>
      </w:r>
      <w:r>
        <w:rPr>
          <w:noProof/>
        </w:rPr>
        <w:instrText xml:space="preserve"> PAGEREF _Toc57291688 \h </w:instrText>
      </w:r>
      <w:r>
        <w:rPr>
          <w:noProof/>
        </w:rPr>
      </w:r>
      <w:r>
        <w:rPr>
          <w:noProof/>
        </w:rPr>
        <w:fldChar w:fldCharType="separate"/>
      </w:r>
      <w:r>
        <w:rPr>
          <w:noProof/>
        </w:rPr>
        <w:t>243</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45: Passenger transport activity in the Baseline and the policy scenarios (cumulative growth rates for 2015-2030 and 2015-2050)</w:t>
      </w:r>
      <w:r>
        <w:rPr>
          <w:noProof/>
        </w:rPr>
        <w:tab/>
      </w:r>
      <w:r>
        <w:rPr>
          <w:noProof/>
        </w:rPr>
        <w:fldChar w:fldCharType="begin"/>
      </w:r>
      <w:r>
        <w:rPr>
          <w:noProof/>
        </w:rPr>
        <w:instrText xml:space="preserve"> PAGEREF _Toc57291689 \h </w:instrText>
      </w:r>
      <w:r>
        <w:rPr>
          <w:noProof/>
        </w:rPr>
      </w:r>
      <w:r>
        <w:rPr>
          <w:noProof/>
        </w:rPr>
        <w:fldChar w:fldCharType="separate"/>
      </w:r>
      <w:r>
        <w:rPr>
          <w:noProof/>
        </w:rPr>
        <w:t>247</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46: Freight transport activity in the Baseline and the policy scenarios (cumulative growth rates for 2015-2030 and 2015-2050)</w:t>
      </w:r>
      <w:r>
        <w:rPr>
          <w:noProof/>
        </w:rPr>
        <w:tab/>
      </w:r>
      <w:r>
        <w:rPr>
          <w:noProof/>
        </w:rPr>
        <w:fldChar w:fldCharType="begin"/>
      </w:r>
      <w:r>
        <w:rPr>
          <w:noProof/>
        </w:rPr>
        <w:instrText xml:space="preserve"> PAGEREF _Toc57291690 \h </w:instrText>
      </w:r>
      <w:r>
        <w:rPr>
          <w:noProof/>
        </w:rPr>
      </w:r>
      <w:r>
        <w:rPr>
          <w:noProof/>
        </w:rPr>
        <w:fldChar w:fldCharType="separate"/>
      </w:r>
      <w:r>
        <w:rPr>
          <w:noProof/>
        </w:rPr>
        <w:t>248</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47: Shares in the total cars stock by type of drivetrain technology in 2030 and 2050</w:t>
      </w:r>
      <w:r>
        <w:rPr>
          <w:noProof/>
        </w:rPr>
        <w:tab/>
      </w:r>
      <w:r>
        <w:rPr>
          <w:noProof/>
        </w:rPr>
        <w:fldChar w:fldCharType="begin"/>
      </w:r>
      <w:r>
        <w:rPr>
          <w:noProof/>
        </w:rPr>
        <w:instrText xml:space="preserve"> PAGEREF _Toc57291691 \h </w:instrText>
      </w:r>
      <w:r>
        <w:rPr>
          <w:noProof/>
        </w:rPr>
      </w:r>
      <w:r>
        <w:rPr>
          <w:noProof/>
        </w:rPr>
        <w:fldChar w:fldCharType="separate"/>
      </w:r>
      <w:r>
        <w:rPr>
          <w:noProof/>
        </w:rPr>
        <w:t>249</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48: Shares in the total vans stock by type of drivetrain technology in 2030 and 2050</w:t>
      </w:r>
      <w:r>
        <w:rPr>
          <w:noProof/>
        </w:rPr>
        <w:tab/>
      </w:r>
      <w:r>
        <w:rPr>
          <w:noProof/>
        </w:rPr>
        <w:fldChar w:fldCharType="begin"/>
      </w:r>
      <w:r>
        <w:rPr>
          <w:noProof/>
        </w:rPr>
        <w:instrText xml:space="preserve"> PAGEREF _Toc57291692 \h </w:instrText>
      </w:r>
      <w:r>
        <w:rPr>
          <w:noProof/>
        </w:rPr>
      </w:r>
      <w:r>
        <w:rPr>
          <w:noProof/>
        </w:rPr>
        <w:fldChar w:fldCharType="separate"/>
      </w:r>
      <w:r>
        <w:rPr>
          <w:noProof/>
        </w:rPr>
        <w:t>250</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49: Shares in the total heavy goods vehicle stock by type of drivetrain technology in 2030 and 2050</w:t>
      </w:r>
      <w:r>
        <w:rPr>
          <w:noProof/>
        </w:rPr>
        <w:tab/>
      </w:r>
      <w:r>
        <w:rPr>
          <w:noProof/>
        </w:rPr>
        <w:fldChar w:fldCharType="begin"/>
      </w:r>
      <w:r>
        <w:rPr>
          <w:noProof/>
        </w:rPr>
        <w:instrText xml:space="preserve"> PAGEREF _Toc57291693 \h </w:instrText>
      </w:r>
      <w:r>
        <w:rPr>
          <w:noProof/>
        </w:rPr>
      </w:r>
      <w:r>
        <w:rPr>
          <w:noProof/>
        </w:rPr>
        <w:fldChar w:fldCharType="separate"/>
      </w:r>
      <w:r>
        <w:rPr>
          <w:noProof/>
        </w:rPr>
        <w:t>250</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50: Shares in the buses vehicle stock by type of drivetrain technology in 2030 and 2050</w:t>
      </w:r>
      <w:r>
        <w:rPr>
          <w:noProof/>
        </w:rPr>
        <w:tab/>
      </w:r>
      <w:r>
        <w:rPr>
          <w:noProof/>
        </w:rPr>
        <w:fldChar w:fldCharType="begin"/>
      </w:r>
      <w:r>
        <w:rPr>
          <w:noProof/>
        </w:rPr>
        <w:instrText xml:space="preserve"> PAGEREF _Toc57291694 \h </w:instrText>
      </w:r>
      <w:r>
        <w:rPr>
          <w:noProof/>
        </w:rPr>
      </w:r>
      <w:r>
        <w:rPr>
          <w:noProof/>
        </w:rPr>
        <w:fldChar w:fldCharType="separate"/>
      </w:r>
      <w:r>
        <w:rPr>
          <w:noProof/>
        </w:rPr>
        <w:t>251</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51: Aviation fuels mix in the Baseline and policy scenarios in 2030 and 2050</w:t>
      </w:r>
      <w:r>
        <w:rPr>
          <w:noProof/>
        </w:rPr>
        <w:tab/>
      </w:r>
      <w:r>
        <w:rPr>
          <w:noProof/>
        </w:rPr>
        <w:fldChar w:fldCharType="begin"/>
      </w:r>
      <w:r>
        <w:rPr>
          <w:noProof/>
        </w:rPr>
        <w:instrText xml:space="preserve"> PAGEREF _Toc57291695 \h </w:instrText>
      </w:r>
      <w:r>
        <w:rPr>
          <w:noProof/>
        </w:rPr>
      </w:r>
      <w:r>
        <w:rPr>
          <w:noProof/>
        </w:rPr>
        <w:fldChar w:fldCharType="separate"/>
      </w:r>
      <w:r>
        <w:rPr>
          <w:noProof/>
        </w:rPr>
        <w:t>252</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52: Inland waterways and national maritime fuels mix in the Baseline and policy scenarios in 2030 and 2050</w:t>
      </w:r>
      <w:r>
        <w:rPr>
          <w:noProof/>
        </w:rPr>
        <w:tab/>
      </w:r>
      <w:r>
        <w:rPr>
          <w:noProof/>
        </w:rPr>
        <w:fldChar w:fldCharType="begin"/>
      </w:r>
      <w:r>
        <w:rPr>
          <w:noProof/>
        </w:rPr>
        <w:instrText xml:space="preserve"> PAGEREF _Toc57291696 \h </w:instrText>
      </w:r>
      <w:r>
        <w:rPr>
          <w:noProof/>
        </w:rPr>
      </w:r>
      <w:r>
        <w:rPr>
          <w:noProof/>
        </w:rPr>
        <w:fldChar w:fldCharType="separate"/>
      </w:r>
      <w:r>
        <w:rPr>
          <w:noProof/>
        </w:rPr>
        <w:t>253</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53: International maritime fuels mix in the Baseline and policy scenarios in 2030 and 2050</w:t>
      </w:r>
      <w:r>
        <w:rPr>
          <w:noProof/>
        </w:rPr>
        <w:tab/>
      </w:r>
      <w:r>
        <w:rPr>
          <w:noProof/>
        </w:rPr>
        <w:fldChar w:fldCharType="begin"/>
      </w:r>
      <w:r>
        <w:rPr>
          <w:noProof/>
        </w:rPr>
        <w:instrText xml:space="preserve"> PAGEREF _Toc57291697 \h </w:instrText>
      </w:r>
      <w:r>
        <w:rPr>
          <w:noProof/>
        </w:rPr>
      </w:r>
      <w:r>
        <w:rPr>
          <w:noProof/>
        </w:rPr>
        <w:fldChar w:fldCharType="separate"/>
      </w:r>
      <w:r>
        <w:rPr>
          <w:noProof/>
        </w:rPr>
        <w:t>254</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54: Change in total energy use in transport and in the final energy consumption in 2030 and 2050 compared to 2015</w:t>
      </w:r>
      <w:r>
        <w:rPr>
          <w:noProof/>
        </w:rPr>
        <w:tab/>
      </w:r>
      <w:r>
        <w:rPr>
          <w:noProof/>
        </w:rPr>
        <w:fldChar w:fldCharType="begin"/>
      </w:r>
      <w:r>
        <w:rPr>
          <w:noProof/>
        </w:rPr>
        <w:instrText xml:space="preserve"> PAGEREF _Toc57291698 \h </w:instrText>
      </w:r>
      <w:r>
        <w:rPr>
          <w:noProof/>
        </w:rPr>
      </w:r>
      <w:r>
        <w:rPr>
          <w:noProof/>
        </w:rPr>
        <w:fldChar w:fldCharType="separate"/>
      </w:r>
      <w:r>
        <w:rPr>
          <w:noProof/>
        </w:rPr>
        <w:t>255</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55: Share of alternative fuels in transport (including international aviation and maritime) in 2030</w:t>
      </w:r>
      <w:r>
        <w:rPr>
          <w:noProof/>
        </w:rPr>
        <w:tab/>
      </w:r>
      <w:r>
        <w:rPr>
          <w:noProof/>
        </w:rPr>
        <w:fldChar w:fldCharType="begin"/>
      </w:r>
      <w:r>
        <w:rPr>
          <w:noProof/>
        </w:rPr>
        <w:instrText xml:space="preserve"> PAGEREF _Toc57291699 \h </w:instrText>
      </w:r>
      <w:r>
        <w:rPr>
          <w:noProof/>
        </w:rPr>
      </w:r>
      <w:r>
        <w:rPr>
          <w:noProof/>
        </w:rPr>
        <w:fldChar w:fldCharType="separate"/>
      </w:r>
      <w:r>
        <w:rPr>
          <w:noProof/>
        </w:rPr>
        <w:t>256</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56: Share of renewable energy in transport in 2030</w:t>
      </w:r>
      <w:r>
        <w:rPr>
          <w:noProof/>
        </w:rPr>
        <w:tab/>
      </w:r>
      <w:r>
        <w:rPr>
          <w:noProof/>
        </w:rPr>
        <w:fldChar w:fldCharType="begin"/>
      </w:r>
      <w:r>
        <w:rPr>
          <w:noProof/>
        </w:rPr>
        <w:instrText xml:space="preserve"> PAGEREF _Toc57291700 \h </w:instrText>
      </w:r>
      <w:r>
        <w:rPr>
          <w:noProof/>
        </w:rPr>
      </w:r>
      <w:r>
        <w:rPr>
          <w:noProof/>
        </w:rPr>
        <w:fldChar w:fldCharType="separate"/>
      </w:r>
      <w:r>
        <w:rPr>
          <w:noProof/>
        </w:rPr>
        <w:t>257</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57: Transport fuel mix (including international aviation and maritime)</w:t>
      </w:r>
      <w:r>
        <w:rPr>
          <w:noProof/>
        </w:rPr>
        <w:tab/>
      </w:r>
      <w:r>
        <w:rPr>
          <w:noProof/>
        </w:rPr>
        <w:fldChar w:fldCharType="begin"/>
      </w:r>
      <w:r>
        <w:rPr>
          <w:noProof/>
        </w:rPr>
        <w:instrText xml:space="preserve"> PAGEREF _Toc57291701 \h </w:instrText>
      </w:r>
      <w:r>
        <w:rPr>
          <w:noProof/>
        </w:rPr>
      </w:r>
      <w:r>
        <w:rPr>
          <w:noProof/>
        </w:rPr>
        <w:fldChar w:fldCharType="separate"/>
      </w:r>
      <w:r>
        <w:rPr>
          <w:noProof/>
        </w:rPr>
        <w:t>257</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58: Tank to wheel CO</w:t>
      </w:r>
      <w:r>
        <w:rPr>
          <w:noProof/>
          <w:vertAlign w:val="subscript"/>
        </w:rPr>
        <w:t>2</w:t>
      </w:r>
      <w:r>
        <w:rPr>
          <w:noProof/>
        </w:rPr>
        <w:t xml:space="preserve"> emissions from transport (excluding international maritime) in 2030 in the Baseline and policy scenarios</w:t>
      </w:r>
      <w:r>
        <w:rPr>
          <w:noProof/>
        </w:rPr>
        <w:tab/>
      </w:r>
      <w:r>
        <w:rPr>
          <w:noProof/>
        </w:rPr>
        <w:fldChar w:fldCharType="begin"/>
      </w:r>
      <w:r>
        <w:rPr>
          <w:noProof/>
        </w:rPr>
        <w:instrText xml:space="preserve"> PAGEREF _Toc57291702 \h </w:instrText>
      </w:r>
      <w:r>
        <w:rPr>
          <w:noProof/>
        </w:rPr>
      </w:r>
      <w:r>
        <w:rPr>
          <w:noProof/>
        </w:rPr>
        <w:fldChar w:fldCharType="separate"/>
      </w:r>
      <w:r>
        <w:rPr>
          <w:noProof/>
        </w:rPr>
        <w:t>258</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59: Well to wheel CO</w:t>
      </w:r>
      <w:r>
        <w:rPr>
          <w:noProof/>
          <w:vertAlign w:val="subscript"/>
        </w:rPr>
        <w:t>2</w:t>
      </w:r>
      <w:r>
        <w:rPr>
          <w:noProof/>
        </w:rPr>
        <w:t xml:space="preserve"> emissions from transport (excluding international maritime) in 2030 and 2050 in the Baseline and policy scenarios</w:t>
      </w:r>
      <w:r>
        <w:rPr>
          <w:noProof/>
        </w:rPr>
        <w:tab/>
      </w:r>
      <w:r>
        <w:rPr>
          <w:noProof/>
        </w:rPr>
        <w:fldChar w:fldCharType="begin"/>
      </w:r>
      <w:r>
        <w:rPr>
          <w:noProof/>
        </w:rPr>
        <w:instrText xml:space="preserve"> PAGEREF _Toc57291703 \h </w:instrText>
      </w:r>
      <w:r>
        <w:rPr>
          <w:noProof/>
        </w:rPr>
      </w:r>
      <w:r>
        <w:rPr>
          <w:noProof/>
        </w:rPr>
        <w:fldChar w:fldCharType="separate"/>
      </w:r>
      <w:r>
        <w:rPr>
          <w:noProof/>
        </w:rPr>
        <w:t>260</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60: Change in NOx emissions and PM2.5 emissions in 2030 and 2050 compared to 2015</w:t>
      </w:r>
      <w:r>
        <w:rPr>
          <w:noProof/>
        </w:rPr>
        <w:tab/>
      </w:r>
      <w:r>
        <w:rPr>
          <w:noProof/>
        </w:rPr>
        <w:fldChar w:fldCharType="begin"/>
      </w:r>
      <w:r>
        <w:rPr>
          <w:noProof/>
        </w:rPr>
        <w:instrText xml:space="preserve"> PAGEREF _Toc57291704 \h </w:instrText>
      </w:r>
      <w:r>
        <w:rPr>
          <w:noProof/>
        </w:rPr>
      </w:r>
      <w:r>
        <w:rPr>
          <w:noProof/>
        </w:rPr>
        <w:fldChar w:fldCharType="separate"/>
      </w:r>
      <w:r>
        <w:rPr>
          <w:noProof/>
        </w:rPr>
        <w:t>261</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61: Change in external costs of air pollution in 2030 and 2050 compared to 2015</w:t>
      </w:r>
      <w:r>
        <w:rPr>
          <w:noProof/>
        </w:rPr>
        <w:tab/>
      </w:r>
      <w:r>
        <w:rPr>
          <w:noProof/>
        </w:rPr>
        <w:fldChar w:fldCharType="begin"/>
      </w:r>
      <w:r>
        <w:rPr>
          <w:noProof/>
        </w:rPr>
        <w:instrText xml:space="preserve"> PAGEREF _Toc57291705 \h </w:instrText>
      </w:r>
      <w:r>
        <w:rPr>
          <w:noProof/>
        </w:rPr>
      </w:r>
      <w:r>
        <w:rPr>
          <w:noProof/>
        </w:rPr>
        <w:fldChar w:fldCharType="separate"/>
      </w:r>
      <w:r>
        <w:rPr>
          <w:noProof/>
        </w:rPr>
        <w:t>261</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62: Change in external costs of congestion and accidents in 2030 and 2050 compared to 2015</w:t>
      </w:r>
      <w:r>
        <w:rPr>
          <w:noProof/>
        </w:rPr>
        <w:tab/>
      </w:r>
      <w:r>
        <w:rPr>
          <w:noProof/>
        </w:rPr>
        <w:fldChar w:fldCharType="begin"/>
      </w:r>
      <w:r>
        <w:rPr>
          <w:noProof/>
        </w:rPr>
        <w:instrText xml:space="preserve"> PAGEREF _Toc57291706 \h </w:instrText>
      </w:r>
      <w:r>
        <w:rPr>
          <w:noProof/>
        </w:rPr>
      </w:r>
      <w:r>
        <w:rPr>
          <w:noProof/>
        </w:rPr>
        <w:fldChar w:fldCharType="separate"/>
      </w:r>
      <w:r>
        <w:rPr>
          <w:noProof/>
        </w:rPr>
        <w:t>262</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63: Average annual investments in vehicles, rolling stock, vessels, airplanes and alternative fuels infrastructure deployment in the Baseline and policy scenarios</w:t>
      </w:r>
      <w:r>
        <w:rPr>
          <w:noProof/>
        </w:rPr>
        <w:tab/>
      </w:r>
      <w:r>
        <w:rPr>
          <w:noProof/>
        </w:rPr>
        <w:fldChar w:fldCharType="begin"/>
      </w:r>
      <w:r>
        <w:rPr>
          <w:noProof/>
        </w:rPr>
        <w:instrText xml:space="preserve"> PAGEREF _Toc57291707 \h </w:instrText>
      </w:r>
      <w:r>
        <w:rPr>
          <w:noProof/>
        </w:rPr>
      </w:r>
      <w:r>
        <w:rPr>
          <w:noProof/>
        </w:rPr>
        <w:fldChar w:fldCharType="separate"/>
      </w:r>
      <w:r>
        <w:rPr>
          <w:noProof/>
        </w:rPr>
        <w:t>263</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64: Additional annual average investments for 2021-2030 under existing policies and to achieve higher GHG emissions reductions - in billions euros (2015)</w:t>
      </w:r>
      <w:r>
        <w:rPr>
          <w:noProof/>
        </w:rPr>
        <w:tab/>
      </w:r>
      <w:r>
        <w:rPr>
          <w:noProof/>
        </w:rPr>
        <w:fldChar w:fldCharType="begin"/>
      </w:r>
      <w:r>
        <w:rPr>
          <w:noProof/>
        </w:rPr>
        <w:instrText xml:space="preserve"> PAGEREF _Toc57291708 \h </w:instrText>
      </w:r>
      <w:r>
        <w:rPr>
          <w:noProof/>
        </w:rPr>
      </w:r>
      <w:r>
        <w:rPr>
          <w:noProof/>
        </w:rPr>
        <w:fldChar w:fldCharType="separate"/>
      </w:r>
      <w:r>
        <w:rPr>
          <w:noProof/>
        </w:rPr>
        <w:t>264</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65: Households’ annual transport related expenditures in the Baseline and policy scenarios - in billions euros (2015)</w:t>
      </w:r>
      <w:r>
        <w:rPr>
          <w:noProof/>
        </w:rPr>
        <w:tab/>
      </w:r>
      <w:r>
        <w:rPr>
          <w:noProof/>
        </w:rPr>
        <w:fldChar w:fldCharType="begin"/>
      </w:r>
      <w:r>
        <w:rPr>
          <w:noProof/>
        </w:rPr>
        <w:instrText xml:space="preserve"> PAGEREF _Toc57291709 \h </w:instrText>
      </w:r>
      <w:r>
        <w:rPr>
          <w:noProof/>
        </w:rPr>
      </w:r>
      <w:r>
        <w:rPr>
          <w:noProof/>
        </w:rPr>
        <w:fldChar w:fldCharType="separate"/>
      </w:r>
      <w:r>
        <w:rPr>
          <w:noProof/>
        </w:rPr>
        <w:t>265</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66: Impacts of at least 55% GHG emissions reduction on transport sector employment (% change relative to the Baseline scenario)</w:t>
      </w:r>
      <w:r>
        <w:rPr>
          <w:noProof/>
        </w:rPr>
        <w:tab/>
      </w:r>
      <w:r>
        <w:rPr>
          <w:noProof/>
        </w:rPr>
        <w:fldChar w:fldCharType="begin"/>
      </w:r>
      <w:r>
        <w:rPr>
          <w:noProof/>
        </w:rPr>
        <w:instrText xml:space="preserve"> PAGEREF _Toc57291710 \h </w:instrText>
      </w:r>
      <w:r>
        <w:rPr>
          <w:noProof/>
        </w:rPr>
      </w:r>
      <w:r>
        <w:rPr>
          <w:noProof/>
        </w:rPr>
        <w:fldChar w:fldCharType="separate"/>
      </w:r>
      <w:r>
        <w:rPr>
          <w:noProof/>
        </w:rPr>
        <w:t>265</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67: Comparison of key indicators in the MIX scenario and COVID-MIX variant</w:t>
      </w:r>
      <w:r>
        <w:rPr>
          <w:noProof/>
        </w:rPr>
        <w:tab/>
      </w:r>
      <w:r>
        <w:rPr>
          <w:noProof/>
        </w:rPr>
        <w:fldChar w:fldCharType="begin"/>
      </w:r>
      <w:r>
        <w:rPr>
          <w:noProof/>
        </w:rPr>
        <w:instrText xml:space="preserve"> PAGEREF _Toc57291711 \h </w:instrText>
      </w:r>
      <w:r>
        <w:rPr>
          <w:noProof/>
        </w:rPr>
      </w:r>
      <w:r>
        <w:rPr>
          <w:noProof/>
        </w:rPr>
        <w:fldChar w:fldCharType="separate"/>
      </w:r>
      <w:r>
        <w:rPr>
          <w:noProof/>
        </w:rPr>
        <w:t>266</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68: Interlinkages between models</w:t>
      </w:r>
      <w:r>
        <w:rPr>
          <w:noProof/>
        </w:rPr>
        <w:tab/>
      </w:r>
      <w:r>
        <w:rPr>
          <w:noProof/>
        </w:rPr>
        <w:fldChar w:fldCharType="begin"/>
      </w:r>
      <w:r>
        <w:rPr>
          <w:noProof/>
        </w:rPr>
        <w:instrText xml:space="preserve"> PAGEREF _Toc57291712 \h </w:instrText>
      </w:r>
      <w:r>
        <w:rPr>
          <w:noProof/>
        </w:rPr>
      </w:r>
      <w:r>
        <w:rPr>
          <w:noProof/>
        </w:rPr>
        <w:fldChar w:fldCharType="separate"/>
      </w:r>
      <w:r>
        <w:rPr>
          <w:noProof/>
        </w:rPr>
        <w:t>269</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69: Schematic representation of the PRIMES model</w:t>
      </w:r>
      <w:r>
        <w:rPr>
          <w:noProof/>
        </w:rPr>
        <w:tab/>
      </w:r>
      <w:r>
        <w:rPr>
          <w:noProof/>
        </w:rPr>
        <w:fldChar w:fldCharType="begin"/>
      </w:r>
      <w:r>
        <w:rPr>
          <w:noProof/>
        </w:rPr>
        <w:instrText xml:space="preserve"> PAGEREF _Toc57291713 \h </w:instrText>
      </w:r>
      <w:r>
        <w:rPr>
          <w:noProof/>
        </w:rPr>
      </w:r>
      <w:r>
        <w:rPr>
          <w:noProof/>
        </w:rPr>
        <w:fldChar w:fldCharType="separate"/>
      </w:r>
      <w:r>
        <w:rPr>
          <w:noProof/>
        </w:rPr>
        <w:t>270</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70: Schematic representation of the GEM-E3 model</w:t>
      </w:r>
      <w:r>
        <w:rPr>
          <w:noProof/>
        </w:rPr>
        <w:tab/>
      </w:r>
      <w:r>
        <w:rPr>
          <w:noProof/>
        </w:rPr>
        <w:fldChar w:fldCharType="begin"/>
      </w:r>
      <w:r>
        <w:rPr>
          <w:noProof/>
        </w:rPr>
        <w:instrText xml:space="preserve"> PAGEREF _Toc57291714 \h </w:instrText>
      </w:r>
      <w:r>
        <w:rPr>
          <w:noProof/>
        </w:rPr>
      </w:r>
      <w:r>
        <w:rPr>
          <w:noProof/>
        </w:rPr>
        <w:fldChar w:fldCharType="separate"/>
      </w:r>
      <w:r>
        <w:rPr>
          <w:noProof/>
        </w:rPr>
        <w:t>276</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71: Projected EU GDP (2015 = 100)</w:t>
      </w:r>
      <w:r>
        <w:rPr>
          <w:noProof/>
        </w:rPr>
        <w:tab/>
      </w:r>
      <w:r>
        <w:rPr>
          <w:noProof/>
        </w:rPr>
        <w:fldChar w:fldCharType="begin"/>
      </w:r>
      <w:r>
        <w:rPr>
          <w:noProof/>
        </w:rPr>
        <w:instrText xml:space="preserve"> PAGEREF _Toc57291715 \h </w:instrText>
      </w:r>
      <w:r>
        <w:rPr>
          <w:noProof/>
        </w:rPr>
      </w:r>
      <w:r>
        <w:rPr>
          <w:noProof/>
        </w:rPr>
        <w:fldChar w:fldCharType="separate"/>
      </w:r>
      <w:r>
        <w:rPr>
          <w:noProof/>
        </w:rPr>
        <w:t>278</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72: International fuel prices assumptions – non-COVID scenarios</w:t>
      </w:r>
      <w:r>
        <w:rPr>
          <w:noProof/>
        </w:rPr>
        <w:tab/>
      </w:r>
      <w:r>
        <w:rPr>
          <w:noProof/>
        </w:rPr>
        <w:fldChar w:fldCharType="begin"/>
      </w:r>
      <w:r>
        <w:rPr>
          <w:noProof/>
        </w:rPr>
        <w:instrText xml:space="preserve"> PAGEREF _Toc57291716 \h </w:instrText>
      </w:r>
      <w:r>
        <w:rPr>
          <w:noProof/>
        </w:rPr>
      </w:r>
      <w:r>
        <w:rPr>
          <w:noProof/>
        </w:rPr>
        <w:fldChar w:fldCharType="separate"/>
      </w:r>
      <w:r>
        <w:rPr>
          <w:noProof/>
        </w:rPr>
        <w:t>279</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73: Oil price projections in 2030 according to various sources</w:t>
      </w:r>
      <w:r>
        <w:rPr>
          <w:noProof/>
        </w:rPr>
        <w:tab/>
      </w:r>
      <w:r>
        <w:rPr>
          <w:noProof/>
        </w:rPr>
        <w:fldChar w:fldCharType="begin"/>
      </w:r>
      <w:r>
        <w:rPr>
          <w:noProof/>
        </w:rPr>
        <w:instrText xml:space="preserve"> PAGEREF _Toc57291717 \h </w:instrText>
      </w:r>
      <w:r>
        <w:rPr>
          <w:noProof/>
        </w:rPr>
      </w:r>
      <w:r>
        <w:rPr>
          <w:noProof/>
        </w:rPr>
        <w:fldChar w:fldCharType="separate"/>
      </w:r>
      <w:r>
        <w:rPr>
          <w:noProof/>
        </w:rPr>
        <w:t>279</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74: International fuel prices assumptions – COVID scenarios</w:t>
      </w:r>
      <w:r>
        <w:rPr>
          <w:noProof/>
        </w:rPr>
        <w:tab/>
      </w:r>
      <w:r>
        <w:rPr>
          <w:noProof/>
        </w:rPr>
        <w:fldChar w:fldCharType="begin"/>
      </w:r>
      <w:r>
        <w:rPr>
          <w:noProof/>
        </w:rPr>
        <w:instrText xml:space="preserve"> PAGEREF _Toc57291718 \h </w:instrText>
      </w:r>
      <w:r>
        <w:rPr>
          <w:noProof/>
        </w:rPr>
      </w:r>
      <w:r>
        <w:rPr>
          <w:noProof/>
        </w:rPr>
        <w:fldChar w:fldCharType="separate"/>
      </w:r>
      <w:r>
        <w:rPr>
          <w:noProof/>
        </w:rPr>
        <w:t>280</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75: Scenario assumptions description (scenarios developed with the PRIMES-GAINS-GLOBIOM modelling suite)</w:t>
      </w:r>
      <w:r>
        <w:rPr>
          <w:noProof/>
        </w:rPr>
        <w:tab/>
      </w:r>
      <w:r>
        <w:rPr>
          <w:noProof/>
        </w:rPr>
        <w:fldChar w:fldCharType="begin"/>
      </w:r>
      <w:r>
        <w:rPr>
          <w:noProof/>
        </w:rPr>
        <w:instrText xml:space="preserve"> PAGEREF _Toc57291719 \h </w:instrText>
      </w:r>
      <w:r>
        <w:rPr>
          <w:noProof/>
        </w:rPr>
      </w:r>
      <w:r>
        <w:rPr>
          <w:noProof/>
        </w:rPr>
        <w:fldChar w:fldCharType="separate"/>
      </w:r>
      <w:r>
        <w:rPr>
          <w:noProof/>
        </w:rPr>
        <w:t>285</w:t>
      </w:r>
      <w:r>
        <w:rPr>
          <w:noProof/>
        </w:rPr>
        <w:fldChar w:fldCharType="end"/>
      </w:r>
    </w:p>
    <w:p>
      <w:pPr>
        <w:pStyle w:val="TableofFigures"/>
        <w:tabs>
          <w:tab w:val="right" w:leader="dot" w:pos="8494"/>
        </w:tabs>
        <w:rPr>
          <w:rFonts w:asciiTheme="minorHAnsi" w:eastAsiaTheme="minorEastAsia" w:hAnsiTheme="minorHAnsi" w:cstheme="minorBidi"/>
          <w:noProof/>
          <w:sz w:val="22"/>
          <w:szCs w:val="22"/>
          <w:lang w:eastAsia="ja-JP"/>
        </w:rPr>
      </w:pPr>
      <w:r>
        <w:rPr>
          <w:noProof/>
        </w:rPr>
        <w:t>Figure 83: Key modelling variables reflecting underlying policy assumptions</w:t>
      </w:r>
      <w:r>
        <w:rPr>
          <w:noProof/>
        </w:rPr>
        <w:tab/>
      </w:r>
      <w:r>
        <w:rPr>
          <w:noProof/>
        </w:rPr>
        <w:fldChar w:fldCharType="begin"/>
      </w:r>
      <w:r>
        <w:rPr>
          <w:noProof/>
        </w:rPr>
        <w:instrText xml:space="preserve"> PAGEREF _Toc57291720 \h </w:instrText>
      </w:r>
      <w:r>
        <w:rPr>
          <w:noProof/>
        </w:rPr>
      </w:r>
      <w:r>
        <w:rPr>
          <w:noProof/>
        </w:rPr>
        <w:fldChar w:fldCharType="separate"/>
      </w:r>
      <w:r>
        <w:rPr>
          <w:noProof/>
        </w:rPr>
        <w:t>288</w:t>
      </w:r>
      <w:r>
        <w:rPr>
          <w:noProof/>
        </w:rPr>
        <w:fldChar w:fldCharType="end"/>
      </w:r>
    </w:p>
    <w:p>
      <w:pPr>
        <w:spacing w:after="0" w:line="240" w:lineRule="auto"/>
        <w:jc w:val="left"/>
        <w:rPr>
          <w:smallCaps/>
          <w:noProof/>
          <w:sz w:val="20"/>
        </w:rPr>
      </w:pPr>
      <w:r>
        <w:rPr>
          <w:smallCaps/>
          <w:noProof/>
          <w:sz w:val="20"/>
        </w:rPr>
        <w:fldChar w:fldCharType="end"/>
      </w:r>
      <w:r>
        <w:rPr>
          <w:smallCaps/>
          <w:noProof/>
          <w:sz w:val="20"/>
        </w:rPr>
        <w:br w:type="page"/>
      </w:r>
    </w:p>
    <w:p>
      <w:pPr>
        <w:pStyle w:val="Heading1"/>
        <w:rPr>
          <w:noProof/>
        </w:rPr>
      </w:pPr>
      <w:bookmarkStart w:id="3" w:name="_Toc42783866"/>
      <w:bookmarkStart w:id="4" w:name="_Toc44674127"/>
      <w:bookmarkStart w:id="5" w:name="_Toc45271980"/>
      <w:bookmarkStart w:id="6" w:name="_Toc46312081"/>
      <w:bookmarkStart w:id="7" w:name="_Toc50044783"/>
      <w:bookmarkStart w:id="8" w:name="_Toc50048898"/>
      <w:bookmarkStart w:id="9" w:name="_Toc50415234"/>
      <w:bookmarkStart w:id="10" w:name="_Toc50416516"/>
      <w:bookmarkStart w:id="11" w:name="_Toc50417648"/>
      <w:bookmarkStart w:id="12" w:name="_Toc50418291"/>
      <w:bookmarkStart w:id="13" w:name="_Toc50459871"/>
      <w:bookmarkStart w:id="14" w:name="_Toc50466078"/>
      <w:bookmarkStart w:id="15" w:name="_Toc50471988"/>
      <w:bookmarkStart w:id="16" w:name="_Toc50473639"/>
      <w:bookmarkStart w:id="17" w:name="_Toc50474690"/>
      <w:bookmarkStart w:id="18" w:name="_Toc50565040"/>
      <w:bookmarkStart w:id="19" w:name="_Toc50568648"/>
      <w:bookmarkStart w:id="20" w:name="_Toc50629387"/>
      <w:bookmarkStart w:id="21" w:name="_Toc50630219"/>
      <w:bookmarkStart w:id="22" w:name="_Toc50630943"/>
      <w:bookmarkStart w:id="23" w:name="_Toc50633787"/>
      <w:bookmarkStart w:id="24" w:name="_Toc50634029"/>
      <w:bookmarkStart w:id="25" w:name="_Toc50646477"/>
      <w:bookmarkStart w:id="26" w:name="_Toc50646612"/>
      <w:bookmarkStart w:id="27" w:name="_Toc50649431"/>
      <w:bookmarkStart w:id="28" w:name="_Toc50650738"/>
      <w:bookmarkStart w:id="29" w:name="_Toc51574772"/>
      <w:bookmarkStart w:id="30" w:name="_Toc51575620"/>
      <w:bookmarkStart w:id="31" w:name="_Toc51578007"/>
      <w:bookmarkStart w:id="32" w:name="_Toc51578475"/>
      <w:bookmarkStart w:id="33" w:name="_Toc51582891"/>
      <w:bookmarkStart w:id="34" w:name="_Toc51583366"/>
      <w:bookmarkStart w:id="35" w:name="_Toc51583361"/>
      <w:bookmarkStart w:id="36" w:name="_Toc51583741"/>
      <w:bookmarkStart w:id="37" w:name="_Toc51583931"/>
      <w:bookmarkStart w:id="38" w:name="_Toc51583855"/>
      <w:bookmarkStart w:id="39" w:name="_Toc51586173"/>
      <w:bookmarkStart w:id="40" w:name="_Toc51593813"/>
      <w:bookmarkStart w:id="41" w:name="_Toc51594302"/>
      <w:bookmarkStart w:id="42" w:name="_Toc51595280"/>
      <w:bookmarkStart w:id="43" w:name="_Toc51595530"/>
      <w:bookmarkStart w:id="44" w:name="_Toc51595856"/>
      <w:bookmarkStart w:id="45" w:name="_Toc51596019"/>
      <w:bookmarkStart w:id="46" w:name="_Toc51596372"/>
      <w:bookmarkStart w:id="47" w:name="_Toc52121506"/>
      <w:bookmarkStart w:id="48" w:name="_Toc52122737"/>
      <w:bookmarkStart w:id="49" w:name="_Toc52123854"/>
      <w:bookmarkStart w:id="50" w:name="_Toc53405309"/>
      <w:bookmarkStart w:id="51" w:name="_Toc53406099"/>
      <w:bookmarkStart w:id="52" w:name="_Toc53407465"/>
      <w:bookmarkStart w:id="53" w:name="_Toc53410912"/>
      <w:bookmarkStart w:id="54" w:name="_Toc53411975"/>
      <w:bookmarkStart w:id="55" w:name="_Toc53417222"/>
      <w:bookmarkStart w:id="56" w:name="_Toc53417574"/>
      <w:bookmarkStart w:id="57" w:name="_Toc53419809"/>
      <w:bookmarkStart w:id="58" w:name="_Toc53434912"/>
      <w:bookmarkStart w:id="59" w:name="_Toc53437052"/>
      <w:bookmarkStart w:id="60" w:name="_Toc57291459"/>
      <w:bookmarkStart w:id="61" w:name="_Toc42783890"/>
      <w:bookmarkEnd w:id="1"/>
      <w:r>
        <w:rPr>
          <w:noProof/>
        </w:rPr>
        <w:t>Introduction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pPr>
        <w:pStyle w:val="LegalNumPar"/>
        <w:numPr>
          <w:ilvl w:val="0"/>
          <w:numId w:val="89"/>
        </w:numPr>
        <w:pBdr>
          <w:top w:val="nil"/>
          <w:left w:val="nil"/>
          <w:bottom w:val="nil"/>
          <w:right w:val="nil"/>
          <w:between w:val="nil"/>
          <w:bar w:val="nil"/>
        </w:pBdr>
        <w:tabs>
          <w:tab w:val="left" w:pos="476"/>
        </w:tabs>
        <w:spacing w:line="240" w:lineRule="auto"/>
        <w:rPr>
          <w:b/>
          <w:bCs/>
          <w:smallCaps/>
          <w:noProof/>
        </w:rPr>
      </w:pPr>
      <w:bookmarkStart w:id="62" w:name="_Toc46312082"/>
      <w:bookmarkStart w:id="63" w:name="_Toc50044784"/>
      <w:bookmarkStart w:id="64" w:name="_Toc50048899"/>
      <w:bookmarkStart w:id="65" w:name="_Toc50415235"/>
      <w:bookmarkStart w:id="66" w:name="_Toc50416517"/>
      <w:bookmarkStart w:id="67" w:name="_Toc50417649"/>
      <w:bookmarkStart w:id="68" w:name="_Toc50418292"/>
      <w:bookmarkStart w:id="69" w:name="_Toc50459872"/>
      <w:bookmarkStart w:id="70" w:name="_Toc50466079"/>
      <w:bookmarkStart w:id="71" w:name="_Toc50473640"/>
      <w:bookmarkStart w:id="72" w:name="_Toc50474691"/>
      <w:bookmarkStart w:id="73" w:name="_Toc50565041"/>
      <w:bookmarkStart w:id="74" w:name="_Toc50568649"/>
      <w:bookmarkStart w:id="75" w:name="_Toc50629388"/>
      <w:bookmarkStart w:id="76" w:name="_Toc50630220"/>
      <w:bookmarkStart w:id="77" w:name="_Toc50630944"/>
      <w:bookmarkStart w:id="78" w:name="_Toc50633788"/>
      <w:bookmarkStart w:id="79" w:name="_Toc50634030"/>
      <w:bookmarkStart w:id="80" w:name="_Toc50646478"/>
      <w:bookmarkStart w:id="81" w:name="_Toc50646613"/>
      <w:bookmarkStart w:id="82" w:name="_Toc50649432"/>
      <w:bookmarkStart w:id="83" w:name="_Toc50650739"/>
      <w:bookmarkStart w:id="84" w:name="_Toc42703542"/>
      <w:bookmarkStart w:id="85" w:name="_Toc42783867"/>
      <w:bookmarkStart w:id="86" w:name="_Toc44674128"/>
      <w:bookmarkStart w:id="87" w:name="_Toc45271981"/>
      <w:r>
        <w:rPr>
          <w:noProof/>
        </w:rPr>
        <w:t xml:space="preserve">This Staff Working Document accompanies the Communication from the Commission on the Sustainable and Smart Mobility Strategy, which sets out the actions needed to ensure that every transport mode plays a role in delivering the European Green Deal, that smart mobility enables seamless, safe and efficient connectivity, and that a more resilient Single European Transport Area provides connectivity for all EU citizens.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Sustainable, smart and resilient transport services and infrastructure are vital to make full use of the economic strengths of all regions of the European Union, to support the Single Market, recover from the current crisis and stimulate future growth, and to enable economic, social and territorial cohesion, while preserving our environment and our health. They also underpin our global competitiveness, and our international connectivity. The EU transport system provides safe and secure mobility for Europeans. The transport sector in the EU-27 employs more than 10 million workers and comprises around 1.1 million enterprises, providing services to people and businesses within the EU and globally</w:t>
      </w:r>
      <w:r>
        <w:rPr>
          <w:rStyle w:val="FootnoteReference"/>
          <w:noProof/>
        </w:rPr>
        <w:footnoteReference w:id="2"/>
      </w:r>
      <w:r>
        <w:rPr>
          <w:noProof/>
        </w:rPr>
        <w:t xml:space="preserve">. </w:t>
      </w:r>
    </w:p>
    <w:p>
      <w:pPr>
        <w:pStyle w:val="LegalNumPar"/>
        <w:numPr>
          <w:ilvl w:val="0"/>
          <w:numId w:val="89"/>
        </w:numPr>
        <w:pBdr>
          <w:top w:val="nil"/>
          <w:left w:val="nil"/>
          <w:bottom w:val="nil"/>
          <w:right w:val="nil"/>
          <w:between w:val="nil"/>
          <w:bar w:val="nil"/>
        </w:pBdr>
        <w:tabs>
          <w:tab w:val="left" w:pos="476"/>
        </w:tabs>
        <w:spacing w:line="240" w:lineRule="auto"/>
        <w:rPr>
          <w:noProof/>
          <w:color w:val="000000" w:themeColor="text1"/>
        </w:rPr>
      </w:pPr>
      <w:r>
        <w:rPr>
          <w:noProof/>
        </w:rPr>
        <w:t xml:space="preserve">Mobility is a critical aspect of social inclusion and an important determinant of human well-being, especially for disadvantaged groups. Transport, recognised as an essential service in the European Pillar of Social Rights fulfils a basic need in enabling citizens to integrate into society and the labour market, but also constitutes a significant part of household expenditure. Enhanced connectivity and market opening has contributed to linking transport networks, bringing the EU together and making it more tangible and accessible for travellers. </w:t>
      </w:r>
      <w:r>
        <w:rPr>
          <w:noProof/>
          <w:lang w:eastAsia="en-US"/>
        </w:rPr>
        <w:t xml:space="preserve">More needs to be done however.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color w:val="000000" w:themeColor="text1"/>
        </w:rPr>
        <w:t>Addressing the climate and environmental crisis is the defining challenge of our time and it is an opportunity to relaunch our economies in a sustainable manner. It requires urgent and sustained action by all actors in our society to preserve the health, prosperity, and well-being of people in Europe and all over the world. Responding to this challenge, the European Green Deal</w:t>
      </w:r>
      <w:r>
        <w:rPr>
          <w:rStyle w:val="FootnoteReference"/>
          <w:noProof/>
          <w:color w:val="000000" w:themeColor="text1"/>
        </w:rPr>
        <w:footnoteReference w:id="3"/>
      </w:r>
      <w:r>
        <w:rPr>
          <w:noProof/>
          <w:color w:val="000000" w:themeColor="text1"/>
        </w:rPr>
        <w:t xml:space="preserve"> has set a high level of ambition for climate neutrality by 2050. It is also Europe’s growth strategy, which aims to transform the EU into a fair and prosperous society </w:t>
      </w:r>
      <w:r>
        <w:rPr>
          <w:noProof/>
        </w:rPr>
        <w:t>with a resource-efficient and competitive economy. The economic response to the COVID-19 pandemic offers a unique opportunity to accelerate the green transition.</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Transport is the only economic sector in which greenhouse gas emissions are higher than in 1990 and have started growing again since 2013 despite the mitigation efforts undertaken. This is why the European Green Deal has set the key objective to deliver a 90% reduction in transport-related greenhouse gas emissions by 2050. It also stresses that transport is a significant contributor to air pollution and noise, and has adverse effects on our lands, oceans, rivers and lakes, hence the need to accelerate the shift to sustainable and smart mobility, and delivering zero pollution and a toxic-free environment.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In the 2030 Climate Target Plan</w:t>
      </w:r>
      <w:r>
        <w:rPr>
          <w:rStyle w:val="FootnoteReference"/>
          <w:noProof/>
        </w:rPr>
        <w:footnoteReference w:id="4"/>
      </w:r>
      <w:r>
        <w:rPr>
          <w:noProof/>
        </w:rPr>
        <w:t>, on the basis of the analysis carried out in its Impact Assessment, the Commission concluded that achieving 55% greenhouse gas emissions reductions by 2030 is fully achievable, and would not only put the EU firmly on track to achieve climate neutrality, but would also make EU business and industry global trailblazers. Achieving at least 55% greenhouse gas emissions reductions by 2030 would also improve the wellbeing of EU citizens by delivering significant co-benefits for example in terms of health, improved air quality and reduced environmental degradation, and it would strongly support the recovery from the COVID-19 pandemic and the longer-term competitiveness and resilience of the European economy. The European Green Deal is Europe’s growth strategy and to ensure we use it to its full potential, it is essential that Next Generation EU drives our competitive sustainability.</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impact assessment accompanying the 2030 Climate Target Plan</w:t>
      </w:r>
      <w:r>
        <w:rPr>
          <w:rStyle w:val="FootnoteReference"/>
          <w:noProof/>
        </w:rPr>
        <w:footnoteReference w:id="5"/>
      </w:r>
      <w:r>
        <w:rPr>
          <w:noProof/>
        </w:rPr>
        <w:t xml:space="preserve"> has also shown that if we only continue with existing policies, the transport sector would fall short in delivering the contribution needed to achieve the economy-wide target of at least 55% greenhouse gas emissions reduction by 2030 and climate neutrality by 2050. Additional policies will thus be needed to close the gap. To achieve this, a three-pronged set of actions must be taken to make each and every transport mode more sustainable, make sustainable alternatives widely available, and put in place the right incentives.</w:t>
      </w:r>
    </w:p>
    <w:p>
      <w:pPr>
        <w:pStyle w:val="Caption"/>
        <w:keepNext/>
        <w:keepLines/>
        <w:jc w:val="center"/>
        <w:rPr>
          <w:i w:val="0"/>
          <w:noProof/>
        </w:rPr>
      </w:pPr>
      <w:bookmarkStart w:id="88" w:name="_Toc51593745"/>
      <w:bookmarkStart w:id="89" w:name="_Toc51595212"/>
      <w:bookmarkStart w:id="90" w:name="_Toc51595462"/>
      <w:bookmarkStart w:id="91" w:name="_Toc51595788"/>
      <w:bookmarkStart w:id="92" w:name="_Toc51595951"/>
      <w:bookmarkStart w:id="93" w:name="_Toc52121438"/>
      <w:bookmarkStart w:id="94" w:name="_Toc52122669"/>
      <w:bookmarkStart w:id="95" w:name="_Toc53405233"/>
      <w:bookmarkStart w:id="96" w:name="_Toc53406023"/>
      <w:bookmarkStart w:id="97" w:name="_Toc53407389"/>
      <w:bookmarkStart w:id="98" w:name="_Toc53410836"/>
      <w:bookmarkStart w:id="99" w:name="_Toc53411899"/>
      <w:bookmarkStart w:id="100" w:name="_Toc53417146"/>
      <w:bookmarkStart w:id="101" w:name="_Toc53417498"/>
      <w:bookmarkStart w:id="102" w:name="_Toc53419531"/>
      <w:bookmarkStart w:id="103" w:name="_Toc53434836"/>
      <w:bookmarkStart w:id="104" w:name="_Toc53436976"/>
      <w:bookmarkStart w:id="105" w:name="_Toc57291645"/>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1</w:t>
      </w:r>
      <w:r>
        <w:rPr>
          <w:noProof/>
        </w:rPr>
        <w:fldChar w:fldCharType="end"/>
      </w:r>
      <w:r>
        <w:rPr>
          <w:i w:val="0"/>
          <w:noProof/>
        </w:rPr>
        <w:t>: The EU’s pathway to sustained economic prosperity and climate neutrality, 1990-2050</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pPr>
        <w:pStyle w:val="LegalNumPar"/>
        <w:keepNext/>
        <w:pBdr>
          <w:top w:val="nil"/>
          <w:left w:val="nil"/>
          <w:bottom w:val="nil"/>
          <w:right w:val="nil"/>
          <w:between w:val="nil"/>
          <w:bar w:val="nil"/>
        </w:pBdr>
        <w:tabs>
          <w:tab w:val="left" w:pos="476"/>
        </w:tabs>
        <w:spacing w:after="0" w:line="240" w:lineRule="auto"/>
        <w:ind w:left="476" w:hanging="476"/>
        <w:jc w:val="center"/>
        <w:rPr>
          <w:noProof/>
        </w:rPr>
      </w:pPr>
      <w:r>
        <w:rPr>
          <w:noProof/>
        </w:rPr>
        <w:drawing>
          <wp:inline distT="0" distB="0" distL="0" distR="0">
            <wp:extent cx="5393690" cy="3850640"/>
            <wp:effectExtent l="0" t="0" r="0" b="0"/>
            <wp:docPr id="1528954630" name="Picture 1528954630" descr="C:\Users\sulyoge\Documents\Picture24-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ulyoge\Documents\Picture24-min.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393690" cy="3850640"/>
                    </a:xfrm>
                    <a:prstGeom prst="rect">
                      <a:avLst/>
                    </a:prstGeom>
                    <a:noFill/>
                    <a:ln>
                      <a:noFill/>
                    </a:ln>
                  </pic:spPr>
                </pic:pic>
              </a:graphicData>
            </a:graphic>
          </wp:inline>
        </w:drawing>
      </w:r>
    </w:p>
    <w:p>
      <w:pPr>
        <w:pStyle w:val="LegalNumPar"/>
        <w:pBdr>
          <w:top w:val="nil"/>
          <w:left w:val="nil"/>
          <w:bottom w:val="nil"/>
          <w:right w:val="nil"/>
          <w:between w:val="nil"/>
          <w:bar w:val="nil"/>
        </w:pBdr>
        <w:tabs>
          <w:tab w:val="left" w:pos="476"/>
        </w:tabs>
        <w:spacing w:line="240" w:lineRule="auto"/>
        <w:ind w:left="476" w:hanging="476"/>
        <w:jc w:val="left"/>
        <w:rPr>
          <w:i/>
          <w:noProof/>
          <w:sz w:val="18"/>
          <w:szCs w:val="18"/>
        </w:rPr>
      </w:pPr>
      <w:r>
        <w:rPr>
          <w:i/>
          <w:iCs/>
          <w:noProof/>
          <w:sz w:val="18"/>
          <w:szCs w:val="18"/>
        </w:rPr>
        <w:t>Source: COM(2020) 562 final. Commission Communication “Stepping up Europe’s 2030 climate ambition Investing in a climate-neutral future for the benefit our people</w:t>
      </w:r>
    </w:p>
    <w:p>
      <w:pPr>
        <w:pStyle w:val="LegalNumPar"/>
        <w:numPr>
          <w:ilvl w:val="0"/>
          <w:numId w:val="137"/>
        </w:numPr>
        <w:tabs>
          <w:tab w:val="left" w:pos="476"/>
        </w:tabs>
        <w:spacing w:line="240" w:lineRule="auto"/>
        <w:rPr>
          <w:i/>
          <w:noProof/>
        </w:rPr>
      </w:pPr>
      <w:r>
        <w:rPr>
          <w:noProof/>
        </w:rPr>
        <w:t>Making our mobility and transport smarter and more efficient can greatly help in achieving our health and environmental objectives. Underpinned by the ubiquitous presence of smartphones, and other digital technologies and solutions, ranging from European space data and services to innovative business models, as well as by the emergence of a shared, collaborative economy, smart mobility concepts can help improve the use of infrastructure and resources. By integrating the different transport modes and delivering multimodality, they can transform our travelling and transport experience, making it safer, smoother, health supporting and, above all, more sustainable. There is a need to offer a seamless multimodal experience to all transport users to support sustainable choices, while taking advantage of Intelligent Transport Systems for safer and more sustainable mobility. Research and innovation are key to shape the mobility of the future, and the right enablers for successful digital transformation must also be put in place.</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COVID-19 pandemic has had a severe impact on European mobility and the sector. It has shown the importance of making our transport and mobility more resilient. Transport workers have been on the frontline, ensuring that essential services are maintained. They need quality jobs in order to be able to provide a safe, reliable and affordable service for customers. In addition, d</w:t>
      </w:r>
      <w:r>
        <w:rPr>
          <w:noProof/>
          <w:lang w:eastAsia="en-US"/>
        </w:rPr>
        <w:t xml:space="preserve">espite some progress, regulatory, administrative and technical barriers and burdens persist in transport in the majority of Member States, causing inefficiencies and additional costs to users and the fragmentation of the Single Market. There are still major gaps and missing links in our infrastructure. </w:t>
      </w:r>
      <w:r>
        <w:rPr>
          <w:noProof/>
        </w:rPr>
        <w:t xml:space="preserve">At the same time, it is necessary to modernise fleets in all modes to make them more sustainable. </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 xml:space="preserve">Unless EU policy initiatives towards a Single European Transport Area are thoroughly implemented at national level, the fragmentation of the transport market will inevitably limit the future quality of transport services in the EU, as the sector will </w:t>
      </w:r>
      <w:r>
        <w:rPr>
          <w:noProof/>
        </w:rPr>
        <w:t>miss out on the economies of scale</w:t>
      </w:r>
      <w:r>
        <w:rPr>
          <w:noProof/>
          <w:lang w:eastAsia="en-US"/>
        </w:rPr>
        <w:t xml:space="preserve"> and leave growth opportunities untapped. Moreover, lack of enforcement of social rules, together with divergent national practices have led to social issues, which may in turn worsen the quality of transport services, create distortion in the market and lead to an uneven playing field. Market opening, fair social conditions and quality jobs are thus intrinsically linked.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While s</w:t>
      </w:r>
      <w:r>
        <w:rPr>
          <w:noProof/>
        </w:rPr>
        <w:t>afety and security of transport in the EU has greatly progressed, and the EU remains the safest transport area in the world, in particular in the most frequently used mode, road transport, a substantial problem remains. In recent years the reduction of fatalities on EU roads has stagnated, and there was still 22,700 lives in 2019.</w:t>
      </w:r>
    </w:p>
    <w:p>
      <w:pPr>
        <w:pStyle w:val="LegalNumPar"/>
        <w:numPr>
          <w:ilvl w:val="0"/>
          <w:numId w:val="89"/>
        </w:numPr>
        <w:pBdr>
          <w:top w:val="nil"/>
          <w:left w:val="nil"/>
          <w:bottom w:val="nil"/>
          <w:right w:val="nil"/>
          <w:between w:val="nil"/>
          <w:bar w:val="nil"/>
        </w:pBdr>
        <w:tabs>
          <w:tab w:val="left" w:pos="476"/>
        </w:tabs>
        <w:spacing w:after="0" w:line="240" w:lineRule="auto"/>
        <w:rPr>
          <w:rStyle w:val="Heading1Char"/>
          <w:noProof/>
          <w:sz w:val="24"/>
          <w:szCs w:val="24"/>
        </w:rPr>
      </w:pPr>
      <w:r>
        <w:rPr>
          <w:noProof/>
          <w:lang w:eastAsia="en-US"/>
        </w:rPr>
        <w:t>This Staff Working Document provides an overview of the Commission services’ assessment of the aforementioned challenges – sustainability, digitalisation, resilience – that the EU transport sector faces, underpinning the Strategy and the actions put forward within in it. It also briefly describes the expected evolution of European mobility if we were to rely on existing policies, and outlines some of the key elements of the economic, social and technological context, including the impact of the COVID-19 pandemic, and the substantial global dimension of transport. In addition, it gives an overview of the key policy developments in the transport sector since the adoption of the 2011 White Paper on transport</w:t>
      </w:r>
      <w:r>
        <w:rPr>
          <w:rStyle w:val="FootnoteReference"/>
          <w:noProof/>
          <w:lang w:eastAsia="en-US"/>
        </w:rPr>
        <w:footnoteReference w:id="6"/>
      </w:r>
      <w:r>
        <w:rPr>
          <w:noProof/>
          <w:lang w:eastAsia="en-US"/>
        </w:rPr>
        <w:t>. Finally, this Staff Working Document provides a description of the pathways/scenarios for reaching the sustainability objectives for the sector, common to those supporting the 2030 Climate Target Plan</w:t>
      </w:r>
      <w:r>
        <w:rPr>
          <w:rStyle w:val="FootnoteReference"/>
          <w:noProof/>
          <w:lang w:eastAsia="en-US"/>
        </w:rPr>
        <w:footnoteReference w:id="7"/>
      </w:r>
      <w:r>
        <w:rPr>
          <w:noProof/>
          <w:lang w:eastAsia="en-US"/>
        </w:rPr>
        <w:t>.</w:t>
      </w:r>
    </w:p>
    <w:p>
      <w:pPr>
        <w:spacing w:after="0" w:line="240" w:lineRule="auto"/>
        <w:jc w:val="left"/>
        <w:rPr>
          <w:rStyle w:val="Heading1Char"/>
          <w:noProof/>
          <w:sz w:val="24"/>
        </w:rPr>
      </w:pPr>
      <w:r>
        <w:rPr>
          <w:rStyle w:val="Heading1Char"/>
          <w:noProof/>
          <w:sz w:val="24"/>
        </w:rPr>
        <w:br w:type="page"/>
      </w:r>
    </w:p>
    <w:p>
      <w:pPr>
        <w:pStyle w:val="Heading1"/>
        <w:rPr>
          <w:noProof/>
        </w:rPr>
      </w:pPr>
      <w:bookmarkStart w:id="106" w:name="_Toc51574773"/>
      <w:bookmarkStart w:id="107" w:name="_Toc51575621"/>
      <w:bookmarkStart w:id="108" w:name="_Toc51578008"/>
      <w:bookmarkStart w:id="109" w:name="_Toc51578476"/>
      <w:bookmarkStart w:id="110" w:name="_Toc51582892"/>
      <w:bookmarkStart w:id="111" w:name="_Toc51583367"/>
      <w:bookmarkStart w:id="112" w:name="_Toc51583362"/>
      <w:bookmarkStart w:id="113" w:name="_Toc51583742"/>
      <w:bookmarkStart w:id="114" w:name="_Toc51583932"/>
      <w:bookmarkStart w:id="115" w:name="_Toc51583856"/>
      <w:bookmarkStart w:id="116" w:name="_Toc51586174"/>
      <w:bookmarkStart w:id="117" w:name="_Toc51593814"/>
      <w:bookmarkStart w:id="118" w:name="_Toc51594303"/>
      <w:bookmarkStart w:id="119" w:name="_Toc51595281"/>
      <w:bookmarkStart w:id="120" w:name="_Toc51595531"/>
      <w:bookmarkStart w:id="121" w:name="_Toc51595857"/>
      <w:bookmarkStart w:id="122" w:name="_Toc51596020"/>
      <w:bookmarkStart w:id="123" w:name="_Toc51596373"/>
      <w:bookmarkStart w:id="124" w:name="_Toc52121507"/>
      <w:bookmarkStart w:id="125" w:name="_Toc52122738"/>
      <w:bookmarkStart w:id="126" w:name="_Toc52123855"/>
      <w:bookmarkStart w:id="127" w:name="_Toc53405310"/>
      <w:bookmarkStart w:id="128" w:name="_Toc53406100"/>
      <w:bookmarkStart w:id="129" w:name="_Toc53407466"/>
      <w:bookmarkStart w:id="130" w:name="_Toc53410913"/>
      <w:bookmarkStart w:id="131" w:name="_Toc53411976"/>
      <w:bookmarkStart w:id="132" w:name="_Toc53417223"/>
      <w:bookmarkStart w:id="133" w:name="_Toc53417575"/>
      <w:bookmarkStart w:id="134" w:name="_Toc53419810"/>
      <w:bookmarkStart w:id="135" w:name="_Toc53434913"/>
      <w:bookmarkStart w:id="136" w:name="_Toc53437053"/>
      <w:bookmarkStart w:id="137" w:name="_Toc57291460"/>
      <w:r>
        <w:rPr>
          <w:noProof/>
        </w:rPr>
        <w:t>European mobility and transport – where are we heading?</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pPr>
        <w:pStyle w:val="Heading2"/>
        <w:rPr>
          <w:noProof/>
        </w:rPr>
      </w:pPr>
      <w:bookmarkStart w:id="138" w:name="_Toc46312083"/>
      <w:bookmarkStart w:id="139" w:name="_Toc50044785"/>
      <w:bookmarkStart w:id="140" w:name="_Toc50048900"/>
      <w:bookmarkStart w:id="141" w:name="_Toc50415236"/>
      <w:bookmarkStart w:id="142" w:name="_Toc50416518"/>
      <w:bookmarkStart w:id="143" w:name="_Toc50417650"/>
      <w:bookmarkStart w:id="144" w:name="_Toc50418293"/>
      <w:bookmarkStart w:id="145" w:name="_Toc50459873"/>
      <w:bookmarkStart w:id="146" w:name="_Toc50466080"/>
      <w:bookmarkStart w:id="147" w:name="_Toc50473641"/>
      <w:bookmarkStart w:id="148" w:name="_Toc50474692"/>
      <w:bookmarkStart w:id="149" w:name="_Toc50565042"/>
      <w:bookmarkStart w:id="150" w:name="_Toc50568650"/>
      <w:bookmarkStart w:id="151" w:name="_Toc50629389"/>
      <w:bookmarkStart w:id="152" w:name="_Toc50630221"/>
      <w:bookmarkStart w:id="153" w:name="_Toc50630945"/>
      <w:bookmarkStart w:id="154" w:name="_Toc50633789"/>
      <w:bookmarkStart w:id="155" w:name="_Toc50634031"/>
      <w:bookmarkStart w:id="156" w:name="_Toc50646479"/>
      <w:bookmarkStart w:id="157" w:name="_Toc50646614"/>
      <w:bookmarkStart w:id="158" w:name="_Toc50649433"/>
      <w:bookmarkStart w:id="159" w:name="_Toc50650740"/>
      <w:bookmarkStart w:id="160" w:name="_Toc51582893"/>
      <w:bookmarkStart w:id="161" w:name="_Toc51583368"/>
      <w:bookmarkStart w:id="162" w:name="_Toc51583363"/>
      <w:bookmarkStart w:id="163" w:name="_Toc51583743"/>
      <w:bookmarkStart w:id="164" w:name="_Toc51583933"/>
      <w:bookmarkStart w:id="165" w:name="_Toc51583857"/>
      <w:bookmarkStart w:id="166" w:name="_Toc51574774"/>
      <w:bookmarkStart w:id="167" w:name="_Toc51575622"/>
      <w:bookmarkStart w:id="168" w:name="_Toc51578009"/>
      <w:bookmarkStart w:id="169" w:name="_Toc51578477"/>
      <w:bookmarkStart w:id="170" w:name="_Toc51586175"/>
      <w:bookmarkStart w:id="171" w:name="_Toc51593815"/>
      <w:bookmarkStart w:id="172" w:name="_Toc51594304"/>
      <w:bookmarkStart w:id="173" w:name="_Toc51595282"/>
      <w:bookmarkStart w:id="174" w:name="_Toc51595532"/>
      <w:bookmarkStart w:id="175" w:name="_Toc51595858"/>
      <w:bookmarkStart w:id="176" w:name="_Toc51596021"/>
      <w:bookmarkStart w:id="177" w:name="_Toc51596374"/>
      <w:bookmarkStart w:id="178" w:name="_Toc52121508"/>
      <w:bookmarkStart w:id="179" w:name="_Toc52122739"/>
      <w:bookmarkStart w:id="180" w:name="_Toc52123856"/>
      <w:bookmarkStart w:id="181" w:name="_Toc53405311"/>
      <w:bookmarkStart w:id="182" w:name="_Toc53406101"/>
      <w:bookmarkStart w:id="183" w:name="_Toc53407467"/>
      <w:bookmarkStart w:id="184" w:name="_Toc53410914"/>
      <w:bookmarkStart w:id="185" w:name="_Toc53411977"/>
      <w:bookmarkStart w:id="186" w:name="_Toc53417224"/>
      <w:bookmarkStart w:id="187" w:name="_Toc53417576"/>
      <w:bookmarkStart w:id="188" w:name="_Toc53419811"/>
      <w:bookmarkStart w:id="189" w:name="_Toc53434914"/>
      <w:bookmarkStart w:id="190" w:name="_Toc53437054"/>
      <w:bookmarkStart w:id="191" w:name="_Toc57291461"/>
      <w:bookmarkEnd w:id="84"/>
      <w:bookmarkEnd w:id="85"/>
      <w:bookmarkEnd w:id="86"/>
      <w:bookmarkEnd w:id="87"/>
      <w:r>
        <w:rPr>
          <w:noProof/>
        </w:rPr>
        <w:t>Identifying the greenhouse gas emissions gap for transport</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European Green Deal has set the key objective to deliver a 90% reduction in transport-related greenhouse gas (GHG) emissions by 2050 relative to 1990. This objective builds on the in-depth analysis accompanying “A Clean Planet for all - A European strategic long-term vision for a prosperous, modern, competitive and climate neutral economy”</w:t>
      </w:r>
      <w:r>
        <w:rPr>
          <w:rStyle w:val="FootnoteReference"/>
          <w:noProof/>
        </w:rPr>
        <w:footnoteReference w:id="8"/>
      </w:r>
      <w:r>
        <w:rPr>
          <w:noProof/>
          <w:vertAlign w:val="superscript"/>
        </w:rPr>
        <w:t>,</w:t>
      </w:r>
      <w:r>
        <w:rPr>
          <w:rStyle w:val="FootnoteReference"/>
          <w:noProof/>
        </w:rPr>
        <w:footnoteReference w:id="9"/>
      </w:r>
      <w:r>
        <w:rPr>
          <w:noProof/>
        </w:rPr>
        <w:t>. Transport excluding international maritime currently accounts for a quarter of all EU GHG emissions. Road transport alone represents around 20% of the total.</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Commission has undertaken an analysis exploring the impact of key EU level and Member States policies adopted by the end of 2019, in the so-called Baseline scenario. To ensure consistency, the same Baseline scenario is used as in the Impact assessment accompanying the Commission Communication “Stepping up Europe’s 2030 climate ambition - Investing in a climate-neutral future for the benefit of our people”</w:t>
      </w:r>
      <w:r>
        <w:rPr>
          <w:noProof/>
          <w:vertAlign w:val="superscript"/>
        </w:rPr>
        <w:footnoteReference w:id="10"/>
      </w:r>
      <w:r>
        <w:rPr>
          <w:noProof/>
        </w:rPr>
        <w:t>. The Baseline projections show that EU-27 transport emissions would go down over time, thanks to policies in place driving the roll out of zero- and low-emission vehicles and the recharging/refuelling infrastructure, the uptake of renewable and low carbon fuels and improvements in transport system efficiency. Emissions from transport including intra-EU aviation and intra-EU maritime are projected to be 18% lower by 2030 compared to 2005, and 40% lower by 2050 relative to 2005. Compared to 1990</w:t>
      </w:r>
      <w:r>
        <w:rPr>
          <w:rStyle w:val="FootnoteReference"/>
          <w:noProof/>
        </w:rPr>
        <w:footnoteReference w:id="11"/>
      </w:r>
      <w:r>
        <w:rPr>
          <w:noProof/>
        </w:rPr>
        <w:t xml:space="preserve"> however, this translates into 3% higher emissions by 2030 and only 25% lower emissions by 2050, due to high increases in transport emissions during the 1990s</w:t>
      </w:r>
      <w:r>
        <w:rPr>
          <w:rStyle w:val="FootnoteReference"/>
          <w:noProof/>
        </w:rPr>
        <w:footnoteReference w:id="12"/>
      </w:r>
      <w:r>
        <w:rPr>
          <w:noProof/>
        </w:rPr>
        <w:t xml:space="preserve">.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Building on the Baseline projections, </w:t>
      </w:r>
      <w:r>
        <w:rPr>
          <w:b/>
          <w:noProof/>
        </w:rPr>
        <w:t>several scenar</w:t>
      </w:r>
      <w:r>
        <w:rPr>
          <w:b/>
          <w:bCs/>
          <w:noProof/>
        </w:rPr>
        <w:t xml:space="preserve">ios have been developed </w:t>
      </w:r>
      <w:r>
        <w:rPr>
          <w:b/>
          <w:noProof/>
        </w:rPr>
        <w:t xml:space="preserve">for </w:t>
      </w:r>
      <w:r>
        <w:rPr>
          <w:b/>
          <w:bCs/>
          <w:noProof/>
        </w:rPr>
        <w:t>EU-27</w:t>
      </w:r>
      <w:r>
        <w:rPr>
          <w:b/>
          <w:noProof/>
        </w:rPr>
        <w:t xml:space="preserve"> in the context of the Impact Assessment accompanying the 2030 Climate Target Plan</w:t>
      </w:r>
      <w:r>
        <w:rPr>
          <w:noProof/>
        </w:rPr>
        <w:t xml:space="preserve"> for increasing the EU’s GHG emission reductions target for 2030 to at least 55% compared with 1990 levels. By 2030, these scenarios achieve increased climate ambition by intensification of current energy, transport and climate policies or extension of carbon pricing to new sectors of the economy or combination of both</w:t>
      </w:r>
      <w:r>
        <w:rPr>
          <w:rStyle w:val="FootnoteReference"/>
          <w:noProof/>
          <w:sz w:val="22"/>
          <w:szCs w:val="22"/>
        </w:rPr>
        <w:footnoteReference w:id="13"/>
      </w:r>
      <w:r>
        <w:rPr>
          <w:noProof/>
        </w:rPr>
        <w:t xml:space="preserve"> (see section 5). </w:t>
      </w:r>
      <w:r>
        <w:rPr>
          <w:b/>
          <w:noProof/>
        </w:rPr>
        <w:t>They all achieve climate neutrality by 2050</w:t>
      </w:r>
      <w:r>
        <w:rPr>
          <w:noProof/>
        </w:rPr>
        <w:t>. In addition, the scenarios explore different scopes for the emissions reduction target that is particularly relevant for international aviation and maritime transport: intra-EU versus intra- and extra-EU scope. The scenarios achieving economy-wide emissions reductions of at least 55% by 2030, show that transport emissions (including intra-EU aviation and intra-EU maritime) would need to decrease by 21-23% by 2030 relative to 2005 and 96-97% by 2050. This is equivalent in terms of the 1990 comparison to reducing transport emissions by 1-3% by 2030 and by around 94-96% by 2050</w:t>
      </w:r>
      <w:r>
        <w:rPr>
          <w:rStyle w:val="FootnoteReference"/>
          <w:noProof/>
        </w:rPr>
        <w:footnoteReference w:id="14"/>
      </w:r>
      <w:r>
        <w:rPr>
          <w:noProof/>
        </w:rPr>
        <w:t xml:space="preserve">.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Comparing developments under existing policies (i.e. the Baseline scenario, achieving 18% emissions reduction in transport by 2030 and 40% by 2050) with scenarios achieving economy-wide emissions reductions of at least 55% by 2030 and climate neutrality by 2050 (21-23% emissions reduction in transport by 2030 and 96-97% by 2050), shows that additional policies are needed post-2020 in order to close the gap, and provide a cost-effective transport contribution to the European Green Deal. While reducing its environmental footprint, increasing the uptake of renewable and low-carbon fuels and decreasing its GHG emissions, transport also needs under the Green Deal to continue to meet society's needs, and deliver on its zero pollution ambition by reducing its other negative environmental and health impacts. The analysis in section 5 shows how to close this emission gap by 2030 and 2050. Curbing GHG emissions from transport also reduces the EU's dependence on fossil fuels and brings clear co-benefits leading to reductions of costs related to air, water, soil pollution, road crashes, congestion and noise pollution. </w:t>
      </w:r>
    </w:p>
    <w:p>
      <w:pPr>
        <w:pStyle w:val="Heading2"/>
        <w:rPr>
          <w:noProof/>
        </w:rPr>
      </w:pPr>
      <w:bookmarkStart w:id="192" w:name="_Toc50044786"/>
      <w:bookmarkStart w:id="193" w:name="_Toc50048901"/>
      <w:bookmarkStart w:id="194" w:name="_Toc50415237"/>
      <w:bookmarkStart w:id="195" w:name="_Toc50416519"/>
      <w:bookmarkStart w:id="196" w:name="_Toc50417651"/>
      <w:bookmarkStart w:id="197" w:name="_Toc50418294"/>
      <w:bookmarkStart w:id="198" w:name="_Toc50459874"/>
      <w:bookmarkStart w:id="199" w:name="_Toc50466081"/>
      <w:bookmarkStart w:id="200" w:name="_Toc50473642"/>
      <w:bookmarkStart w:id="201" w:name="_Toc50474693"/>
      <w:bookmarkStart w:id="202" w:name="_Toc50565043"/>
      <w:bookmarkStart w:id="203" w:name="_Toc50568651"/>
      <w:bookmarkStart w:id="204" w:name="_Toc50629390"/>
      <w:bookmarkStart w:id="205" w:name="_Toc50630222"/>
      <w:bookmarkStart w:id="206" w:name="_Toc50630946"/>
      <w:bookmarkStart w:id="207" w:name="_Toc50633790"/>
      <w:bookmarkStart w:id="208" w:name="_Toc50634032"/>
      <w:bookmarkStart w:id="209" w:name="_Toc50646480"/>
      <w:bookmarkStart w:id="210" w:name="_Toc50646615"/>
      <w:bookmarkStart w:id="211" w:name="_Toc50649434"/>
      <w:bookmarkStart w:id="212" w:name="_Toc50650741"/>
      <w:bookmarkStart w:id="213" w:name="_Ref51259962"/>
      <w:bookmarkStart w:id="214" w:name="_Toc51574775"/>
      <w:bookmarkStart w:id="215" w:name="_Toc51575623"/>
      <w:bookmarkStart w:id="216" w:name="_Toc51578010"/>
      <w:bookmarkStart w:id="217" w:name="_Toc51578478"/>
      <w:bookmarkStart w:id="218" w:name="_Toc51582894"/>
      <w:bookmarkStart w:id="219" w:name="_Toc51583369"/>
      <w:bookmarkStart w:id="220" w:name="_Toc51583364"/>
      <w:bookmarkStart w:id="221" w:name="_Toc51583744"/>
      <w:bookmarkStart w:id="222" w:name="_Toc51583934"/>
      <w:bookmarkStart w:id="223" w:name="_Toc51583858"/>
      <w:bookmarkStart w:id="224" w:name="_Toc51586176"/>
      <w:bookmarkStart w:id="225" w:name="_Toc51593816"/>
      <w:bookmarkStart w:id="226" w:name="_Toc51594305"/>
      <w:bookmarkStart w:id="227" w:name="_Toc51595283"/>
      <w:bookmarkStart w:id="228" w:name="_Toc51595533"/>
      <w:bookmarkStart w:id="229" w:name="_Toc51595859"/>
      <w:bookmarkStart w:id="230" w:name="_Toc51596022"/>
      <w:bookmarkStart w:id="231" w:name="_Toc51596375"/>
      <w:bookmarkStart w:id="232" w:name="_Toc52121509"/>
      <w:bookmarkStart w:id="233" w:name="_Toc52122740"/>
      <w:bookmarkStart w:id="234" w:name="_Toc52123857"/>
      <w:bookmarkStart w:id="235" w:name="_Toc53405312"/>
      <w:bookmarkStart w:id="236" w:name="_Toc53406102"/>
      <w:bookmarkStart w:id="237" w:name="_Toc53407468"/>
      <w:bookmarkStart w:id="238" w:name="_Toc53410915"/>
      <w:bookmarkStart w:id="239" w:name="_Toc53411978"/>
      <w:bookmarkStart w:id="240" w:name="_Toc53417225"/>
      <w:bookmarkStart w:id="241" w:name="_Toc53417577"/>
      <w:bookmarkStart w:id="242" w:name="_Toc53419812"/>
      <w:bookmarkStart w:id="243" w:name="_Toc53434915"/>
      <w:bookmarkStart w:id="244" w:name="_Toc53437055"/>
      <w:bookmarkStart w:id="245" w:name="_Toc57291462"/>
      <w:r>
        <w:rPr>
          <w:noProof/>
        </w:rPr>
        <w:t>Developments under current policies</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Baseline scenario is developed building on a set of assumptions, including GDP and population projections, fuel prices projections and technology costs, as well as policies adopted by the end of 2019. It reflects a wealth of policy measures that drive: (i) the uptake of zero- and low-emission vehicles and the roll-out of recharging/refuelling infrastructure</w:t>
      </w:r>
      <w:r>
        <w:rPr>
          <w:rStyle w:val="FootnoteReference"/>
          <w:noProof/>
        </w:rPr>
        <w:footnoteReference w:id="15"/>
      </w:r>
      <w:r>
        <w:rPr>
          <w:noProof/>
        </w:rPr>
        <w:t>; (ii) the uptake of renewable and low carbon fuels</w:t>
      </w:r>
      <w:r>
        <w:rPr>
          <w:rStyle w:val="FootnoteReference"/>
          <w:noProof/>
        </w:rPr>
        <w:footnoteReference w:id="16"/>
      </w:r>
      <w:r>
        <w:rPr>
          <w:noProof/>
        </w:rPr>
        <w:t>; (iii) improvements in transport system efficiency - by making the most of digital technologies and smart pricing and further encouraging multi-modal integration and shifts towards more sustainable transport modes</w:t>
      </w:r>
      <w:r>
        <w:rPr>
          <w:rStyle w:val="FootnoteReference"/>
          <w:noProof/>
        </w:rPr>
        <w:footnoteReference w:id="17"/>
      </w:r>
      <w:r>
        <w:rPr>
          <w:noProof/>
        </w:rPr>
        <w:t>. It also includes initiatives addressing road safety</w:t>
      </w:r>
      <w:r>
        <w:rPr>
          <w:rStyle w:val="FootnoteReference"/>
          <w:noProof/>
        </w:rPr>
        <w:footnoteReference w:id="18"/>
      </w:r>
      <w:r>
        <w:rPr>
          <w:noProof/>
        </w:rPr>
        <w:t>, and thus contributing to reducing the external costs of transport.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For aviation, it takes account of the implementation of the EU Emission Trading Scheme, the Single European Sky, the deployment of SESAR solutions, the research and development of cleaner aircraft technologies lead by Clean Sky public-private partnership and aircraft CO</w:t>
      </w:r>
      <w:r>
        <w:rPr>
          <w:noProof/>
          <w:vertAlign w:val="subscript"/>
        </w:rPr>
        <w:t>2</w:t>
      </w:r>
      <w:r>
        <w:rPr>
          <w:noProof/>
        </w:rPr>
        <w:t xml:space="preserve"> emissions standards, as part of the so-called “basket of measures” that aim to reduce emissions from the sector.</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For maritime, the Baseline scenario reflects the Energy Efficiency Design Index (EEDI) and the Ship Energy Efficiency Management Plan (SEEMP) adopted by the International Maritime Organisation (IMO), as well as IMO MARPOL Annex VI rules as regards the reduction of nitrogen and sulphur oxides emissions, the latter being transposed into EU legislation by the Sulphur Directive</w:t>
      </w:r>
      <w:r>
        <w:rPr>
          <w:rStyle w:val="FootnoteReference"/>
          <w:noProof/>
        </w:rPr>
        <w:footnoteReference w:id="19"/>
      </w:r>
      <w:r>
        <w:rPr>
          <w:noProof/>
        </w:rPr>
        <w:t>. The baseline also accounts for other initiatives addressing air pollution from inland waterways vessels</w:t>
      </w:r>
      <w:r>
        <w:rPr>
          <w:rStyle w:val="FootnoteReference"/>
          <w:noProof/>
        </w:rPr>
        <w:footnoteReference w:id="20"/>
      </w:r>
      <w:r>
        <w:rPr>
          <w:noProof/>
        </w:rPr>
        <w: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The Baseline scenario is a projection of what would happen in the absence of policy change and not a forecast of likely future developments. It builds on pre-COVID-19 assumptions, which can be interpreted as assuming full economic recovery to pre-COVID-19 pandemic levels by 2030. There are large uncertainties related to the lengths of the pandemic and its impacts on economy and transport activity. Alternative growth scenarios could also materialise. A discussion of the impacts of COVID-19 pandemic and an alternative Baseline scenario reflecting the COVID-19 pandemic is provided in the following section. A full description of assumptions, including GDP and population projections, fuel prices projections and technology costs, as well as policies underpinning the Baseline scenario is provided in Annex I.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Significantly, even though the Baseline scenario fails to meet the climate challenge, </w:t>
      </w:r>
      <w:r>
        <w:rPr>
          <w:b/>
          <w:bCs/>
          <w:noProof/>
        </w:rPr>
        <w:t>EU transport activity</w:t>
      </w:r>
      <w:r>
        <w:rPr>
          <w:noProof/>
        </w:rPr>
        <w:t xml:space="preserve"> would also only continue to grow, albeit at a slower pace than in the past. Freight transport activity for inland modes (expressed in tonne-kilometres) would increase by just 33% between 2015 and 2030 (1.9% per year) and just 56% for 2015-2050 (1.3% per year). Passenger traffic (expressed in passenger-kilometres) growth would be even lower than for freight with a 19% increase by 2030 (1.2% per year) and 34% by 2050 (0.8% per year). The annual growth rates by mode, for passenger and freight transport, are provided in </w:t>
      </w:r>
      <w:r>
        <w:rPr>
          <w:noProof/>
        </w:rPr>
        <w:fldChar w:fldCharType="begin"/>
      </w:r>
      <w:r>
        <w:rPr>
          <w:noProof/>
          <w:szCs w:val="24"/>
        </w:rPr>
        <w:instrText xml:space="preserve"> REF _Ref452934831 \h  \* MERGEFORMAT </w:instrText>
      </w:r>
      <w:r>
        <w:rPr>
          <w:noProof/>
        </w:rPr>
      </w:r>
      <w:r>
        <w:rPr>
          <w:noProof/>
          <w:szCs w:val="24"/>
        </w:rPr>
        <w:fldChar w:fldCharType="separate"/>
      </w:r>
      <w:r>
        <w:rPr>
          <w:noProof/>
        </w:rPr>
        <w:t>Figure 2</w:t>
      </w:r>
      <w:r>
        <w:rPr>
          <w:noProof/>
        </w:rPr>
        <w:fldChar w:fldCharType="end"/>
      </w:r>
      <w:r>
        <w:rPr>
          <w:noProof/>
        </w:rPr>
        <w:t>.</w:t>
      </w:r>
    </w:p>
    <w:p>
      <w:pPr>
        <w:pStyle w:val="Caption"/>
        <w:keepNext/>
        <w:keepLines/>
        <w:jc w:val="center"/>
        <w:rPr>
          <w:i w:val="0"/>
          <w:noProof/>
        </w:rPr>
      </w:pPr>
      <w:bookmarkStart w:id="246" w:name="_Ref452934831"/>
      <w:bookmarkStart w:id="247" w:name="_Toc456532387"/>
      <w:bookmarkStart w:id="248" w:name="_Toc50417612"/>
      <w:bookmarkStart w:id="249" w:name="_Toc50418255"/>
      <w:bookmarkStart w:id="250" w:name="_Toc50473599"/>
      <w:bookmarkStart w:id="251" w:name="_Toc50474650"/>
      <w:bookmarkStart w:id="252" w:name="_Toc50630179"/>
      <w:bookmarkStart w:id="253" w:name="_Toc50630903"/>
      <w:bookmarkStart w:id="254" w:name="_Toc50633747"/>
      <w:bookmarkStart w:id="255" w:name="_Toc50633989"/>
      <w:bookmarkStart w:id="256" w:name="_Toc50646435"/>
      <w:bookmarkStart w:id="257" w:name="_Toc50646570"/>
      <w:bookmarkStart w:id="258" w:name="_Toc50649389"/>
      <w:bookmarkStart w:id="259" w:name="_Toc50650696"/>
      <w:bookmarkStart w:id="260" w:name="_Toc51593746"/>
      <w:bookmarkStart w:id="261" w:name="_Toc51595213"/>
      <w:bookmarkStart w:id="262" w:name="_Toc51595463"/>
      <w:bookmarkStart w:id="263" w:name="_Toc51595789"/>
      <w:bookmarkStart w:id="264" w:name="_Toc51595952"/>
      <w:bookmarkStart w:id="265" w:name="_Toc52121439"/>
      <w:bookmarkStart w:id="266" w:name="_Toc52122670"/>
      <w:bookmarkStart w:id="267" w:name="_Toc53405234"/>
      <w:bookmarkStart w:id="268" w:name="_Toc53406024"/>
      <w:bookmarkStart w:id="269" w:name="_Toc53407390"/>
      <w:bookmarkStart w:id="270" w:name="_Toc53410837"/>
      <w:bookmarkStart w:id="271" w:name="_Toc53411900"/>
      <w:bookmarkStart w:id="272" w:name="_Toc53417147"/>
      <w:bookmarkStart w:id="273" w:name="_Toc53417499"/>
      <w:bookmarkStart w:id="274" w:name="_Toc53419532"/>
      <w:bookmarkStart w:id="275" w:name="_Toc53434837"/>
      <w:bookmarkStart w:id="276" w:name="_Toc53436977"/>
      <w:bookmarkStart w:id="277" w:name="_Toc57291646"/>
      <w:r>
        <w:rPr>
          <w:i w:val="0"/>
          <w:noProof/>
        </w:rPr>
        <w:t xml:space="preserve">Figure </w:t>
      </w:r>
      <w:r>
        <w:rPr>
          <w:noProof/>
        </w:rPr>
        <w:fldChar w:fldCharType="begin"/>
      </w:r>
      <w:r>
        <w:rPr>
          <w:i w:val="0"/>
          <w:noProof/>
          <w:szCs w:val="22"/>
        </w:rPr>
        <w:instrText xml:space="preserve"> SEQ Figure \* ARABIC </w:instrText>
      </w:r>
      <w:r>
        <w:rPr>
          <w:i w:val="0"/>
          <w:noProof/>
          <w:szCs w:val="22"/>
        </w:rPr>
        <w:fldChar w:fldCharType="separate"/>
      </w:r>
      <w:r>
        <w:rPr>
          <w:i w:val="0"/>
          <w:noProof/>
          <w:szCs w:val="22"/>
        </w:rPr>
        <w:t>2</w:t>
      </w:r>
      <w:r>
        <w:rPr>
          <w:noProof/>
        </w:rPr>
        <w:fldChar w:fldCharType="end"/>
      </w:r>
      <w:bookmarkEnd w:id="246"/>
      <w:r>
        <w:rPr>
          <w:i w:val="0"/>
          <w:noProof/>
        </w:rPr>
        <w:t>: Passenger and freight transport activity in the Baseline scenario (average growth rate per year)</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pPr>
        <w:spacing w:after="0"/>
        <w:rPr>
          <w:noProof/>
        </w:rPr>
      </w:pPr>
      <w:r>
        <w:rPr>
          <w:noProof/>
        </w:rPr>
        <w:drawing>
          <wp:inline distT="0" distB="0" distL="0" distR="0">
            <wp:extent cx="2664000" cy="2606400"/>
            <wp:effectExtent l="0" t="0" r="3175" b="3810"/>
            <wp:docPr id="1939458926" name="Picture 19394589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64000" cy="2606400"/>
                    </a:xfrm>
                    <a:prstGeom prst="rect">
                      <a:avLst/>
                    </a:prstGeom>
                    <a:noFill/>
                    <a:ln>
                      <a:noFill/>
                    </a:ln>
                  </pic:spPr>
                </pic:pic>
              </a:graphicData>
            </a:graphic>
          </wp:inline>
        </w:drawing>
      </w:r>
      <w:r>
        <w:rPr>
          <w:noProof/>
        </w:rPr>
        <w:t xml:space="preserve"> </w:t>
      </w:r>
      <w:r>
        <w:rPr>
          <w:noProof/>
        </w:rPr>
        <w:drawing>
          <wp:inline distT="0" distB="0" distL="0" distR="0">
            <wp:extent cx="2664000" cy="2606400"/>
            <wp:effectExtent l="0" t="0" r="3175" b="3810"/>
            <wp:docPr id="1939458927" name="Picture 19394589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64000" cy="2606400"/>
                    </a:xfrm>
                    <a:prstGeom prst="rect">
                      <a:avLst/>
                    </a:prstGeom>
                    <a:noFill/>
                    <a:ln>
                      <a:noFill/>
                    </a:ln>
                  </pic:spPr>
                </pic:pic>
              </a:graphicData>
            </a:graphic>
          </wp:inline>
        </w:drawing>
      </w:r>
    </w:p>
    <w:p>
      <w:pPr>
        <w:keepNext/>
        <w:keepLines/>
        <w:autoSpaceDE w:val="0"/>
        <w:autoSpaceDN w:val="0"/>
        <w:adjustRightInd w:val="0"/>
        <w:spacing w:after="0"/>
        <w:rPr>
          <w:i/>
          <w:noProof/>
          <w:sz w:val="16"/>
          <w:lang w:val="it-IT"/>
        </w:rPr>
      </w:pPr>
      <w:r>
        <w:rPr>
          <w:i/>
          <w:noProof/>
          <w:sz w:val="16"/>
          <w:lang w:val="it-IT"/>
        </w:rPr>
        <w:t>Source: Baseline scenario, PRIMES-TREMOVE transport model (E3Modelling)</w:t>
      </w:r>
    </w:p>
    <w:p>
      <w:pPr>
        <w:keepNext/>
        <w:keepLines/>
        <w:autoSpaceDE w:val="0"/>
        <w:autoSpaceDN w:val="0"/>
        <w:adjustRightInd w:val="0"/>
        <w:rPr>
          <w:i/>
          <w:noProof/>
          <w:sz w:val="16"/>
          <w:szCs w:val="16"/>
        </w:rPr>
      </w:pPr>
      <w:r>
        <w:rPr>
          <w:i/>
          <w:iCs/>
          <w:noProof/>
          <w:sz w:val="16"/>
          <w:szCs w:val="16"/>
        </w:rPr>
        <w:t xml:space="preserve">Note: For aviation, domestic and international intra-EU activity is reported, to maintain the comparability with reported statistics. For freight, inland navigation transport covers inland waterways and national maritime. International maritime is reported separately.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Road transport would maintain its dominant role within the EU. The share of road transport in inland freight would remain relatively stable by 2030 at 71% and slightly decrease to 69% by 2050. For passenger transport, road modal share is projected to decrease by 3 percentage points between 2015 and 2030 and by additional 3 percentage points by 2050. Passenger cars would still contribute 70% of passenger traffic by 2030 and about two thirds by 2050, despite growing at lower pace relative to other modes, due to slowdown in car ownership increase which is close to saturation levels in many Western European Member States.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Rail transport activity is projected to grow significantly faster than for road, driven in particular by the assumed completion of the TEN-T core network by 2030 and of the comprehensive network by 2050, supported by the CEF, Cohesion Fund and ERDF funding. Passenger rail activity would go up by 32% between 2015 and 2030 (66% for 2015-2050), increasing its modal share by 1 percentage point by 2030 and an additional percentage point by 2050. Rail freight activity would grow by 40% by 2030 and 81% during 2015-2050, resulting in similar increases in modal share as for passenger rail by 2030 and two additional percentage points by 2050.</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Based on pre-COVID-19 pandemic assumptions, domestic and international intra-EU air transport would grow significantly (by 56% during 2015-2030 and 102% by 2050) and increase its share in overall transport demand (by 2 percentage points by 2030 and by additional 2 percentage points by 2050). Overall, aviation activity including intra-EU and extra-EU flights is projected to go up by 54% by 2030 and 101% by 2050, putting pressure on airports capacity and on air traffic management.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Transport activity of freight inland navigation</w:t>
      </w:r>
      <w:r>
        <w:rPr>
          <w:noProof/>
          <w:vertAlign w:val="superscript"/>
        </w:rPr>
        <w:footnoteReference w:id="21"/>
      </w:r>
      <w:r>
        <w:rPr>
          <w:noProof/>
        </w:rPr>
        <w:t xml:space="preserve"> also benefits from the completion of the TEN-T core and comprehensive network and the promotion of inland waterway transport and would grow by 19% during 2015-2030 and by 35% by 2050. The significant growth in freight inland navigation and rail freight activity is also supported by road pricing, the implementation of electronic documentation for freight transport and the European Maritime Single Window environment.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International maritime transport activity would grow strongly in the Baseline (by 23% between 2015 and 2030 and 54% by 2050), due to rising demand for primary resources and container shipping.  </w:t>
      </w:r>
    </w:p>
    <w:p>
      <w:pPr>
        <w:pStyle w:val="Caption"/>
        <w:keepNext/>
        <w:keepLines/>
        <w:jc w:val="center"/>
        <w:rPr>
          <w:i w:val="0"/>
          <w:noProof/>
        </w:rPr>
      </w:pPr>
      <w:bookmarkStart w:id="278" w:name="_Toc50417613"/>
      <w:bookmarkStart w:id="279" w:name="_Toc50418256"/>
      <w:bookmarkStart w:id="280" w:name="_Toc50473600"/>
      <w:bookmarkStart w:id="281" w:name="_Toc50474651"/>
      <w:bookmarkStart w:id="282" w:name="_Toc50630180"/>
      <w:bookmarkStart w:id="283" w:name="_Toc50630904"/>
      <w:bookmarkStart w:id="284" w:name="_Toc50633748"/>
      <w:bookmarkStart w:id="285" w:name="_Toc50633990"/>
      <w:bookmarkStart w:id="286" w:name="_Toc50646436"/>
      <w:bookmarkStart w:id="287" w:name="_Toc50646571"/>
      <w:bookmarkStart w:id="288" w:name="_Toc50649390"/>
      <w:bookmarkStart w:id="289" w:name="_Toc50650697"/>
      <w:bookmarkStart w:id="290" w:name="_Toc51593747"/>
      <w:bookmarkStart w:id="291" w:name="_Toc51595214"/>
      <w:bookmarkStart w:id="292" w:name="_Toc51595464"/>
      <w:bookmarkStart w:id="293" w:name="_Toc51595790"/>
      <w:bookmarkStart w:id="294" w:name="_Toc51595953"/>
      <w:bookmarkStart w:id="295" w:name="_Toc52121440"/>
      <w:bookmarkStart w:id="296" w:name="_Toc52122671"/>
      <w:bookmarkStart w:id="297" w:name="_Toc53405235"/>
      <w:bookmarkStart w:id="298" w:name="_Toc53406025"/>
      <w:bookmarkStart w:id="299" w:name="_Toc53407391"/>
      <w:bookmarkStart w:id="300" w:name="_Toc53410838"/>
      <w:bookmarkStart w:id="301" w:name="_Toc53411901"/>
      <w:bookmarkStart w:id="302" w:name="_Toc53417148"/>
      <w:bookmarkStart w:id="303" w:name="_Toc53417500"/>
      <w:bookmarkStart w:id="304" w:name="_Toc53419533"/>
      <w:bookmarkStart w:id="305" w:name="_Toc53434838"/>
      <w:bookmarkStart w:id="306" w:name="_Toc53436978"/>
      <w:bookmarkStart w:id="307" w:name="_Toc57291647"/>
      <w:r>
        <w:rPr>
          <w:i w:val="0"/>
          <w:noProof/>
        </w:rPr>
        <w:t xml:space="preserve">Figure </w:t>
      </w:r>
      <w:r>
        <w:rPr>
          <w:noProof/>
        </w:rPr>
        <w:fldChar w:fldCharType="begin"/>
      </w:r>
      <w:r>
        <w:rPr>
          <w:i w:val="0"/>
          <w:noProof/>
          <w:szCs w:val="22"/>
        </w:rPr>
        <w:instrText xml:space="preserve"> SEQ Figure \* ARABIC </w:instrText>
      </w:r>
      <w:r>
        <w:rPr>
          <w:i w:val="0"/>
          <w:noProof/>
          <w:szCs w:val="22"/>
        </w:rPr>
        <w:fldChar w:fldCharType="separate"/>
      </w:r>
      <w:r>
        <w:rPr>
          <w:i w:val="0"/>
          <w:noProof/>
          <w:szCs w:val="22"/>
        </w:rPr>
        <w:t>3</w:t>
      </w:r>
      <w:r>
        <w:rPr>
          <w:noProof/>
        </w:rPr>
        <w:fldChar w:fldCharType="end"/>
      </w:r>
      <w:r>
        <w:rPr>
          <w:i w:val="0"/>
          <w:noProof/>
        </w:rPr>
        <w:t>: Projected evolution of international maritime transport activity in the Baseline scenario</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pPr>
        <w:pStyle w:val="LegalNumPar"/>
        <w:keepNext/>
        <w:keepLines/>
        <w:pBdr>
          <w:top w:val="nil"/>
          <w:left w:val="nil"/>
          <w:bottom w:val="nil"/>
          <w:right w:val="nil"/>
          <w:between w:val="nil"/>
          <w:bar w:val="nil"/>
        </w:pBdr>
        <w:tabs>
          <w:tab w:val="left" w:pos="476"/>
        </w:tabs>
        <w:spacing w:line="240" w:lineRule="auto"/>
        <w:ind w:left="476"/>
        <w:jc w:val="center"/>
        <w:rPr>
          <w:noProof/>
        </w:rPr>
      </w:pPr>
      <w:r>
        <w:rPr>
          <w:noProof/>
        </w:rPr>
        <w:drawing>
          <wp:inline distT="0" distB="0" distL="0" distR="0">
            <wp:extent cx="4322445" cy="2883535"/>
            <wp:effectExtent l="0" t="0" r="1905" b="0"/>
            <wp:docPr id="40335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email">
                      <a:extLst>
                        <a:ext uri="{28A0092B-C50C-407E-A947-70E740481C1C}">
                          <a14:useLocalDpi xmlns:a14="http://schemas.microsoft.com/office/drawing/2010/main"/>
                        </a:ext>
                      </a:extLst>
                    </a:blip>
                    <a:stretch>
                      <a:fillRect/>
                    </a:stretch>
                  </pic:blipFill>
                  <pic:spPr>
                    <a:xfrm>
                      <a:off x="0" y="0"/>
                      <a:ext cx="4322445" cy="2883535"/>
                    </a:xfrm>
                    <a:prstGeom prst="rect">
                      <a:avLst/>
                    </a:prstGeom>
                  </pic:spPr>
                </pic:pic>
              </a:graphicData>
            </a:graphic>
          </wp:inline>
        </w:drawing>
      </w:r>
    </w:p>
    <w:p>
      <w:pPr>
        <w:keepNext/>
        <w:keepLines/>
        <w:autoSpaceDE w:val="0"/>
        <w:autoSpaceDN w:val="0"/>
        <w:adjustRightInd w:val="0"/>
        <w:spacing w:after="0"/>
        <w:rPr>
          <w:i/>
          <w:noProof/>
          <w:sz w:val="16"/>
          <w:szCs w:val="16"/>
          <w:lang w:val="it-IT"/>
        </w:rPr>
      </w:pPr>
      <w:r>
        <w:rPr>
          <w:i/>
          <w:noProof/>
          <w:sz w:val="16"/>
          <w:szCs w:val="16"/>
          <w:lang w:val="it-IT"/>
        </w:rPr>
        <w:t>Source: Baseline scenario, PRIMES-TREMOVE transport model (E3Modelling)</w:t>
      </w:r>
    </w:p>
    <w:p>
      <w:pPr>
        <w:keepNext/>
        <w:keepLines/>
        <w:autoSpaceDE w:val="0"/>
        <w:autoSpaceDN w:val="0"/>
        <w:adjustRightInd w:val="0"/>
        <w:spacing w:after="0"/>
        <w:rPr>
          <w:i/>
          <w:noProof/>
          <w:sz w:val="16"/>
          <w:szCs w:val="16"/>
          <w:lang w:val="it-IT"/>
        </w:rPr>
      </w:pPr>
    </w:p>
    <w:p>
      <w:pPr>
        <w:pStyle w:val="LegalNumPar"/>
        <w:numPr>
          <w:ilvl w:val="0"/>
          <w:numId w:val="89"/>
        </w:numPr>
        <w:pBdr>
          <w:top w:val="nil"/>
          <w:left w:val="nil"/>
          <w:bottom w:val="nil"/>
          <w:right w:val="nil"/>
          <w:between w:val="nil"/>
          <w:bar w:val="nil"/>
        </w:pBdr>
        <w:tabs>
          <w:tab w:val="left" w:pos="476"/>
        </w:tabs>
        <w:spacing w:line="240" w:lineRule="auto"/>
        <w:rPr>
          <w:noProof/>
        </w:rPr>
      </w:pPr>
      <w:r>
        <w:rPr>
          <w:b/>
          <w:bCs/>
          <w:noProof/>
        </w:rPr>
        <w:t>Total energy use in transport</w:t>
      </w:r>
      <w:r>
        <w:rPr>
          <w:noProof/>
        </w:rPr>
        <w:t>, including international aviation and international maritime, is projected to decrease by 3% between 2015 and 2030 and by 13% by 2050, which in the context of growing activity shows the projected progress in terms of energy efficiency. These developments are mainly driven by the implementation of the CO</w:t>
      </w:r>
      <w:r>
        <w:rPr>
          <w:noProof/>
          <w:vertAlign w:val="subscript"/>
        </w:rPr>
        <w:t>2</w:t>
      </w:r>
      <w:r>
        <w:rPr>
          <w:noProof/>
        </w:rPr>
        <w:t xml:space="preserve"> emission performance standards for new light duty and heavy duty vehicles post-2020, supported by the roll-out of recharging and refuelling infrastructure and also by the shift towards more energy efficient modes such as rail and waterborne transport. </w:t>
      </w:r>
    </w:p>
    <w:p>
      <w:pPr>
        <w:pStyle w:val="Caption"/>
        <w:keepNext/>
        <w:keepLines/>
        <w:jc w:val="center"/>
        <w:rPr>
          <w:i w:val="0"/>
          <w:noProof/>
        </w:rPr>
      </w:pPr>
      <w:bookmarkStart w:id="308" w:name="_Ref47547682"/>
      <w:bookmarkStart w:id="309" w:name="_Toc50417614"/>
      <w:bookmarkStart w:id="310" w:name="_Toc50418257"/>
      <w:bookmarkStart w:id="311" w:name="_Toc50473601"/>
      <w:bookmarkStart w:id="312" w:name="_Toc50474652"/>
      <w:bookmarkStart w:id="313" w:name="_Toc50630181"/>
      <w:bookmarkStart w:id="314" w:name="_Toc50630905"/>
      <w:bookmarkStart w:id="315" w:name="_Toc50633749"/>
      <w:bookmarkStart w:id="316" w:name="_Toc50633991"/>
      <w:bookmarkStart w:id="317" w:name="_Toc50646437"/>
      <w:bookmarkStart w:id="318" w:name="_Toc50646572"/>
      <w:bookmarkStart w:id="319" w:name="_Toc50649391"/>
      <w:bookmarkStart w:id="320" w:name="_Toc50650698"/>
      <w:bookmarkStart w:id="321" w:name="_Toc51593748"/>
      <w:bookmarkStart w:id="322" w:name="_Toc51595215"/>
      <w:bookmarkStart w:id="323" w:name="_Toc51595465"/>
      <w:bookmarkStart w:id="324" w:name="_Toc51595791"/>
      <w:bookmarkStart w:id="325" w:name="_Toc51595954"/>
      <w:bookmarkStart w:id="326" w:name="_Toc52121441"/>
      <w:bookmarkStart w:id="327" w:name="_Toc52122672"/>
      <w:bookmarkStart w:id="328" w:name="_Toc53405236"/>
      <w:bookmarkStart w:id="329" w:name="_Toc53406026"/>
      <w:bookmarkStart w:id="330" w:name="_Toc53407392"/>
      <w:bookmarkStart w:id="331" w:name="_Toc53410839"/>
      <w:bookmarkStart w:id="332" w:name="_Toc53411902"/>
      <w:bookmarkStart w:id="333" w:name="_Toc53417149"/>
      <w:bookmarkStart w:id="334" w:name="_Toc53417501"/>
      <w:bookmarkStart w:id="335" w:name="_Toc53419534"/>
      <w:bookmarkStart w:id="336" w:name="_Toc53434839"/>
      <w:bookmarkStart w:id="337" w:name="_Toc53436979"/>
      <w:bookmarkStart w:id="338" w:name="_Toc57291648"/>
      <w:r>
        <w:rPr>
          <w:i w:val="0"/>
          <w:noProof/>
        </w:rPr>
        <w:t xml:space="preserve">Figure </w:t>
      </w:r>
      <w:r>
        <w:rPr>
          <w:noProof/>
        </w:rPr>
        <w:fldChar w:fldCharType="begin"/>
      </w:r>
      <w:r>
        <w:rPr>
          <w:i w:val="0"/>
          <w:noProof/>
          <w:szCs w:val="22"/>
        </w:rPr>
        <w:instrText xml:space="preserve"> SEQ Figure \* ARABIC </w:instrText>
      </w:r>
      <w:r>
        <w:rPr>
          <w:i w:val="0"/>
          <w:noProof/>
          <w:szCs w:val="22"/>
        </w:rPr>
        <w:fldChar w:fldCharType="separate"/>
      </w:r>
      <w:r>
        <w:rPr>
          <w:i w:val="0"/>
          <w:noProof/>
          <w:szCs w:val="22"/>
        </w:rPr>
        <w:t>4</w:t>
      </w:r>
      <w:r>
        <w:rPr>
          <w:noProof/>
        </w:rPr>
        <w:fldChar w:fldCharType="end"/>
      </w:r>
      <w:bookmarkEnd w:id="308"/>
      <w:r>
        <w:rPr>
          <w:i w:val="0"/>
          <w:noProof/>
        </w:rPr>
        <w:t>: Projected evolution of energy consumption per transport mode in 2030 and 2050 relative to 2015 (% change) in the Baseline scenario</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pPr>
        <w:pStyle w:val="LegalNumPar"/>
        <w:keepNext/>
        <w:keepLines/>
        <w:pBdr>
          <w:top w:val="nil"/>
          <w:left w:val="nil"/>
          <w:bottom w:val="nil"/>
          <w:right w:val="nil"/>
          <w:between w:val="nil"/>
          <w:bar w:val="nil"/>
        </w:pBdr>
        <w:tabs>
          <w:tab w:val="left" w:pos="476"/>
        </w:tabs>
        <w:spacing w:after="0" w:line="240" w:lineRule="auto"/>
        <w:jc w:val="center"/>
        <w:rPr>
          <w:noProof/>
        </w:rPr>
      </w:pPr>
      <w:r>
        <w:rPr>
          <w:noProof/>
        </w:rPr>
        <w:drawing>
          <wp:inline distT="0" distB="0" distL="0" distR="0">
            <wp:extent cx="3602990" cy="2883535"/>
            <wp:effectExtent l="0" t="0" r="0" b="0"/>
            <wp:docPr id="7726723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cstate="email">
                      <a:extLst>
                        <a:ext uri="{28A0092B-C50C-407E-A947-70E740481C1C}">
                          <a14:useLocalDpi xmlns:a14="http://schemas.microsoft.com/office/drawing/2010/main"/>
                        </a:ext>
                      </a:extLst>
                    </a:blip>
                    <a:stretch>
                      <a:fillRect/>
                    </a:stretch>
                  </pic:blipFill>
                  <pic:spPr>
                    <a:xfrm>
                      <a:off x="0" y="0"/>
                      <a:ext cx="3602990" cy="2883535"/>
                    </a:xfrm>
                    <a:prstGeom prst="rect">
                      <a:avLst/>
                    </a:prstGeom>
                  </pic:spPr>
                </pic:pic>
              </a:graphicData>
            </a:graphic>
          </wp:inline>
        </w:drawing>
      </w:r>
    </w:p>
    <w:p>
      <w:pPr>
        <w:keepNext/>
        <w:keepLines/>
        <w:autoSpaceDE w:val="0"/>
        <w:autoSpaceDN w:val="0"/>
        <w:adjustRightInd w:val="0"/>
        <w:spacing w:after="0"/>
        <w:rPr>
          <w:i/>
          <w:noProof/>
          <w:sz w:val="16"/>
          <w:szCs w:val="16"/>
          <w:lang w:val="it-IT"/>
        </w:rPr>
      </w:pPr>
      <w:r>
        <w:rPr>
          <w:i/>
          <w:noProof/>
          <w:sz w:val="16"/>
          <w:szCs w:val="16"/>
          <w:lang w:val="it-IT"/>
        </w:rPr>
        <w:t>Source: Baseline scenario, PRIMES-TREMOVE transport model (E3Modelling)</w:t>
      </w:r>
    </w:p>
    <w:p>
      <w:pPr>
        <w:keepNext/>
        <w:keepLines/>
        <w:autoSpaceDE w:val="0"/>
        <w:autoSpaceDN w:val="0"/>
        <w:adjustRightInd w:val="0"/>
        <w:spacing w:after="0"/>
        <w:rPr>
          <w:i/>
          <w:noProof/>
          <w:sz w:val="16"/>
          <w:szCs w:val="16"/>
          <w:lang w:val="it-IT"/>
        </w:rPr>
      </w:pP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Road transport is responsible for more than 70% of total energy use in transport but this share is projected to significantly decline over time, to 68% by 2030 and 59% by 2050 thanks to the progressive electrification of the sector and greater use of more sustainable transport modes. On the other hand, use of bunker fuels for air and maritime transport are projected to increase significantly by 2050. Their respective shares would go up from around 12% to 14% for international maritime and 15% for international air transport in 2030 (19% for international maritime and 18% for international air transport in 2050). Energy use in rail and inland navigation transport would increase during 2015-2050 due to the shift from road towards these modes, and despite their higher energy efficiency. Their respective shares in the total energy use in transport would remain limited to around 2% by 2050.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b/>
          <w:bCs/>
          <w:noProof/>
        </w:rPr>
        <w:t>Alternative fuels</w:t>
      </w:r>
      <w:r>
        <w:rPr>
          <w:rStyle w:val="FootnoteReference"/>
          <w:noProof/>
        </w:rPr>
        <w:footnoteReference w:id="22"/>
      </w:r>
      <w:r>
        <w:rPr>
          <w:noProof/>
        </w:rPr>
        <w:t xml:space="preserve">, including renewable and low carbon fuels, are projected to represent 11.2% of transport energy demand (including international aviation and maritime transport) in the Baseline scenario by 2030 and 22.6% by 2050. Around 5% of all transport fuels in 2030 would be of biological origin, as shown in </w:t>
      </w:r>
      <w:r>
        <w:rPr>
          <w:noProof/>
        </w:rPr>
        <w:fldChar w:fldCharType="begin"/>
      </w:r>
      <w:r>
        <w:rPr>
          <w:noProof/>
          <w:szCs w:val="24"/>
        </w:rPr>
        <w:instrText xml:space="preserve"> REF _Ref47550549 \h  \* MERGEFORMAT </w:instrText>
      </w:r>
      <w:r>
        <w:rPr>
          <w:noProof/>
        </w:rPr>
      </w:r>
      <w:r>
        <w:rPr>
          <w:noProof/>
          <w:szCs w:val="24"/>
        </w:rPr>
        <w:fldChar w:fldCharType="separate"/>
      </w:r>
      <w:r>
        <w:rPr>
          <w:noProof/>
        </w:rPr>
        <w:t>Figure 5</w:t>
      </w:r>
      <w:r>
        <w:rPr>
          <w:noProof/>
        </w:rPr>
        <w:fldChar w:fldCharType="end"/>
      </w:r>
      <w:r>
        <w:rPr>
          <w:noProof/>
        </w:rPr>
        <w:t>, driven by policy measures and notably the Renewable Energy Directive.</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Electricity use in transport would steadily increase over time as a result of uptake of zero and low-emission powertrains in road transport and further electrification of rail. Its share in the total energy use in transport would go up from around 1.2% in 2015 to 3.4% in 2030 and 8.3% in 2050 (see </w:t>
      </w:r>
      <w:r>
        <w:rPr>
          <w:noProof/>
        </w:rPr>
        <w:fldChar w:fldCharType="begin"/>
      </w:r>
      <w:r>
        <w:rPr>
          <w:noProof/>
        </w:rPr>
        <w:instrText xml:space="preserve"> REF _Ref47550549 \h  \* MERGEFORMAT </w:instrText>
      </w:r>
      <w:r>
        <w:rPr>
          <w:noProof/>
        </w:rPr>
      </w:r>
      <w:r>
        <w:rPr>
          <w:noProof/>
        </w:rPr>
        <w:fldChar w:fldCharType="separate"/>
      </w:r>
      <w:r>
        <w:rPr>
          <w:noProof/>
        </w:rPr>
        <w:t xml:space="preserve">Figure </w:t>
      </w:r>
      <w:r>
        <w:rPr>
          <w:i/>
          <w:iCs/>
          <w:noProof/>
        </w:rPr>
        <w:t>5</w:t>
      </w:r>
      <w:r>
        <w:rPr>
          <w:noProof/>
        </w:rPr>
        <w:fldChar w:fldCharType="end"/>
      </w:r>
      <w:r>
        <w:rPr>
          <w:noProof/>
        </w:rPr>
        <w:t xml:space="preserve">). The uptake of hydrogen would be facilitated by the increased availability of refuelling infrastructure, and is projected to represent 2.4% of energy use in transport by 2050. </w:t>
      </w:r>
    </w:p>
    <w:p>
      <w:pPr>
        <w:pStyle w:val="Caption"/>
        <w:keepNext/>
        <w:keepLines/>
        <w:jc w:val="center"/>
        <w:rPr>
          <w:i w:val="0"/>
          <w:noProof/>
        </w:rPr>
      </w:pPr>
      <w:bookmarkStart w:id="339" w:name="_Ref47550549"/>
      <w:bookmarkStart w:id="340" w:name="_Toc50417615"/>
      <w:bookmarkStart w:id="341" w:name="_Toc50418258"/>
      <w:bookmarkStart w:id="342" w:name="_Toc50473602"/>
      <w:bookmarkStart w:id="343" w:name="_Toc50474653"/>
      <w:bookmarkStart w:id="344" w:name="_Toc50630182"/>
      <w:bookmarkStart w:id="345" w:name="_Toc50630906"/>
      <w:bookmarkStart w:id="346" w:name="_Toc50633750"/>
      <w:bookmarkStart w:id="347" w:name="_Toc50633992"/>
      <w:bookmarkStart w:id="348" w:name="_Toc50646438"/>
      <w:bookmarkStart w:id="349" w:name="_Toc50646573"/>
      <w:bookmarkStart w:id="350" w:name="_Toc50649392"/>
      <w:bookmarkStart w:id="351" w:name="_Toc50650699"/>
      <w:bookmarkStart w:id="352" w:name="_Toc51593749"/>
      <w:bookmarkStart w:id="353" w:name="_Toc51595216"/>
      <w:bookmarkStart w:id="354" w:name="_Toc51595466"/>
      <w:bookmarkStart w:id="355" w:name="_Toc51595792"/>
      <w:bookmarkStart w:id="356" w:name="_Toc51595955"/>
      <w:bookmarkStart w:id="357" w:name="_Toc52121442"/>
      <w:bookmarkStart w:id="358" w:name="_Toc52122673"/>
      <w:bookmarkStart w:id="359" w:name="_Toc53405237"/>
      <w:bookmarkStart w:id="360" w:name="_Toc53406027"/>
      <w:bookmarkStart w:id="361" w:name="_Toc53407393"/>
      <w:bookmarkStart w:id="362" w:name="_Toc53410840"/>
      <w:bookmarkStart w:id="363" w:name="_Toc53411903"/>
      <w:bookmarkStart w:id="364" w:name="_Toc53417150"/>
      <w:bookmarkStart w:id="365" w:name="_Toc53417502"/>
      <w:bookmarkStart w:id="366" w:name="_Toc53419535"/>
      <w:bookmarkStart w:id="367" w:name="_Toc53434840"/>
      <w:bookmarkStart w:id="368" w:name="_Toc53436980"/>
      <w:bookmarkStart w:id="369" w:name="_Toc57291649"/>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5</w:t>
      </w:r>
      <w:r>
        <w:rPr>
          <w:noProof/>
        </w:rPr>
        <w:fldChar w:fldCharType="end"/>
      </w:r>
      <w:bookmarkEnd w:id="339"/>
      <w:r>
        <w:rPr>
          <w:i w:val="0"/>
          <w:noProof/>
        </w:rPr>
        <w:t>: Share of alternative fuels used in transport (including international aviation and maritime) in the Baseline scenario</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pPr>
        <w:pStyle w:val="LegalNumPar"/>
        <w:keepNext/>
        <w:keepLines/>
        <w:pBdr>
          <w:top w:val="nil"/>
          <w:left w:val="nil"/>
          <w:bottom w:val="nil"/>
          <w:right w:val="nil"/>
          <w:between w:val="nil"/>
          <w:bar w:val="nil"/>
        </w:pBdr>
        <w:tabs>
          <w:tab w:val="left" w:pos="476"/>
        </w:tabs>
        <w:spacing w:after="0" w:line="240" w:lineRule="auto"/>
        <w:rPr>
          <w:noProof/>
        </w:rPr>
      </w:pPr>
      <w:r>
        <w:rPr>
          <w:noProof/>
        </w:rPr>
        <w:drawing>
          <wp:inline distT="0" distB="0" distL="0" distR="0">
            <wp:extent cx="5401310" cy="2877820"/>
            <wp:effectExtent l="0" t="0" r="8890" b="0"/>
            <wp:docPr id="19394589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email">
                      <a:extLst>
                        <a:ext uri="{28A0092B-C50C-407E-A947-70E740481C1C}">
                          <a14:useLocalDpi xmlns:a14="http://schemas.microsoft.com/office/drawing/2010/main"/>
                        </a:ext>
                      </a:extLst>
                    </a:blip>
                    <a:stretch>
                      <a:fillRect/>
                    </a:stretch>
                  </pic:blipFill>
                  <pic:spPr>
                    <a:xfrm>
                      <a:off x="0" y="0"/>
                      <a:ext cx="5401310" cy="2877820"/>
                    </a:xfrm>
                    <a:prstGeom prst="rect">
                      <a:avLst/>
                    </a:prstGeom>
                  </pic:spPr>
                </pic:pic>
              </a:graphicData>
            </a:graphic>
          </wp:inline>
        </w:drawing>
      </w:r>
    </w:p>
    <w:p>
      <w:pPr>
        <w:keepNext/>
        <w:keepLines/>
        <w:autoSpaceDE w:val="0"/>
        <w:autoSpaceDN w:val="0"/>
        <w:adjustRightInd w:val="0"/>
        <w:spacing w:after="0"/>
        <w:rPr>
          <w:i/>
          <w:noProof/>
          <w:sz w:val="16"/>
          <w:szCs w:val="16"/>
          <w:lang w:val="it-IT"/>
        </w:rPr>
      </w:pPr>
      <w:r>
        <w:rPr>
          <w:i/>
          <w:noProof/>
          <w:sz w:val="16"/>
          <w:szCs w:val="16"/>
          <w:lang w:val="it-IT"/>
        </w:rPr>
        <w:t>Source: Baseline scenario, PRIMES-TREMOVE transport model (E3Modelling)</w:t>
      </w:r>
    </w:p>
    <w:p>
      <w:pPr>
        <w:pStyle w:val="LegalNumPar"/>
        <w:pBdr>
          <w:top w:val="nil"/>
          <w:left w:val="nil"/>
          <w:bottom w:val="nil"/>
          <w:right w:val="nil"/>
          <w:between w:val="nil"/>
          <w:bar w:val="nil"/>
        </w:pBdr>
        <w:tabs>
          <w:tab w:val="left" w:pos="476"/>
        </w:tabs>
        <w:spacing w:after="0" w:line="240" w:lineRule="auto"/>
        <w:ind w:left="476"/>
        <w:rPr>
          <w:noProof/>
          <w:lang w:val="it-IT"/>
        </w:rPr>
      </w:pP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Battery electric vehicles would see faster growth beyond 2020, in particular in the segment of light duty vehicles, driven by the CO</w:t>
      </w:r>
      <w:r>
        <w:rPr>
          <w:noProof/>
          <w:vertAlign w:val="subscript"/>
        </w:rPr>
        <w:t>2</w:t>
      </w:r>
      <w:r>
        <w:rPr>
          <w:noProof/>
        </w:rPr>
        <w:t xml:space="preserve"> emission performance standards, supported by the rolling-out of recharging infrastructure. The share of battery electric vehicles in the total stock of passenger cars would reach around 11% by 2030 and 30% by 2050. The share of low and zero-emissions cars (including battery electric, fuel cells and plug-in hybrids) is projected to go up to 16% by 2030 and 54% by 2050. For the light commercial vehicles segment, the share of battery electric powertrains is projected at 6% by 2030 and 26% by 2050. Electric buses are projected to represent around 8% of the vehicle stock by 2030, driven by the implementation of the Clean Vehicles Directive and air quality concerns in many cities banning combustion engine buses, while the uptake of electric and fuel cell heavy goods vehicles is projected to be more limited in the Baseline scenario (3% of vehicle stock by 2050)</w:t>
      </w:r>
      <w:r>
        <w:rPr>
          <w:rStyle w:val="FootnoteReference"/>
          <w:noProof/>
        </w:rPr>
        <w:footnoteReference w:id="23"/>
      </w:r>
      <w:r>
        <w:rPr>
          <w:noProof/>
        </w:rPr>
        <w:t xml:space="preserve">.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Liquefied Natural Gas (LNG) is projected to represent around 2.7% of the energy use in transport by 2030 and 7.1% by 2050 in the Baseline scenario, driven by the implementation of the Directive on the deployment of alternative fuels infrastructure and of the Regulation on non-road mobile machinery, the TEN-T Regulation and also by the MARPOL Annex VI rules as regards the reduction of nitrogen and sulphur oxides emissions in the maritime transport. In the Baseline scenario, the share of LNG use in heavy goods vehicles energy demand is projected to go up to 6.8% by 2030 (12.9% by 2050) and for inland navigation to 3.7% by 2030 (8.3 by 2050). LNG would provide about 4.3% of maritime bunker fuels by 2030 and 17.1% by 2050 – especially in the segment of short sea shipping.</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b/>
          <w:bCs/>
          <w:noProof/>
        </w:rPr>
        <w:t>Oil products would still represent about 89% of the EU transport sector needs in 2030 and 77% in 2050</w:t>
      </w:r>
      <w:r>
        <w:rPr>
          <w:noProof/>
        </w:rPr>
        <w:t>, despite the current renewables policies, CO</w:t>
      </w:r>
      <w:r>
        <w:rPr>
          <w:noProof/>
          <w:vertAlign w:val="subscript"/>
        </w:rPr>
        <w:t>2</w:t>
      </w:r>
      <w:r>
        <w:rPr>
          <w:noProof/>
        </w:rPr>
        <w:t xml:space="preserve"> emission performance standards for new light duty and heavy goods vehicles, and the deployment of alternative fuels infrastructure which support some substitution effects towards alternative fuels such as biofuels and biomethane, electricity, hydrogen and natural gas.</w:t>
      </w:r>
    </w:p>
    <w:p>
      <w:pPr>
        <w:pStyle w:val="Caption"/>
        <w:keepNext/>
        <w:keepLines/>
        <w:jc w:val="center"/>
        <w:rPr>
          <w:i w:val="0"/>
          <w:noProof/>
        </w:rPr>
      </w:pPr>
      <w:bookmarkStart w:id="370" w:name="_Toc50417616"/>
      <w:bookmarkStart w:id="371" w:name="_Toc50418259"/>
      <w:bookmarkStart w:id="372" w:name="_Toc50473603"/>
      <w:bookmarkStart w:id="373" w:name="_Toc50474654"/>
      <w:bookmarkStart w:id="374" w:name="_Toc50630183"/>
      <w:bookmarkStart w:id="375" w:name="_Toc50630907"/>
      <w:bookmarkStart w:id="376" w:name="_Toc50633751"/>
      <w:bookmarkStart w:id="377" w:name="_Toc50633993"/>
      <w:bookmarkStart w:id="378" w:name="_Toc50646439"/>
      <w:bookmarkStart w:id="379" w:name="_Toc50646574"/>
      <w:bookmarkStart w:id="380" w:name="_Toc50649393"/>
      <w:bookmarkStart w:id="381" w:name="_Toc50650700"/>
      <w:bookmarkStart w:id="382" w:name="_Toc51593750"/>
      <w:bookmarkStart w:id="383" w:name="_Toc51595217"/>
      <w:bookmarkStart w:id="384" w:name="_Toc51595467"/>
      <w:bookmarkStart w:id="385" w:name="_Toc51595793"/>
      <w:bookmarkStart w:id="386" w:name="_Toc51595956"/>
      <w:bookmarkStart w:id="387" w:name="_Toc52121443"/>
      <w:bookmarkStart w:id="388" w:name="_Toc52122674"/>
      <w:bookmarkStart w:id="389" w:name="_Toc53405238"/>
      <w:bookmarkStart w:id="390" w:name="_Toc53406028"/>
      <w:bookmarkStart w:id="391" w:name="_Toc53407394"/>
      <w:bookmarkStart w:id="392" w:name="_Toc53410841"/>
      <w:bookmarkStart w:id="393" w:name="_Toc53411904"/>
      <w:bookmarkStart w:id="394" w:name="_Toc53417151"/>
      <w:bookmarkStart w:id="395" w:name="_Toc53417503"/>
      <w:bookmarkStart w:id="396" w:name="_Toc53419536"/>
      <w:bookmarkStart w:id="397" w:name="_Toc53434841"/>
      <w:bookmarkStart w:id="398" w:name="_Toc53436981"/>
      <w:bookmarkStart w:id="399" w:name="_Toc57291650"/>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6</w:t>
      </w:r>
      <w:r>
        <w:rPr>
          <w:noProof/>
        </w:rPr>
        <w:fldChar w:fldCharType="end"/>
      </w:r>
      <w:r>
        <w:rPr>
          <w:i w:val="0"/>
          <w:noProof/>
        </w:rPr>
        <w:t>: Fuels use in transport (including international aviation and maritime) in the Baseline scenario</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pPr>
        <w:pStyle w:val="LegalNumPar"/>
        <w:keepNext/>
        <w:keepLines/>
        <w:pBdr>
          <w:top w:val="nil"/>
          <w:left w:val="nil"/>
          <w:bottom w:val="nil"/>
          <w:right w:val="nil"/>
          <w:between w:val="nil"/>
          <w:bar w:val="nil"/>
        </w:pBdr>
        <w:tabs>
          <w:tab w:val="left" w:pos="476"/>
        </w:tabs>
        <w:spacing w:line="240" w:lineRule="auto"/>
        <w:jc w:val="center"/>
        <w:rPr>
          <w:noProof/>
        </w:rPr>
      </w:pPr>
      <w:r>
        <w:rPr>
          <w:noProof/>
        </w:rPr>
        <w:drawing>
          <wp:inline distT="0" distB="0" distL="0" distR="0">
            <wp:extent cx="5401310" cy="2877820"/>
            <wp:effectExtent l="0" t="0" r="8890" b="0"/>
            <wp:docPr id="17245906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cstate="email">
                      <a:extLst>
                        <a:ext uri="{28A0092B-C50C-407E-A947-70E740481C1C}">
                          <a14:useLocalDpi xmlns:a14="http://schemas.microsoft.com/office/drawing/2010/main"/>
                        </a:ext>
                      </a:extLst>
                    </a:blip>
                    <a:stretch>
                      <a:fillRect/>
                    </a:stretch>
                  </pic:blipFill>
                  <pic:spPr>
                    <a:xfrm>
                      <a:off x="0" y="0"/>
                      <a:ext cx="5401310" cy="2877820"/>
                    </a:xfrm>
                    <a:prstGeom prst="rect">
                      <a:avLst/>
                    </a:prstGeom>
                  </pic:spPr>
                </pic:pic>
              </a:graphicData>
            </a:graphic>
          </wp:inline>
        </w:drawing>
      </w:r>
    </w:p>
    <w:p>
      <w:pPr>
        <w:keepNext/>
        <w:keepLines/>
        <w:autoSpaceDE w:val="0"/>
        <w:autoSpaceDN w:val="0"/>
        <w:adjustRightInd w:val="0"/>
        <w:rPr>
          <w:i/>
          <w:noProof/>
          <w:sz w:val="16"/>
          <w:szCs w:val="16"/>
          <w:lang w:val="it-IT"/>
        </w:rPr>
      </w:pPr>
      <w:r>
        <w:rPr>
          <w:i/>
          <w:noProof/>
          <w:sz w:val="16"/>
          <w:szCs w:val="16"/>
          <w:lang w:val="it-IT"/>
        </w:rPr>
        <w:t>Source: Baseline scenario, PRIMES-TREMOVE transport model (E3Modelling)</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b/>
          <w:bCs/>
          <w:noProof/>
        </w:rPr>
        <w:t>CO</w:t>
      </w:r>
      <w:r>
        <w:rPr>
          <w:b/>
          <w:bCs/>
          <w:noProof/>
          <w:vertAlign w:val="subscript"/>
        </w:rPr>
        <w:t>2</w:t>
      </w:r>
      <w:r>
        <w:rPr>
          <w:b/>
          <w:bCs/>
          <w:noProof/>
        </w:rPr>
        <w:t xml:space="preserve"> emissions from transport</w:t>
      </w:r>
      <w:r>
        <w:rPr>
          <w:noProof/>
        </w:rPr>
        <w:t xml:space="preserve"> including international aviation but excluding international maritime, in line with the 2030 climate and energy policy framework, are projected to be 14% lower by 2030 compared to 2005, and 36% lower by 2050. Compared to 1990 however, this translates into 9% higher emissions by 2030 and only 18% lower emissions by 2050, due to high increases in transport emissions during the 1990s. When accounting the intra-EU aviation and intra-EU maritime in the transport emissions, the Baseline projections show reductions of 18% by 2030 and 40% by 2050 relative to 2005</w:t>
      </w:r>
      <w:r>
        <w:rPr>
          <w:rStyle w:val="FootnoteReference"/>
          <w:noProof/>
        </w:rPr>
        <w:footnoteReference w:id="24"/>
      </w:r>
      <w:r>
        <w:rPr>
          <w:noProof/>
        </w:rPr>
        <w:t xml:space="preserve">. This illustrates the significant emissions reduction gap to be closed by 2030 and 2050, to contribute to the 2030 Climate Target Plan and the European Green Deal objectives.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largest contribution to the projected decline in transport emissions between 2005 and 2050 is due to increased fuel efficiency of passenger cars and light commercial vehicles. Conversely, aviation has been one of the fastest growing sectors in terms of CO</w:t>
      </w:r>
      <w:r>
        <w:rPr>
          <w:noProof/>
          <w:vertAlign w:val="subscript"/>
        </w:rPr>
        <w:t>2</w:t>
      </w:r>
      <w:r>
        <w:rPr>
          <w:noProof/>
        </w:rPr>
        <w:t xml:space="preserve"> emissions over the past decades. Total CO</w:t>
      </w:r>
      <w:r>
        <w:rPr>
          <w:noProof/>
          <w:vertAlign w:val="subscript"/>
        </w:rPr>
        <w:t xml:space="preserve">2 </w:t>
      </w:r>
      <w:r>
        <w:rPr>
          <w:noProof/>
        </w:rPr>
        <w:t>emissions from flights departing from the EU-27 and domestic flights within the territory of a Member State of the EU-27 grew from around 112 million tonnes (Mt) in 2005 to 120 million tonnes in 2015, equal to a 7.6% increase. In the Baseline scenario, significant further growth is projected: 30% by 2050 relative to 2015, equivalent to 41% growth over the 2005-2050 period. Taken together however, the decline in passenger cars and light commercial vehicles emissions over the 2015-2050 horizon (of around 307 Mt) overcompensates the increase in emissions from the aviation sector (of around 36 Mt).</w:t>
      </w:r>
    </w:p>
    <w:p>
      <w:pPr>
        <w:pStyle w:val="Caption"/>
        <w:keepNext/>
        <w:keepLines/>
        <w:jc w:val="center"/>
        <w:rPr>
          <w:i w:val="0"/>
          <w:noProof/>
        </w:rPr>
      </w:pPr>
      <w:bookmarkStart w:id="400" w:name="_Ref47553899"/>
      <w:bookmarkStart w:id="401" w:name="_Toc50417617"/>
      <w:bookmarkStart w:id="402" w:name="_Toc50418260"/>
      <w:bookmarkStart w:id="403" w:name="_Toc50473604"/>
      <w:bookmarkStart w:id="404" w:name="_Toc50474655"/>
      <w:bookmarkStart w:id="405" w:name="_Toc50630184"/>
      <w:bookmarkStart w:id="406" w:name="_Toc50630908"/>
      <w:bookmarkStart w:id="407" w:name="_Toc50633752"/>
      <w:bookmarkStart w:id="408" w:name="_Toc50633994"/>
      <w:bookmarkStart w:id="409" w:name="_Toc50646440"/>
      <w:bookmarkStart w:id="410" w:name="_Toc50646575"/>
      <w:bookmarkStart w:id="411" w:name="_Toc50649394"/>
      <w:bookmarkStart w:id="412" w:name="_Toc50650701"/>
      <w:bookmarkStart w:id="413" w:name="_Toc51593751"/>
      <w:bookmarkStart w:id="414" w:name="_Toc51595218"/>
      <w:bookmarkStart w:id="415" w:name="_Toc51595468"/>
      <w:bookmarkStart w:id="416" w:name="_Toc51595794"/>
      <w:bookmarkStart w:id="417" w:name="_Toc51595957"/>
      <w:bookmarkStart w:id="418" w:name="_Toc52121444"/>
      <w:bookmarkStart w:id="419" w:name="_Toc52122675"/>
      <w:bookmarkStart w:id="420" w:name="_Toc53405239"/>
      <w:bookmarkStart w:id="421" w:name="_Toc53406029"/>
      <w:bookmarkStart w:id="422" w:name="_Toc53407395"/>
      <w:bookmarkStart w:id="423" w:name="_Toc53410842"/>
      <w:bookmarkStart w:id="424" w:name="_Toc53411905"/>
      <w:bookmarkStart w:id="425" w:name="_Toc53417152"/>
      <w:bookmarkStart w:id="426" w:name="_Toc53417504"/>
      <w:bookmarkStart w:id="427" w:name="_Toc53419537"/>
      <w:bookmarkStart w:id="428" w:name="_Toc53434842"/>
      <w:bookmarkStart w:id="429" w:name="_Toc53436982"/>
      <w:bookmarkStart w:id="430" w:name="_Toc57291651"/>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7</w:t>
      </w:r>
      <w:r>
        <w:rPr>
          <w:noProof/>
        </w:rPr>
        <w:fldChar w:fldCharType="end"/>
      </w:r>
      <w:bookmarkEnd w:id="400"/>
      <w:r>
        <w:rPr>
          <w:i w:val="0"/>
          <w:noProof/>
        </w:rPr>
        <w:t>: CO</w:t>
      </w:r>
      <w:r>
        <w:rPr>
          <w:i w:val="0"/>
          <w:noProof/>
          <w:vertAlign w:val="subscript"/>
        </w:rPr>
        <w:t>2</w:t>
      </w:r>
      <w:r>
        <w:rPr>
          <w:i w:val="0"/>
          <w:noProof/>
        </w:rPr>
        <w:t xml:space="preserve"> emissions from transport (including international aviation but excluding international maritime) in the Baseline scenario</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pPr>
        <w:pStyle w:val="LegalNumPar"/>
        <w:pBdr>
          <w:top w:val="nil"/>
          <w:left w:val="nil"/>
          <w:bottom w:val="nil"/>
          <w:right w:val="nil"/>
          <w:between w:val="nil"/>
          <w:bar w:val="nil"/>
        </w:pBdr>
        <w:tabs>
          <w:tab w:val="left" w:pos="476"/>
        </w:tabs>
        <w:spacing w:after="0" w:line="240" w:lineRule="auto"/>
        <w:jc w:val="center"/>
        <w:rPr>
          <w:noProof/>
        </w:rPr>
      </w:pPr>
      <w:r>
        <w:rPr>
          <w:noProof/>
        </w:rPr>
        <w:drawing>
          <wp:inline distT="0" distB="0" distL="0" distR="0">
            <wp:extent cx="5401310" cy="3243580"/>
            <wp:effectExtent l="0" t="0" r="8890" b="0"/>
            <wp:docPr id="9977095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cstate="email">
                      <a:extLst>
                        <a:ext uri="{28A0092B-C50C-407E-A947-70E740481C1C}">
                          <a14:useLocalDpi xmlns:a14="http://schemas.microsoft.com/office/drawing/2010/main"/>
                        </a:ext>
                      </a:extLst>
                    </a:blip>
                    <a:stretch>
                      <a:fillRect/>
                    </a:stretch>
                  </pic:blipFill>
                  <pic:spPr>
                    <a:xfrm>
                      <a:off x="0" y="0"/>
                      <a:ext cx="5401310" cy="3243580"/>
                    </a:xfrm>
                    <a:prstGeom prst="rect">
                      <a:avLst/>
                    </a:prstGeom>
                  </pic:spPr>
                </pic:pic>
              </a:graphicData>
            </a:graphic>
          </wp:inline>
        </w:drawing>
      </w:r>
    </w:p>
    <w:p>
      <w:pPr>
        <w:keepNext/>
        <w:keepLines/>
        <w:autoSpaceDE w:val="0"/>
        <w:autoSpaceDN w:val="0"/>
        <w:adjustRightInd w:val="0"/>
        <w:rPr>
          <w:i/>
          <w:noProof/>
          <w:sz w:val="16"/>
          <w:szCs w:val="16"/>
          <w:lang w:val="it-IT"/>
        </w:rPr>
      </w:pPr>
      <w:r>
        <w:rPr>
          <w:i/>
          <w:noProof/>
          <w:sz w:val="16"/>
          <w:szCs w:val="16"/>
          <w:lang w:val="it-IT"/>
        </w:rPr>
        <w:t>Source: Baseline scenario, PRIMES-TREMOVE transport model (E3Modelling)</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CO</w:t>
      </w:r>
      <w:r>
        <w:rPr>
          <w:noProof/>
          <w:vertAlign w:val="subscript"/>
        </w:rPr>
        <w:t>2</w:t>
      </w:r>
      <w:r>
        <w:rPr>
          <w:noProof/>
        </w:rPr>
        <w:t xml:space="preserve"> emissions from passenger transport decline by 39% in the Baseline by 2050 compared to 2005. The largest contribution comes from passenger cars, driven by vehicle efficiency standards, some uptake of renewable and low carbon fuels (mainly biofuels) and public procurement of clean vehicles supported by the recharging/refuelling infrastructure. CO</w:t>
      </w:r>
      <w:r>
        <w:rPr>
          <w:noProof/>
          <w:vertAlign w:val="subscript"/>
        </w:rPr>
        <w:t>2</w:t>
      </w:r>
      <w:r>
        <w:rPr>
          <w:noProof/>
        </w:rPr>
        <w:t xml:space="preserve"> emissions from freight transport go down by 27% between 2005 and 2050, driven by vehicle efficiency standards, some uptake of renewable and low carbon fuels and initiatives to improve the efficiency of the transport system - making the most of digital technologies and smart pricing and further encouraging multi-modal integration and shifts towards more sustainable transport modes.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CO</w:t>
      </w:r>
      <w:r>
        <w:rPr>
          <w:noProof/>
          <w:vertAlign w:val="subscript"/>
        </w:rPr>
        <w:t>2</w:t>
      </w:r>
      <w:r>
        <w:rPr>
          <w:noProof/>
        </w:rPr>
        <w:t xml:space="preserve"> emissions from international maritime have decreased by 17% between 2005 and 2015. In the Baseline scenario they are however projected to go up by 18% by 2030 relative to 2015 and by 39% by 2050. Relative to 2005, this is equivalent to a stabilisation of emissions by 2030 and 16% increase by 2050 which is not in line with the economy-wide climate neutrality objectives.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b/>
          <w:bCs/>
          <w:noProof/>
        </w:rPr>
        <w:t>NOx emissions</w:t>
      </w:r>
      <w:r>
        <w:rPr>
          <w:noProof/>
        </w:rPr>
        <w:t xml:space="preserve"> are projected to go down by 53% between 2015 and 2030 (69% by 2050), mainly driven by the electrification of the road transport and in particular of the light duty vehicles segment. The decline in </w:t>
      </w:r>
      <w:r>
        <w:rPr>
          <w:b/>
          <w:bCs/>
          <w:noProof/>
        </w:rPr>
        <w:t>particulate matter</w:t>
      </w:r>
      <w:r>
        <w:rPr>
          <w:noProof/>
        </w:rPr>
        <w:t xml:space="preserve"> (PM2.5) would be slightly lower by 2030 at 49% relative to 2015 (72% by 2050). Air quality issues represent a particular concern in urban areas. In the Baseline scenario NOx and PM2.5 emissions are projected to decrease at higher pace in urban relative to inter-urban areas (69% reduction in NOx emissions by 2030 and 60% for PM2.5 emissions), thanks to the use of more sustainable alternative modes, including active modes, and cleaner vehicles. Overall, external costs related to air pollutants would decrease by about 60% by 2030 (78% by 2050)</w:t>
      </w:r>
      <w:r>
        <w:rPr>
          <w:rStyle w:val="FootnoteReference"/>
          <w:noProof/>
        </w:rPr>
        <w:footnoteReference w:id="25"/>
      </w:r>
      <w:r>
        <w:rPr>
          <w:noProof/>
        </w:rPr>
        <w:t xml:space="preserve">.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b/>
          <w:bCs/>
          <w:noProof/>
        </w:rPr>
        <w:t xml:space="preserve">Congestion costs </w:t>
      </w:r>
      <w:r>
        <w:rPr>
          <w:noProof/>
        </w:rPr>
        <w:t>from transport</w:t>
      </w:r>
      <w:r>
        <w:rPr>
          <w:b/>
          <w:bCs/>
          <w:noProof/>
        </w:rPr>
        <w:t xml:space="preserve"> </w:t>
      </w:r>
      <w:r>
        <w:rPr>
          <w:noProof/>
        </w:rPr>
        <w:t xml:space="preserve">are projected to increase by about 19% by 2030 and 33% by 2050, relative to 2015. Congestion on the inter-urban network would be the result of growing freight transport activity along specific corridors, in particular where these corridors cross urban areas with heavy local traffic. Thanks to policies in place, </w:t>
      </w:r>
      <w:r>
        <w:rPr>
          <w:b/>
          <w:bCs/>
          <w:noProof/>
        </w:rPr>
        <w:t>external costs of accidents</w:t>
      </w:r>
      <w:r>
        <w:rPr>
          <w:noProof/>
        </w:rPr>
        <w:t xml:space="preserve"> are projected to go down by about 14% by 2030 (20% for 2015-2050). </w:t>
      </w:r>
    </w:p>
    <w:p>
      <w:pPr>
        <w:pStyle w:val="Heading2"/>
        <w:rPr>
          <w:noProof/>
        </w:rPr>
      </w:pPr>
      <w:bookmarkStart w:id="431" w:name="_Toc41304224"/>
      <w:bookmarkStart w:id="432" w:name="_Toc44674058"/>
      <w:bookmarkStart w:id="433" w:name="_Toc44674141"/>
      <w:bookmarkStart w:id="434" w:name="_Toc50415238"/>
      <w:bookmarkStart w:id="435" w:name="_Toc50416520"/>
      <w:bookmarkStart w:id="436" w:name="_Toc50417652"/>
      <w:bookmarkStart w:id="437" w:name="_Toc50418295"/>
      <w:bookmarkStart w:id="438" w:name="_Toc50459875"/>
      <w:bookmarkStart w:id="439" w:name="_Toc50466082"/>
      <w:bookmarkStart w:id="440" w:name="_Toc50473643"/>
      <w:bookmarkStart w:id="441" w:name="_Toc50474694"/>
      <w:bookmarkStart w:id="442" w:name="_Toc50565044"/>
      <w:bookmarkStart w:id="443" w:name="_Toc50568652"/>
      <w:bookmarkStart w:id="444" w:name="_Toc50629391"/>
      <w:bookmarkStart w:id="445" w:name="_Toc50630223"/>
      <w:bookmarkStart w:id="446" w:name="_Toc50630947"/>
      <w:bookmarkStart w:id="447" w:name="_Toc50633791"/>
      <w:bookmarkStart w:id="448" w:name="_Toc50634033"/>
      <w:bookmarkStart w:id="449" w:name="_Toc50646481"/>
      <w:bookmarkStart w:id="450" w:name="_Toc50646616"/>
      <w:bookmarkStart w:id="451" w:name="_Toc50649435"/>
      <w:bookmarkStart w:id="452" w:name="_Toc50650742"/>
      <w:bookmarkStart w:id="453" w:name="_Toc51574776"/>
      <w:bookmarkStart w:id="454" w:name="_Toc51575624"/>
      <w:bookmarkStart w:id="455" w:name="_Toc51578011"/>
      <w:bookmarkStart w:id="456" w:name="_Toc51578479"/>
      <w:bookmarkStart w:id="457" w:name="_Toc51582895"/>
      <w:bookmarkStart w:id="458" w:name="_Toc51583370"/>
      <w:bookmarkStart w:id="459" w:name="_Toc51583365"/>
      <w:bookmarkStart w:id="460" w:name="_Toc51583745"/>
      <w:bookmarkStart w:id="461" w:name="_Toc51583935"/>
      <w:bookmarkStart w:id="462" w:name="_Toc51583859"/>
      <w:bookmarkStart w:id="463" w:name="_Toc51586177"/>
      <w:bookmarkStart w:id="464" w:name="_Toc51593817"/>
      <w:bookmarkStart w:id="465" w:name="_Toc51594306"/>
      <w:bookmarkStart w:id="466" w:name="_Toc51595284"/>
      <w:bookmarkStart w:id="467" w:name="_Toc51595534"/>
      <w:bookmarkStart w:id="468" w:name="_Toc51595860"/>
      <w:bookmarkStart w:id="469" w:name="_Toc51596023"/>
      <w:bookmarkStart w:id="470" w:name="_Toc51596376"/>
      <w:bookmarkStart w:id="471" w:name="_Toc52121510"/>
      <w:bookmarkStart w:id="472" w:name="_Toc52122741"/>
      <w:bookmarkStart w:id="473" w:name="_Toc52123858"/>
      <w:bookmarkStart w:id="474" w:name="_Toc53405313"/>
      <w:bookmarkStart w:id="475" w:name="_Toc53406103"/>
      <w:bookmarkStart w:id="476" w:name="_Toc53407469"/>
      <w:bookmarkStart w:id="477" w:name="_Toc53410916"/>
      <w:bookmarkStart w:id="478" w:name="_Toc53411979"/>
      <w:bookmarkStart w:id="479" w:name="_Toc53417226"/>
      <w:bookmarkStart w:id="480" w:name="_Toc53417578"/>
      <w:bookmarkStart w:id="481" w:name="_Toc53419813"/>
      <w:bookmarkStart w:id="482" w:name="_Toc53434916"/>
      <w:bookmarkStart w:id="483" w:name="_Toc53437056"/>
      <w:bookmarkStart w:id="484" w:name="_Toc57291463"/>
      <w:bookmarkStart w:id="485" w:name="_Toc44674159"/>
      <w:bookmarkStart w:id="486" w:name="_Toc45271987"/>
      <w:bookmarkStart w:id="487" w:name="_Toc46312084"/>
      <w:bookmarkStart w:id="488" w:name="_Toc50044787"/>
      <w:bookmarkStart w:id="489" w:name="_Toc50048902"/>
      <w:bookmarkStart w:id="490" w:name="_Toc42703556"/>
      <w:bookmarkEnd w:id="431"/>
      <w:bookmarkEnd w:id="432"/>
      <w:bookmarkEnd w:id="433"/>
      <w:r>
        <w:rPr>
          <w:noProof/>
        </w:rPr>
        <w:t>Overall economic, social and technological trends</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pPr>
        <w:pStyle w:val="Heading3"/>
        <w:rPr>
          <w:noProof/>
        </w:rPr>
      </w:pPr>
      <w:bookmarkStart w:id="491" w:name="_Toc50415239"/>
      <w:bookmarkStart w:id="492" w:name="_Toc50416521"/>
      <w:bookmarkStart w:id="493" w:name="_Toc50417653"/>
      <w:bookmarkStart w:id="494" w:name="_Toc50418296"/>
      <w:bookmarkStart w:id="495" w:name="_Toc50459876"/>
      <w:bookmarkStart w:id="496" w:name="_Toc50466083"/>
      <w:bookmarkStart w:id="497" w:name="_Toc50473644"/>
      <w:bookmarkStart w:id="498" w:name="_Toc50474695"/>
      <w:bookmarkStart w:id="499" w:name="_Toc50565045"/>
      <w:bookmarkStart w:id="500" w:name="_Toc50568653"/>
      <w:bookmarkStart w:id="501" w:name="_Toc50629392"/>
      <w:bookmarkStart w:id="502" w:name="_Toc50630224"/>
      <w:bookmarkStart w:id="503" w:name="_Toc50630948"/>
      <w:bookmarkStart w:id="504" w:name="_Toc50633792"/>
      <w:bookmarkStart w:id="505" w:name="_Toc50634034"/>
      <w:bookmarkStart w:id="506" w:name="_Toc50646482"/>
      <w:bookmarkStart w:id="507" w:name="_Toc50646617"/>
      <w:bookmarkStart w:id="508" w:name="_Toc50649436"/>
      <w:bookmarkStart w:id="509" w:name="_Toc50650743"/>
      <w:bookmarkStart w:id="510" w:name="_Toc51574777"/>
      <w:bookmarkStart w:id="511" w:name="_Toc51575625"/>
      <w:bookmarkStart w:id="512" w:name="_Toc51578012"/>
      <w:bookmarkStart w:id="513" w:name="_Toc51578480"/>
      <w:bookmarkStart w:id="514" w:name="_Toc51582896"/>
      <w:bookmarkStart w:id="515" w:name="_Toc51583371"/>
      <w:bookmarkStart w:id="516" w:name="_Toc51583461"/>
      <w:bookmarkStart w:id="517" w:name="_Toc51583746"/>
      <w:bookmarkStart w:id="518" w:name="_Toc51583936"/>
      <w:bookmarkStart w:id="519" w:name="_Toc51583860"/>
      <w:bookmarkStart w:id="520" w:name="_Toc51586178"/>
      <w:bookmarkStart w:id="521" w:name="_Toc51593981"/>
      <w:bookmarkStart w:id="522" w:name="_Toc51594307"/>
      <w:bookmarkStart w:id="523" w:name="_Toc51595285"/>
      <w:bookmarkStart w:id="524" w:name="_Toc51595535"/>
      <w:bookmarkStart w:id="525" w:name="_Toc51595861"/>
      <w:bookmarkStart w:id="526" w:name="_Toc51596024"/>
      <w:bookmarkStart w:id="527" w:name="_Toc51596377"/>
      <w:bookmarkStart w:id="528" w:name="_Toc52121511"/>
      <w:bookmarkStart w:id="529" w:name="_Toc52122742"/>
      <w:bookmarkStart w:id="530" w:name="_Toc52123859"/>
      <w:bookmarkStart w:id="531" w:name="_Toc53405314"/>
      <w:bookmarkStart w:id="532" w:name="_Toc53406104"/>
      <w:bookmarkStart w:id="533" w:name="_Toc53407470"/>
      <w:bookmarkStart w:id="534" w:name="_Toc53410917"/>
      <w:bookmarkStart w:id="535" w:name="_Toc53411980"/>
      <w:bookmarkStart w:id="536" w:name="_Toc53417227"/>
      <w:bookmarkStart w:id="537" w:name="_Toc53417579"/>
      <w:bookmarkStart w:id="538" w:name="_Toc53419814"/>
      <w:bookmarkStart w:id="539" w:name="_Toc53434917"/>
      <w:bookmarkStart w:id="540" w:name="_Toc53437057"/>
      <w:bookmarkStart w:id="541" w:name="_Toc57291464"/>
      <w:r>
        <w:rPr>
          <w:noProof/>
        </w:rPr>
        <w:t>Economic context</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bookmarkEnd w:id="485"/>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Economic growth plays a central role in the development of transport demand, so the strong economic impact of the COVID-19 pandemic has had, and will continue to have, a major impact. It materialises through three main channels. First, the partial or full shut down of entire sectors, due to the measures enacted to contain contagion, has severely disrupted domestic production in most countries, as well as service sectors like transport and mobility. Second, the propagation of such disruptions along global value chains has impaired the functioning of the EU Single Market and of extra-EU supply chains. Third, the consequent loss of income is generating another sizeable shock, which feeds back through the demand side. If the situation is prolonged, financial strains will emerge and pose further barriers to recovery.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According to Eurostat data, compared with the same quarter of the previous year, in Q3 2020 the EU GDP decreased by 4.3 %, which represents a partial recovery after a decrease of 13.9 % in the previous quarter.  EU employment increased by 0.9 % compared to the previous quarter, but decreased by 1.8% compared to Q3 2019.</w:t>
      </w:r>
      <w:r>
        <w:rPr>
          <w:rStyle w:val="FootnoteReference"/>
          <w:noProof/>
        </w:rPr>
        <w:footnoteReference w:id="26"/>
      </w:r>
      <w:r>
        <w:rPr>
          <w:noProof/>
        </w:rPr>
        <w:t xml:space="preserve"> The Commission has published its Spring 2020 Economic Forecast for 2020-2021 for the EU-27 and at Member State level on 6 May.</w:t>
      </w:r>
      <w:r>
        <w:rPr>
          <w:rStyle w:val="FootnoteReference"/>
          <w:noProof/>
        </w:rPr>
        <w:footnoteReference w:id="27"/>
      </w:r>
      <w:r>
        <w:rPr>
          <w:noProof/>
        </w:rPr>
        <w:t xml:space="preserve"> The forecast shows that the euro area economy will contract by a record 7.8% in 2020 and grow by 6.3% in 2021. The EU-27 economy is forecast to contract by 7.5% in 2020 and grow by around 6% in 2021. Growth projections for the EU and the euro area have been revised downwards by around nine percentage points compared to the Autumn 2019 Economic Forecast.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Commission</w:t>
      </w:r>
      <w:r>
        <w:rPr>
          <w:rFonts w:eastAsia="Arial Unicode MS"/>
          <w:noProof/>
          <w:bdr w:val="nil"/>
          <w:lang w:eastAsia="en-US"/>
        </w:rPr>
        <w:t>‘s Autumn 2020 Economic Forecast for 2020-2022 was published on 5 November.</w:t>
      </w:r>
      <w:r>
        <w:rPr>
          <w:rFonts w:eastAsia="Arial Unicode MS"/>
          <w:noProof/>
          <w:bdr w:val="nil"/>
          <w:vertAlign w:val="superscript"/>
          <w:lang w:eastAsia="en-US"/>
        </w:rPr>
        <w:footnoteReference w:id="28"/>
      </w:r>
      <w:r>
        <w:rPr>
          <w:rFonts w:eastAsia="Arial Unicode MS"/>
          <w:noProof/>
          <w:bdr w:val="nil"/>
          <w:lang w:eastAsia="en-US"/>
        </w:rPr>
        <w:t xml:space="preserve"> It shows that the EU-27 GDP is forecast to contract by about 7.5% this year before rebounding by 4% in 2021, which is less than previously forecast, and by 3% in 2022. This implies that the output in the European economy would barely return to pre-pandemic levels in 2022.</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economic slowdown estimated in the Autumn 2020 Economic Forecast leaves its traces on households too.</w:t>
      </w:r>
      <w:r>
        <w:rPr>
          <w:rStyle w:val="FootnoteReference"/>
          <w:noProof/>
        </w:rPr>
        <w:footnoteReference w:id="29"/>
      </w:r>
      <w:r>
        <w:rPr>
          <w:noProof/>
        </w:rPr>
        <w:t xml:space="preserve"> Despite being protected by government measures, aggregate labour income is set to decrease in 2020 as many companies defer decisions about employing new staff, reduce working hours or staff numbers. Some segments of the workforce are likely to be affected more than others, with the incomes of lower-wage earners and younger cohorts showing larger vulnerability to downturns. All in all, both non-labour and labour incomes are expected to drag disposable incomes to a similar degree in 2020, while turning supportive again in both 2021 and 2022. The rise in unemployment in 2020 will likely be substantial, and the rate only contained to 7.7% thanks to the short-time work schemes that people across the EU have benefitted from, as well as by other support schemes to firms, workers and the self-employed.</w:t>
      </w:r>
      <w:r>
        <w:rPr>
          <w:rStyle w:val="FootnoteReference"/>
          <w:noProof/>
        </w:rPr>
        <w:footnoteReference w:id="30"/>
      </w:r>
      <w:r>
        <w:rPr>
          <w:noProof/>
        </w:rPr>
        <w:t xml:space="preserve"> The International Labour Organization (ILO) estimates the loss of working hours compared to the pre-crisis level in Europe at 11.8%.</w:t>
      </w:r>
      <w:r>
        <w:rPr>
          <w:rStyle w:val="FootnoteReference"/>
          <w:noProof/>
        </w:rPr>
        <w:footnoteReference w:id="31"/>
      </w:r>
      <w:r>
        <w:rPr>
          <w:noProof/>
        </w:rPr>
        <w:t xml:space="preserve"> Finally, a Eurofound survey finds that 38% of Europeans report their financial situation as worse than before the pandemic.</w:t>
      </w:r>
      <w:r>
        <w:rPr>
          <w:rStyle w:val="FootnoteReference"/>
          <w:noProof/>
        </w:rPr>
        <w:footnoteReference w:id="32"/>
      </w:r>
      <w:r>
        <w:rPr>
          <w:noProof/>
        </w:rPr>
        <w:t xml:space="preserve"> Close to half of households indicate they cannot make ends meet, and over half report they cannot maintain their standard of living for more than three months without an income. Just from the narrow perspective of the impact on the sector, this loss in household income is likely to aggravate the drop in tourism and passenger transport demand beyond the pandemic.</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As a large part of the world went into lockdown, fossil fuel prices collapsed with crude oil spot prices halved compared to last year levels. The oil price is projected to gradually recover over time, reaching USD 80/bbl in 2030 and USD 118/bbl in 2050. It is however projected to remain below the projected pre-COVID-19 pandemic levels.</w:t>
      </w:r>
      <w:r>
        <w:rPr>
          <w:rStyle w:val="FootnoteReference"/>
          <w:noProof/>
        </w:rPr>
        <w:footnoteReference w:id="33"/>
      </w:r>
      <w:r>
        <w:rPr>
          <w:noProof/>
        </w:rPr>
        <w:t xml:space="preserve"> The situation is still evolving, and it is currently not possible to understand the full impact of the unfolding pandemic. These estimates do not include the possibility of more negative outcomes (e.g. due to a second epidemic outbreak).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Drawing on Commission’s Spring 2020 Economic Forecast, it is estimated that real GDP could be about 2.3% lower compared to pre-COVID-19 pandemic projections by 2030. Based on the estimates for GDP and the fossil fuel prices projections, an alternative Baseline scenario (so-called COVID-Baseline scenario) has been developed with the PRIMES-GAINS modelling suite, to account for the impacts of the COVID-19 pandemic on transport activity. This shows lasting changes in the mobility trends by 2030 and 2050. The COVID-19 pandemic is projected to lead to lower total passenger transport activity of about 4% by 2030 and 2050 relative to the pre-COVID-19 pandemic situation, despite strong recovery starting in 2021. Air transport would be most affected, driven by the reduced business travel and more domestic tourism relative to the pre-COVID-19 pandemic situation. Less commuting and preference given to individual transport modes would also have an impact on rail and public transport activity. Road transport activity would be the least affected in the medium to long term. A comparison between the growth in transport activity, by transport mode, in the Baseline and the COVID-Baseline scenarios is provided in </w:t>
      </w:r>
      <w:r>
        <w:rPr>
          <w:noProof/>
        </w:rPr>
        <w:fldChar w:fldCharType="begin"/>
      </w:r>
      <w:r>
        <w:rPr>
          <w:noProof/>
          <w:szCs w:val="24"/>
        </w:rPr>
        <w:instrText xml:space="preserve"> REF _Ref50471055 \h  \* MERGEFORMAT </w:instrText>
      </w:r>
      <w:r>
        <w:rPr>
          <w:noProof/>
        </w:rPr>
      </w:r>
      <w:r>
        <w:rPr>
          <w:noProof/>
          <w:szCs w:val="24"/>
        </w:rPr>
        <w:fldChar w:fldCharType="separate"/>
      </w:r>
      <w:r>
        <w:rPr>
          <w:noProof/>
        </w:rPr>
        <w:t>Figure 8</w:t>
      </w:r>
      <w:r>
        <w:rPr>
          <w:noProof/>
        </w:rPr>
        <w:fldChar w:fldCharType="end"/>
      </w:r>
      <w:r>
        <w:rPr>
          <w:noProof/>
        </w:rPr>
        <w:t xml:space="preserve">.    </w:t>
      </w:r>
    </w:p>
    <w:p>
      <w:pPr>
        <w:pStyle w:val="Caption"/>
        <w:keepNext/>
        <w:keepLines/>
        <w:jc w:val="center"/>
        <w:rPr>
          <w:i w:val="0"/>
          <w:noProof/>
        </w:rPr>
      </w:pPr>
      <w:bookmarkStart w:id="542" w:name="_Ref50471055"/>
      <w:bookmarkStart w:id="543" w:name="_Toc50473605"/>
      <w:bookmarkStart w:id="544" w:name="_Toc50474656"/>
      <w:bookmarkStart w:id="545" w:name="_Toc50630185"/>
      <w:bookmarkStart w:id="546" w:name="_Toc50630909"/>
      <w:bookmarkStart w:id="547" w:name="_Toc50633753"/>
      <w:bookmarkStart w:id="548" w:name="_Toc50633995"/>
      <w:bookmarkStart w:id="549" w:name="_Toc50646441"/>
      <w:bookmarkStart w:id="550" w:name="_Toc50646576"/>
      <w:bookmarkStart w:id="551" w:name="_Toc50649395"/>
      <w:bookmarkStart w:id="552" w:name="_Toc50650702"/>
      <w:bookmarkStart w:id="553" w:name="_Toc51593752"/>
      <w:bookmarkStart w:id="554" w:name="_Toc51595219"/>
      <w:bookmarkStart w:id="555" w:name="_Toc51595469"/>
      <w:bookmarkStart w:id="556" w:name="_Toc51595795"/>
      <w:bookmarkStart w:id="557" w:name="_Toc51595958"/>
      <w:bookmarkStart w:id="558" w:name="_Toc52121445"/>
      <w:bookmarkStart w:id="559" w:name="_Toc52122676"/>
      <w:bookmarkStart w:id="560" w:name="_Toc53405240"/>
      <w:bookmarkStart w:id="561" w:name="_Toc53406030"/>
      <w:bookmarkStart w:id="562" w:name="_Toc53407396"/>
      <w:bookmarkStart w:id="563" w:name="_Toc53410843"/>
      <w:bookmarkStart w:id="564" w:name="_Toc53411906"/>
      <w:bookmarkStart w:id="565" w:name="_Toc53417153"/>
      <w:bookmarkStart w:id="566" w:name="_Toc53417505"/>
      <w:bookmarkStart w:id="567" w:name="_Toc53419538"/>
      <w:bookmarkStart w:id="568" w:name="_Toc53434843"/>
      <w:bookmarkStart w:id="569" w:name="_Toc53436983"/>
      <w:bookmarkStart w:id="570" w:name="_Toc57291652"/>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8</w:t>
      </w:r>
      <w:r>
        <w:rPr>
          <w:noProof/>
        </w:rPr>
        <w:fldChar w:fldCharType="end"/>
      </w:r>
      <w:bookmarkEnd w:id="542"/>
      <w:r>
        <w:rPr>
          <w:i w:val="0"/>
          <w:noProof/>
        </w:rPr>
        <w:t>: Passenger transport activity in the Baseline and the COVID-Baseline scenarios (cumulative growth rates for 2015-2030 and 2015-2050)</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pPr>
        <w:spacing w:after="0"/>
        <w:rPr>
          <w:noProof/>
          <w:lang w:val="it-IT"/>
        </w:rPr>
      </w:pPr>
      <w:r>
        <w:rPr>
          <w:noProof/>
        </w:rPr>
        <w:drawing>
          <wp:inline distT="0" distB="0" distL="0" distR="0">
            <wp:extent cx="2655570" cy="2512695"/>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655570" cy="2512695"/>
                    </a:xfrm>
                    <a:prstGeom prst="rect">
                      <a:avLst/>
                    </a:prstGeom>
                    <a:noFill/>
                    <a:ln>
                      <a:noFill/>
                    </a:ln>
                  </pic:spPr>
                </pic:pic>
              </a:graphicData>
            </a:graphic>
          </wp:inline>
        </w:drawing>
      </w:r>
      <w:r>
        <w:rPr>
          <w:noProof/>
          <w:lang w:val="it-IT"/>
        </w:rPr>
        <w:t xml:space="preserve"> </w:t>
      </w:r>
      <w:r>
        <w:rPr>
          <w:noProof/>
        </w:rPr>
        <w:drawing>
          <wp:inline distT="0" distB="0" distL="0" distR="0">
            <wp:extent cx="2639695" cy="2512695"/>
            <wp:effectExtent l="0" t="0" r="8255"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639695" cy="2512695"/>
                    </a:xfrm>
                    <a:prstGeom prst="rect">
                      <a:avLst/>
                    </a:prstGeom>
                    <a:noFill/>
                    <a:ln>
                      <a:noFill/>
                    </a:ln>
                  </pic:spPr>
                </pic:pic>
              </a:graphicData>
            </a:graphic>
          </wp:inline>
        </w:drawing>
      </w:r>
    </w:p>
    <w:p>
      <w:pPr>
        <w:keepNext/>
        <w:keepLines/>
        <w:autoSpaceDE w:val="0"/>
        <w:autoSpaceDN w:val="0"/>
        <w:adjustRightInd w:val="0"/>
        <w:spacing w:after="0"/>
        <w:rPr>
          <w:i/>
          <w:noProof/>
          <w:sz w:val="16"/>
          <w:szCs w:val="16"/>
          <w:lang w:val="it-IT"/>
        </w:rPr>
      </w:pPr>
      <w:r>
        <w:rPr>
          <w:i/>
          <w:noProof/>
          <w:sz w:val="16"/>
          <w:szCs w:val="16"/>
          <w:lang w:val="it-IT"/>
        </w:rPr>
        <w:t>Source: Baseline scenario, PRIMES-TREMOVE transport model (E3Modelling)</w:t>
      </w:r>
    </w:p>
    <w:p>
      <w:pPr>
        <w:keepNext/>
        <w:keepLines/>
        <w:autoSpaceDE w:val="0"/>
        <w:autoSpaceDN w:val="0"/>
        <w:adjustRightInd w:val="0"/>
        <w:spacing w:after="0"/>
        <w:rPr>
          <w:i/>
          <w:noProof/>
          <w:sz w:val="16"/>
          <w:szCs w:val="16"/>
          <w:lang w:val="it-IT"/>
        </w:rPr>
      </w:pP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growth of freight transport volumes tends to follow the rhythm of GDP growth. As a result of the economic crisis 2008-2009, the volume of freight transport in tonnes-kilometres in the EU-27 has dropped close to the level of 2000. Since 2010 it’s been recovering slowly and only reached pre-crisis levels in 2017. The volume of passenger-kilometres travelled in the EU-27 has grown quite steadily over the last ten years and picked up notably since 2014.</w:t>
      </w:r>
      <w:r>
        <w:rPr>
          <w:rStyle w:val="FootnoteReference"/>
          <w:noProof/>
        </w:rPr>
        <w:footnoteReference w:id="34"/>
      </w:r>
      <w:r>
        <w:rPr>
          <w:noProof/>
        </w:rPr>
        <w:t xml:space="preserve"> The recovery after the extreme drop of activity due to the COVID-19 pandemic is projected to take a longer period of time, until pre-pandemic transport volumes are reached again.</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The COVID-Baseline scenario projects lower contraction in the freight transport activity relative to the passenger transport activity. In the medium to long term, it also shows higher convergence to the pre-COVID-19 pandemic pace of growth compared to the passenger transport activity. By 2030 and 2050, total freight transport activity would be less than 3% below its projected pre-COVID-19 pandemic levels. Furthermore, the projections show that the pandemic would not induce significant changes in the modal shares relative to the pre-COVID-19 pandemic. A comparison between the growth in transport activity, by transport mode, in the Baseline and the COVID-Baseline scenarios is provided in </w:t>
      </w:r>
      <w:r>
        <w:rPr>
          <w:noProof/>
        </w:rPr>
        <w:fldChar w:fldCharType="begin"/>
      </w:r>
      <w:r>
        <w:rPr>
          <w:noProof/>
          <w:szCs w:val="24"/>
        </w:rPr>
        <w:instrText xml:space="preserve"> REF _Ref50471340 \h  \* MERGEFORMAT </w:instrText>
      </w:r>
      <w:r>
        <w:rPr>
          <w:noProof/>
        </w:rPr>
      </w:r>
      <w:r>
        <w:rPr>
          <w:noProof/>
          <w:szCs w:val="24"/>
        </w:rPr>
        <w:fldChar w:fldCharType="separate"/>
      </w:r>
      <w:r>
        <w:rPr>
          <w:noProof/>
        </w:rPr>
        <w:t>Figure 9</w:t>
      </w:r>
      <w:r>
        <w:rPr>
          <w:noProof/>
        </w:rPr>
        <w:fldChar w:fldCharType="end"/>
      </w:r>
      <w:r>
        <w:rPr>
          <w:noProof/>
        </w:rPr>
        <w:t xml:space="preserve">.    </w:t>
      </w:r>
    </w:p>
    <w:p>
      <w:pPr>
        <w:pStyle w:val="Caption"/>
        <w:keepNext/>
        <w:keepLines/>
        <w:jc w:val="center"/>
        <w:rPr>
          <w:i w:val="0"/>
          <w:noProof/>
        </w:rPr>
      </w:pPr>
      <w:bookmarkStart w:id="571" w:name="_Ref50471340"/>
      <w:bookmarkStart w:id="572" w:name="_Toc50473606"/>
      <w:bookmarkStart w:id="573" w:name="_Toc50474657"/>
      <w:bookmarkStart w:id="574" w:name="_Toc50630186"/>
      <w:bookmarkStart w:id="575" w:name="_Toc50630910"/>
      <w:bookmarkStart w:id="576" w:name="_Toc50633754"/>
      <w:bookmarkStart w:id="577" w:name="_Toc50633996"/>
      <w:bookmarkStart w:id="578" w:name="_Toc50646442"/>
      <w:bookmarkStart w:id="579" w:name="_Toc50646577"/>
      <w:bookmarkStart w:id="580" w:name="_Toc50649396"/>
      <w:bookmarkStart w:id="581" w:name="_Toc50650703"/>
      <w:bookmarkStart w:id="582" w:name="_Toc51593753"/>
      <w:bookmarkStart w:id="583" w:name="_Toc51595220"/>
      <w:bookmarkStart w:id="584" w:name="_Toc51595470"/>
      <w:bookmarkStart w:id="585" w:name="_Toc51595796"/>
      <w:bookmarkStart w:id="586" w:name="_Toc51595959"/>
      <w:bookmarkStart w:id="587" w:name="_Toc52121446"/>
      <w:bookmarkStart w:id="588" w:name="_Toc52122677"/>
      <w:bookmarkStart w:id="589" w:name="_Toc53405241"/>
      <w:bookmarkStart w:id="590" w:name="_Toc53406031"/>
      <w:bookmarkStart w:id="591" w:name="_Toc53407397"/>
      <w:bookmarkStart w:id="592" w:name="_Toc53410844"/>
      <w:bookmarkStart w:id="593" w:name="_Toc53411907"/>
      <w:bookmarkStart w:id="594" w:name="_Toc53417154"/>
      <w:bookmarkStart w:id="595" w:name="_Toc53417506"/>
      <w:bookmarkStart w:id="596" w:name="_Toc53419539"/>
      <w:bookmarkStart w:id="597" w:name="_Toc53434844"/>
      <w:bookmarkStart w:id="598" w:name="_Toc53436984"/>
      <w:bookmarkStart w:id="599" w:name="_Toc57291653"/>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9</w:t>
      </w:r>
      <w:r>
        <w:rPr>
          <w:noProof/>
        </w:rPr>
        <w:fldChar w:fldCharType="end"/>
      </w:r>
      <w:bookmarkEnd w:id="571"/>
      <w:r>
        <w:rPr>
          <w:i w:val="0"/>
          <w:noProof/>
        </w:rPr>
        <w:t>: Freight transport activity in the Baseline and COVID-Baseline scenarios (cumulative growth rates for 2015-2030 and 2015-2050)</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pPr>
        <w:spacing w:after="0"/>
        <w:rPr>
          <w:noProof/>
          <w:lang w:val="it-IT"/>
        </w:rPr>
      </w:pPr>
      <w:r>
        <w:rPr>
          <w:noProof/>
        </w:rPr>
        <w:drawing>
          <wp:inline distT="0" distB="0" distL="0" distR="0">
            <wp:extent cx="2536190" cy="26162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536190" cy="2616200"/>
                    </a:xfrm>
                    <a:prstGeom prst="rect">
                      <a:avLst/>
                    </a:prstGeom>
                    <a:noFill/>
                    <a:ln>
                      <a:noFill/>
                    </a:ln>
                  </pic:spPr>
                </pic:pic>
              </a:graphicData>
            </a:graphic>
          </wp:inline>
        </w:drawing>
      </w:r>
      <w:r>
        <w:rPr>
          <w:noProof/>
          <w:lang w:val="it-IT"/>
        </w:rPr>
        <w:t xml:space="preserve"> </w:t>
      </w:r>
      <w:r>
        <w:rPr>
          <w:noProof/>
        </w:rPr>
        <w:drawing>
          <wp:inline distT="0" distB="0" distL="0" distR="0">
            <wp:extent cx="2544445" cy="2607945"/>
            <wp:effectExtent l="0" t="0" r="8255" b="190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544445" cy="2607945"/>
                    </a:xfrm>
                    <a:prstGeom prst="rect">
                      <a:avLst/>
                    </a:prstGeom>
                    <a:noFill/>
                    <a:ln>
                      <a:noFill/>
                    </a:ln>
                  </pic:spPr>
                </pic:pic>
              </a:graphicData>
            </a:graphic>
          </wp:inline>
        </w:drawing>
      </w:r>
    </w:p>
    <w:p>
      <w:pPr>
        <w:keepNext/>
        <w:keepLines/>
        <w:autoSpaceDE w:val="0"/>
        <w:autoSpaceDN w:val="0"/>
        <w:adjustRightInd w:val="0"/>
        <w:rPr>
          <w:i/>
          <w:noProof/>
          <w:sz w:val="16"/>
          <w:szCs w:val="16"/>
          <w:lang w:val="it-IT"/>
        </w:rPr>
      </w:pPr>
      <w:r>
        <w:rPr>
          <w:i/>
          <w:noProof/>
          <w:sz w:val="16"/>
          <w:szCs w:val="16"/>
          <w:lang w:val="it-IT"/>
        </w:rPr>
        <w:t>Source: Baseline scenario, PRIMES-TREMOVE transport model (E3Modelling)</w:t>
      </w:r>
    </w:p>
    <w:p>
      <w:pPr>
        <w:pStyle w:val="LegalNumPar"/>
        <w:numPr>
          <w:ilvl w:val="0"/>
          <w:numId w:val="89"/>
        </w:numPr>
        <w:pBdr>
          <w:top w:val="nil"/>
          <w:left w:val="nil"/>
          <w:bottom w:val="nil"/>
          <w:right w:val="nil"/>
          <w:between w:val="nil"/>
          <w:bar w:val="nil"/>
        </w:pBdr>
        <w:tabs>
          <w:tab w:val="left" w:pos="476"/>
        </w:tabs>
        <w:spacing w:after="0" w:line="240" w:lineRule="auto"/>
        <w:rPr>
          <w:noProof/>
        </w:rPr>
      </w:pPr>
      <w:r>
        <w:rPr>
          <w:noProof/>
        </w:rPr>
        <w:t>The COVID-Baseline projections show that emissions from transport including international aviation but excluding international maritime would be 16% lower by 2030 compared to 2005, and 38% lower by 2050. Compared to 1990 however, this translates into 7% higher emissions by 2030 and only 21% lower emissions by 2050, due to high increases in transport emissions during the 1990s. A comparison between the changes in the CO</w:t>
      </w:r>
      <w:r>
        <w:rPr>
          <w:noProof/>
          <w:vertAlign w:val="subscript"/>
        </w:rPr>
        <w:t>2</w:t>
      </w:r>
      <w:r>
        <w:rPr>
          <w:noProof/>
        </w:rPr>
        <w:t xml:space="preserve"> emissions from transport relative to 2005 and to 1990, in the Baseline and the COVID-Baseline scenarios is provided in </w:t>
      </w:r>
      <w:r>
        <w:rPr>
          <w:noProof/>
        </w:rPr>
        <w:fldChar w:fldCharType="begin"/>
      </w:r>
      <w:r>
        <w:rPr>
          <w:noProof/>
          <w:szCs w:val="24"/>
        </w:rPr>
        <w:instrText xml:space="preserve"> REF _Ref50471525 \h  \* MERGEFORMAT </w:instrText>
      </w:r>
      <w:r>
        <w:rPr>
          <w:noProof/>
        </w:rPr>
      </w:r>
      <w:r>
        <w:rPr>
          <w:noProof/>
          <w:szCs w:val="24"/>
        </w:rPr>
        <w:fldChar w:fldCharType="separate"/>
      </w:r>
      <w:r>
        <w:rPr>
          <w:noProof/>
        </w:rPr>
        <w:t>Figure 10</w:t>
      </w:r>
      <w:r>
        <w:rPr>
          <w:noProof/>
        </w:rPr>
        <w:fldChar w:fldCharType="end"/>
      </w:r>
      <w:r>
        <w:rPr>
          <w:noProof/>
        </w:rPr>
        <w:t>. When accounting the intra-EU aviation and intra-EU maritime in the transport emissions, the COVID-Baseline projections show reductions of 19% by 2030 and 42% by 2050 relative to 2005. This shows that after the sharp decline in CO</w:t>
      </w:r>
      <w:r>
        <w:rPr>
          <w:noProof/>
          <w:vertAlign w:val="subscript"/>
        </w:rPr>
        <w:t>2</w:t>
      </w:r>
      <w:r>
        <w:rPr>
          <w:noProof/>
        </w:rPr>
        <w:t xml:space="preserve"> emissions during the COVID-19 pandemic, existing policies fall well short in delivering the transport contribution to CO</w:t>
      </w:r>
      <w:r>
        <w:rPr>
          <w:noProof/>
          <w:vertAlign w:val="subscript"/>
        </w:rPr>
        <w:t>2</w:t>
      </w:r>
      <w:r>
        <w:rPr>
          <w:noProof/>
        </w:rPr>
        <w:t xml:space="preserve"> reductions under the European Green Deal and the 2030 Climate Target Plan.    </w:t>
      </w:r>
    </w:p>
    <w:p>
      <w:pPr>
        <w:pStyle w:val="Caption"/>
        <w:keepNext/>
        <w:keepLines/>
        <w:spacing w:after="0"/>
        <w:jc w:val="center"/>
        <w:rPr>
          <w:i w:val="0"/>
          <w:noProof/>
        </w:rPr>
      </w:pPr>
      <w:bookmarkStart w:id="600" w:name="_Ref50471525"/>
      <w:bookmarkStart w:id="601" w:name="_Toc50473607"/>
      <w:bookmarkStart w:id="602" w:name="_Toc50474658"/>
      <w:bookmarkStart w:id="603" w:name="_Toc50630187"/>
      <w:bookmarkStart w:id="604" w:name="_Toc50630911"/>
      <w:bookmarkStart w:id="605" w:name="_Toc50633755"/>
      <w:bookmarkStart w:id="606" w:name="_Toc50633997"/>
      <w:bookmarkStart w:id="607" w:name="_Toc50646443"/>
      <w:bookmarkStart w:id="608" w:name="_Toc50646578"/>
      <w:bookmarkStart w:id="609" w:name="_Toc50649397"/>
      <w:bookmarkStart w:id="610" w:name="_Toc50650704"/>
      <w:bookmarkStart w:id="611" w:name="_Toc51593754"/>
      <w:bookmarkStart w:id="612" w:name="_Toc51595221"/>
      <w:bookmarkStart w:id="613" w:name="_Toc51595471"/>
      <w:bookmarkStart w:id="614" w:name="_Toc51595797"/>
      <w:bookmarkStart w:id="615" w:name="_Toc51595960"/>
      <w:bookmarkStart w:id="616" w:name="_Toc52121447"/>
      <w:bookmarkStart w:id="617" w:name="_Toc52122678"/>
      <w:bookmarkStart w:id="618" w:name="_Toc53405242"/>
      <w:bookmarkStart w:id="619" w:name="_Toc53406032"/>
      <w:bookmarkStart w:id="620" w:name="_Toc53407398"/>
      <w:bookmarkStart w:id="621" w:name="_Toc53410845"/>
      <w:bookmarkStart w:id="622" w:name="_Toc53411908"/>
      <w:bookmarkStart w:id="623" w:name="_Toc53417155"/>
      <w:bookmarkStart w:id="624" w:name="_Toc53417507"/>
      <w:bookmarkStart w:id="625" w:name="_Toc53419540"/>
      <w:bookmarkStart w:id="626" w:name="_Toc53434845"/>
      <w:bookmarkStart w:id="627" w:name="_Toc53436985"/>
      <w:bookmarkStart w:id="628" w:name="_Toc57291654"/>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10</w:t>
      </w:r>
      <w:r>
        <w:rPr>
          <w:noProof/>
        </w:rPr>
        <w:fldChar w:fldCharType="end"/>
      </w:r>
      <w:bookmarkEnd w:id="600"/>
      <w:r>
        <w:rPr>
          <w:i w:val="0"/>
          <w:noProof/>
        </w:rPr>
        <w:t>: CO</w:t>
      </w:r>
      <w:r>
        <w:rPr>
          <w:i w:val="0"/>
          <w:noProof/>
          <w:vertAlign w:val="subscript"/>
        </w:rPr>
        <w:t>2</w:t>
      </w:r>
      <w:r>
        <w:rPr>
          <w:i w:val="0"/>
          <w:noProof/>
        </w:rPr>
        <w:t xml:space="preserve"> emissions from transport (including international aviation but excluding international maritime) in the Baseline and COVID-Baseline scenarios</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pPr>
        <w:pStyle w:val="LegalNumPar"/>
        <w:pBdr>
          <w:top w:val="nil"/>
          <w:left w:val="nil"/>
          <w:bottom w:val="nil"/>
          <w:right w:val="nil"/>
          <w:between w:val="nil"/>
          <w:bar w:val="nil"/>
        </w:pBdr>
        <w:tabs>
          <w:tab w:val="left" w:pos="476"/>
        </w:tabs>
        <w:spacing w:after="0" w:line="240" w:lineRule="auto"/>
        <w:rPr>
          <w:noProof/>
        </w:rPr>
      </w:pPr>
      <w:r>
        <w:rPr>
          <w:noProof/>
        </w:rPr>
        <w:drawing>
          <wp:inline distT="0" distB="0" distL="0" distR="0">
            <wp:extent cx="2627630" cy="2517775"/>
            <wp:effectExtent l="0" t="0" r="1270" b="0"/>
            <wp:docPr id="18221180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cstate="email">
                      <a:extLst>
                        <a:ext uri="{28A0092B-C50C-407E-A947-70E740481C1C}">
                          <a14:useLocalDpi xmlns:a14="http://schemas.microsoft.com/office/drawing/2010/main"/>
                        </a:ext>
                      </a:extLst>
                    </a:blip>
                    <a:stretch>
                      <a:fillRect/>
                    </a:stretch>
                  </pic:blipFill>
                  <pic:spPr>
                    <a:xfrm>
                      <a:off x="0" y="0"/>
                      <a:ext cx="2627630" cy="2517775"/>
                    </a:xfrm>
                    <a:prstGeom prst="rect">
                      <a:avLst/>
                    </a:prstGeom>
                  </pic:spPr>
                </pic:pic>
              </a:graphicData>
            </a:graphic>
          </wp:inline>
        </w:drawing>
      </w:r>
      <w:r>
        <w:rPr>
          <w:noProof/>
        </w:rPr>
        <w:drawing>
          <wp:inline distT="0" distB="0" distL="0" distR="0">
            <wp:extent cx="2627630" cy="2524125"/>
            <wp:effectExtent l="0" t="0" r="1270" b="9525"/>
            <wp:docPr id="530687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cstate="email">
                      <a:extLst>
                        <a:ext uri="{28A0092B-C50C-407E-A947-70E740481C1C}">
                          <a14:useLocalDpi xmlns:a14="http://schemas.microsoft.com/office/drawing/2010/main"/>
                        </a:ext>
                      </a:extLst>
                    </a:blip>
                    <a:stretch>
                      <a:fillRect/>
                    </a:stretch>
                  </pic:blipFill>
                  <pic:spPr>
                    <a:xfrm>
                      <a:off x="0" y="0"/>
                      <a:ext cx="2627630" cy="2524125"/>
                    </a:xfrm>
                    <a:prstGeom prst="rect">
                      <a:avLst/>
                    </a:prstGeom>
                  </pic:spPr>
                </pic:pic>
              </a:graphicData>
            </a:graphic>
          </wp:inline>
        </w:drawing>
      </w:r>
    </w:p>
    <w:p>
      <w:pPr>
        <w:keepNext/>
        <w:keepLines/>
        <w:autoSpaceDE w:val="0"/>
        <w:autoSpaceDN w:val="0"/>
        <w:adjustRightInd w:val="0"/>
        <w:spacing w:after="0"/>
        <w:rPr>
          <w:i/>
          <w:noProof/>
          <w:sz w:val="16"/>
          <w:szCs w:val="16"/>
          <w:lang w:val="it-IT"/>
        </w:rPr>
      </w:pPr>
      <w:r>
        <w:rPr>
          <w:i/>
          <w:noProof/>
          <w:sz w:val="16"/>
          <w:szCs w:val="16"/>
          <w:lang w:val="it-IT"/>
        </w:rPr>
        <w:t>Source: Baseline scenario, PRIMES-TREMOVE transport model (E3Modelling)</w:t>
      </w:r>
    </w:p>
    <w:p>
      <w:pPr>
        <w:keepNext/>
        <w:keepLines/>
        <w:autoSpaceDE w:val="0"/>
        <w:autoSpaceDN w:val="0"/>
        <w:adjustRightInd w:val="0"/>
        <w:spacing w:after="0"/>
        <w:rPr>
          <w:i/>
          <w:noProof/>
          <w:sz w:val="16"/>
          <w:szCs w:val="16"/>
          <w:lang w:val="it-IT"/>
        </w:rPr>
      </w:pP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Trade is a main determinant for freight demand. The WTO estimates world trade volumes to fall by 13-32% in 2020. Almost all world regions are projected to suffer double-digit declines, but exports from Asia and North America may be hit the hardest. The WTO also considers that trade in services may be most directly impacted. A recovery in 2021 is expected, depending on the duration of the COVID-19 pandemic. Globally, road fuel use was down 11% for the year, jet fuel down 33% and all other fuels down 7% in April compared to the previous year, according to Rystad Energy.</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Before the COVID-19 pandemic, the OECD projected international trade to grow by 3.4% annually through 2030 and 3.2% annually through 2050.</w:t>
      </w:r>
      <w:r>
        <w:rPr>
          <w:rStyle w:val="FootnoteReference"/>
          <w:noProof/>
        </w:rPr>
        <w:footnoteReference w:id="35"/>
      </w:r>
      <w:r>
        <w:rPr>
          <w:noProof/>
        </w:rPr>
        <w:t xml:space="preserve"> After the previous economic crisis, though, international trade has grown modestly compared to growth rates prior to the 2008 economic downturn. This trend can be partly explained by cyclical factors in the wake of the downturn, but structural factors also play a role. Trade in services, for instance, increased from 23% to 30% between 2005 and 2017, the elasticity of trade to GDP has declined and the expansion of global value chains has begun to slow.</w:t>
      </w:r>
      <w:r>
        <w:rPr>
          <w:rStyle w:val="FootnoteReference"/>
          <w:noProof/>
        </w:rPr>
        <w:footnoteReference w:id="36"/>
      </w:r>
      <w:r>
        <w:rPr>
          <w:noProof/>
        </w:rPr>
        <w:t xml:space="preserve"> Therefore, it is difficult to compare the effects of the previous economic crisis on international trade to the likely effects of the crisis following the COVID-19 pandemic. The structural economic consequences of the latter are yet to be seen, also because international supply chains may be shortened in order to render them more robust against disruptions.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Politically, the environment for international trade development has become more uncertain with the rise of political movements in several countries that question trade liberalisation and advocate more protectionist trade policy measures. The widespread call for shorter supply chains and re-patriating value chains in the context of the COVID-19 pandemic might constitute another significant challenge for international trade flows in the near future.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WTO estimates that the direct economic effects of more protectionist trade policies have been modest to date but the uncertainty they generate may already be having an impact through reduced investment spending.</w:t>
      </w:r>
      <w:r>
        <w:rPr>
          <w:rStyle w:val="FootnoteReference"/>
          <w:noProof/>
        </w:rPr>
        <w:footnoteReference w:id="37"/>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Other risks identified by the WTO include developing and emerging economies experiencing capital outflows and financial contagion as interest rates may start to rise in developed countries, with negative consequences for trade. Geopolitical tensions could threaten resource supplies and upset production networks in certain regions. Finally, structural factors such as the rebalancing of the Chinese economy away from investment and toward consumption are still present and could weigh on import demand due to the high import content of investment.</w:t>
      </w:r>
      <w:r>
        <w:rPr>
          <w:rStyle w:val="FootnoteReference"/>
          <w:noProof/>
        </w:rPr>
        <w:footnoteReference w:id="38"/>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Commercial shipping could intensify in in light of the decrease of the extent of ice cover in the Artic Sea, which would shorten distances considerably from Asia to both Europe and North America.</w:t>
      </w:r>
      <w:r>
        <w:rPr>
          <w:rStyle w:val="FootnoteReference"/>
          <w:noProof/>
        </w:rPr>
        <w:footnoteReference w:id="39"/>
      </w:r>
      <w:r>
        <w:rPr>
          <w:noProof/>
        </w:rPr>
        <w:t xml:space="preserve"> Large transcontinental infrastructure projects may establish alternative routes between major trade partners in East Asia and Europe, while also increasing access to markets in Central Asia and other regions including Africa. This can have an impact on port activity and the way surface transport infrastructure is used. Some parts of current road, rail and river networks could experience major reductions in traffic while others would see sharp increases.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E-commerce has been steadily growing and is predicted to increase further, in particular now that under the lockdown a larger share of consumers got acquainted with buying online, and households re-assign some of their budgets away from holidays and towards home goods (e.g. home entertainment and home exercise).</w:t>
      </w:r>
      <w:r>
        <w:rPr>
          <w:rStyle w:val="FootnoteReference"/>
          <w:noProof/>
        </w:rPr>
        <w:footnoteReference w:id="40"/>
      </w:r>
      <w:r>
        <w:rPr>
          <w:noProof/>
        </w:rPr>
        <w:t xml:space="preserve"> Greater ease of purchase and returns can increase demand and foster a trend towards more individualised, small-scale deliveries, leading to more freight transport. To seize these the opportunities created by increase in demand for home deliveries, e-commerce and carriers have to adapt delivery scheduling systems, optimizing routing and managing in real time delivery volumes.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As regards long distance travel, the tourism sector</w:t>
      </w:r>
      <w:r>
        <w:rPr>
          <w:noProof/>
          <w:sz w:val="26"/>
          <w:szCs w:val="26"/>
          <w:vertAlign w:val="superscript"/>
          <w:lang w:eastAsia="en-US"/>
        </w:rPr>
        <w:footnoteReference w:id="41"/>
      </w:r>
      <w:r>
        <w:rPr>
          <w:noProof/>
          <w:lang w:eastAsia="en-US"/>
        </w:rPr>
        <w:t xml:space="preserve"> is one of the hardest-hit by the COVID-19 pandemic, with impacts on both travel supply and demand. Travel restrictions, flight cancellations and frequency reduction have significantly diminished the supply of travel services (both domestic and international), while demand continues to retract due to fears of contagion.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OECD data shows that the EU-27 recorded USD 430,481 million in travel receipts (exports) in 2018, representing almost 30% of worldwide figures.</w:t>
      </w:r>
      <w:r>
        <w:rPr>
          <w:noProof/>
          <w:vertAlign w:val="superscript"/>
          <w:lang w:eastAsia="en-US"/>
        </w:rPr>
        <w:footnoteReference w:id="42"/>
      </w:r>
      <w:r>
        <w:rPr>
          <w:noProof/>
          <w:vertAlign w:val="superscript"/>
          <w:lang w:eastAsia="en-US"/>
        </w:rPr>
        <w:t xml:space="preserve"> </w:t>
      </w:r>
      <w:r>
        <w:rPr>
          <w:noProof/>
          <w:lang w:eastAsia="en-US"/>
        </w:rPr>
        <w:t>Passenger transport was estimated at 17% of tourism exports in Europe in 2018, international tourism receipts (hotels, restaurants etc.) making up the other 83% according to UNWTO data.</w:t>
      </w:r>
      <w:r>
        <w:rPr>
          <w:noProof/>
          <w:vertAlign w:val="superscript"/>
          <w:lang w:eastAsia="en-US"/>
        </w:rPr>
        <w:footnoteReference w:id="43"/>
      </w:r>
      <w:r>
        <w:rPr>
          <w:noProof/>
          <w:vertAlign w:val="superscript"/>
          <w:lang w:eastAsia="en-US"/>
        </w:rPr>
        <w:t xml:space="preserve"> </w:t>
      </w:r>
      <w:r>
        <w:rPr>
          <w:noProof/>
          <w:lang w:eastAsia="en-US"/>
        </w:rPr>
        <w:t>According to the same source, 53% of international tourism trips in Europe were made by air transport, 40% by road, 4% by water and 3% by rail. It is expected that, depending on de-confinement strategies of each Member State, the share of each mode in tourism may substantively change in 2020 and possibly also in the near future.</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The OECD estimates a 60% decline in international tourism in 2020, possibly up to 80% if the recovery is delayed until December.</w:t>
      </w:r>
      <w:r>
        <w:rPr>
          <w:noProof/>
          <w:vertAlign w:val="superscript"/>
          <w:lang w:eastAsia="en-US"/>
        </w:rPr>
        <w:footnoteReference w:id="44"/>
      </w:r>
      <w:r>
        <w:rPr>
          <w:noProof/>
          <w:lang w:eastAsia="en-US"/>
        </w:rPr>
        <w:t xml:space="preserve"> The organisation expects domestic tourism – which represents over 75% of the sector in OECD countries, as well as EU tourism to be the first to register a rebound.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In May 2020, the UNWTO estimated that international tourism could decline by 60% to 80% in 2020 globally, depending on the speed of containment and the duration of travel restrictions as well as borders shutdown. The first quarter of 2020 experienced a decrease of 22% and USD 80 billion at global level, while Europe experienced a -19% of international tourist arrivals. Globally, this would translate into an estimated loss of USD 910 to 1,200 billion in international tourism receipts (exports) and 100 to 120 million jobs directly at risk. Recovery estimates remain mixed.</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Finally, economic activity is also closely interrelated with the dynamics of energy demand and the price of crude oil. The world oil price is not only an important cost factor for the transport sector, but it can also have an effect on the choice of transport mode (depending on the oil dependency of different modes) and innovation, for example by affecting the economic attractiveness of alternative fuels or energy efficiency measures.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Oil markets are going through a period of extraordinary change, in the short term because demand has vanished in the context of the COVID-19 pandemic. In the longer term, demand is shifting from developed economies and transport fuels to Asia and petrochemicals.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International Energy Agency (IEA) projects that, taking into account adopted and planned policies, world-wide oil use in passenger cars will peak in the late 2020s and during the 2030s demand will increase by only 0.1 million barrels/day on average each year. However there will be no definitive peak in oil use overall, as there are continued increases in petrochemicals, lorries and the shipping and aviation sectors. For Europe, IEA expects the total demand for crude oil to be 4 million barrel/day lower in 2040 than in 2018.</w:t>
      </w:r>
      <w:r>
        <w:rPr>
          <w:rStyle w:val="FootnoteReference"/>
          <w:noProof/>
        </w:rPr>
        <w:footnoteReference w:id="45"/>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However, the evolution of both oil demand and oil price will to a great extent depend on the economic growth cycles of the world economy and on the level of ambition with which more sustainable energy, climate and transport policies will be pursued.    </w:t>
      </w:r>
    </w:p>
    <w:p>
      <w:pPr>
        <w:pStyle w:val="Heading3"/>
        <w:rPr>
          <w:noProof/>
        </w:rPr>
      </w:pPr>
      <w:bookmarkStart w:id="629" w:name="_Toc50415240"/>
      <w:bookmarkStart w:id="630" w:name="_Toc50416522"/>
      <w:bookmarkStart w:id="631" w:name="_Toc50417654"/>
      <w:bookmarkStart w:id="632" w:name="_Toc50418297"/>
      <w:bookmarkStart w:id="633" w:name="_Toc50459877"/>
      <w:bookmarkStart w:id="634" w:name="_Toc50466084"/>
      <w:bookmarkStart w:id="635" w:name="_Toc50473645"/>
      <w:bookmarkStart w:id="636" w:name="_Toc50474696"/>
      <w:bookmarkStart w:id="637" w:name="_Toc50565046"/>
      <w:bookmarkStart w:id="638" w:name="_Toc50568654"/>
      <w:bookmarkStart w:id="639" w:name="_Toc50629393"/>
      <w:bookmarkStart w:id="640" w:name="_Toc50630225"/>
      <w:bookmarkStart w:id="641" w:name="_Toc50630949"/>
      <w:bookmarkStart w:id="642" w:name="_Toc50633793"/>
      <w:bookmarkStart w:id="643" w:name="_Toc50634035"/>
      <w:bookmarkStart w:id="644" w:name="_Toc50646483"/>
      <w:bookmarkStart w:id="645" w:name="_Toc50646618"/>
      <w:bookmarkStart w:id="646" w:name="_Toc50649437"/>
      <w:bookmarkStart w:id="647" w:name="_Toc50650744"/>
      <w:bookmarkStart w:id="648" w:name="_Toc51574778"/>
      <w:bookmarkStart w:id="649" w:name="_Toc51575626"/>
      <w:bookmarkStart w:id="650" w:name="_Toc51578013"/>
      <w:bookmarkStart w:id="651" w:name="_Toc51578481"/>
      <w:bookmarkStart w:id="652" w:name="_Toc51582897"/>
      <w:bookmarkStart w:id="653" w:name="_Toc51583372"/>
      <w:bookmarkStart w:id="654" w:name="_Toc51583462"/>
      <w:bookmarkStart w:id="655" w:name="_Toc51583747"/>
      <w:bookmarkStart w:id="656" w:name="_Toc51583937"/>
      <w:bookmarkStart w:id="657" w:name="_Toc51583861"/>
      <w:bookmarkStart w:id="658" w:name="_Toc51586179"/>
      <w:bookmarkStart w:id="659" w:name="_Toc51593982"/>
      <w:bookmarkStart w:id="660" w:name="_Toc51594308"/>
      <w:bookmarkStart w:id="661" w:name="_Toc51595286"/>
      <w:bookmarkStart w:id="662" w:name="_Toc51595536"/>
      <w:bookmarkStart w:id="663" w:name="_Toc51595862"/>
      <w:bookmarkStart w:id="664" w:name="_Toc51596025"/>
      <w:bookmarkStart w:id="665" w:name="_Toc51596378"/>
      <w:bookmarkStart w:id="666" w:name="_Toc52121512"/>
      <w:bookmarkStart w:id="667" w:name="_Toc52122743"/>
      <w:bookmarkStart w:id="668" w:name="_Toc52123860"/>
      <w:bookmarkStart w:id="669" w:name="_Toc53405315"/>
      <w:bookmarkStart w:id="670" w:name="_Toc53406105"/>
      <w:bookmarkStart w:id="671" w:name="_Toc53407471"/>
      <w:bookmarkStart w:id="672" w:name="_Toc53410918"/>
      <w:bookmarkStart w:id="673" w:name="_Toc53411981"/>
      <w:bookmarkStart w:id="674" w:name="_Toc53417228"/>
      <w:bookmarkStart w:id="675" w:name="_Toc53417580"/>
      <w:bookmarkStart w:id="676" w:name="_Toc53419815"/>
      <w:bookmarkStart w:id="677" w:name="_Toc53434918"/>
      <w:bookmarkStart w:id="678" w:name="_Toc53437058"/>
      <w:bookmarkStart w:id="679" w:name="_Toc57291465"/>
      <w:r>
        <w:rPr>
          <w:noProof/>
        </w:rPr>
        <w:t>Demographic trends</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pPr>
        <w:rPr>
          <w:noProof/>
        </w:rPr>
      </w:pPr>
      <w:r>
        <w:rPr>
          <w:i/>
          <w:iCs/>
          <w:noProof/>
          <w:sz w:val="24"/>
          <w:szCs w:val="24"/>
        </w:rPr>
        <w:t>Urbanisation</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Freight and passenger mobility demand also grows as global population expands, particularly in cities. Today in Europe, 74.9% of the population live in urban areas, compared to just over 50% in 1950, making Europe one of the most urbanised regions in the world. The growth of the urbanisation rate in Europe is expected to continue, with the proportion of the population residing in urban areas projected to reach 83.7% in 2050.</w:t>
      </w:r>
      <w:r>
        <w:rPr>
          <w:noProof/>
          <w:vertAlign w:val="superscript"/>
        </w:rPr>
        <w:footnoteReference w:id="46"/>
      </w:r>
      <w:r>
        <w:rPr>
          <w:noProof/>
        </w:rPr>
        <w:t xml:space="preserve"> It remains to be seen, whether the economic and social impacts of the COVID-19 pandemic on our societies will slow down this dominant long trend.</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Single person households without children increased by 18.7 % between 2010 and 2019 in the EU, so if this trend continues, the pattern of transport demand, particularly in urban areas, will change. During the last decade i.e. 2010-2019, the total number of households in the EU increased by 7.0 %. In 2019, the EU-27 recorded 195 million households with on average 2.3 members per household.</w:t>
      </w:r>
      <w:r>
        <w:rPr>
          <w:rStyle w:val="FootnoteReference"/>
          <w:noProof/>
        </w:rPr>
        <w:footnoteReference w:id="47"/>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Steady urbanisation means that the problems affecting many urban areas, such as congestion, air pollution, road crashes, noise and saturation of transport hubs are likely to get worse. Transport represents an important source of air pollution and is responsible for growing road congestion in cities. A growing number of cities implement vehicle access restriction in the urban areas (most often in the centres) to tackle increased noise, congestion and pollution, and improve safety (vulnerable road users such as pedestrians, cyclists and users of powered two-wheelers now account for 70% of road deaths in cities).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At the same time, passenger and freight transport volumes on the comprehensive and core TEN-T network are growing. However, missing links and poor connections, including between public transport and active modes of transport, remain the main challenges for integrating the urban nodes on the TEN-T network. They can also lead to bottlenecks and congestion at peak hour due to a lack of connectivity, and to a high degree of dependence on personal motorised transportation.</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Indeed, the capacity, availability, accessibility and affordability of public transport is an important overall issue for urban development, especially if the coverage and frequency of public transport network are insufficient, or if there are barriers to multi-modal solutions, such as the combination of private bike or car and public transport.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Walking and cycling, often referred to as active modes of transport, are certainly not new phenomena, but their importance in urban mobility has gained prominence in recent years as stand-alone transport mode and as part of a multi-modal transport solution. Given that almost half of all car trips in cities are of less than five kilometres, there is high potential for further expansion of active mobility, including in new fields, e.g. for freight transport via cargo-bikes and to connect cities with their surrounding areas via e-bikes. The importance of walking and cycling is gaining wider recognition, even more so since the COVID-19 pandemic. Pedestrian zones are being created or extended in various cities across Europe. Likewise, bike lanes are being rapidly developed and made permanent. Alternative low and zero solutions for freight and parcel delivery in urban areas are coming on stream. In addition, we observe a growing </w:t>
      </w:r>
      <w:r>
        <w:rPr>
          <w:noProof/>
          <w:color w:val="000000" w:themeColor="text1"/>
        </w:rPr>
        <w:t xml:space="preserve">interest by employers to (financially) support and motivate their staff to walk or cycle to work. </w:t>
      </w:r>
    </w:p>
    <w:p>
      <w:pPr>
        <w:rPr>
          <w:noProof/>
        </w:rPr>
      </w:pPr>
      <w:r>
        <w:rPr>
          <w:i/>
          <w:iCs/>
          <w:noProof/>
          <w:sz w:val="24"/>
          <w:szCs w:val="24"/>
        </w:rPr>
        <w:t xml:space="preserve">Ageing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Besides the relative growth of the share of the population living in urban areas, ageing societies in Europe represent another demographic trend that is likely to shape mobility patterns in the future. The demographic old-age dependency ratio (people aged 65 or above relative to those aged 15-64) is projected to increase significantly in the EU as a whole in the coming decades. From about 25% in 2010, it has risen to 29.6% in 2016 and it is projected to rise further, eventually reaching 51.2% in 2070. This implies that the EU would move from four working-age people for every person aged over 65 years in 2010 to around two working-age persons over the projection horizon.</w:t>
      </w:r>
      <w:r>
        <w:rPr>
          <w:rStyle w:val="FootnoteReference"/>
          <w:noProof/>
        </w:rPr>
        <w:footnoteReference w:id="48"/>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ageing of the population has a strong correlation with the number of persons with disabilities and reduced mobility. It is estimated that in the EU there are around 100 million persons with disabilities. Many of them have reduced mobility.</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ageing society will require more emphasis on accessibility, the provision of safe, secure, reliable and adaptable transport services featuring appropriate solutions for users with disabilities and reduced mobility. For instance, one can expect higher demand for door-to-door mobility and driver assistance solutions. Public transport providers will have to adapt to an increasing amount of passengers with disabilities and reduced mobility, requiring investments in barrier-free infrastructure and rolling stock. At the same time, for public expenditure a higher ratio of older people will imply that more public resources will have to be devoted to pension payments, health care and long-term care, which may lead to pressure on the amount of funding available to public transport and maintenance of transport infrastructure. This structural pressure on transport infrastructure investments can be aggravated by cyclical factors. In the wake of the financial crisis of 2008/09, the European Investment Bank (EIB) noted that infrastructure investment had been disproportionally hit as fiscal consolidation had been biased against capital expenditure, with prioritisation given to current expenditure such as social transfers to mitigate the immediate effects of the crisis.</w:t>
      </w:r>
      <w:r>
        <w:rPr>
          <w:rStyle w:val="FootnoteReference"/>
          <w:noProof/>
        </w:rPr>
        <w:footnoteReference w:id="49"/>
      </w:r>
      <w:r>
        <w:rPr>
          <w:noProof/>
        </w:rPr>
        <w:t xml:space="preserve"> This does not mean that social transfers would not have been concerned by fiscal consolidation measures, but fiscal consolidation after the crisis of 2008/09 has significantly reduced room for public investments.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picture of the demographic development in the EU can vary considerably from one region to another. Over the past 25 years, some of the Eastern European Member States have lost a large share of their population through a combination of low fertility and, most notably, sizeable emigration. Pre-existing economic disparities between Member States have encouraged many citizens to search for work in places other than their country of origin. These developments have likely been to the economic benefit of the EU as a whole, but not necessarily for all sending Member States. This contributes to slowing the convergence between Member States, and impacts areas such as transport infrastructure, education and even population ageing.</w:t>
      </w:r>
      <w:r>
        <w:rPr>
          <w:rStyle w:val="FootnoteReference"/>
          <w:noProof/>
        </w:rPr>
        <w:footnoteReference w:id="50"/>
      </w:r>
      <w:r>
        <w:rPr>
          <w:noProof/>
        </w:rPr>
        <w:t xml:space="preserve"> </w:t>
      </w:r>
      <w:r>
        <w:rPr>
          <w:rFonts w:cs="EC Square Sans Pro"/>
          <w:noProof/>
          <w:color w:val="000000" w:themeColor="text1"/>
        </w:rPr>
        <w:t xml:space="preserve">Intra-EU mobility has the biggest impact on the past and projected population change in the eastern Member States, where it exacerbates their population decline.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Our ageing society has not only an effect on the ‘demand’ side of transport, but also on the ‘supply’ side. For instance, in inland waterway transport, where – especially on the Rhine – most enterprises are family owned and family operated SMEs, the aging of the entrepreneur/crew is a major challenge, as young people seem to be less interested to pursue this profession, which requires living on the barge.</w:t>
      </w:r>
    </w:p>
    <w:p>
      <w:pPr>
        <w:pStyle w:val="LegalNumPar"/>
        <w:numPr>
          <w:ilvl w:val="0"/>
          <w:numId w:val="89"/>
        </w:numPr>
        <w:pBdr>
          <w:top w:val="nil"/>
          <w:left w:val="nil"/>
          <w:bottom w:val="nil"/>
          <w:right w:val="nil"/>
          <w:between w:val="nil"/>
          <w:bar w:val="nil"/>
        </w:pBdr>
        <w:tabs>
          <w:tab w:val="left" w:pos="476"/>
        </w:tabs>
        <w:spacing w:after="0" w:line="240" w:lineRule="auto"/>
        <w:rPr>
          <w:noProof/>
        </w:rPr>
      </w:pPr>
      <w:r>
        <w:rPr>
          <w:noProof/>
        </w:rPr>
        <w:t>New forms of electric mobility, such as electric bicycles are already contributing to satisfying older people’s mobility needs in a flexible manner, allowing them to use an active and healthy mode for ways where they would otherwise rely on private cars or public transport. However, the new forms of e-mobility also bring about a specific safety challenge</w:t>
      </w:r>
      <w:r>
        <w:rPr>
          <w:rStyle w:val="FootnoteReference"/>
          <w:noProof/>
        </w:rPr>
        <w:footnoteReference w:id="51"/>
      </w:r>
      <w:r>
        <w:rPr>
          <w:noProof/>
        </w:rPr>
        <w:t xml:space="preserve"> and older people tend to be more vulnerable than younger population groups.</w:t>
      </w:r>
    </w:p>
    <w:p>
      <w:pPr>
        <w:pStyle w:val="Heading3"/>
        <w:rPr>
          <w:noProof/>
        </w:rPr>
      </w:pPr>
      <w:bookmarkStart w:id="680" w:name="_Toc50415241"/>
      <w:bookmarkStart w:id="681" w:name="_Toc50416523"/>
      <w:bookmarkStart w:id="682" w:name="_Toc50417655"/>
      <w:bookmarkStart w:id="683" w:name="_Toc50418298"/>
      <w:bookmarkStart w:id="684" w:name="_Toc50459878"/>
      <w:bookmarkStart w:id="685" w:name="_Toc50466085"/>
      <w:bookmarkStart w:id="686" w:name="_Toc50473646"/>
      <w:bookmarkStart w:id="687" w:name="_Toc50474697"/>
      <w:bookmarkStart w:id="688" w:name="_Toc50565047"/>
      <w:bookmarkStart w:id="689" w:name="_Toc50568655"/>
      <w:bookmarkStart w:id="690" w:name="_Toc50629394"/>
      <w:bookmarkStart w:id="691" w:name="_Toc50630226"/>
      <w:bookmarkStart w:id="692" w:name="_Toc50630950"/>
      <w:bookmarkStart w:id="693" w:name="_Toc50633794"/>
      <w:bookmarkStart w:id="694" w:name="_Toc50634036"/>
      <w:bookmarkStart w:id="695" w:name="_Toc50646484"/>
      <w:bookmarkStart w:id="696" w:name="_Toc50646619"/>
      <w:bookmarkStart w:id="697" w:name="_Toc50649438"/>
      <w:bookmarkStart w:id="698" w:name="_Toc50650745"/>
      <w:bookmarkStart w:id="699" w:name="_Toc51574779"/>
      <w:bookmarkStart w:id="700" w:name="_Toc51575627"/>
      <w:bookmarkStart w:id="701" w:name="_Toc51578014"/>
      <w:bookmarkStart w:id="702" w:name="_Toc51578482"/>
      <w:bookmarkStart w:id="703" w:name="_Toc51582898"/>
      <w:bookmarkStart w:id="704" w:name="_Toc51583373"/>
      <w:bookmarkStart w:id="705" w:name="_Toc51583463"/>
      <w:bookmarkStart w:id="706" w:name="_Toc51583748"/>
      <w:bookmarkStart w:id="707" w:name="_Toc51583938"/>
      <w:bookmarkStart w:id="708" w:name="_Toc51583862"/>
      <w:bookmarkStart w:id="709" w:name="_Toc51586180"/>
      <w:bookmarkStart w:id="710" w:name="_Toc51593983"/>
      <w:bookmarkStart w:id="711" w:name="_Toc51594309"/>
      <w:bookmarkStart w:id="712" w:name="_Toc51595287"/>
      <w:bookmarkStart w:id="713" w:name="_Toc51595537"/>
      <w:bookmarkStart w:id="714" w:name="_Toc51595863"/>
      <w:bookmarkStart w:id="715" w:name="_Toc51596026"/>
      <w:bookmarkStart w:id="716" w:name="_Toc51596379"/>
      <w:bookmarkStart w:id="717" w:name="_Toc52121513"/>
      <w:bookmarkStart w:id="718" w:name="_Toc52122744"/>
      <w:bookmarkStart w:id="719" w:name="_Toc52123861"/>
      <w:bookmarkStart w:id="720" w:name="_Toc53405316"/>
      <w:bookmarkStart w:id="721" w:name="_Toc53406106"/>
      <w:bookmarkStart w:id="722" w:name="_Toc53407472"/>
      <w:bookmarkStart w:id="723" w:name="_Toc53410919"/>
      <w:bookmarkStart w:id="724" w:name="_Toc53411982"/>
      <w:bookmarkStart w:id="725" w:name="_Toc53417229"/>
      <w:bookmarkStart w:id="726" w:name="_Toc53417581"/>
      <w:bookmarkStart w:id="727" w:name="_Toc53419816"/>
      <w:bookmarkStart w:id="728" w:name="_Toc53434919"/>
      <w:bookmarkStart w:id="729" w:name="_Toc53437059"/>
      <w:bookmarkStart w:id="730" w:name="_Toc57291466"/>
      <w:r>
        <w:rPr>
          <w:noProof/>
        </w:rPr>
        <w:t>New technologies, changing consumer behaviour and working conditions</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There are several socio-economic and technological developments</w:t>
      </w:r>
      <w:r>
        <w:rPr>
          <w:rStyle w:val="FootnoteReference"/>
          <w:noProof/>
        </w:rPr>
        <w:footnoteReference w:id="52"/>
      </w:r>
      <w:r>
        <w:rPr>
          <w:noProof/>
        </w:rPr>
        <w:t xml:space="preserve"> that have emerged or become more prominent in the last ten years. </w:t>
      </w:r>
    </w:p>
    <w:p>
      <w:pPr>
        <w:pStyle w:val="LegalNumPar"/>
        <w:pBdr>
          <w:top w:val="nil"/>
          <w:left w:val="nil"/>
          <w:bottom w:val="nil"/>
          <w:right w:val="nil"/>
          <w:between w:val="nil"/>
          <w:bar w:val="nil"/>
        </w:pBdr>
        <w:tabs>
          <w:tab w:val="left" w:pos="476"/>
        </w:tabs>
        <w:spacing w:line="240" w:lineRule="auto"/>
        <w:ind w:left="476"/>
        <w:rPr>
          <w:noProof/>
        </w:rPr>
      </w:pPr>
    </w:p>
    <w:p>
      <w:pPr>
        <w:keepNext/>
        <w:rPr>
          <w:noProof/>
        </w:rPr>
      </w:pPr>
      <w:r>
        <w:rPr>
          <w:i/>
          <w:iCs/>
          <w:noProof/>
          <w:sz w:val="24"/>
          <w:szCs w:val="24"/>
        </w:rPr>
        <w:t>Collaborative economy</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Firstly, the collaborative economy increasingly affects the way transport services are organised with various bike and car sharing schemes, but also ride-sharing and ride-hailing being deployed across the EU. Some of these schemes generate new forms of work characterised by more flexible arrangements. These flexible work arrangements should be implemented in accordance with EU labour law and social protection.</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Continuous digitalisation has made it possible to develop the concept of  mobility as a service (MaaS) – a mobility distribution model in which a customer’s major transport needs are met by services integrating transport infrastructure, transport services, information and payment services, and more. This approach is also possible due to the removal of barriers between different transport modes and their users, as well as the emergence of new collaborative economy solutions. The focus in this approach is not on personal ownership of transport modes, but on mobility per se, which is seen as service. </w:t>
      </w:r>
    </w:p>
    <w:p>
      <w:pPr>
        <w:pStyle w:val="LegalNumPar"/>
        <w:numPr>
          <w:ilvl w:val="0"/>
          <w:numId w:val="89"/>
        </w:numPr>
        <w:pBdr>
          <w:top w:val="nil"/>
          <w:left w:val="nil"/>
          <w:bottom w:val="nil"/>
          <w:right w:val="nil"/>
          <w:between w:val="nil"/>
          <w:bar w:val="nil"/>
        </w:pBdr>
        <w:tabs>
          <w:tab w:val="left" w:pos="476"/>
        </w:tabs>
        <w:spacing w:line="240" w:lineRule="auto"/>
        <w:rPr>
          <w:rStyle w:val="Hyperlink1"/>
          <w:noProof/>
        </w:rPr>
      </w:pPr>
      <w:r>
        <w:rPr>
          <w:noProof/>
        </w:rPr>
        <w:t>Data sharing and collaborative decision-making enabled by digital technologies propose new solutions to old challenges. Businesses are interacting in ways previously unimagined, new business models and services appear, based on collaboration and sharing economy principles and enabled by data and advanced IT technologies. For instance, in freight transport and logistics there is generally a shift towards collaborative solutions, where partnerships are formed for the purpose of optimization of operations by sharing equipment, vehicles and information. Digital solutions should lead to synchro-mobility, a step change in multimodal transport which will synchronise intermodal services between modes as well as with shippers</w:t>
      </w:r>
      <w:r>
        <w:rPr>
          <w:rStyle w:val="Hyperlink1"/>
          <w:noProof/>
        </w:rPr>
        <w:t xml:space="preserve"> for optimal resource use and delivery times.</w:t>
      </w:r>
    </w:p>
    <w:p>
      <w:pPr>
        <w:pStyle w:val="LegalNumPar"/>
        <w:pBdr>
          <w:top w:val="nil"/>
          <w:left w:val="nil"/>
          <w:bottom w:val="nil"/>
          <w:right w:val="nil"/>
          <w:between w:val="nil"/>
          <w:bar w:val="nil"/>
        </w:pBdr>
        <w:tabs>
          <w:tab w:val="left" w:pos="476"/>
        </w:tabs>
        <w:spacing w:line="240" w:lineRule="auto"/>
        <w:ind w:left="476"/>
        <w:rPr>
          <w:noProof/>
        </w:rPr>
      </w:pPr>
    </w:p>
    <w:p>
      <w:pPr>
        <w:rPr>
          <w:i/>
          <w:noProof/>
          <w:sz w:val="24"/>
          <w:szCs w:val="24"/>
        </w:rPr>
      </w:pPr>
      <w:r>
        <w:rPr>
          <w:i/>
          <w:iCs/>
          <w:noProof/>
          <w:sz w:val="24"/>
          <w:szCs w:val="24"/>
        </w:rPr>
        <w:t>Teleworking</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Telework has become much more widespread since the COVID-19 pandemic and newly introduced arrangements could, at least partially, remain in place in the longer term</w:t>
      </w:r>
      <w:r>
        <w:rPr>
          <w:rStyle w:val="FootnoteReference"/>
          <w:noProof/>
        </w:rPr>
        <w:footnoteReference w:id="53"/>
      </w:r>
      <w:r>
        <w:rPr>
          <w:noProof/>
        </w:rPr>
        <w:t xml:space="preserve">. Learning effects of remote working and improvements in technology are likely to produce various ranges of effects on mobility and transport behaviours.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pandemic has revealed large differences in the prevalence of telework across EU Member States, sectors and occupations. The preparedness for telework at a large scale is higher in ICT- and knowledge-intensive sectors, and generally for high-skilled workers, although with big differences across EU countries. In many EU countries, more than half of the workers who have started working from home since the pandemic had no prior experience with teleworking. If past trends are a guide, the uneven ability to scale up telework could result in widening inequalities across countries, firms, genders and workers</w:t>
      </w:r>
      <w:r>
        <w:rPr>
          <w:rStyle w:val="FootnoteReference"/>
          <w:noProof/>
        </w:rPr>
        <w:footnoteReference w:id="54"/>
      </w:r>
      <w:r>
        <w:rPr>
          <w:noProof/>
        </w:rPr>
        <w:t>, e.g. if there is uneven access to broadband,  barriers for persons with disabilities or IT illiteracy to telework or use other ICT based applications. White-collar workers tend to have jobs that can be better adapted to telework requirements than blue-collar workers.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Telework can have an impact particularly on urban passenger transport demand, mainly during peak hours and hence also alleviate congestion as well as other environmental externalities. Another sector expected to be affected is business travel with the rise of web based meeting arrangements during the pandemic. With more developed ICT equipment in modern office workplaces and more widespread availability of fast internet, at least in urban areas, the technical preconditions for telework arrangements have become easier to meet.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To date, large variations in the prevalence of telework exist. In the EU, before the COVID-19 pandemic, the share of employees performing regular or occasional telework (in urban and non-urban areas) was highest in Denmark (37%), Finland (33%) and the Netherlands (30%). Relatively low shares of teleworking employees were found in Central and Eastern Europe and in the Mediterranean countries.</w:t>
      </w:r>
      <w:r>
        <w:rPr>
          <w:rStyle w:val="FootnoteReference"/>
          <w:noProof/>
        </w:rPr>
        <w:footnoteReference w:id="55"/>
      </w:r>
      <w:r>
        <w:rPr>
          <w:noProof/>
        </w:rPr>
        <w:t xml:space="preserve"> </w:t>
      </w:r>
    </w:p>
    <w:p>
      <w:pPr>
        <w:pStyle w:val="Caption"/>
        <w:keepNext/>
        <w:keepLines/>
        <w:jc w:val="center"/>
        <w:rPr>
          <w:i w:val="0"/>
          <w:noProof/>
        </w:rPr>
      </w:pPr>
      <w:bookmarkStart w:id="731" w:name="_Toc50417618"/>
      <w:bookmarkStart w:id="732" w:name="_Toc50418261"/>
      <w:bookmarkStart w:id="733" w:name="_Toc50473609"/>
      <w:bookmarkStart w:id="734" w:name="_Toc50474660"/>
      <w:bookmarkStart w:id="735" w:name="_Toc50630189"/>
      <w:bookmarkStart w:id="736" w:name="_Toc50630913"/>
      <w:bookmarkStart w:id="737" w:name="_Toc50633757"/>
      <w:bookmarkStart w:id="738" w:name="_Toc50633999"/>
      <w:bookmarkStart w:id="739" w:name="_Toc50646445"/>
      <w:bookmarkStart w:id="740" w:name="_Toc50646580"/>
      <w:bookmarkStart w:id="741" w:name="_Toc50649399"/>
      <w:bookmarkStart w:id="742" w:name="_Toc50650706"/>
      <w:bookmarkStart w:id="743" w:name="_Toc51593756"/>
      <w:bookmarkStart w:id="744" w:name="_Toc51595223"/>
      <w:bookmarkStart w:id="745" w:name="_Toc51595473"/>
      <w:bookmarkStart w:id="746" w:name="_Toc51595799"/>
      <w:bookmarkStart w:id="747" w:name="_Toc51595962"/>
      <w:bookmarkStart w:id="748" w:name="_Toc52121449"/>
      <w:bookmarkStart w:id="749" w:name="_Toc52122680"/>
      <w:bookmarkStart w:id="750" w:name="_Toc53405244"/>
      <w:bookmarkStart w:id="751" w:name="_Toc53406034"/>
      <w:bookmarkStart w:id="752" w:name="_Toc53407400"/>
      <w:bookmarkStart w:id="753" w:name="_Toc53410847"/>
      <w:bookmarkStart w:id="754" w:name="_Toc53411910"/>
      <w:bookmarkStart w:id="755" w:name="_Toc53417157"/>
      <w:bookmarkStart w:id="756" w:name="_Toc53417509"/>
      <w:bookmarkStart w:id="757" w:name="_Toc53419542"/>
      <w:bookmarkStart w:id="758" w:name="_Toc53434847"/>
      <w:bookmarkStart w:id="759" w:name="_Toc53436987"/>
      <w:bookmarkStart w:id="760" w:name="_Toc57291655"/>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11</w:t>
      </w:r>
      <w:r>
        <w:rPr>
          <w:noProof/>
        </w:rPr>
        <w:fldChar w:fldCharType="end"/>
      </w:r>
      <w:r>
        <w:rPr>
          <w:i w:val="0"/>
          <w:noProof/>
        </w:rPr>
        <w:t>: Workforce working at home several times per month in 2015</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pPr>
        <w:rPr>
          <w:noProof/>
        </w:rPr>
      </w:pPr>
      <w:r>
        <w:rPr>
          <w:noProof/>
        </w:rPr>
        <w:drawing>
          <wp:inline distT="0" distB="0" distL="0" distR="0">
            <wp:extent cx="5400040" cy="2848605"/>
            <wp:effectExtent l="0" t="0" r="0" b="9525"/>
            <wp:docPr id="8976111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cstate="email">
                      <a:extLst>
                        <a:ext uri="{28A0092B-C50C-407E-A947-70E740481C1C}">
                          <a14:useLocalDpi xmlns:a14="http://schemas.microsoft.com/office/drawing/2010/main"/>
                        </a:ext>
                      </a:extLst>
                    </a:blip>
                    <a:stretch>
                      <a:fillRect/>
                    </a:stretch>
                  </pic:blipFill>
                  <pic:spPr>
                    <a:xfrm>
                      <a:off x="0" y="0"/>
                      <a:ext cx="5400040" cy="2848605"/>
                    </a:xfrm>
                    <a:prstGeom prst="rect">
                      <a:avLst/>
                    </a:prstGeom>
                  </pic:spPr>
                </pic:pic>
              </a:graphicData>
            </a:graphic>
          </wp:inline>
        </w:drawing>
      </w:r>
    </w:p>
    <w:p>
      <w:pPr>
        <w:rPr>
          <w:i/>
          <w:noProof/>
          <w:sz w:val="24"/>
          <w:szCs w:val="24"/>
        </w:rPr>
      </w:pPr>
      <w:r>
        <w:rPr>
          <w:i/>
          <w:iCs/>
          <w:noProof/>
          <w:sz w:val="16"/>
          <w:szCs w:val="16"/>
        </w:rPr>
        <w:t>Source: OECD calculations based on Eurofound-ILO research 2017.</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At the same time, asked how much time they spend every day travelling to and from work, 47% of the employees in the EU indicate a commuting time of more than 30 minutes one way and 11% travel more than 60 minutes. The highest shares of employees travelling more than 60 minutes from or to work are found in Sweden (24%), Denmark (22%) and Belgium (22%).</w:t>
      </w:r>
      <w:r>
        <w:rPr>
          <w:rStyle w:val="FootnoteReference"/>
          <w:noProof/>
        </w:rPr>
        <w:footnoteReference w:id="56"/>
      </w:r>
    </w:p>
    <w:p>
      <w:pPr>
        <w:rPr>
          <w:noProof/>
        </w:rPr>
      </w:pPr>
      <w:r>
        <w:rPr>
          <w:i/>
          <w:iCs/>
          <w:noProof/>
          <w:sz w:val="24"/>
          <w:szCs w:val="24"/>
        </w:rPr>
        <w:t>Digitalisation and automation</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The increasing automation and digitalisation of transport offers a huge potential in terms of safety, efficiency and sustainability and thus also new opportunities for women in transport jobs, since new job profiles imply less heavy physical labour and more digital skills. We are already seeing how new digital automotive technologies can help reduce the number of deaths and serious injuries, enable better organising and executing of travel and transport operations, lower energy consumption and pollution, and optimise the use of resources and existing infrastructure. It is also a powerful tool to overcome the disadvantages - complexity, higher costs and risks of multimodal transport, and to facilitate the better integration of the different modes of transport.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Based on existing policies for urban passenger transport and assuming an increased uptake of teleworking, the OECD estimates that the share of urban passenger-kilometres travelled in privately owned vehicles could decline from around 70% in 2015 to 40% by 2050 in the world. Shared modes that include shared vehicles systems (e.g. free-floating or non-free-floating shared cars, bikes or scooters) and optimised shared mobility services (e.g. a shared taxi, van or minibus with a driver) represented only 1.5% of the urban passenger-kilometres travelled world-wide in 2015. However, they are expected to grow to over 20% of the total passenger transport demand in cities by 2050 globally. The share of more traditional public transport (bus, rail, metro) should grow modestly from 30% in 2015 to over 35% of all urban passenger-kilometres travelled worldwide by 2050.</w:t>
      </w:r>
      <w:r>
        <w:rPr>
          <w:rStyle w:val="FootnoteReference"/>
          <w:noProof/>
        </w:rPr>
        <w:footnoteReference w:id="57"/>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Though opportunities are huge, at the same time there is still a lack of solid framework conditions (e.g. legal and social aspects, required interoperable infrastructure and interfaces). Alongside, technological challenges remain in this fast-evolving field.</w:t>
      </w:r>
    </w:p>
    <w:p>
      <w:pPr>
        <w:pStyle w:val="LegalNumPar"/>
        <w:numPr>
          <w:ilvl w:val="0"/>
          <w:numId w:val="137"/>
        </w:numPr>
        <w:tabs>
          <w:tab w:val="left" w:pos="476"/>
        </w:tabs>
        <w:spacing w:line="240" w:lineRule="auto"/>
        <w:rPr>
          <w:i/>
          <w:noProof/>
        </w:rPr>
      </w:pPr>
      <w:r>
        <w:rPr>
          <w:noProof/>
        </w:rPr>
        <w:t xml:space="preserve">All transport modes are taking advantage of digital technologies, Internet of Things, and automation. Furthermore, digital technologies also enable or accelerate the emergence of new transportation solutions, ranging from progress towards automated road vehicles, connected and automated lorries (platooning), driverless goods delivery vehicles, or self-driving trains to unmanned aircraft and ships that can offer taxi services over short distances, and other potential innovations. Moreover, mobility intertwines with other sectors such as automotive, environmental or digital, where new players take a more relevant, or even dominant, position through the provision of new transport services based on digitalisation.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Concerning drones, they can make a significant contribution to the development of greener and cheaper local transport solutions in urban, peri-urban and inter-urban contexts. The technology is already there, fully functional and offering a multitude of applications, such as precision agriculture, infrastructure inspection, transport of medical supplies, environmental compliance, atmospheric research, media and entertainment, sport photos, filming, wildlife protection and research, disaster relief, etc. The global drones market is forecast to increase from USD 4.9 billion in 2019 to USD 14.3 billion in 2028. Out of total, Europe’s drone start-up investments is expected to represent only 9%, indicating a clear lag behind US and Chinese firms’ investments in this technology. Commercial use will surpass the consumer drone market in 2023, becoming the largest segment. It might grow more than eightfold to reach USD 9.5 billion in 2028.</w:t>
      </w:r>
      <w:r>
        <w:rPr>
          <w:rStyle w:val="FootnoteReference"/>
          <w:noProof/>
        </w:rPr>
        <w:footnoteReference w:id="58"/>
      </w:r>
      <w:r>
        <w:rPr>
          <w:noProof/>
        </w:rPr>
        <w:t xml:space="preserve"> In terms of jobs, for Europe, employment is estimated to increase to about 150,000 jobs by 2050 in manufacturing with additional jobs created in drone operator services.</w:t>
      </w:r>
      <w:r>
        <w:rPr>
          <w:rStyle w:val="FootnoteReference"/>
          <w:noProof/>
        </w:rPr>
        <w:footnoteReference w:id="59"/>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Air traffic management (ATM) is also a sector with increased use of digital technologies, notably solutions brought by the SESAR project. Innovative infrastructure projects can lead to substantial efficiency gains in the aviation sector and a reduction of emissions resulting from aviation activities. It is the aim that ATM system infrastructure progressively evolves with the adoption of advanced digital technologies, allowing civil and military air navigation service providers (ANSPs), airports and the network manager to provide their services in a cost-efficient and effective way irrespective of national borders, supported by secure information services. Moreover, ATM progressively needs to evolve into a data ecosystem supported by a service-oriented architecture to enable the virtual defragmentation of European skies.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With respect to automated road vehicles, similar developments can be observed. Automated driving will, in the future, play a key role on the transformation of mobility, and also on the automotive sector. Ultimately, safety is one of the crucial underlying justifications for automated and connected vehicles. However, in the forthcoming transitional phase, where we will see mixed traffic of highly automated and “traditional” vehicles as well as other road users like pedestrians and cyclists, new safety risks require proper consideration. The driverless freight delivery vehicles and connected and automated lorries hold a promise of significant reductions in operational costs to make the freight delivery services cheaper. The deployment of self-driving technologies should be well prepared to prevent undesired social effects.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Besides, the large amount of generated data will significantly impact the complete value chain, mainly on the digital and automotive sectors. The whole industrial sector will need to evolve and adapt in a fast pace to stay ahead in global competitiveness, while including all stakeholders and addressing societal needs.</w:t>
      </w:r>
      <w:r>
        <w:rPr>
          <w:rStyle w:val="FootnoteReference"/>
          <w:noProof/>
        </w:rPr>
        <w:footnoteReference w:id="60"/>
      </w:r>
      <w:r>
        <w:rPr>
          <w:noProof/>
        </w:rPr>
        <w:t xml:space="preserve">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As new technologies have allowed for driver assistance and ever more advanced active safety systems for vehicles, in the future they could lead to the emergence of new mobility services based on highly or fully automated vehicles. Cooperative intelligent transport services now being deployed in vehicles and on road infrastructure will support the transition to automation. Highly automated road vehicles function in certain areas (i.e. highways, ports and shuttles) and could already be operational in the near future. Several large-scale EU demonstration projects</w:t>
      </w:r>
      <w:r>
        <w:rPr>
          <w:rStyle w:val="FootnoteReference"/>
          <w:noProof/>
        </w:rPr>
        <w:footnoteReference w:id="61"/>
      </w:r>
      <w:r>
        <w:rPr>
          <w:noProof/>
        </w:rPr>
        <w:t xml:space="preserve"> are already ongoing for both passenger cars, freight vehicles and public transport in anticipation of this substantial change.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On the other hand, automation and digitalisation offers new mobility opportunities and more comfort, which could lead to an increase in road transport demand, which might increase for instance congestion.</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Automation is also important for rail transport. It is already in widespread use on metro systems and is now being extended to heavy rail too. It will bring very significant energy savings due to more efficient driving, and (combined with the latest versions of ERTMS) can allow capacity increases of more than 30% even on the most congested infrastructure provided rail operations are adequately adapted to benefit from digital innovation. Technologically it is far simpler than equivalent road technologies, so with strong coordination between the rail infrastructure and the operations on the rail network, it can and should be rapidly deployed. Combined with increased automation of rail traffic management and timetabling, it should lead to much greater flexibility in service provision.</w:t>
      </w:r>
    </w:p>
    <w:p>
      <w:pPr>
        <w:rPr>
          <w:noProof/>
        </w:rPr>
      </w:pPr>
      <w:r>
        <w:rPr>
          <w:i/>
          <w:iCs/>
          <w:noProof/>
          <w:sz w:val="24"/>
          <w:szCs w:val="24"/>
        </w:rPr>
        <w:t>Changes in industry and logistics in the EU</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Further changes in the way the world economy and industry operates (e.g. increasingly complex business structures and supply chains, growing importance of software, 3D printing or shift to circular economy) will require further optimisation of transport services, mainly in freight transport, and changes in design of transport vehicles and infrastructure. The aforementioned elements have also an impact on the employment in the transport sector, in terms of opportunities, required skills and working conditions.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Great uncertainty surrounds the extent to which re-shoring and 3D printing will dampen future growth of freight transport. If adopted extensively, both can affect the type of goods moved, decrease the distances between production and consumption centres and thus fundamentally alter today’s long and complex supply chains. A significant decrease in the total value of internationally traded goods can greatly reduce sea and air transport volumes.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Nonetheless, freight volumes are expected to continue to grow strongly. Before the outbreak of the COVID-19 pandemic, global freight demand was projected to triple between 2015 and 2050.</w:t>
      </w:r>
      <w:r>
        <w:rPr>
          <w:rStyle w:val="FootnoteReference"/>
          <w:noProof/>
        </w:rPr>
        <w:footnoteReference w:id="62"/>
      </w:r>
      <w:r>
        <w:rPr>
          <w:noProof/>
        </w:rPr>
        <w:t xml:space="preserve"> Currently, the outlook for international trade is more fragile although volumes are recovering. At the same time, freight transport and logistics are undergoing major transformations, and these will likely be even more disruptive in the future. Technology, business models, consumer behaviour, shifts in trade patterns, and other factors all contribute to a changing transport landscape, and how they play out can have a substantial impact on the projected growth. New technologies and smart digital solutions supported by effective modernised regulation are needed to accommodate this major increase in transport demand sustainably – i.e. with only limited increase in assets and energy consumption. Increased productivity and efficiency of the logistics and supply chains remains in this context a key challenge. In container shipping, ship sizes and total capacity have increased by a factor of 2.5 between 2004 and 2018 while the number of companies has almost halved over the same period.</w:t>
      </w:r>
      <w:r>
        <w:rPr>
          <w:rStyle w:val="FootnoteReference"/>
          <w:noProof/>
        </w:rPr>
        <w:footnoteReference w:id="63"/>
      </w:r>
      <w:r>
        <w:rPr>
          <w:noProof/>
        </w:rPr>
        <w:t xml:space="preserve"> E-commerce and last-mile logistics are equally increasing significantly, a trend further accelerated as a consequence of COVID-19 pandemic.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Digitalisation and automation of transport services also raise new challenges for service providers, especially in terms of personal data protection, data sovereignty, interoperability, cyber security and user acceptance. Cyber-attacks may lead to delays of services, damage to physical systems, data theft, or even passenger injuries. There are also concerns that remotely controlled aircraft and automated rail and road vehicles may be subject to hacking or hi-jacking from distance. Similar concerns arise in the maritime area, because of the growing digitalisation of sea navigation.</w:t>
      </w:r>
    </w:p>
    <w:p>
      <w:pPr>
        <w:pStyle w:val="Heading2"/>
        <w:rPr>
          <w:noProof/>
        </w:rPr>
      </w:pPr>
      <w:bookmarkStart w:id="761" w:name="_Toc51590151"/>
      <w:bookmarkStart w:id="762" w:name="_Toc51574780"/>
      <w:bookmarkStart w:id="763" w:name="_Toc51575628"/>
      <w:bookmarkStart w:id="764" w:name="_Toc51578015"/>
      <w:bookmarkStart w:id="765" w:name="_Toc51578483"/>
      <w:bookmarkStart w:id="766" w:name="_Toc51582899"/>
      <w:bookmarkStart w:id="767" w:name="_Toc51583374"/>
      <w:bookmarkStart w:id="768" w:name="_Toc51583464"/>
      <w:bookmarkStart w:id="769" w:name="_Toc51583749"/>
      <w:bookmarkStart w:id="770" w:name="_Toc51583939"/>
      <w:bookmarkStart w:id="771" w:name="_Toc51583863"/>
      <w:bookmarkStart w:id="772" w:name="_Toc51586181"/>
      <w:bookmarkStart w:id="773" w:name="_Toc51593984"/>
      <w:bookmarkStart w:id="774" w:name="_Toc51594310"/>
      <w:bookmarkStart w:id="775" w:name="_Toc51595288"/>
      <w:bookmarkStart w:id="776" w:name="_Toc51595538"/>
      <w:bookmarkStart w:id="777" w:name="_Toc51595864"/>
      <w:bookmarkStart w:id="778" w:name="_Toc51596027"/>
      <w:bookmarkStart w:id="779" w:name="_Toc51596380"/>
      <w:bookmarkStart w:id="780" w:name="_Toc52121514"/>
      <w:bookmarkStart w:id="781" w:name="_Toc52122745"/>
      <w:bookmarkStart w:id="782" w:name="_Toc52123862"/>
      <w:bookmarkStart w:id="783" w:name="_Toc53405317"/>
      <w:bookmarkStart w:id="784" w:name="_Toc53406107"/>
      <w:bookmarkStart w:id="785" w:name="_Toc53407473"/>
      <w:bookmarkStart w:id="786" w:name="_Toc53410920"/>
      <w:bookmarkStart w:id="787" w:name="_Toc53411983"/>
      <w:bookmarkStart w:id="788" w:name="_Toc53417230"/>
      <w:bookmarkStart w:id="789" w:name="_Toc53417582"/>
      <w:bookmarkStart w:id="790" w:name="_Toc53419817"/>
      <w:bookmarkStart w:id="791" w:name="_Toc53434920"/>
      <w:bookmarkStart w:id="792" w:name="_Toc53437060"/>
      <w:bookmarkStart w:id="793" w:name="_Toc57291467"/>
      <w:bookmarkEnd w:id="761"/>
      <w:r>
        <w:rPr>
          <w:noProof/>
        </w:rPr>
        <w:t>Impact of the COVID-19 pandemic on the transport sector</w:t>
      </w:r>
      <w:bookmarkStart w:id="794" w:name="_Toc50415242"/>
      <w:bookmarkStart w:id="795" w:name="_Toc50416524"/>
      <w:bookmarkStart w:id="796" w:name="_Toc50417656"/>
      <w:bookmarkStart w:id="797" w:name="_Toc50418299"/>
      <w:bookmarkStart w:id="798" w:name="_Toc50459879"/>
      <w:bookmarkStart w:id="799" w:name="_Toc50466086"/>
      <w:bookmarkStart w:id="800" w:name="_Toc50473647"/>
      <w:bookmarkStart w:id="801" w:name="_Toc50474698"/>
      <w:bookmarkStart w:id="802" w:name="_Toc50565048"/>
      <w:bookmarkStart w:id="803" w:name="_Toc50568656"/>
      <w:bookmarkStart w:id="804" w:name="_Toc50629395"/>
      <w:bookmarkStart w:id="805" w:name="_Toc50630227"/>
      <w:bookmarkStart w:id="806" w:name="_Toc50630951"/>
      <w:bookmarkStart w:id="807" w:name="_Toc50633795"/>
      <w:bookmarkStart w:id="808" w:name="_Toc50634037"/>
      <w:bookmarkStart w:id="809" w:name="_Toc50646485"/>
      <w:bookmarkStart w:id="810" w:name="_Toc50646620"/>
      <w:bookmarkStart w:id="811" w:name="_Toc50649439"/>
      <w:bookmarkStart w:id="812" w:name="_Toc50650746"/>
      <w:bookmarkEnd w:id="486"/>
      <w:bookmarkEnd w:id="487"/>
      <w:bookmarkEnd w:id="488"/>
      <w:bookmarkEnd w:id="489"/>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r>
        <w:rPr>
          <w:rStyle w:val="FootnoteReference"/>
          <w:noProof/>
        </w:rPr>
        <w:footnoteReference w:id="64"/>
      </w:r>
      <w:bookmarkEnd w:id="793"/>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Although not reflecting a long-term trend, the COVID-19 pandemic is having significant effects on the transport sector, which have the potential to shape the sector for years to come.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Transport is one of the most severely affected sectors by the COVID-19 pandemic, along with sectors such as tourism and hospitality. The impact was driven in the short term by lockdown measures (including travel restrictions, tele-working and home-schooling), other restrictions and voluntary avoidance efforts. This has led to steep reductions in manufacturing and transport activity, as well as reduced activity in service sectors such as retail stores, hotels and restaurants, etc. In addition it had a huge impact on reduced levels of physical activity and general fitness among children. The crisis has also highlighted the strategic importance of transport for the supply of essential goods such as food, medicines and supply of essential materials, particularly pronounced in certain remote regions such as the outermost regions</w:t>
      </w:r>
      <w:r>
        <w:rPr>
          <w:rStyle w:val="FootnoteReference"/>
          <w:noProof/>
        </w:rPr>
        <w:footnoteReference w:id="65"/>
      </w:r>
      <w:r>
        <w:rPr>
          <w:noProof/>
        </w:rPr>
        <w:t>. The resilience of the transport and logistics system in Europe has been a key contributing factor to managing the crisis effectively.</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pandemic’s short-term impact on the transport sector, in particular on passenger transport, as well as on global supply chains is dramatic and unprecedented on this scale in the post-war period. Lockdown measures led to a prolonged standstill in production across many sectors creating supply chain disruptions across the EU. This has led to a general fall in freight transport demand. On the other hand, increased on-line shopping, including of essential goods such as groceries and pantry items, have almost doubled the usual home delivery rates. This increase of demand revealed limitations in last-mile delivery capacity, also due to the lack of drivers, at least in the short run.</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The long-term effects on transport activity will only become clear after the pandemic has come to an end and will largely depend on the pace of the economic recovery. Preliminary transport activity projections, reflecting the impacts of the COVID-19 pandemic at EU-27 level, have been presented in section 2.3.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Behavioural changes already seen before the </w:t>
      </w:r>
      <w:r>
        <w:rPr>
          <w:noProof/>
          <w:lang w:eastAsia="en-US"/>
        </w:rPr>
        <w:t xml:space="preserve">COVID-19 </w:t>
      </w:r>
      <w:r>
        <w:rPr>
          <w:noProof/>
        </w:rPr>
        <w:t>pandemic (e.g. urban mobility) may affect certain transport modes as economies re-open, with long term effects for some. Web-based meeting arrangements which have grown in use during the pandemic are likely to become more frequent even beyond the pandemic, thus adversely affecting business travel. Global supply chains may be reorganised with a view of rendering them more robust against the fall-out due to interruptions in freight distribution, affecting transport volume and patterns. The growth in e-commerce may become a long term trend with a new level of customers’ expectations for faster, contactless (safer in terms of contagion risk) home deliveries, requiring the modernisation of corresponding delivery and transport channels.</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rPr>
        <w:t>However this is clearly an ongoing and developing situation, and more time will be needed to gather and analyse data in order to grasp the full impact of the current crisis on the behaviour of passengers and transport users.</w:t>
      </w:r>
    </w:p>
    <w:p>
      <w:pPr>
        <w:pStyle w:val="Heading3"/>
        <w:rPr>
          <w:noProof/>
        </w:rPr>
      </w:pPr>
      <w:bookmarkStart w:id="813" w:name="_Toc44674160"/>
      <w:bookmarkStart w:id="814" w:name="_Toc45271988"/>
      <w:bookmarkStart w:id="815" w:name="_Toc46312085"/>
      <w:bookmarkStart w:id="816" w:name="_Toc50044788"/>
      <w:bookmarkStart w:id="817" w:name="_Toc50048903"/>
      <w:bookmarkStart w:id="818" w:name="_Toc50415243"/>
      <w:bookmarkStart w:id="819" w:name="_Toc50416525"/>
      <w:bookmarkStart w:id="820" w:name="_Toc50417657"/>
      <w:bookmarkStart w:id="821" w:name="_Toc50418300"/>
      <w:bookmarkStart w:id="822" w:name="_Toc50459880"/>
      <w:bookmarkStart w:id="823" w:name="_Toc50466087"/>
      <w:bookmarkStart w:id="824" w:name="_Toc50473648"/>
      <w:bookmarkStart w:id="825" w:name="_Toc50474699"/>
      <w:bookmarkStart w:id="826" w:name="_Toc50565049"/>
      <w:bookmarkStart w:id="827" w:name="_Toc50568657"/>
      <w:bookmarkStart w:id="828" w:name="_Toc50629396"/>
      <w:bookmarkStart w:id="829" w:name="_Toc50630228"/>
      <w:bookmarkStart w:id="830" w:name="_Toc50630952"/>
      <w:bookmarkStart w:id="831" w:name="_Toc50633796"/>
      <w:bookmarkStart w:id="832" w:name="_Toc50634038"/>
      <w:bookmarkStart w:id="833" w:name="_Toc50646486"/>
      <w:bookmarkStart w:id="834" w:name="_Toc50646621"/>
      <w:bookmarkStart w:id="835" w:name="_Toc50649440"/>
      <w:bookmarkStart w:id="836" w:name="_Toc50650747"/>
      <w:bookmarkStart w:id="837" w:name="_Toc51574781"/>
      <w:bookmarkStart w:id="838" w:name="_Toc51575629"/>
      <w:bookmarkStart w:id="839" w:name="_Toc51578016"/>
      <w:bookmarkStart w:id="840" w:name="_Toc51578484"/>
      <w:bookmarkStart w:id="841" w:name="_Toc51582900"/>
      <w:bookmarkStart w:id="842" w:name="_Toc51583375"/>
      <w:bookmarkStart w:id="843" w:name="_Toc51583465"/>
      <w:bookmarkStart w:id="844" w:name="_Toc51583750"/>
      <w:bookmarkStart w:id="845" w:name="_Toc51583940"/>
      <w:bookmarkStart w:id="846" w:name="_Toc51583864"/>
      <w:bookmarkStart w:id="847" w:name="_Toc51586182"/>
      <w:bookmarkStart w:id="848" w:name="_Toc51593985"/>
      <w:bookmarkStart w:id="849" w:name="_Toc51594311"/>
      <w:bookmarkStart w:id="850" w:name="_Toc51595289"/>
      <w:bookmarkStart w:id="851" w:name="_Toc51595539"/>
      <w:bookmarkStart w:id="852" w:name="_Toc51595865"/>
      <w:bookmarkStart w:id="853" w:name="_Toc51596028"/>
      <w:bookmarkStart w:id="854" w:name="_Toc51596381"/>
      <w:bookmarkStart w:id="855" w:name="_Toc52121515"/>
      <w:bookmarkStart w:id="856" w:name="_Toc52122746"/>
      <w:bookmarkStart w:id="857" w:name="_Toc52123863"/>
      <w:bookmarkStart w:id="858" w:name="_Toc53405318"/>
      <w:bookmarkStart w:id="859" w:name="_Toc53406108"/>
      <w:bookmarkStart w:id="860" w:name="_Toc53407474"/>
      <w:bookmarkStart w:id="861" w:name="_Toc53410921"/>
      <w:bookmarkStart w:id="862" w:name="_Toc53411984"/>
      <w:bookmarkStart w:id="863" w:name="_Toc53417231"/>
      <w:bookmarkStart w:id="864" w:name="_Toc53417583"/>
      <w:bookmarkStart w:id="865" w:name="_Toc53419818"/>
      <w:bookmarkStart w:id="866" w:name="_Toc53434921"/>
      <w:bookmarkStart w:id="867" w:name="_Toc53437061"/>
      <w:bookmarkStart w:id="868" w:name="_Toc57291468"/>
      <w:r>
        <w:rPr>
          <w:noProof/>
        </w:rPr>
        <w:t>Air transport</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rPr>
        <w:t xml:space="preserve">Aviation is one of the EU transport sectors whose activity has been the hardest hit by the COVID-19 pandemic, due to supressed demand following containment measures taken by governments – including travel restrictions, lockdowns and quarantine zones, as well as customers’ fear of contagion. Widespread flight cancellations for consecutive months have caused major disruptions for passengers, the aviation industry, the tourism sector and the EU economy as a whole. </w:t>
      </w:r>
    </w:p>
    <w:p>
      <w:pPr>
        <w:pStyle w:val="LegalNumPar"/>
        <w:numPr>
          <w:ilvl w:val="0"/>
          <w:numId w:val="57"/>
        </w:numPr>
        <w:pBdr>
          <w:top w:val="nil"/>
          <w:left w:val="nil"/>
          <w:bottom w:val="nil"/>
          <w:right w:val="nil"/>
          <w:between w:val="nil"/>
          <w:bar w:val="nil"/>
        </w:pBdr>
        <w:tabs>
          <w:tab w:val="left" w:pos="476"/>
        </w:tabs>
        <w:spacing w:line="240" w:lineRule="auto"/>
        <w:rPr>
          <w:noProof/>
        </w:rPr>
      </w:pPr>
      <w:r>
        <w:rPr>
          <w:noProof/>
          <w:lang w:eastAsia="en-US"/>
        </w:rPr>
        <w:t xml:space="preserve">After a positive evolution of the traffic situation following the removal of border and travel restrictions in June, recovery dramatically slowed down following the reintroduction of travel restrictions across Europe. Traffic in </w:t>
      </w:r>
      <w:r>
        <w:rPr>
          <w:noProof/>
        </w:rPr>
        <w:t>November 2020 was 59% below 2019 levels in terms of flights</w:t>
      </w:r>
      <w:r>
        <w:rPr>
          <w:rStyle w:val="FootnoteReference"/>
          <w:noProof/>
        </w:rPr>
        <w:footnoteReference w:id="66"/>
      </w:r>
      <w:r>
        <w:rPr>
          <w:noProof/>
        </w:rPr>
        <w:t>. In 2020, until mid-November there was a loss of 1.5 billion passengers at European airports</w:t>
      </w:r>
      <w:r>
        <w:rPr>
          <w:rStyle w:val="FootnoteReference"/>
          <w:noProof/>
        </w:rPr>
        <w:footnoteReference w:id="67"/>
      </w:r>
      <w:r>
        <w:rPr>
          <w:noProof/>
        </w:rPr>
        <w:t xml:space="preserve"> across the network compared to 2019 levels. </w:t>
      </w:r>
      <w:r>
        <w:rPr>
          <w:noProof/>
          <w:lang w:eastAsia="en-US"/>
        </w:rPr>
        <w:t xml:space="preserve">International passenger transport is likely to continue to be severely reduced due to lower demand and government restrictions in the next years following the COVID-19 pandemic. Experiences from earlier network disruptions, such as the 9/11 terrorist attack in 2001 and the Icelandic volcanic ash incident in 2010, indicate that rebuilding may take a long time. </w:t>
      </w:r>
    </w:p>
    <w:p>
      <w:pPr>
        <w:pStyle w:val="LegalNumPar"/>
        <w:numPr>
          <w:ilvl w:val="0"/>
          <w:numId w:val="57"/>
        </w:numPr>
        <w:pBdr>
          <w:top w:val="nil"/>
          <w:left w:val="nil"/>
          <w:bottom w:val="nil"/>
          <w:right w:val="nil"/>
          <w:between w:val="nil"/>
          <w:bar w:val="nil"/>
        </w:pBdr>
        <w:tabs>
          <w:tab w:val="left" w:pos="476"/>
        </w:tabs>
        <w:spacing w:line="240" w:lineRule="auto"/>
        <w:rPr>
          <w:noProof/>
        </w:rPr>
      </w:pPr>
      <w:r>
        <w:rPr>
          <w:noProof/>
        </w:rPr>
        <w:t xml:space="preserve">It </w:t>
      </w:r>
      <w:r>
        <w:rPr>
          <w:noProof/>
          <w:lang w:eastAsia="en-US"/>
        </w:rPr>
        <w:t>must be underlined that there is a strong link between temporary border and travel restrictions and the resumption of traffic. In particular quarantine requirements led to a sharp drop in passenger bookings,  although some other factors such as squeezed household budgets, uncertainty over ticket refunds, and fears of infection while travelling also contributed. Travel demand does therefore in general tend to reflect the existence or the severity of travel restrictions in place at national level, in particular if they are not co-ordinated between Member States. Ensuring a co-ordinated approach at European level of national measures to contain the COVID-19 pandemic is therefore likely to substantially improve growth. The same applies for intercontinental travel where closed borders or travel restrictions hamper travel.</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This has affected every branch of the wide aviation value network, also resulting e.g. in numerous delays and cancellations of aircraft orders, leading to a severe decrease in the aeronautics industry’s order books.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According to Eurocontrol projections, air traffic growth volume in 2020 and 2021 will depend on the ability of European countries to coordinate their health and sanitary measures.</w:t>
      </w:r>
      <w:r>
        <w:rPr>
          <w:noProof/>
          <w:vertAlign w:val="superscript"/>
          <w:lang w:eastAsia="en-US"/>
        </w:rPr>
        <w:footnoteReference w:id="68"/>
      </w:r>
      <w:r>
        <w:rPr>
          <w:noProof/>
          <w:lang w:eastAsia="en-US"/>
        </w:rPr>
        <w:t xml:space="preserve"> </w:t>
      </w:r>
      <w:r>
        <w:rPr>
          <w:noProof/>
        </w:rPr>
        <w:t>Overall, the Current Status Scenario by Eurocontrol envisaged a loss of 55% of flights (6 million) in 2020.</w:t>
      </w:r>
      <w:r>
        <w:rPr>
          <w:noProof/>
          <w:lang w:eastAsia="en-US"/>
        </w:rPr>
        <w:t xml:space="preserve"> According to IATA recovery to 2019 level will not take place until 2024.</w:t>
      </w:r>
    </w:p>
    <w:p>
      <w:pPr>
        <w:pStyle w:val="LegalNumPar"/>
        <w:numPr>
          <w:ilvl w:val="0"/>
          <w:numId w:val="89"/>
        </w:numPr>
        <w:pBdr>
          <w:top w:val="nil"/>
          <w:left w:val="nil"/>
          <w:bottom w:val="nil"/>
          <w:right w:val="nil"/>
          <w:between w:val="nil"/>
          <w:bar w:val="nil"/>
        </w:pBdr>
        <w:tabs>
          <w:tab w:val="left" w:pos="476"/>
        </w:tabs>
        <w:spacing w:line="240" w:lineRule="auto"/>
        <w:rPr>
          <w:rStyle w:val="Strong"/>
          <w:b w:val="0"/>
          <w:noProof/>
        </w:rPr>
      </w:pPr>
      <w:r>
        <w:rPr>
          <w:noProof/>
          <w:lang w:eastAsia="en-US"/>
        </w:rPr>
        <w:t>Taking all of the above into account, there will be a total industry loss in revenues of approximately EUR 140</w:t>
      </w:r>
      <w:r>
        <w:rPr>
          <w:noProof/>
        </w:rPr>
        <w:t xml:space="preserve"> billion </w:t>
      </w:r>
      <w:r>
        <w:rPr>
          <w:noProof/>
          <w:lang w:eastAsia="en-US"/>
        </w:rPr>
        <w:t xml:space="preserve">during 2020 for airlines, airports and air navigation service providers. As a result, </w:t>
      </w:r>
      <w:r>
        <w:rPr>
          <w:noProof/>
        </w:rPr>
        <w:t>more than 7 million jobs supported by aviation (including tourism) in Europe are now at risk, as estimated by IATA.</w:t>
      </w:r>
      <w:r>
        <w:rPr>
          <w:rStyle w:val="FootnoteReference"/>
          <w:noProof/>
        </w:rPr>
        <w:footnoteReference w:id="69"/>
      </w:r>
      <w:r>
        <w:rPr>
          <w:noProof/>
        </w:rPr>
        <w:t xml:space="preserve"> The pressure on the sector has also resulted in raising the precariousness of work in the aviation sector.</w:t>
      </w:r>
      <w:r>
        <w:rPr>
          <w:rStyle w:val="Strong"/>
          <w:noProof/>
        </w:rPr>
        <w:t>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In response to this </w:t>
      </w:r>
      <w:r>
        <w:rPr>
          <w:noProof/>
        </w:rPr>
        <w:t>unprecedented decline in passenger air travel</w:t>
      </w:r>
      <w:r>
        <w:rPr>
          <w:noProof/>
          <w:lang w:eastAsia="en-US"/>
        </w:rPr>
        <w:t>, the European associations collectively representing the entire European aviation sector called for measures to restore the public’s confidence in air travel. To this end, they stressed the need for an effective coordination of national travel restrictions measures, based on a common set of criteria, data and guidelines provided by the European Centre for Disease Prevention and Control (ECDC) and the European Union Aviation Safety Agency (EASA), and further improvements to the effective enforcement of passenger rights to ensure legal certainty in travel.</w:t>
      </w:r>
      <w:r>
        <w:rPr>
          <w:rStyle w:val="FootnoteReference"/>
          <w:noProof/>
          <w:lang w:eastAsia="en-US"/>
        </w:rPr>
        <w:footnoteReference w:id="70"/>
      </w:r>
      <w:r>
        <w:rPr>
          <w:noProof/>
          <w:lang w:eastAsia="en-US"/>
        </w:rPr>
        <w:t xml:space="preserve"> </w:t>
      </w:r>
    </w:p>
    <w:p>
      <w:pPr>
        <w:pStyle w:val="Heading3"/>
        <w:rPr>
          <w:noProof/>
        </w:rPr>
      </w:pPr>
      <w:bookmarkStart w:id="869" w:name="_Toc44674161"/>
      <w:bookmarkStart w:id="870" w:name="_Toc50415244"/>
      <w:bookmarkStart w:id="871" w:name="_Toc50416526"/>
      <w:bookmarkStart w:id="872" w:name="_Toc50417658"/>
      <w:bookmarkStart w:id="873" w:name="_Toc50418301"/>
      <w:bookmarkStart w:id="874" w:name="_Toc45271989"/>
      <w:bookmarkStart w:id="875" w:name="_Toc46312086"/>
      <w:bookmarkStart w:id="876" w:name="_Toc50044789"/>
      <w:bookmarkStart w:id="877" w:name="_Toc50048904"/>
      <w:bookmarkStart w:id="878" w:name="_Toc50459881"/>
      <w:bookmarkStart w:id="879" w:name="_Toc50466088"/>
      <w:bookmarkStart w:id="880" w:name="_Toc50473649"/>
      <w:bookmarkStart w:id="881" w:name="_Toc50474700"/>
      <w:bookmarkStart w:id="882" w:name="_Toc50565050"/>
      <w:bookmarkStart w:id="883" w:name="_Toc50568658"/>
      <w:bookmarkStart w:id="884" w:name="_Toc50629397"/>
      <w:bookmarkStart w:id="885" w:name="_Toc50630229"/>
      <w:bookmarkStart w:id="886" w:name="_Toc50630953"/>
      <w:bookmarkStart w:id="887" w:name="_Toc50633797"/>
      <w:bookmarkStart w:id="888" w:name="_Toc50634039"/>
      <w:bookmarkStart w:id="889" w:name="_Toc50646487"/>
      <w:bookmarkStart w:id="890" w:name="_Toc50646622"/>
      <w:bookmarkStart w:id="891" w:name="_Toc50649441"/>
      <w:bookmarkStart w:id="892" w:name="_Toc50650748"/>
      <w:bookmarkStart w:id="893" w:name="_Toc51574782"/>
      <w:bookmarkStart w:id="894" w:name="_Toc51575630"/>
      <w:bookmarkStart w:id="895" w:name="_Toc51578017"/>
      <w:bookmarkStart w:id="896" w:name="_Toc51578485"/>
      <w:bookmarkStart w:id="897" w:name="_Toc51582901"/>
      <w:bookmarkStart w:id="898" w:name="_Toc51583376"/>
      <w:bookmarkStart w:id="899" w:name="_Toc51583466"/>
      <w:bookmarkStart w:id="900" w:name="_Toc51583751"/>
      <w:bookmarkStart w:id="901" w:name="_Toc51583941"/>
      <w:bookmarkStart w:id="902" w:name="_Toc51583865"/>
      <w:bookmarkStart w:id="903" w:name="_Toc51586183"/>
      <w:bookmarkStart w:id="904" w:name="_Toc51593986"/>
      <w:bookmarkStart w:id="905" w:name="_Toc51594312"/>
      <w:bookmarkStart w:id="906" w:name="_Toc51595290"/>
      <w:bookmarkStart w:id="907" w:name="_Toc51595540"/>
      <w:bookmarkStart w:id="908" w:name="_Toc51595866"/>
      <w:bookmarkStart w:id="909" w:name="_Toc51596029"/>
      <w:bookmarkStart w:id="910" w:name="_Toc51596382"/>
      <w:bookmarkStart w:id="911" w:name="_Toc52121516"/>
      <w:bookmarkStart w:id="912" w:name="_Toc52122747"/>
      <w:bookmarkStart w:id="913" w:name="_Toc52123864"/>
      <w:bookmarkStart w:id="914" w:name="_Toc53405319"/>
      <w:bookmarkStart w:id="915" w:name="_Toc53406109"/>
      <w:bookmarkStart w:id="916" w:name="_Toc53407475"/>
      <w:bookmarkStart w:id="917" w:name="_Toc53410922"/>
      <w:bookmarkStart w:id="918" w:name="_Toc53411985"/>
      <w:bookmarkStart w:id="919" w:name="_Toc53417232"/>
      <w:bookmarkStart w:id="920" w:name="_Toc53417584"/>
      <w:bookmarkStart w:id="921" w:name="_Toc53419819"/>
      <w:bookmarkStart w:id="922" w:name="_Toc53434922"/>
      <w:bookmarkStart w:id="923" w:name="_Toc53437062"/>
      <w:bookmarkStart w:id="924" w:name="_Toc57291469"/>
      <w:r>
        <w:rPr>
          <w:noProof/>
        </w:rPr>
        <w:t>Waterborne transport</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 xml:space="preserve">International freight transport is affected by both demand and supply of goods effects related to the pandemic. Continued and uninterrupted maritime services are of key strategic importance for the whole EU, with 75% of goods arriving to the EU by sea. About 30% of all goods internally in the EU are transported by ships. The COVID-19 pandemic has had a major impact on global shipping, affecting all its segments from passenger ships to container ships and oil tankers. While some ports have restricted passenger services, EU ports have remained open for cargo transport. After an early effect of Chinese lockdown measures on global supply chains, factory output has been picking-up after the relaxation of containment measures.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EMSA reported</w:t>
      </w:r>
      <w:r>
        <w:rPr>
          <w:noProof/>
          <w:vertAlign w:val="superscript"/>
        </w:rPr>
        <w:footnoteReference w:id="71"/>
      </w:r>
      <w:r>
        <w:rPr>
          <w:noProof/>
          <w:lang w:eastAsia="en-US"/>
        </w:rPr>
        <w:t xml:space="preserve"> that the number of ship calls at EU ports declined by 12.5% in the first 39 weeks of 2020 compared to the same period in the previous year. </w:t>
      </w:r>
      <w:r>
        <w:rPr>
          <w:noProof/>
        </w:rPr>
        <w:t xml:space="preserve">The most significantly affected sectors have been the cruises, passenger ships, </w:t>
      </w:r>
      <w:r>
        <w:rPr>
          <w:noProof/>
          <w:lang w:eastAsia="en-IE"/>
        </w:rPr>
        <w:t xml:space="preserve">roll-on-roll-off-passenger </w:t>
      </w:r>
      <w:r>
        <w:rPr>
          <w:noProof/>
        </w:rPr>
        <w:t xml:space="preserve">and vehicle carriers. Meanwhile, the number of chemical tankers ship calls increased in comparison with 2019 and the numbers for bulk carriers, containerships, general cargo and oil tankers saw a limited decrease (up to 10%).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The impact of the inland navigation sector is estimated to a total loss of turnover between EUR 2.2 and 4.4 billion considering a 90% reduction in passenger transport and 25-30% reduction in freight transport during the crisis. Inland ports have observed a decline in traffic due to the decrease of activity in seaports (e.g. container trade with China).</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Travel restrictions have also significantly reduced the number of passengers carried by ferries, leading to financial difficulties for companies that provide essential connections, in particular to islands and other remote regions. </w:t>
      </w:r>
      <w:r>
        <w:rPr>
          <w:noProof/>
          <w:lang w:eastAsia="en-IE"/>
        </w:rPr>
        <w:t xml:space="preserve">In order to ensure basic connectivity across the territories of the EU and ensure continuity of services, Member States have, apart from other support measures, also put in place temporary public services obligations (“PSO”) and/or public service contracts (“PSC”) to replace or support services that become commercially unviable due to a sudden drop in passenger numbers. </w:t>
      </w:r>
    </w:p>
    <w:p>
      <w:pPr>
        <w:pStyle w:val="LegalNumPar"/>
        <w:numPr>
          <w:ilvl w:val="0"/>
          <w:numId w:val="89"/>
        </w:numPr>
        <w:pBdr>
          <w:top w:val="nil"/>
          <w:left w:val="nil"/>
          <w:bottom w:val="nil"/>
          <w:right w:val="nil"/>
          <w:between w:val="nil"/>
          <w:bar w:val="nil"/>
        </w:pBdr>
        <w:tabs>
          <w:tab w:val="left" w:pos="476"/>
        </w:tabs>
        <w:spacing w:line="240" w:lineRule="auto"/>
        <w:rPr>
          <w:noProof/>
          <w:lang w:eastAsia="en-IE"/>
        </w:rPr>
      </w:pPr>
      <w:r>
        <w:rPr>
          <w:noProof/>
          <w:lang w:eastAsia="en-IE"/>
        </w:rPr>
        <w:t xml:space="preserve">Severe decrease in the sea transport of passengers impacted also the flows of goods </w:t>
      </w:r>
      <w:r>
        <w:rPr>
          <w:noProof/>
          <w:lang w:eastAsia="en-US"/>
        </w:rPr>
        <w:t>transported</w:t>
      </w:r>
      <w:r>
        <w:rPr>
          <w:noProof/>
          <w:lang w:eastAsia="en-IE"/>
        </w:rPr>
        <w:t xml:space="preserve"> on ro-ro-passenger ships and on ferries, whose traffic is heavily dependent on the revenues derived from passenger services.</w:t>
      </w:r>
      <w:r>
        <w:rPr>
          <w:noProof/>
          <w:lang w:eastAsia="en-US"/>
        </w:rPr>
        <w:t xml:space="preserve"> If demand for passenger and personal vehicles’ transport remains low in a longer term,</w:t>
      </w:r>
      <w:r>
        <w:rPr>
          <w:noProof/>
          <w:lang w:eastAsia="en-IE"/>
        </w:rPr>
        <w:t xml:space="preserve"> freight transport business by these ships may not be possible without public suppor</w:t>
      </w:r>
      <w:r>
        <w:rPr>
          <w:noProof/>
          <w:lang w:eastAsia="en-US"/>
        </w:rPr>
        <w:t>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The cruise ship sector has also experienced severe operational losses. The capital value of the cruise ship industry reportedly dropped by more than 70%. The majority of cruise companies stopped operations, at the same time looking for means to increase their credit capacity to manage the economic impact. The re-uptake of activities has been limited, both as regards passengers and vessels, as well as in geographical scope. The negative image of tourists and crew quarantined on cruise ships during the pandemic will likely have a longer-lasting impact on demand for this service, as well as for demand for new cruise ships, of which around 90% are built in Europe.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In the maritime sector, the impact of the COVID-19 pandemic has reduced not only the demand for transport and cargo services, but also the ability to supply such services. It highlighted in particular the substantial consequences for seafarers, whose working conditions severely deteriorated. Due to travel restrictions and fewer connections, many ship-owners were unable to conduct sufficient crew changes and repatriate maritime workers.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For all shipping segments with crew and passengers or persons on board, the issue of crew changes, repatriation, medical care and other preventive and protective measures are key to allow as uninterrupted operations as possible. Notable COVID-19 outbreaks associated with shipping crews and passengers have focussed attention on this issue. The social partners, ECSA and ETF issued separate public statements urging authorities to facilitate swift and safe crew changes, safe berthing places, exemptions from levies during prolonged lay-off period, guarantee safe passage, as well as, of course, the provision of personal protective equipment (PPE) to all working in the sector.</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The majority of seafarers employed on ships, regardless of the flag of the ships, are nationals from a limited number of labour-supplying countries; and certain traffic routes and coastal States globally receive a disproportionately large volume of incoming and outgoing vessels. In this context, the measures adopted by some third countries have had an impact on European operations. At IMO and ILO level, efforts are ongoing to provide a baseline of information sharing and respect for the basic needs of crew changing and repatriation.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There have been cases of social unrest on board ships where maritime workers have been stranded or had their contracts extended beyond the limit set by the Maritime Labour Convention, 2006</w:t>
      </w:r>
      <w:r>
        <w:rPr>
          <w:rStyle w:val="FootnoteReference"/>
          <w:noProof/>
          <w:lang w:eastAsia="en-US"/>
        </w:rPr>
        <w:footnoteReference w:id="72"/>
      </w:r>
      <w:r>
        <w:rPr>
          <w:noProof/>
          <w:lang w:eastAsia="en-US"/>
        </w:rPr>
        <w:t>, with no possibility to repatriate. The European Commission and the High Representative have undertaken extensive efforts to ensure maritime workers are recognised, globally, as essential or “key” workers, can travel for work and repatriate after their contracts end. With COVID-19 cases rebounding, variations in the pandemic situation locally and globally is proving difficult to reach a stable arrangement on this front.</w:t>
      </w:r>
    </w:p>
    <w:p>
      <w:pPr>
        <w:pStyle w:val="Heading3"/>
        <w:rPr>
          <w:noProof/>
        </w:rPr>
      </w:pPr>
      <w:bookmarkStart w:id="925" w:name="_Toc44674162"/>
      <w:bookmarkStart w:id="926" w:name="_Toc45271990"/>
      <w:bookmarkStart w:id="927" w:name="_Toc46312087"/>
      <w:bookmarkStart w:id="928" w:name="_Toc50415245"/>
      <w:bookmarkStart w:id="929" w:name="_Toc50416527"/>
      <w:bookmarkStart w:id="930" w:name="_Toc50417659"/>
      <w:bookmarkStart w:id="931" w:name="_Toc50418302"/>
      <w:bookmarkStart w:id="932" w:name="_Toc50459882"/>
      <w:bookmarkStart w:id="933" w:name="_Toc50466089"/>
      <w:bookmarkStart w:id="934" w:name="_Toc50473650"/>
      <w:bookmarkStart w:id="935" w:name="_Toc50474701"/>
      <w:bookmarkStart w:id="936" w:name="_Toc50565051"/>
      <w:bookmarkStart w:id="937" w:name="_Toc50568659"/>
      <w:bookmarkStart w:id="938" w:name="_Toc50629398"/>
      <w:bookmarkStart w:id="939" w:name="_Toc50630230"/>
      <w:bookmarkStart w:id="940" w:name="_Toc50630954"/>
      <w:bookmarkStart w:id="941" w:name="_Toc50633798"/>
      <w:bookmarkStart w:id="942" w:name="_Toc50634040"/>
      <w:bookmarkStart w:id="943" w:name="_Toc50646488"/>
      <w:bookmarkStart w:id="944" w:name="_Toc50646623"/>
      <w:bookmarkStart w:id="945" w:name="_Toc50649442"/>
      <w:bookmarkStart w:id="946" w:name="_Toc50650749"/>
      <w:bookmarkStart w:id="947" w:name="_Toc51574783"/>
      <w:bookmarkStart w:id="948" w:name="_Toc51575631"/>
      <w:bookmarkStart w:id="949" w:name="_Toc51578018"/>
      <w:bookmarkStart w:id="950" w:name="_Toc51578486"/>
      <w:bookmarkStart w:id="951" w:name="_Toc51582902"/>
      <w:bookmarkStart w:id="952" w:name="_Toc51583377"/>
      <w:bookmarkStart w:id="953" w:name="_Toc51583467"/>
      <w:bookmarkStart w:id="954" w:name="_Toc51583752"/>
      <w:bookmarkStart w:id="955" w:name="_Toc51583942"/>
      <w:bookmarkStart w:id="956" w:name="_Toc51583866"/>
      <w:bookmarkStart w:id="957" w:name="_Toc51586184"/>
      <w:bookmarkStart w:id="958" w:name="_Toc51593987"/>
      <w:bookmarkStart w:id="959" w:name="_Toc51595291"/>
      <w:bookmarkStart w:id="960" w:name="_Toc51595541"/>
      <w:bookmarkStart w:id="961" w:name="_Toc51595867"/>
      <w:bookmarkStart w:id="962" w:name="_Toc51596030"/>
      <w:bookmarkStart w:id="963" w:name="_Toc51596383"/>
      <w:bookmarkStart w:id="964" w:name="_Toc52121517"/>
      <w:bookmarkStart w:id="965" w:name="_Toc52122748"/>
      <w:bookmarkStart w:id="966" w:name="_Toc52123865"/>
      <w:bookmarkStart w:id="967" w:name="_Toc53405320"/>
      <w:bookmarkStart w:id="968" w:name="_Toc53406110"/>
      <w:bookmarkStart w:id="969" w:name="_Toc53407476"/>
      <w:bookmarkStart w:id="970" w:name="_Toc53410923"/>
      <w:bookmarkStart w:id="971" w:name="_Toc53411986"/>
      <w:bookmarkStart w:id="972" w:name="_Toc53417233"/>
      <w:bookmarkStart w:id="973" w:name="_Toc53417585"/>
      <w:bookmarkStart w:id="974" w:name="_Toc53419820"/>
      <w:bookmarkStart w:id="975" w:name="_Toc53434923"/>
      <w:bookmarkStart w:id="976" w:name="_Toc53437063"/>
      <w:bookmarkStart w:id="977" w:name="_Toc57291470"/>
      <w:bookmarkStart w:id="978" w:name="_Toc51594313"/>
      <w:r>
        <w:rPr>
          <w:noProof/>
        </w:rPr>
        <w:t>Road transport</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bookmarkEnd w:id="978"/>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 xml:space="preserve">The most affected segment of road passenger transport has been international traffic, particularly coach tourism. After a period of partial reopening between July and November, some international coach operators have been recently scaling back again their services in some EU countries due to the second wave. </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 xml:space="preserve">Road freight transport gradually picked-up starting in the second half of May, according to real time indicators, such as German truck toll activity and pollution levels.  By mid-July, German truck toll activity was already tracking closely its level over the same period of 2019, but has since failed to gain further momentum. Road traffic in France, Italy and Spain broadly flattened over July and September, stopping short of a full recovery. More recently, however, road traffic in both France and Italy has increased somewhat and now stands around 10% below its values for the same period of last year.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After major disruptions in road freight transport within the EU in the beginning of March, the Commission’s Green Lanes initiative has improved the situation at most internal borders. In November, the vast majority of borders continued to comply with the 15 minutes waiting time mandated by the Green Lanes</w:t>
      </w:r>
      <w:r>
        <w:rPr>
          <w:rStyle w:val="FootnoteReference"/>
          <w:noProof/>
          <w:lang w:eastAsia="en-US"/>
        </w:rPr>
        <w:footnoteReference w:id="73"/>
      </w:r>
      <w:r>
        <w:rPr>
          <w:noProof/>
          <w:lang w:eastAsia="en-US"/>
        </w:rPr>
        <w:t>. Border crossing points with Romania and Bulgaria continue to be impacted by long queues. Others show occasional peaks in waiting time (Romania-Hungary, Croatia). On the external borders of the EU, there continue to be long queues at borders with Switzerland (which seem to be not COVID-related but due to customs checks). There is a continued long waiting time at the Bulgaria-Serbia, Hungary-Serbia, Greece-Albania borders. In particular, Röszke-Horgoš (Hungary-Serbia) has experienced the highest waiting times since commencing  monitoring of waiting times.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Compared to pre-crisis levels, most Member States are still seeing important decreases in demand for road freight transport. </w:t>
      </w:r>
      <w:r>
        <w:rPr>
          <w:noProof/>
        </w:rPr>
        <w:t>The IRU estimates the goods transport losses to exceed EUR 800 billion globally</w:t>
      </w:r>
      <w:r>
        <w:rPr>
          <w:rStyle w:val="FootnoteReference"/>
          <w:noProof/>
        </w:rPr>
        <w:footnoteReference w:id="74"/>
      </w:r>
      <w:r>
        <w:rPr>
          <w:noProof/>
        </w:rPr>
        <w:t xml:space="preserve">.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Based on preliminary data from Member States, the Commission estimates that the number of road fatalities during lockdown measures decreased across the EU in March (-29%), April (-41%), May (-27%), June (-27%), July (-16%), August (-16%) and September (-14%) compared to the average of the same month in the previous three years</w:t>
      </w:r>
      <w:r>
        <w:rPr>
          <w:rStyle w:val="FootnoteReference"/>
          <w:noProof/>
        </w:rPr>
        <w:footnoteReference w:id="75"/>
      </w:r>
      <w:r>
        <w:rPr>
          <w:noProof/>
        </w:rPr>
        <w:t>. This means that around 3 000 lives fewer have been lost.    This is an unprecedented and of course welcome development, although the number of deaths did not fall significantly in all Member States and not by the same degree as the drop in traffic volumes.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As a result of lower traffic volumes compared to previous expectations, ratings agencies have re-assessed negatively the outlook of a number of Europe’s privately-owned toll road concessionaires. </w:t>
      </w:r>
    </w:p>
    <w:p>
      <w:pPr>
        <w:pStyle w:val="Heading3"/>
        <w:rPr>
          <w:noProof/>
        </w:rPr>
      </w:pPr>
      <w:bookmarkStart w:id="979" w:name="_Toc44674163"/>
      <w:bookmarkStart w:id="980" w:name="_Toc45271991"/>
      <w:bookmarkStart w:id="981" w:name="_Toc46312088"/>
      <w:bookmarkStart w:id="982" w:name="_Toc50044790"/>
      <w:bookmarkStart w:id="983" w:name="_Toc50048905"/>
      <w:bookmarkStart w:id="984" w:name="_Toc50415246"/>
      <w:bookmarkStart w:id="985" w:name="_Toc50416528"/>
      <w:bookmarkStart w:id="986" w:name="_Toc50417660"/>
      <w:bookmarkStart w:id="987" w:name="_Toc50418303"/>
      <w:bookmarkStart w:id="988" w:name="_Toc50459883"/>
      <w:bookmarkStart w:id="989" w:name="_Toc50466090"/>
      <w:bookmarkStart w:id="990" w:name="_Toc50473651"/>
      <w:bookmarkStart w:id="991" w:name="_Toc50474702"/>
      <w:bookmarkStart w:id="992" w:name="_Toc50565052"/>
      <w:bookmarkStart w:id="993" w:name="_Toc50568660"/>
      <w:bookmarkStart w:id="994" w:name="_Toc50629399"/>
      <w:bookmarkStart w:id="995" w:name="_Toc50630231"/>
      <w:bookmarkStart w:id="996" w:name="_Toc50630955"/>
      <w:bookmarkStart w:id="997" w:name="_Toc50633799"/>
      <w:bookmarkStart w:id="998" w:name="_Toc50634041"/>
      <w:bookmarkStart w:id="999" w:name="_Toc50646489"/>
      <w:bookmarkStart w:id="1000" w:name="_Toc50646624"/>
      <w:bookmarkStart w:id="1001" w:name="_Toc50649443"/>
      <w:bookmarkStart w:id="1002" w:name="_Toc50650750"/>
      <w:bookmarkStart w:id="1003" w:name="_Toc51574784"/>
      <w:bookmarkStart w:id="1004" w:name="_Toc51575632"/>
      <w:bookmarkStart w:id="1005" w:name="_Toc51578019"/>
      <w:bookmarkStart w:id="1006" w:name="_Toc51578487"/>
      <w:bookmarkStart w:id="1007" w:name="_Toc51582903"/>
      <w:bookmarkStart w:id="1008" w:name="_Toc51583378"/>
      <w:bookmarkStart w:id="1009" w:name="_Toc51583468"/>
      <w:bookmarkStart w:id="1010" w:name="_Toc51583753"/>
      <w:bookmarkStart w:id="1011" w:name="_Toc51583943"/>
      <w:bookmarkStart w:id="1012" w:name="_Toc51583867"/>
      <w:bookmarkStart w:id="1013" w:name="_Toc51586185"/>
      <w:bookmarkStart w:id="1014" w:name="_Toc51593988"/>
      <w:bookmarkStart w:id="1015" w:name="_Toc51594314"/>
      <w:bookmarkStart w:id="1016" w:name="_Toc51595292"/>
      <w:bookmarkStart w:id="1017" w:name="_Toc51595542"/>
      <w:bookmarkStart w:id="1018" w:name="_Toc51595868"/>
      <w:bookmarkStart w:id="1019" w:name="_Toc51596031"/>
      <w:bookmarkStart w:id="1020" w:name="_Toc51596384"/>
      <w:bookmarkStart w:id="1021" w:name="_Toc52121518"/>
      <w:bookmarkStart w:id="1022" w:name="_Toc52122749"/>
      <w:bookmarkStart w:id="1023" w:name="_Toc52123866"/>
      <w:bookmarkStart w:id="1024" w:name="_Toc53405321"/>
      <w:bookmarkStart w:id="1025" w:name="_Toc53406111"/>
      <w:bookmarkStart w:id="1026" w:name="_Toc53407477"/>
      <w:bookmarkStart w:id="1027" w:name="_Toc53410924"/>
      <w:bookmarkStart w:id="1028" w:name="_Toc53411987"/>
      <w:bookmarkStart w:id="1029" w:name="_Toc53417234"/>
      <w:bookmarkStart w:id="1030" w:name="_Toc53417586"/>
      <w:bookmarkStart w:id="1031" w:name="_Toc53419821"/>
      <w:bookmarkStart w:id="1032" w:name="_Toc53434924"/>
      <w:bookmarkStart w:id="1033" w:name="_Toc53437064"/>
      <w:bookmarkStart w:id="1034" w:name="_Toc57291471"/>
      <w:r>
        <w:rPr>
          <w:noProof/>
        </w:rPr>
        <w:t>Rail transport</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Railways have experienced significant and unexpected disruption due to the COVID-19 pandemic, with a huge drop in passenger mobility. During the peak of the crisis ridership went down by more than 90% in several countries and many international connections were stopped. After the drop of turnover by 35% observed during the first semester, there has been a significant improvement of the situation in July and August but pre-crisis levels are still far from having been reached (July: -28% compared to same month of previous year; August: -27%). However, the trend is not maintained as demonstrated by the figures of turnover losses in September with -29%, due to the second wave of the pandemic hitting countries across the EU and the expected impact on rail passenger travel. Smaller independent operators are particularly badly hit and, according to their association ALLRAIL, have so far not benefited from State aid to the same extent as incumbent operators.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Rail freight continued to run reliably throughout the pandemic, ensuring supply chains and suffering from much less disruption than other modes. Nonetheless, the impact of the COVID-19 pandemic caused an approximate average decline in rail freight revenues of 15% across the EU-27 during the first half of 2020 and lost revenues of about EUR 48 million per week with a total estimated loss of EUR 1.25 billion accumulated over the first semester 2020. Rail infrastructure managers are impacted by the COVID-19 pandemic due to the reduction in traffic and the revenues it generates.</w:t>
      </w:r>
      <w:r>
        <w:rPr>
          <w:rStyle w:val="FootnoteReference"/>
          <w:noProof/>
        </w:rPr>
        <w:footnoteReference w:id="76"/>
      </w:r>
      <w:r>
        <w:rPr>
          <w:noProof/>
          <w:lang w:eastAsia="en-US"/>
        </w:rPr>
        <w:t xml:space="preserve"> </w:t>
      </w:r>
    </w:p>
    <w:p>
      <w:pPr>
        <w:pStyle w:val="LegalNumPar"/>
        <w:numPr>
          <w:ilvl w:val="0"/>
          <w:numId w:val="89"/>
        </w:numPr>
        <w:pBdr>
          <w:top w:val="nil"/>
          <w:left w:val="nil"/>
          <w:bottom w:val="nil"/>
          <w:right w:val="nil"/>
          <w:between w:val="nil"/>
          <w:bar w:val="nil"/>
        </w:pBdr>
        <w:tabs>
          <w:tab w:val="left" w:pos="476"/>
        </w:tabs>
        <w:spacing w:line="240" w:lineRule="auto"/>
        <w:rPr>
          <w:rStyle w:val="Hyperlink1"/>
          <w:noProof/>
        </w:rPr>
      </w:pPr>
      <w:r>
        <w:rPr>
          <w:rStyle w:val="Hyperlink1"/>
          <w:noProof/>
        </w:rPr>
        <w:t>Intermodal transport suffered from lower demand from its traditional markets. At the same time, it gained some new clients by demonstrating its potential for long distance, Europe-wide transport of goods, with the local (usually around 50 km) distribution organised by lorries or vans from the terminals to distribution centres or factories, with a limited human interaction. Adequate network of multimodal terminals, reliable rail (in particular the Rail Freight Corridors</w:t>
      </w:r>
      <w:r>
        <w:rPr>
          <w:rStyle w:val="FootnoteReference"/>
          <w:noProof/>
        </w:rPr>
        <w:footnoteReference w:id="77"/>
      </w:r>
      <w:r>
        <w:rPr>
          <w:rStyle w:val="Hyperlink1"/>
          <w:noProof/>
        </w:rPr>
        <w:t>), but also inland navigation and short sea shipping services are in this context essential.</w:t>
      </w:r>
    </w:p>
    <w:p>
      <w:pPr>
        <w:pStyle w:val="Heading3"/>
        <w:rPr>
          <w:noProof/>
        </w:rPr>
      </w:pPr>
      <w:bookmarkStart w:id="1035" w:name="_Toc50227105"/>
      <w:bookmarkStart w:id="1036" w:name="_Toc44674164"/>
      <w:bookmarkStart w:id="1037" w:name="_Toc45271992"/>
      <w:bookmarkStart w:id="1038" w:name="_Ref45643268"/>
      <w:bookmarkStart w:id="1039" w:name="_Toc46312089"/>
      <w:bookmarkStart w:id="1040" w:name="_Toc50044795"/>
      <w:bookmarkStart w:id="1041" w:name="_Toc50048910"/>
      <w:bookmarkStart w:id="1042" w:name="_Toc50415247"/>
      <w:bookmarkStart w:id="1043" w:name="_Toc50416529"/>
      <w:bookmarkStart w:id="1044" w:name="_Toc50417661"/>
      <w:bookmarkStart w:id="1045" w:name="_Toc50418304"/>
      <w:bookmarkStart w:id="1046" w:name="_Toc50459884"/>
      <w:bookmarkStart w:id="1047" w:name="_Toc50466091"/>
      <w:bookmarkStart w:id="1048" w:name="_Toc50473652"/>
      <w:bookmarkStart w:id="1049" w:name="_Toc50474703"/>
      <w:bookmarkStart w:id="1050" w:name="_Toc50565053"/>
      <w:bookmarkStart w:id="1051" w:name="_Toc50568661"/>
      <w:bookmarkStart w:id="1052" w:name="_Toc50629400"/>
      <w:bookmarkStart w:id="1053" w:name="_Toc50630232"/>
      <w:bookmarkStart w:id="1054" w:name="_Toc50630956"/>
      <w:bookmarkStart w:id="1055" w:name="_Toc50633800"/>
      <w:bookmarkStart w:id="1056" w:name="_Toc50634042"/>
      <w:bookmarkStart w:id="1057" w:name="_Toc50649444"/>
      <w:bookmarkStart w:id="1058" w:name="_Toc50650751"/>
      <w:bookmarkStart w:id="1059" w:name="_Toc51574785"/>
      <w:bookmarkStart w:id="1060" w:name="_Toc51575633"/>
      <w:bookmarkStart w:id="1061" w:name="_Toc51578020"/>
      <w:bookmarkStart w:id="1062" w:name="_Toc51578488"/>
      <w:bookmarkStart w:id="1063" w:name="_Toc51582904"/>
      <w:bookmarkStart w:id="1064" w:name="_Toc51583379"/>
      <w:bookmarkStart w:id="1065" w:name="_Toc51583469"/>
      <w:bookmarkStart w:id="1066" w:name="_Toc51583754"/>
      <w:bookmarkStart w:id="1067" w:name="_Toc51583944"/>
      <w:bookmarkStart w:id="1068" w:name="_Toc51583868"/>
      <w:bookmarkStart w:id="1069" w:name="_Toc51586186"/>
      <w:bookmarkStart w:id="1070" w:name="_Toc51593989"/>
      <w:bookmarkStart w:id="1071" w:name="_Toc51594315"/>
      <w:bookmarkStart w:id="1072" w:name="_Toc51595293"/>
      <w:bookmarkStart w:id="1073" w:name="_Toc51595543"/>
      <w:bookmarkStart w:id="1074" w:name="_Toc51595869"/>
      <w:bookmarkStart w:id="1075" w:name="_Toc51596032"/>
      <w:bookmarkStart w:id="1076" w:name="_Toc51596385"/>
      <w:bookmarkStart w:id="1077" w:name="_Toc52121519"/>
      <w:bookmarkStart w:id="1078" w:name="_Toc52122750"/>
      <w:bookmarkStart w:id="1079" w:name="_Toc52123867"/>
      <w:bookmarkStart w:id="1080" w:name="_Toc53405322"/>
      <w:bookmarkStart w:id="1081" w:name="_Toc53406112"/>
      <w:bookmarkStart w:id="1082" w:name="_Toc53407478"/>
      <w:bookmarkStart w:id="1083" w:name="_Toc53410925"/>
      <w:bookmarkStart w:id="1084" w:name="_Toc53411988"/>
      <w:bookmarkStart w:id="1085" w:name="_Toc53417235"/>
      <w:bookmarkStart w:id="1086" w:name="_Toc53417587"/>
      <w:bookmarkStart w:id="1087" w:name="_Toc53419822"/>
      <w:bookmarkStart w:id="1088" w:name="_Toc53434925"/>
      <w:bookmarkStart w:id="1089" w:name="_Toc53437065"/>
      <w:bookmarkStart w:id="1090" w:name="_Toc57291472"/>
      <w:bookmarkStart w:id="1091" w:name="_Toc50646490"/>
      <w:bookmarkStart w:id="1092" w:name="_Toc50646625"/>
      <w:bookmarkEnd w:id="1035"/>
      <w:r>
        <w:rPr>
          <w:noProof/>
        </w:rPr>
        <w:t>Urban transport</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bookmarkEnd w:id="1091"/>
    <w:bookmarkEnd w:id="1092"/>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rPr>
        <w:t xml:space="preserve">Public transport operators have been severely hit by the COVID-19 pandemic: they were required to maintain essential services in operation during the lockdown period and to restore services as movement restrictions eased. </w:t>
      </w:r>
    </w:p>
    <w:p>
      <w:pPr>
        <w:pStyle w:val="LegalNumPar"/>
        <w:numPr>
          <w:ilvl w:val="0"/>
          <w:numId w:val="89"/>
        </w:numPr>
        <w:pBdr>
          <w:top w:val="nil"/>
          <w:left w:val="nil"/>
          <w:bottom w:val="nil"/>
          <w:right w:val="nil"/>
          <w:between w:val="nil"/>
          <w:bar w:val="nil"/>
        </w:pBdr>
        <w:tabs>
          <w:tab w:val="left" w:pos="476"/>
        </w:tabs>
        <w:spacing w:line="240" w:lineRule="auto"/>
        <w:rPr>
          <w:rFonts w:eastAsia="Arial Unicode MS"/>
          <w:noProof/>
          <w:lang w:eastAsia="en-US"/>
        </w:rPr>
      </w:pPr>
      <w:r>
        <w:rPr>
          <w:noProof/>
        </w:rPr>
        <w:t xml:space="preserve">Public transport is likely to continue to be affected, especially in regions where quarantine measures have reappeared. </w:t>
      </w:r>
      <w:r>
        <w:rPr>
          <w:rFonts w:eastAsia="Arial Unicode MS"/>
          <w:noProof/>
          <w:bdr w:val="nil"/>
          <w:lang w:eastAsia="en-US"/>
        </w:rPr>
        <w:t>As of 15 November, the mobility trends for public transport hubs (subway, bus and train stations) are -46 % in Netherlands, -45% in Italy, -28% in Spain, Germany and -46% in France compared to the pre-pandemic baseline.</w:t>
      </w:r>
      <w:r>
        <w:rPr>
          <w:rFonts w:eastAsia="Arial Unicode MS"/>
          <w:noProof/>
          <w:bdr w:val="nil"/>
          <w:vertAlign w:val="superscript"/>
          <w:lang w:eastAsia="en-US"/>
        </w:rPr>
        <w:footnoteReference w:id="78"/>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Nevertheless, most public transport companies – whether public or private – maintained a high level of service where possible (between 70 and 100 percent of the normal offer). Many of those who must continue commuting rely on public transport systems, which are uniquely positioned to carry large volumes of passengers through busy urban areas. Even during the pandemic, public transport has remained the backbone of sustainable mobility and essential to economic recovery. Although there is new and growing evidence that public transport riders do not face higher infection risk than non-riders</w:t>
      </w:r>
      <w:r>
        <w:rPr>
          <w:noProof/>
          <w:vertAlign w:val="superscript"/>
        </w:rPr>
        <w:footnoteReference w:id="79"/>
      </w:r>
      <w:r>
        <w:rPr>
          <w:noProof/>
        </w:rPr>
        <w:t>,</w:t>
      </w:r>
      <w:r>
        <w:rPr>
          <w:noProof/>
          <w:lang w:eastAsia="en-US"/>
        </w:rPr>
        <w:t xml:space="preserve"> public transport authorities have had to take supplementary measures for disinfection and mask provision to reduce risk for workers and passengers alike, incurring extra costs.     </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 xml:space="preserve">In addition, the need to ensure physical distancing severely reduced capacity, which led the public authorities in several countries to appeal to citizens not to use public transport (for instance to keep it free for essential workers and those without alternatives).  This appears to have contributed to a general public concern about the safety of using public transport during the pandemic, and continued stagnation in its use in many cities.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At the same time, the COVID-19 pandemic has led to a shift to individual modes of transport, with w</w:t>
      </w:r>
      <w:r>
        <w:rPr>
          <w:noProof/>
        </w:rPr>
        <w:t>alking and cycling often being the preferred mode in many cities, combining the ‘active’ element (physical exercise) with the travel objective. This has resulted in additional health benefits thanks to increased physical activity, reducing a key risk factor of non-communicable diseases, such as cancer and cardiovascular diseases. Cities have also been struggling to accommodate the necessary distancing rules due to insufficient space for pedestrians and cyclists</w:t>
      </w:r>
      <w:r>
        <w:rPr>
          <w:rStyle w:val="FootnoteReference"/>
          <w:noProof/>
        </w:rPr>
        <w:footnoteReference w:id="80"/>
      </w:r>
      <w:r>
        <w:rPr>
          <w:noProof/>
        </w:rPr>
        <w:t xml:space="preserve"> and many of them have therefore taken action to implement temporary measures, such as the widening of pavements and the roll-out of temporary cycle lanes. Many cities are also now making these temporary lanes permanent to try to maintain or further improve active mobility flows, also to help improve public health and reduce mortality caused by non-communicable diseases. However, new individual solutions accessible for those with disabilities and reduced mobility have not yet materialised and existing ones are expensive and limited in offer.</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rPr>
        <w:t>A drop in air pollution in cities during the first period of lockdown measures is confirmed by data published by the European Environment Agency</w:t>
      </w:r>
      <w:r>
        <w:rPr>
          <w:rStyle w:val="FootnoteReference"/>
          <w:noProof/>
        </w:rPr>
        <w:footnoteReference w:id="81"/>
      </w:r>
      <w:r>
        <w:rPr>
          <w:noProof/>
        </w:rPr>
        <w:t>. A</w:t>
      </w:r>
      <w:r>
        <w:rPr>
          <w:noProof/>
          <w:lang w:eastAsia="en-US"/>
        </w:rPr>
        <w:t>s first round of lockdown measures eased, there were increasing indications that more people are using private cars, partly because of continued concerns about the safety of public transport. This led to a return to congestion, poorer air quality and increased road safety risks. Therefore some cities in Europe, e.g. Milan or Brussels, are re-thinking their sustainable urban mobility plans in order to discourage the use of private cars. In addition, the EU High Level Group on Road Safety has agreed on common principles to address road safety concerns, including strengthened enforcement, measures to restore confidence in public transport, and continued investment in road safety, including in order to make temporary safety measures (adopted during lockdown) permanent, such as “pop-up bike lanes”</w:t>
      </w:r>
      <w:r>
        <w:rPr>
          <w:rStyle w:val="FootnoteReference"/>
          <w:noProof/>
          <w:lang w:eastAsia="en-US"/>
        </w:rPr>
        <w:footnoteReference w:id="82"/>
      </w:r>
      <w:r>
        <w:rPr>
          <w:noProof/>
          <w:lang w:eastAsia="en-US"/>
        </w:rPr>
        <w: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New shared mobility services, such as e-bikes, e-scooters, shared cars, experienced drastic reductions of service in quarantine areas and in several cities have been slow to re-emerge even as movement restrictions were raised. The business models of many companies offering shared mobility services already involved long periods of loss-making and some of them may be driven (close) to bankruptcy or to change their business model. </w:t>
      </w:r>
    </w:p>
    <w:p>
      <w:pPr>
        <w:spacing w:after="0" w:line="240" w:lineRule="auto"/>
        <w:jc w:val="left"/>
        <w:rPr>
          <w:b/>
          <w:smallCaps/>
          <w:noProof/>
          <w:sz w:val="26"/>
          <w:lang w:eastAsia="en-US"/>
        </w:rPr>
      </w:pPr>
    </w:p>
    <w:p>
      <w:pPr>
        <w:spacing w:after="0" w:line="240" w:lineRule="auto"/>
        <w:jc w:val="left"/>
        <w:rPr>
          <w:b/>
          <w:smallCaps/>
          <w:noProof/>
          <w:sz w:val="26"/>
          <w:lang w:eastAsia="en-US"/>
        </w:rPr>
      </w:pPr>
      <w:bookmarkStart w:id="1093" w:name="_Toc42783879"/>
      <w:r>
        <w:rPr>
          <w:noProof/>
        </w:rPr>
        <w:br w:type="page"/>
      </w:r>
    </w:p>
    <w:p>
      <w:pPr>
        <w:pStyle w:val="Heading1"/>
        <w:rPr>
          <w:noProof/>
        </w:rPr>
      </w:pPr>
      <w:bookmarkStart w:id="1094" w:name="_Toc44674173"/>
      <w:bookmarkStart w:id="1095" w:name="_Toc45272001"/>
      <w:bookmarkStart w:id="1096" w:name="_Toc46312091"/>
      <w:bookmarkStart w:id="1097" w:name="_Toc57291473"/>
      <w:bookmarkStart w:id="1098" w:name="_Toc51593990"/>
      <w:bookmarkStart w:id="1099" w:name="_Toc51594316"/>
      <w:bookmarkStart w:id="1100" w:name="_Toc51595294"/>
      <w:bookmarkStart w:id="1101" w:name="_Toc51595544"/>
      <w:bookmarkStart w:id="1102" w:name="_Toc51595870"/>
      <w:bookmarkStart w:id="1103" w:name="_Toc51596033"/>
      <w:bookmarkStart w:id="1104" w:name="_Toc51596386"/>
      <w:bookmarkStart w:id="1105" w:name="_Toc52121520"/>
      <w:bookmarkStart w:id="1106" w:name="_Toc52122751"/>
      <w:bookmarkStart w:id="1107" w:name="_Toc52123868"/>
      <w:bookmarkStart w:id="1108" w:name="_Toc53405323"/>
      <w:bookmarkStart w:id="1109" w:name="_Toc53406113"/>
      <w:bookmarkStart w:id="1110" w:name="_Toc53407479"/>
      <w:bookmarkStart w:id="1111" w:name="_Toc53410926"/>
      <w:bookmarkStart w:id="1112" w:name="_Toc53411989"/>
      <w:bookmarkStart w:id="1113" w:name="_Toc53417236"/>
      <w:bookmarkStart w:id="1114" w:name="_Toc53417588"/>
      <w:bookmarkStart w:id="1115" w:name="_Toc53419823"/>
      <w:bookmarkStart w:id="1116" w:name="_Toc53434926"/>
      <w:bookmarkStart w:id="1117" w:name="_Toc53437066"/>
      <w:bookmarkStart w:id="1118" w:name="_Toc44674165"/>
      <w:bookmarkStart w:id="1119" w:name="_Toc50415248"/>
      <w:bookmarkStart w:id="1120" w:name="_Toc50416530"/>
      <w:bookmarkStart w:id="1121" w:name="_Toc50417662"/>
      <w:bookmarkStart w:id="1122" w:name="_Toc50418305"/>
      <w:bookmarkStart w:id="1123" w:name="_Toc50459885"/>
      <w:bookmarkStart w:id="1124" w:name="_Toc50466092"/>
      <w:bookmarkStart w:id="1125" w:name="_Toc50473653"/>
      <w:bookmarkStart w:id="1126" w:name="_Toc50474704"/>
      <w:bookmarkStart w:id="1127" w:name="_Toc50565054"/>
      <w:bookmarkStart w:id="1128" w:name="_Toc50568662"/>
      <w:bookmarkStart w:id="1129" w:name="_Toc50629401"/>
      <w:bookmarkStart w:id="1130" w:name="_Toc50630233"/>
      <w:bookmarkStart w:id="1131" w:name="_Toc50630957"/>
      <w:bookmarkStart w:id="1132" w:name="_Toc50633801"/>
      <w:bookmarkStart w:id="1133" w:name="_Toc50634043"/>
      <w:bookmarkStart w:id="1134" w:name="_Toc50646491"/>
      <w:bookmarkStart w:id="1135" w:name="_Toc50646626"/>
      <w:bookmarkStart w:id="1136" w:name="_Toc50649445"/>
      <w:bookmarkStart w:id="1137" w:name="_Toc50650752"/>
      <w:bookmarkStart w:id="1138" w:name="_Toc45271993"/>
      <w:bookmarkStart w:id="1139" w:name="_Toc46312094"/>
      <w:bookmarkStart w:id="1140" w:name="_Toc50044800"/>
      <w:bookmarkStart w:id="1141" w:name="_Toc50048915"/>
      <w:bookmarkStart w:id="1142" w:name="_Toc51574786"/>
      <w:bookmarkStart w:id="1143" w:name="_Toc51575634"/>
      <w:bookmarkStart w:id="1144" w:name="_Toc51578021"/>
      <w:bookmarkStart w:id="1145" w:name="_Toc51578489"/>
      <w:bookmarkStart w:id="1146" w:name="_Toc51582905"/>
      <w:bookmarkStart w:id="1147" w:name="_Toc51583380"/>
      <w:bookmarkStart w:id="1148" w:name="_Toc51583470"/>
      <w:bookmarkStart w:id="1149" w:name="_Toc51583755"/>
      <w:bookmarkStart w:id="1150" w:name="_Toc51583945"/>
      <w:bookmarkStart w:id="1151" w:name="_Toc51583869"/>
      <w:bookmarkStart w:id="1152" w:name="_Toc51586187"/>
      <w:bookmarkEnd w:id="1094"/>
      <w:bookmarkEnd w:id="1095"/>
      <w:bookmarkEnd w:id="1096"/>
      <w:r>
        <w:rPr>
          <w:noProof/>
        </w:rPr>
        <w:t>Key policy developments over the last decade</w:t>
      </w:r>
      <w:bookmarkEnd w:id="1097"/>
      <w:r>
        <w:rPr>
          <w:noProof/>
        </w:rPr>
        <w:t xml:space="preserve"> </w:t>
      </w:r>
      <w:bookmarkEnd w:id="490"/>
      <w:bookmarkEnd w:id="1093"/>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The 2011 White Paper for transport</w:t>
      </w:r>
      <w:r>
        <w:rPr>
          <w:rStyle w:val="FootnoteReference"/>
          <w:noProof/>
          <w:lang w:eastAsia="en-US"/>
        </w:rPr>
        <w:footnoteReference w:id="83"/>
      </w:r>
      <w:r>
        <w:rPr>
          <w:noProof/>
          <w:lang w:eastAsia="en-US"/>
        </w:rPr>
        <w:t xml:space="preserve"> defined a vision for a competitive and sustainable transport system, the implementation of which required</w:t>
      </w:r>
      <w:r>
        <w:rPr>
          <w:noProof/>
        </w:rPr>
        <w:t xml:space="preserve"> an efficient framework for transport users and operators, an early deployment of new technologies and </w:t>
      </w:r>
      <w:r>
        <w:rPr>
          <w:noProof/>
          <w:lang w:eastAsia="en-US"/>
        </w:rPr>
        <w:t>the</w:t>
      </w:r>
      <w:r>
        <w:rPr>
          <w:noProof/>
        </w:rPr>
        <w:t xml:space="preserve"> development of adequate infrastructure. It set the paramount goal of European transport policy as helping establish a system that underpins European economic </w:t>
      </w:r>
      <w:r>
        <w:rPr>
          <w:noProof/>
          <w:lang w:eastAsia="en-US"/>
        </w:rPr>
        <w:t>progress</w:t>
      </w:r>
      <w:r>
        <w:rPr>
          <w:noProof/>
        </w:rPr>
        <w:t xml:space="preserve">, enhances competitiveness and offers high quality mobility services while using resources more </w:t>
      </w:r>
      <w:r>
        <w:rPr>
          <w:noProof/>
          <w:lang w:eastAsia="en-US"/>
        </w:rPr>
        <w:t>efficiently</w:t>
      </w:r>
      <w:r>
        <w:rPr>
          <w:noProof/>
        </w:rPr>
        <w:t>.</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This section highlights some of the additional measures that have been put in place in the key policy areas over the last decade. Nevertheless, it needs to be recognised that significant challenges remain, as described in the subsequent sections, particularly in relation to meeting the need for sharper CO</w:t>
      </w:r>
      <w:r>
        <w:rPr>
          <w:noProof/>
          <w:vertAlign w:val="subscript"/>
          <w:lang w:eastAsia="en-US"/>
        </w:rPr>
        <w:t>2</w:t>
      </w:r>
      <w:r>
        <w:rPr>
          <w:noProof/>
          <w:lang w:eastAsia="en-US"/>
        </w:rPr>
        <w:t xml:space="preserve"> reductions from transport in order to reach economy-wide climate neutrality by 2050 and the increased ambition for 2030 of at least 55% GHG emission reduction. </w:t>
      </w:r>
    </w:p>
    <w:p>
      <w:pPr>
        <w:pStyle w:val="Heading2"/>
        <w:rPr>
          <w:noProof/>
        </w:rPr>
      </w:pPr>
      <w:bookmarkStart w:id="1153" w:name="_Toc42703559"/>
      <w:bookmarkStart w:id="1154" w:name="_Toc42783881"/>
      <w:bookmarkStart w:id="1155" w:name="_Toc44674167"/>
      <w:bookmarkStart w:id="1156" w:name="_Toc50415249"/>
      <w:bookmarkStart w:id="1157" w:name="_Toc50416531"/>
      <w:bookmarkStart w:id="1158" w:name="_Toc50417663"/>
      <w:bookmarkStart w:id="1159" w:name="_Toc50418306"/>
      <w:bookmarkStart w:id="1160" w:name="_Toc45271995"/>
      <w:bookmarkStart w:id="1161" w:name="_Toc46312095"/>
      <w:bookmarkStart w:id="1162" w:name="_Toc50044801"/>
      <w:bookmarkStart w:id="1163" w:name="_Toc50048916"/>
      <w:bookmarkStart w:id="1164" w:name="_Toc50459886"/>
      <w:bookmarkStart w:id="1165" w:name="_Toc50466093"/>
      <w:bookmarkStart w:id="1166" w:name="_Toc50473654"/>
      <w:bookmarkStart w:id="1167" w:name="_Toc50474705"/>
      <w:bookmarkStart w:id="1168" w:name="_Toc50565055"/>
      <w:bookmarkStart w:id="1169" w:name="_Toc50568663"/>
      <w:bookmarkStart w:id="1170" w:name="_Toc50629402"/>
      <w:bookmarkStart w:id="1171" w:name="_Toc50630234"/>
      <w:bookmarkStart w:id="1172" w:name="_Toc50630958"/>
      <w:bookmarkStart w:id="1173" w:name="_Toc50633802"/>
      <w:bookmarkStart w:id="1174" w:name="_Toc50634044"/>
      <w:bookmarkStart w:id="1175" w:name="_Toc50646492"/>
      <w:bookmarkStart w:id="1176" w:name="_Toc50646627"/>
      <w:bookmarkStart w:id="1177" w:name="_Toc50649446"/>
      <w:bookmarkStart w:id="1178" w:name="_Toc50650753"/>
      <w:bookmarkStart w:id="1179" w:name="_Toc51574787"/>
      <w:bookmarkStart w:id="1180" w:name="_Toc51575635"/>
      <w:bookmarkStart w:id="1181" w:name="_Toc51578022"/>
      <w:bookmarkStart w:id="1182" w:name="_Toc51578490"/>
      <w:bookmarkStart w:id="1183" w:name="_Toc51582906"/>
      <w:bookmarkStart w:id="1184" w:name="_Toc51583381"/>
      <w:bookmarkStart w:id="1185" w:name="_Toc51583471"/>
      <w:bookmarkStart w:id="1186" w:name="_Toc51583756"/>
      <w:bookmarkStart w:id="1187" w:name="_Toc51583946"/>
      <w:bookmarkStart w:id="1188" w:name="_Toc51583870"/>
      <w:bookmarkStart w:id="1189" w:name="_Toc51586188"/>
      <w:bookmarkStart w:id="1190" w:name="_Toc51593991"/>
      <w:bookmarkStart w:id="1191" w:name="_Toc51594317"/>
      <w:bookmarkStart w:id="1192" w:name="_Toc51595295"/>
      <w:bookmarkStart w:id="1193" w:name="_Toc51595545"/>
      <w:bookmarkStart w:id="1194" w:name="_Toc51595871"/>
      <w:bookmarkStart w:id="1195" w:name="_Toc51596034"/>
      <w:bookmarkStart w:id="1196" w:name="_Toc51596387"/>
      <w:bookmarkStart w:id="1197" w:name="_Toc52121521"/>
      <w:bookmarkStart w:id="1198" w:name="_Toc52122752"/>
      <w:bookmarkStart w:id="1199" w:name="_Toc52123869"/>
      <w:bookmarkStart w:id="1200" w:name="_Toc53405324"/>
      <w:bookmarkStart w:id="1201" w:name="_Toc53406114"/>
      <w:bookmarkStart w:id="1202" w:name="_Toc53407480"/>
      <w:bookmarkStart w:id="1203" w:name="_Toc53410927"/>
      <w:bookmarkStart w:id="1204" w:name="_Toc53411990"/>
      <w:bookmarkStart w:id="1205" w:name="_Toc53417237"/>
      <w:bookmarkStart w:id="1206" w:name="_Toc53417589"/>
      <w:bookmarkStart w:id="1207" w:name="_Toc53419824"/>
      <w:bookmarkStart w:id="1208" w:name="_Toc53434927"/>
      <w:bookmarkStart w:id="1209" w:name="_Toc53437067"/>
      <w:bookmarkStart w:id="1210" w:name="_Toc57291474"/>
      <w:bookmarkStart w:id="1211" w:name="_Toc42703557"/>
      <w:bookmarkStart w:id="1212" w:name="_Toc42783880"/>
      <w:bookmarkStart w:id="1213" w:name="_Toc44674166"/>
      <w:bookmarkStart w:id="1214" w:name="_Toc45271994"/>
      <w:r>
        <w:rPr>
          <w:noProof/>
        </w:rPr>
        <w:t>Sustainability</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p>
    <w:p>
      <w:pPr>
        <w:rPr>
          <w:noProof/>
        </w:rPr>
      </w:pP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On 28 November 2018, the Commission adopted a </w:t>
      </w:r>
      <w:r>
        <w:rPr>
          <w:b/>
          <w:noProof/>
          <w:lang w:eastAsia="en-US"/>
        </w:rPr>
        <w:t>strategic long-term vision for climate-neutral economy by 2050</w:t>
      </w:r>
      <w:r>
        <w:rPr>
          <w:noProof/>
          <w:vertAlign w:val="superscript"/>
          <w:lang w:eastAsia="en-US"/>
        </w:rPr>
        <w:footnoteReference w:id="84"/>
      </w:r>
      <w:r>
        <w:rPr>
          <w:noProof/>
          <w:lang w:eastAsia="en-US"/>
        </w:rPr>
        <w:t xml:space="preserve">, engaging all sectors of the economy and society, to achieve the transition to a climate-neutral economy. The transport sector, being one of the main sources of GHG emissions in the economy was identified as playing an important role in this transition. The climate neutrality objective was endorsed by </w:t>
      </w:r>
      <w:r>
        <w:rPr>
          <w:noProof/>
        </w:rPr>
        <w:t>the European Parliament</w:t>
      </w:r>
      <w:r>
        <w:rPr>
          <w:rStyle w:val="FootnoteReference"/>
          <w:noProof/>
        </w:rPr>
        <w:footnoteReference w:id="85"/>
      </w:r>
      <w:r>
        <w:rPr>
          <w:noProof/>
        </w:rPr>
        <w:t xml:space="preserve"> and subsequently the European Council</w:t>
      </w:r>
      <w:r>
        <w:rPr>
          <w:rStyle w:val="FootnoteReference"/>
          <w:noProof/>
        </w:rPr>
        <w:footnoteReference w:id="86"/>
      </w:r>
      <w:r>
        <w:rPr>
          <w:noProof/>
        </w:rPr>
        <w: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The </w:t>
      </w:r>
      <w:r>
        <w:rPr>
          <w:b/>
          <w:noProof/>
        </w:rPr>
        <w:t>European Green Deal of December 2019</w:t>
      </w:r>
      <w:r>
        <w:rPr>
          <w:noProof/>
        </w:rPr>
        <w:t xml:space="preserve"> sets a strategic framework for a climate-neutral EU economy by 2050. </w:t>
      </w:r>
      <w:r>
        <w:rPr>
          <w:noProof/>
          <w:lang w:eastAsia="en-US"/>
        </w:rPr>
        <w:t xml:space="preserve">It </w:t>
      </w:r>
      <w:r>
        <w:rPr>
          <w:noProof/>
        </w:rPr>
        <w:t>sets a high level of ambition for climate neutrality and healthy environment, accelerating the shift to sustainable and smart mobility, and delivering a zero pollution ambition for a toxic-free environment and the transition to a circular economy while leaving no one behind.</w:t>
      </w:r>
      <w:r>
        <w:rPr>
          <w:noProof/>
          <w:lang w:eastAsia="en-US"/>
        </w:rPr>
        <w:t xml:space="preserve"> </w:t>
      </w:r>
      <w:r>
        <w:rPr>
          <w:noProof/>
        </w:rPr>
        <w:t>To this end, it calls for a 90% reduction in transport emissions by 2050. Priority actions of the Green Deal for a shift to sustainable and smart mobility include boosting multimodal transport, support the deployment of automated and connected mobility solutions across modes, better addressing external costs of transport activities through pricing, ramping up the production and deployment of sustainable alternative transport fuels and reducing pollution from transport, especially in cities</w:t>
      </w:r>
      <w:r>
        <w:rPr>
          <w:rStyle w:val="FootnoteReference"/>
          <w:noProof/>
        </w:rPr>
        <w:footnoteReference w:id="87"/>
      </w:r>
      <w:r>
        <w:rPr>
          <w:noProof/>
        </w:rPr>
        <w:t xml:space="preserve">, through for instance stricter air pollutant standards. </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In March 2020 the Commission adopted a Communication on a new Circular Economy Action Plan</w:t>
      </w:r>
      <w:r>
        <w:rPr>
          <w:rStyle w:val="FootnoteReference"/>
          <w:noProof/>
          <w:lang w:eastAsia="en-US"/>
        </w:rPr>
        <w:footnoteReference w:id="88"/>
      </w:r>
      <w:r>
        <w:rPr>
          <w:noProof/>
          <w:lang w:eastAsia="en-US"/>
        </w:rPr>
        <w:t xml:space="preserve"> setting a future-oriented agenda for achieving a cleaner and more competitive Europe. The development of transport infrastructures and the production of different types of transport vehicles (airplanes, cars, trains, ships etc.) require the use of substantial volumes of materials. The treatment of the end-of-life stage of these vehicles also raises important environmental challenges, while representing opportunities for the recovery of precious resources, notably critical raw materials. There is a need for the transport sector to move to more circular models, notably through business models for mobility, green public procurement, changes in the design of vehicles and improvements in their recycling. </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In May 2020, the Commission adopted its Biodiversity Strategy for 2030.</w:t>
      </w:r>
      <w:r>
        <w:rPr>
          <w:rStyle w:val="FootnoteReference"/>
          <w:noProof/>
          <w:lang w:eastAsia="en-US"/>
        </w:rPr>
        <w:footnoteReference w:id="89"/>
      </w:r>
      <w:r>
        <w:rPr>
          <w:noProof/>
          <w:lang w:eastAsia="en-US"/>
        </w:rPr>
        <w:t xml:space="preserve"> The strategy introduces general goals on protection and restoration of nature and biodiversity such legal protection of a minimum of 30% of the EU’s land area and 30% of the EU’s sea area, including 10% under strict protection, as well as adoption of a </w:t>
      </w:r>
      <w:r>
        <w:rPr>
          <w:noProof/>
        </w:rPr>
        <w:t xml:space="preserve">legally binding instrument on restoration. Additionally, </w:t>
      </w:r>
      <w:r>
        <w:rPr>
          <w:noProof/>
          <w:lang w:eastAsia="en-US"/>
        </w:rPr>
        <w:t>the Strategy introduces specific goals such as restoration of freshwater ecosystems through recreation of at least 25,000 km free-flowing rivers by 2030, reduction of nitrogen pollution, reduction of impacts from invasive alien species and integration of ecological corridors as part of a true Trans-European Nature Network. Achievement of all of these goals will require close involvement of the transport sector at the stage of planning, operation or upgrading of transport infrastructure.</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In September 2020 the Commission adopted the Communication on Critical Raw Materials Resilience</w:t>
      </w:r>
      <w:r>
        <w:rPr>
          <w:rStyle w:val="FootnoteReference"/>
          <w:noProof/>
          <w:lang w:eastAsia="en-US"/>
        </w:rPr>
        <w:footnoteReference w:id="90"/>
      </w:r>
      <w:r>
        <w:rPr>
          <w:noProof/>
          <w:lang w:eastAsia="en-US"/>
        </w:rPr>
        <w:t xml:space="preserve"> setting out an action plan to ensure a secure and sustainable supply of raw materials for a </w:t>
      </w:r>
      <w:r>
        <w:rPr>
          <w:noProof/>
          <w:shd w:val="clear" w:color="auto" w:fill="FFFFFF"/>
        </w:rPr>
        <w:t xml:space="preserve">wide range of industrial ecosystems. Low and zero-emission vehicles will increase demand for critical raw materials like lithium and cobalt in batteries and rare earths for electric motors. Improved circular use of materials, developing EU sourcing and diversifying sourcing from third countries is a necessity for achieving resilient value chains in the transport sector.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The </w:t>
      </w:r>
      <w:r>
        <w:rPr>
          <w:b/>
          <w:noProof/>
        </w:rPr>
        <w:t>2030 Climate Target Plan of September 2020</w:t>
      </w:r>
      <w:r>
        <w:rPr>
          <w:noProof/>
        </w:rPr>
        <w:t xml:space="preserve"> set out that all transport sectors - road, rail, aviation and waterborne transport - will have to contribute to the economy-wide at least 55% GHG reduction effort. A smart combination of vehicle/vessels/aircraft efficiency improvements, fuel mix changes notably through increased uptake of renewable and low-carbon fuels, greater use of sustainable transport modes and multi-modal solutions, digitalisation for smart traffic and mobility management, infrastructure pricing and other incentives can reduce GHG emissions and at the same time significantly address noise pollution and improve air quality. In addition, more use of sustainable options, such as an increased use of existing urban bus and rail services can reduce emissions, congestion and pollution while improving road safety, especially in urban areas.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In fact, the shift towards low-emission mobility was already an objective in the Transport White Paper of 2011 ‘Roadmap to a Single European Transport Area’</w:t>
      </w:r>
      <w:r>
        <w:rPr>
          <w:noProof/>
          <w:vertAlign w:val="superscript"/>
        </w:rPr>
        <w:footnoteReference w:id="91"/>
      </w:r>
      <w:r>
        <w:rPr>
          <w:noProof/>
          <w:lang w:eastAsia="en-US"/>
        </w:rPr>
        <w:t xml:space="preserve"> and was supported by various initiatives. As shown in the evaluation report, the White Paper and its implementation has contributed effectively to putting European transport on the path of reducing in GHG emissions by 2030 and beyond. However, this is no longer sufficient. Given the climate emergency and the revised emission reduction target for 2030 as well as the objective of carbon neutrality in 2050, significantly increased mitigation efforts will be needed.</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The </w:t>
      </w:r>
      <w:r>
        <w:rPr>
          <w:b/>
          <w:noProof/>
          <w:lang w:eastAsia="en-US"/>
        </w:rPr>
        <w:t>European Strategy for Low-Emission Mobility</w:t>
      </w:r>
      <w:r>
        <w:rPr>
          <w:noProof/>
          <w:vertAlign w:val="superscript"/>
          <w:lang w:eastAsia="en-US"/>
        </w:rPr>
        <w:footnoteReference w:id="92"/>
      </w:r>
      <w:r>
        <w:rPr>
          <w:noProof/>
          <w:lang w:eastAsia="en-US"/>
        </w:rPr>
        <w:t xml:space="preserve"> was adopted in July 2016 to respond to increasing mobility needs of people and goods, while remaining competitive and shifting towards low-emission mobility. The Strategy reconfirmed and strengthened the 2011 White Paper goals and proposed an action plan: by mid-century, GHG emissions from transport need to be at least 60% lower than in 1990 and be firmly on the path towards zero. Harmful emissions of air pollutants need to be drastically reduced without delay. </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 xml:space="preserve">The European Commission swiftly adopted proposals in the Action Plan of the Strategy, notably the “Clean Energy for all Europeans” package in November 2016, and </w:t>
      </w:r>
      <w:r>
        <w:rPr>
          <w:b/>
          <w:noProof/>
          <w:lang w:eastAsia="en-US"/>
        </w:rPr>
        <w:t>three Mobility Packages</w:t>
      </w:r>
      <w:r>
        <w:rPr>
          <w:noProof/>
          <w:lang w:eastAsia="en-US"/>
        </w:rPr>
        <w:t xml:space="preserve"> in May 2017, November 2017 and May 2018</w:t>
      </w:r>
      <w:r>
        <w:rPr>
          <w:noProof/>
          <w:vertAlign w:val="superscript"/>
          <w:lang w:eastAsia="en-US"/>
        </w:rPr>
        <w:footnoteReference w:id="93"/>
      </w:r>
      <w:r>
        <w:rPr>
          <w:noProof/>
          <w:lang w:eastAsia="en-US"/>
        </w:rPr>
        <w:t>. Elements of the first Mobility Package aimed to improve competition and working conditions in the road freight sector, contribute to better road safety and reduction of environmental impacts has been adopted and entered into force on 20 August 2020.</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 xml:space="preserve">The second Mobility Package, focussing on clean mobility, included the proposal for amending the Combined Transport Directive (92/106/EEC) </w:t>
      </w:r>
      <w:r>
        <w:rPr>
          <w:rStyle w:val="FootnoteReference"/>
          <w:noProof/>
          <w:lang w:eastAsia="en-US"/>
        </w:rPr>
        <w:footnoteReference w:id="94"/>
      </w:r>
      <w:r>
        <w:rPr>
          <w:noProof/>
          <w:lang w:eastAsia="en-US"/>
        </w:rPr>
        <w:t xml:space="preserve">which is a key EU measure to directly support modal shift from road-only transport to rail, inland waterways and short sea transport. However, the negotiations in the European Parliament and the Council led to draft amendments which, if adopted, would significantly reduce the effectiveness of the Commission proposal. Therefore the Commission decided to withdraw the 2017 proposal. </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The second Mobility Package further responded to the challenge of making mobility clean, competitive and connected through a combination of demand- and supply-side measures on low-emission mobility. In concrete terms, it encompassed a number of measures with the aim to enable a transition towards low and zero emission mobility, such as a reform of the Clean Vehicles Directive, new CO</w:t>
      </w:r>
      <w:r>
        <w:rPr>
          <w:noProof/>
          <w:vertAlign w:val="subscript"/>
          <w:lang w:eastAsia="en-US"/>
        </w:rPr>
        <w:t>2</w:t>
      </w:r>
      <w:r>
        <w:rPr>
          <w:noProof/>
          <w:lang w:eastAsia="en-US"/>
        </w:rPr>
        <w:t xml:space="preserve"> standards for cars and vans, or a follow-up to the Action Plan related to the Alternative Fuels Directive.</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third Mobility Package put forward an integrated policy for the future of road safety. It included a Strategic Action Plan on Road Safety and proposals on vehicle and infrastructure safety. The package also contained the first ever CO</w:t>
      </w:r>
      <w:r>
        <w:rPr>
          <w:noProof/>
          <w:vertAlign w:val="subscript"/>
        </w:rPr>
        <w:t>2</w:t>
      </w:r>
      <w:r>
        <w:rPr>
          <w:noProof/>
        </w:rPr>
        <w:t xml:space="preserve"> standards for heavy-duty vehicles, a strategic Action Plan for the development and manufacturing of batteries in Europe and a strategy on connected and automated mobility.</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The Commission also adopted an </w:t>
      </w:r>
      <w:r>
        <w:rPr>
          <w:b/>
          <w:noProof/>
          <w:lang w:eastAsia="en-US"/>
        </w:rPr>
        <w:t>Urban Mobility Package</w:t>
      </w:r>
      <w:r>
        <w:rPr>
          <w:noProof/>
          <w:lang w:eastAsia="en-US"/>
        </w:rPr>
        <w:t xml:space="preserve"> in 2013, </w:t>
      </w:r>
      <w:r>
        <w:rPr>
          <w:noProof/>
        </w:rPr>
        <w:t xml:space="preserve">to help cities in their transition towards sustainable urban mobility by reinforced support at European, national and regional levels. It has the concept of sustainable urban mobility planning (SUMP) at its centre, with dedicated European guidelines adopted later on. It has proven an effective and increasingly popular tool, implemented in cities in a large number of countries, and not only in the EU. </w:t>
      </w:r>
    </w:p>
    <w:p>
      <w:pPr>
        <w:pStyle w:val="LegalNumPar"/>
        <w:numPr>
          <w:ilvl w:val="0"/>
          <w:numId w:val="89"/>
        </w:numPr>
        <w:pBdr>
          <w:top w:val="nil"/>
          <w:left w:val="nil"/>
          <w:bottom w:val="nil"/>
          <w:right w:val="nil"/>
          <w:between w:val="nil"/>
          <w:bar w:val="nil"/>
        </w:pBdr>
        <w:tabs>
          <w:tab w:val="left" w:pos="476"/>
        </w:tabs>
        <w:spacing w:line="240" w:lineRule="auto"/>
        <w:rPr>
          <w:b/>
          <w:bCs/>
          <w:noProof/>
        </w:rPr>
      </w:pPr>
      <w:r>
        <w:rPr>
          <w:noProof/>
        </w:rPr>
        <w:t xml:space="preserve">Key European legislation has been adopted to support the uptake of </w:t>
      </w:r>
      <w:r>
        <w:rPr>
          <w:b/>
          <w:noProof/>
        </w:rPr>
        <w:t>alternative fuels</w:t>
      </w:r>
      <w:r>
        <w:rPr>
          <w:noProof/>
        </w:rPr>
        <w:t>, including electricity, over the last decade. This includes the directive on the deployment of alternative fuels infrastructure</w:t>
      </w:r>
      <w:r>
        <w:rPr>
          <w:rStyle w:val="FootnoteReference"/>
          <w:noProof/>
        </w:rPr>
        <w:footnoteReference w:id="95"/>
      </w:r>
      <w:r>
        <w:rPr>
          <w:noProof/>
        </w:rPr>
        <w:t xml:space="preserve">, which requires Member States to set up long-term National Policy Frameworks (NPFs) for the development of markets for alternative fuels and the deployment of alternative fuels infrastructure. It also requires the rollout of alternative fuels </w:t>
      </w:r>
      <w:r>
        <w:rPr>
          <w:noProof/>
          <w:lang w:eastAsia="en-US"/>
        </w:rPr>
        <w:t>infrastructure</w:t>
      </w:r>
      <w:r>
        <w:rPr>
          <w:noProof/>
        </w:rPr>
        <w:t xml:space="preserve"> along the core network of the Trans-European Transport Network (TEN-T) and its urban nodes - with milestones for 2020, 2025 and 2030 for different alternative fuels infrastructure for roads and ports. The Directive sets common technical specifications for recharging and refuelling stations to ensure interoperability and adequate consumer information. In parallel, financial instruments have been established to support the uptake of alternatively fuelled vehicles/vessels and their infrastructure, most notably through the Connection Europe Facility.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The Commission also adopted an action plan on alternative fuels infrastructure</w:t>
      </w:r>
      <w:r>
        <w:rPr>
          <w:rStyle w:val="FootnoteReference"/>
          <w:noProof/>
          <w:lang w:eastAsia="en-US"/>
        </w:rPr>
        <w:footnoteReference w:id="96"/>
      </w:r>
      <w:r>
        <w:rPr>
          <w:noProof/>
          <w:lang w:eastAsia="en-US"/>
        </w:rPr>
        <w:t xml:space="preserve"> to support the implementation of the Alternative Fuels Infrastructure Directive and mobilised considerable investment of public and private market actors through the Connecting Europe Facility (CEF), the CEF blending facility and the CEF debt instrument. Since 2014, more than EUR </w:t>
      </w:r>
      <w:r>
        <w:rPr>
          <w:noProof/>
        </w:rPr>
        <w:t>6.</w:t>
      </w:r>
      <w:r>
        <w:rPr>
          <w:noProof/>
          <w:lang w:eastAsia="en-US"/>
        </w:rPr>
        <w:t xml:space="preserve">8 billion of investments were thereby supported for alternative fuels infrastructure and mobile assets, the vast majority being for infrastructure. In particular the Blending Call for proposals launched in 2017/2018 aimed at combining grants with bank lending. Moreover, considerable investment has been made in research and development to support progress with technological and non-technological innovation. In this context, an important role is played by transport-related research and innovation partnerships. These are supported by and coordinated with European research and innovation on more sustainable alternative fuels.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In 2019 the co-legislators adopted the </w:t>
      </w:r>
      <w:r>
        <w:rPr>
          <w:b/>
          <w:noProof/>
        </w:rPr>
        <w:t>Clean Energy for All Europeans package</w:t>
      </w:r>
      <w:r>
        <w:rPr>
          <w:noProof/>
        </w:rPr>
        <w:t xml:space="preserve"> that contained a number of legislative acts supporting the uptake of alternative fuels, including renewable and low-carbon fuels. The revised renewables energy directive (RED II) sets a 14% target for 2030 for the use of renewable transport fuels. The Energy Performance of Buildings Directive (EPBD) requires the installation of charging points or related pre-</w:t>
      </w:r>
      <w:r>
        <w:rPr>
          <w:noProof/>
          <w:lang w:eastAsia="en-US"/>
        </w:rPr>
        <w:t>cabling</w:t>
      </w:r>
      <w:r>
        <w:rPr>
          <w:noProof/>
        </w:rPr>
        <w:t xml:space="preserve"> in all new office and apartment buildings and in those going through major renovations. Finally, the electricity directive</w:t>
      </w:r>
      <w:r>
        <w:rPr>
          <w:rStyle w:val="FootnoteReference"/>
          <w:noProof/>
        </w:rPr>
        <w:footnoteReference w:id="97"/>
      </w:r>
      <w:r>
        <w:rPr>
          <w:noProof/>
        </w:rPr>
        <w:t xml:space="preserve"> requires Member States to provide a framework to facilitate the connection of recharging points to the distribution network and Distribution System Operators to cooperate with the undertakings that own, develop, operate of manage recharging points for electric vehicles. It also supports the cost-efficient integration of electric vehicles into the electricity system by laying the basis for enabling smart charging and setting a framework for the development of bi-directional charging (car batteries feeding electricity into the grid). </w:t>
      </w:r>
    </w:p>
    <w:p>
      <w:pPr>
        <w:pStyle w:val="LegalNumPar"/>
        <w:numPr>
          <w:ilvl w:val="0"/>
          <w:numId w:val="89"/>
        </w:numPr>
        <w:pBdr>
          <w:top w:val="nil"/>
          <w:left w:val="nil"/>
          <w:bottom w:val="nil"/>
          <w:right w:val="nil"/>
          <w:between w:val="nil"/>
          <w:bar w:val="nil"/>
        </w:pBdr>
        <w:tabs>
          <w:tab w:val="left" w:pos="476"/>
        </w:tabs>
        <w:spacing w:line="240" w:lineRule="auto"/>
        <w:rPr>
          <w:b/>
          <w:bCs/>
          <w:noProof/>
        </w:rPr>
      </w:pPr>
      <w:r>
        <w:rPr>
          <w:noProof/>
          <w:lang w:eastAsia="en-US"/>
        </w:rPr>
        <w:t xml:space="preserve">As part of the Mobility Packages, emission reduction of GHG and air pollutants from road transport have been strengthened by the </w:t>
      </w:r>
      <w:r>
        <w:rPr>
          <w:b/>
          <w:noProof/>
          <w:lang w:eastAsia="en-US"/>
        </w:rPr>
        <w:t>CO</w:t>
      </w:r>
      <w:r>
        <w:rPr>
          <w:b/>
          <w:noProof/>
          <w:vertAlign w:val="subscript"/>
          <w:lang w:eastAsia="en-US"/>
        </w:rPr>
        <w:t>2</w:t>
      </w:r>
      <w:r>
        <w:rPr>
          <w:b/>
          <w:noProof/>
          <w:lang w:eastAsia="en-US"/>
        </w:rPr>
        <w:t xml:space="preserve"> standards for new cars, vans and heavy goods vehicles</w:t>
      </w:r>
      <w:r>
        <w:rPr>
          <w:noProof/>
          <w:lang w:eastAsia="en-US"/>
        </w:rPr>
        <w:t xml:space="preserve">, by the </w:t>
      </w:r>
      <w:r>
        <w:rPr>
          <w:b/>
          <w:noProof/>
          <w:lang w:eastAsia="en-US"/>
        </w:rPr>
        <w:t>Clean Vehicles Directive</w:t>
      </w:r>
      <w:r>
        <w:rPr>
          <w:rStyle w:val="FootnoteReference"/>
          <w:b/>
          <w:noProof/>
          <w:lang w:eastAsia="en-US"/>
        </w:rPr>
        <w:footnoteReference w:id="98"/>
      </w:r>
      <w:r>
        <w:rPr>
          <w:noProof/>
          <w:lang w:eastAsia="en-US"/>
        </w:rPr>
        <w:t xml:space="preserve"> which relies on public procurement rules; and by the deployment of recharging infrastructure for electric vehicles and refuelling stations for fuel-cell vehicles and multimodal travel information services supported by digital tools and data sharing. </w:t>
      </w:r>
    </w:p>
    <w:p>
      <w:pPr>
        <w:pStyle w:val="LegalNumPar"/>
        <w:numPr>
          <w:ilvl w:val="0"/>
          <w:numId w:val="89"/>
        </w:numPr>
        <w:pBdr>
          <w:top w:val="nil"/>
          <w:left w:val="nil"/>
          <w:bottom w:val="nil"/>
          <w:right w:val="nil"/>
          <w:between w:val="nil"/>
          <w:bar w:val="nil"/>
        </w:pBdr>
        <w:tabs>
          <w:tab w:val="left" w:pos="476"/>
        </w:tabs>
        <w:spacing w:line="240" w:lineRule="auto"/>
        <w:rPr>
          <w:b/>
          <w:bCs/>
          <w:noProof/>
        </w:rPr>
      </w:pPr>
      <w:r>
        <w:rPr>
          <w:noProof/>
        </w:rPr>
        <w:t>In 2019, legislation was adopted with stricter CO</w:t>
      </w:r>
      <w:r>
        <w:rPr>
          <w:noProof/>
          <w:vertAlign w:val="subscript"/>
        </w:rPr>
        <w:t>2</w:t>
      </w:r>
      <w:r>
        <w:rPr>
          <w:noProof/>
        </w:rPr>
        <w:t xml:space="preserve"> emission performance standards for cars as well as for light and heavy duty vehicles from 2025 and 2030.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The weights and dimensions directive</w:t>
      </w:r>
      <w:r>
        <w:rPr>
          <w:rStyle w:val="FootnoteReference"/>
          <w:noProof/>
          <w:lang w:eastAsia="en-US"/>
        </w:rPr>
        <w:footnoteReference w:id="99"/>
      </w:r>
      <w:r>
        <w:rPr>
          <w:noProof/>
          <w:lang w:eastAsia="en-US"/>
        </w:rPr>
        <w:t xml:space="preserve"> was revised in 2015 and provides for derogations on the maximal lengths to make heavy goods vehicles greener by improving their aerodynamic performance. Derogations on weights are also allowed for vehicles powered by alternative fuels. The directive was modified again in 2019 to allow manufacturers to commercialise such vehicles already from September 2020. This package was completed by implementing rules on the vehicle approval legislation.</w:t>
      </w:r>
    </w:p>
    <w:p>
      <w:pPr>
        <w:pStyle w:val="LegalNumPar"/>
        <w:numPr>
          <w:ilvl w:val="0"/>
          <w:numId w:val="89"/>
        </w:numPr>
        <w:pBdr>
          <w:top w:val="nil"/>
          <w:left w:val="nil"/>
          <w:bottom w:val="nil"/>
          <w:right w:val="nil"/>
          <w:between w:val="nil"/>
          <w:bar w:val="nil"/>
        </w:pBdr>
        <w:tabs>
          <w:tab w:val="left" w:pos="476"/>
        </w:tabs>
        <w:spacing w:line="240" w:lineRule="auto"/>
        <w:rPr>
          <w:b/>
          <w:bCs/>
          <w:noProof/>
        </w:rPr>
      </w:pPr>
      <w:r>
        <w:rPr>
          <w:noProof/>
        </w:rPr>
        <w:t>The revision of the Eurovignette Directive proposed by the Commission in 2017 aims at further implementing the “user and polluter pay” principles, by providing that all road charging schemes applied to heavy duty vehicles reflect the level of CO</w:t>
      </w:r>
      <w:r>
        <w:rPr>
          <w:noProof/>
          <w:vertAlign w:val="subscript"/>
        </w:rPr>
        <w:t xml:space="preserve">2 </w:t>
      </w:r>
      <w:r>
        <w:rPr>
          <w:noProof/>
        </w:rPr>
        <w:t>emissions. These revised rules should serve as an incentive for users to invest in less polluting vehicles.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In the past decade, the EU has adopted a number of essential policy instruments to address the environmental footprint of </w:t>
      </w:r>
      <w:r>
        <w:rPr>
          <w:b/>
          <w:noProof/>
          <w:lang w:eastAsia="en-US"/>
        </w:rPr>
        <w:t>aviation</w:t>
      </w:r>
      <w:r>
        <w:rPr>
          <w:noProof/>
          <w:lang w:eastAsia="en-US"/>
        </w:rPr>
        <w:t>. These instruments, are grouped in a so-called “basket of measures”, namely market-based measures such as emissions trading, research and development for greener aircraft design and technology (CO</w:t>
      </w:r>
      <w:r>
        <w:rPr>
          <w:noProof/>
          <w:vertAlign w:val="subscript"/>
          <w:lang w:eastAsia="en-US"/>
        </w:rPr>
        <w:t>2</w:t>
      </w:r>
      <w:r>
        <w:rPr>
          <w:noProof/>
          <w:lang w:eastAsia="en-US"/>
        </w:rPr>
        <w:t xml:space="preserve"> standards, Clean Sky), more efficient air traffic management operations (Single European Sky and SESAR), and the use of sustainable aviation fuels.</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CO</w:t>
      </w:r>
      <w:r>
        <w:rPr>
          <w:noProof/>
          <w:vertAlign w:val="subscript"/>
          <w:lang w:eastAsia="en-US"/>
        </w:rPr>
        <w:t>2</w:t>
      </w:r>
      <w:r>
        <w:rPr>
          <w:noProof/>
          <w:lang w:eastAsia="en-US"/>
        </w:rPr>
        <w:t xml:space="preserve"> emissions from aviation in the EU have been included in the EU emissions trading system (EU ETS) since 2012. Under the EU ETS, all airlines operating in Europe, European and non-European alike, are required to monitor, report and verify their emissions, and to surrender allowances against those emissions. Aircraft operators receive tradeable allowances covering on average, almost half of emissions from their flights. It is estimated that between 2013 and 2019, </w:t>
      </w:r>
      <w:r>
        <w:rPr>
          <w:noProof/>
        </w:rPr>
        <w:t xml:space="preserve">a net saving of </w:t>
      </w:r>
      <w:r>
        <w:rPr>
          <w:noProof/>
          <w:lang w:eastAsia="en-US"/>
        </w:rPr>
        <w:t>more than 160</w:t>
      </w:r>
      <w:r>
        <w:rPr>
          <w:noProof/>
        </w:rPr>
        <w:t xml:space="preserve"> Mt CO</w:t>
      </w:r>
      <w:r>
        <w:rPr>
          <w:noProof/>
          <w:vertAlign w:val="subscript"/>
        </w:rPr>
        <w:t>2</w:t>
      </w:r>
      <w:r>
        <w:rPr>
          <w:noProof/>
        </w:rPr>
        <w:t xml:space="preserve"> </w:t>
      </w:r>
      <w:r>
        <w:rPr>
          <w:noProof/>
          <w:lang w:eastAsia="en-US"/>
        </w:rPr>
        <w:t xml:space="preserve">has been </w:t>
      </w:r>
      <w:r>
        <w:rPr>
          <w:noProof/>
        </w:rPr>
        <w:t xml:space="preserve">achieved through the inclusion of aviation in the EU ETS. </w:t>
      </w:r>
      <w:r>
        <w:rPr>
          <w:noProof/>
          <w:lang w:eastAsia="en-US"/>
        </w:rPr>
        <w:t>The auctioning of allowances to the</w:t>
      </w:r>
      <w:r>
        <w:rPr>
          <w:noProof/>
        </w:rPr>
        <w:t xml:space="preserve"> aviation </w:t>
      </w:r>
      <w:r>
        <w:rPr>
          <w:noProof/>
          <w:lang w:eastAsia="en-US"/>
        </w:rPr>
        <w:t>sector has moreover generated revenues which have been used</w:t>
      </w:r>
      <w:r>
        <w:rPr>
          <w:noProof/>
        </w:rPr>
        <w:t xml:space="preserve"> in </w:t>
      </w:r>
      <w:r>
        <w:rPr>
          <w:noProof/>
          <w:lang w:eastAsia="en-US"/>
        </w:rPr>
        <w:t>part for climate- and energy-related purposes including the Innovation Fund for demonstration of innovative low-carbon technologies. The EU ETS also contains incentives to promote the use of Sustainable Aviation Fuels (SAF). For the time being, the scope is limited to intra-EEA flights, with a “stop-the-clock” provision, as regards outbound to and incoming flights from non-EEA countries, in the EU ETS Directive which is valid until the end of 2023. This provision was intended to provide momentum for a global market-based mechanism.</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In 2016, the EU played a leading role in the adoption by the International Civil Aviation Organization (ICAO) of the first ever sectoral scheme regulating CO</w:t>
      </w:r>
      <w:r>
        <w:rPr>
          <w:noProof/>
          <w:vertAlign w:val="subscript"/>
          <w:lang w:eastAsia="en-US"/>
        </w:rPr>
        <w:t xml:space="preserve">2, </w:t>
      </w:r>
      <w:r>
        <w:rPr>
          <w:noProof/>
          <w:lang w:eastAsia="en-US"/>
        </w:rPr>
        <w:t>the Carbon Offsetting and Reduction Scheme for International Aviation (CORSIA). All EU Member States will participate in the pilot-phase of the scheme, which will start in 2021, with the aim to offset growth in emissions beyond 2020 levels</w:t>
      </w:r>
      <w:r>
        <w:rPr>
          <w:rStyle w:val="FootnoteReference"/>
          <w:noProof/>
          <w:lang w:eastAsia="en-US"/>
        </w:rPr>
        <w:footnoteReference w:id="100"/>
      </w:r>
      <w:r>
        <w:rPr>
          <w:noProof/>
          <w:lang w:eastAsia="en-US"/>
        </w:rPr>
        <w:t>, without prejudice to the upcoming revision of the EU ETS Directive as regards aviation. Depending on participation and quality of offsets used, at global level, the ICAO CORSIA scheme could mitigate up to 2.5 billion tonnes of CO</w:t>
      </w:r>
      <w:r>
        <w:rPr>
          <w:noProof/>
          <w:vertAlign w:val="subscript"/>
          <w:lang w:eastAsia="en-US"/>
        </w:rPr>
        <w:t>2</w:t>
      </w:r>
      <w:r>
        <w:rPr>
          <w:noProof/>
          <w:lang w:eastAsia="en-US"/>
        </w:rPr>
        <w:t xml:space="preserve"> and generate up to approximately USD 40 billion of climate financing by 2035. The Commission is assessing different policy options for a legislative proposal to implement further aspects of CORSIA in the EU, through amending the EU ETS Directive.</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The EU has also adopted new standards for aircraft CO</w:t>
      </w:r>
      <w:r>
        <w:rPr>
          <w:noProof/>
          <w:vertAlign w:val="subscript"/>
          <w:lang w:eastAsia="en-US"/>
        </w:rPr>
        <w:t>2</w:t>
      </w:r>
      <w:r>
        <w:rPr>
          <w:noProof/>
          <w:lang w:eastAsia="en-US"/>
        </w:rPr>
        <w:t xml:space="preserve"> emissions, which entered into force in 2019</w:t>
      </w:r>
      <w:r>
        <w:rPr>
          <w:rStyle w:val="FootnoteReference"/>
          <w:noProof/>
          <w:lang w:eastAsia="en-US"/>
        </w:rPr>
        <w:footnoteReference w:id="101"/>
      </w:r>
      <w:r>
        <w:rPr>
          <w:noProof/>
          <w:lang w:eastAsia="en-US"/>
        </w:rPr>
        <w:t>. These standards, which follow the global standards adopted by ICAO in 2017, provide additional requirements into the design process to focus on fuel efficiency. Also the adoption of new aircraft engine non-volatile Particulate Matter (nvPM) standards in ICAO was supported by the EU.</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To develop the green and cutting-edge aircraft technology of the future, the EU relies on the Clean Sky Joint Undertaking. With a budget of EUR 4 billion and composed of over 600 entities from 27 countries, the Clean Sky 2 initiative (2014-2024) was designed to build on the Clean Sky 1, which aimed to develop technologies with reduced CO</w:t>
      </w:r>
      <w:r>
        <w:rPr>
          <w:noProof/>
          <w:vertAlign w:val="subscript"/>
          <w:lang w:eastAsia="en-US"/>
        </w:rPr>
        <w:t>2</w:t>
      </w:r>
      <w:r>
        <w:rPr>
          <w:noProof/>
          <w:lang w:eastAsia="en-US"/>
        </w:rPr>
        <w:t>, NO</w:t>
      </w:r>
      <w:r>
        <w:rPr>
          <w:noProof/>
          <w:vertAlign w:val="subscript"/>
          <w:lang w:eastAsia="en-US"/>
        </w:rPr>
        <w:t>x</w:t>
      </w:r>
      <w:r>
        <w:rPr>
          <w:noProof/>
          <w:lang w:eastAsia="en-US"/>
        </w:rPr>
        <w:t xml:space="preserve"> and noise emissions.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The Single European Sky framework aims to make European skies more efficient, and can deliver important environmental benefits. The SESAR project, sponsored by the EU and the aeronautical industry, contributes to develop and deploy innovative ATM solutions with a potential to further reduce emissions. In 2013, the Commission proposed to complete the SES through amendments that could allow to decrease emissions up to 10%.  However, with no progress on this proposal, the Commission presented an amended proposal on 22 September 2020</w:t>
      </w:r>
      <w:r>
        <w:rPr>
          <w:rStyle w:val="FootnoteReference"/>
          <w:noProof/>
          <w:lang w:eastAsia="en-US"/>
        </w:rPr>
        <w:footnoteReference w:id="102"/>
      </w:r>
      <w:r>
        <w:rPr>
          <w:noProof/>
          <w:lang w:eastAsia="en-US"/>
        </w:rPr>
        <w:t>, which is expected to facilitate discussions between the co-legislators.</w:t>
      </w:r>
    </w:p>
    <w:p>
      <w:pPr>
        <w:pStyle w:val="LegalNumPar"/>
        <w:numPr>
          <w:ilvl w:val="0"/>
          <w:numId w:val="89"/>
        </w:numPr>
        <w:pBdr>
          <w:top w:val="nil"/>
          <w:left w:val="nil"/>
          <w:bottom w:val="nil"/>
          <w:right w:val="nil"/>
          <w:between w:val="nil"/>
          <w:bar w:val="nil"/>
        </w:pBdr>
        <w:tabs>
          <w:tab w:val="left" w:pos="476"/>
        </w:tabs>
        <w:spacing w:line="240" w:lineRule="auto"/>
        <w:rPr>
          <w:noProof/>
          <w:lang w:val="en-US" w:eastAsia="en-US"/>
        </w:rPr>
      </w:pPr>
      <w:r>
        <w:rPr>
          <w:noProof/>
          <w:lang w:eastAsia="en-US"/>
        </w:rPr>
        <w:t xml:space="preserve">Recognising the need for long-term sustainability of aviation and the commitment to continue efforts to reduce aviation sector’s negative environmental impacts, the European associations collectively representing the entire European aviation called for an EU Pact for Sustainable Aviation. Through collaboration between all stakeholders in the aviation eco-system and policy-makers, the Pact is to contribute to the implementation of the European </w:t>
      </w:r>
      <w:r>
        <w:rPr>
          <w:noProof/>
        </w:rPr>
        <w:t>Green</w:t>
      </w:r>
      <w:r>
        <w:rPr>
          <w:noProof/>
          <w:lang w:eastAsia="en-US"/>
        </w:rPr>
        <w:t xml:space="preserve"> Deal, by reaching the objectives of  significant CO</w:t>
      </w:r>
      <w:r>
        <w:rPr>
          <w:noProof/>
          <w:vertAlign w:val="subscript"/>
          <w:lang w:eastAsia="en-US"/>
        </w:rPr>
        <w:t>2</w:t>
      </w:r>
      <w:r>
        <w:rPr>
          <w:noProof/>
          <w:lang w:eastAsia="en-US"/>
        </w:rPr>
        <w:t xml:space="preserve"> emission reductions by 2030 and net-zero CO</w:t>
      </w:r>
      <w:r>
        <w:rPr>
          <w:noProof/>
          <w:vertAlign w:val="subscript"/>
          <w:lang w:eastAsia="en-US"/>
        </w:rPr>
        <w:t>2</w:t>
      </w:r>
      <w:r>
        <w:rPr>
          <w:noProof/>
          <w:lang w:eastAsia="en-US"/>
        </w:rPr>
        <w:t xml:space="preserve"> emissions by 2050 from all flights within and departing from the EU. The Pact will also consider the feasibility of making 2019 the peak year for CO</w:t>
      </w:r>
      <w:r>
        <w:rPr>
          <w:noProof/>
          <w:vertAlign w:val="subscript"/>
          <w:lang w:eastAsia="en-US"/>
        </w:rPr>
        <w:t>2</w:t>
      </w:r>
      <w:r>
        <w:rPr>
          <w:noProof/>
          <w:lang w:eastAsia="en-US"/>
        </w:rPr>
        <w:t xml:space="preserve"> emissions from European aviation while enabling the sector to continue delivering its social and economic benefits.</w:t>
      </w:r>
      <w:r>
        <w:rPr>
          <w:noProof/>
          <w:vertAlign w:val="superscript"/>
          <w:lang w:eastAsia="en-US"/>
        </w:rPr>
        <w:footnoteReference w:id="103"/>
      </w:r>
      <w:r>
        <w:rPr>
          <w:noProof/>
          <w:lang w:eastAsia="en-US"/>
        </w:rPr>
        <w:t xml:space="preserve"> </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rPr>
        <w:t xml:space="preserve">Tackling </w:t>
      </w:r>
      <w:r>
        <w:rPr>
          <w:b/>
          <w:noProof/>
        </w:rPr>
        <w:t xml:space="preserve">maritime </w:t>
      </w:r>
      <w:r>
        <w:rPr>
          <w:noProof/>
        </w:rPr>
        <w:t xml:space="preserve">emissions is of key importance to reach the goals of the Paris </w:t>
      </w:r>
      <w:r>
        <w:rPr>
          <w:noProof/>
          <w:lang w:eastAsia="en-US"/>
        </w:rPr>
        <w:t>Agreement</w:t>
      </w:r>
      <w:r>
        <w:rPr>
          <w:noProof/>
        </w:rPr>
        <w:t xml:space="preserve"> as the share of shipping emissions in global anthropogenic emissions has increased from 2.8% in 2012 to 2.9% in 2018. In addition, international shipping emissions are expected to grow quickly without the implementation of appropriate policies at all levels.</w:t>
      </w:r>
      <w:r>
        <w:rPr>
          <w:noProof/>
          <w:lang w:eastAsia="en-US"/>
        </w:rPr>
        <w:t xml:space="preserve"> </w:t>
      </w:r>
    </w:p>
    <w:p>
      <w:pPr>
        <w:pStyle w:val="LegalNumPar"/>
        <w:numPr>
          <w:ilvl w:val="0"/>
          <w:numId w:val="89"/>
        </w:numPr>
        <w:pBdr>
          <w:top w:val="nil"/>
          <w:left w:val="nil"/>
          <w:bottom w:val="nil"/>
          <w:right w:val="nil"/>
          <w:between w:val="nil"/>
          <w:bar w:val="nil"/>
        </w:pBdr>
        <w:tabs>
          <w:tab w:val="left" w:pos="476"/>
        </w:tabs>
        <w:spacing w:line="240" w:lineRule="auto"/>
        <w:rPr>
          <w:noProof/>
          <w:szCs w:val="24"/>
          <w:lang w:eastAsia="en-US"/>
        </w:rPr>
      </w:pPr>
      <w:r>
        <w:rPr>
          <w:noProof/>
          <w:szCs w:val="24"/>
          <w:lang w:eastAsia="en-US"/>
        </w:rPr>
        <w:t>At EU level, f</w:t>
      </w:r>
      <w:r>
        <w:rPr>
          <w:noProof/>
          <w:szCs w:val="24"/>
        </w:rPr>
        <w:t>ollowing up on the 2011 EU White Paper on Transport, the Commission adopted a strategy on the decarbonisation of shipping in 2013, calling for a gradual approach in the EU, starting with an EU monitoring, reporting and verification (MRV) scheme, which was implemented through Regulation (EU) 2015/757 on the monitoring, reporting and verification of CO</w:t>
      </w:r>
      <w:r>
        <w:rPr>
          <w:noProof/>
          <w:szCs w:val="24"/>
          <w:vertAlign w:val="subscript"/>
        </w:rPr>
        <w:t>2</w:t>
      </w:r>
      <w:r>
        <w:rPr>
          <w:noProof/>
          <w:szCs w:val="24"/>
        </w:rPr>
        <w:t xml:space="preserve"> emissions from maritime transport. In 2018, the revised Emission Trading System Directive (EU) 2018/410 calls for “</w:t>
      </w:r>
      <w:r>
        <w:rPr>
          <w:i/>
          <w:iCs/>
          <w:noProof/>
          <w:szCs w:val="24"/>
        </w:rPr>
        <w:t>action from the IMO or the Union to start from 2023, including preparatory work on adoption and implementation and due consideration being given by all stakeholders</w:t>
      </w:r>
      <w:r>
        <w:rPr>
          <w:noProof/>
          <w:szCs w:val="24"/>
        </w:rPr>
        <w:t>”. In 2019, the European Green Deal has outlined measures to be developed, including a proposal to extend European emissions trading to the maritime sector and legislative options to boost the production and uptake of sustainable alternative fuels for the different transport modes. In 2020, the Commission published its first annual report on the monitoring, reporting and verification of CO</w:t>
      </w:r>
      <w:r>
        <w:rPr>
          <w:noProof/>
          <w:szCs w:val="24"/>
          <w:vertAlign w:val="subscript"/>
        </w:rPr>
        <w:t>2</w:t>
      </w:r>
      <w:r>
        <w:rPr>
          <w:noProof/>
          <w:szCs w:val="24"/>
        </w:rPr>
        <w:t xml:space="preserve"> emissions from ships, which confirmed that maritime transport is a substantial CO</w:t>
      </w:r>
      <w:r>
        <w:rPr>
          <w:noProof/>
          <w:szCs w:val="24"/>
          <w:vertAlign w:val="subscript"/>
        </w:rPr>
        <w:t>2</w:t>
      </w:r>
      <w:r>
        <w:rPr>
          <w:noProof/>
          <w:szCs w:val="24"/>
        </w:rPr>
        <w:t xml:space="preserve"> emitter. In addition, the Climate Target Plan communication confirmed that, in accordance with its international commitment to economy-wide action under the Paris Agreement, the EU should include at least intra-EU maritime transport in the EU ETS.</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rPr>
        <w:t>At the international level, t</w:t>
      </w:r>
      <w:r>
        <w:rPr>
          <w:noProof/>
          <w:lang w:eastAsia="en-US"/>
        </w:rPr>
        <w:t>he International Maritime Organization (IMO) agreed in 2018 to a first quantitative target: to peak GHG emissions from international shipping as soon as possible and to reduce total annual GHG emissions by at least 50% by 2050 compared to 2008 (to be reviewed in 2023), while</w:t>
      </w:r>
      <w:r>
        <w:rPr>
          <w:noProof/>
        </w:rPr>
        <w:t xml:space="preserve"> pursuing efforts to achieve full decarbonisation as soon as possible in this century and following a pathway of CO</w:t>
      </w:r>
      <w:r>
        <w:rPr>
          <w:noProof/>
          <w:vertAlign w:val="subscript"/>
        </w:rPr>
        <w:t>2</w:t>
      </w:r>
      <w:r>
        <w:rPr>
          <w:noProof/>
        </w:rPr>
        <w:t xml:space="preserve"> emissions reduction consistent with the Paris Agreement temperature goals</w:t>
      </w:r>
      <w:r>
        <w:rPr>
          <w:noProof/>
          <w:lang w:eastAsia="en-US"/>
        </w:rPr>
        <w:t>. It also sets the target to reduce the carbon intensity of international shipping by at least 40% by 2030, pursuing efforts towards 70% by 2050, compared to 2008. The EU is closely involved in work to develop measures for reaching these objectives at IMO level as shipping remains a fundamentally global business.</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Previously, the IMO's Marine Environment Protection Committee (MEPC) adopted in 2011 a package of technical measures for new ships and operational reduction measures for all ships. This package was composed of two main measures: the Energy Efficiency Design Index (EEDI), which requires new ships to comply with minimum mandatory energy efficiency performance levels, increasing over time through different phases; and the Ship Energy Efficiency Plan (SEEMP), which establishes a mechanism for shipowners to improve the energy efficiency of both new and existing ships using operational measures such as weather routing, trim and draught optimization, speed optimization, just-in-time arrival in ports, etc. The regulations entered into force on 1 January 2013 and apply to all ships of 400 gross tonnage and above, irrespective of flag and ownership. These measures are the first ever mandatory global GHG reduction regime for an entire industry sector</w:t>
      </w:r>
      <w:r>
        <w:rPr>
          <w:rStyle w:val="FootnoteReference"/>
          <w:noProof/>
        </w:rPr>
        <w:footnoteReference w:id="104"/>
      </w:r>
      <w:r>
        <w:rPr>
          <w:noProof/>
          <w:lang w:eastAsia="en-US"/>
        </w:rPr>
        <w: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As regards air quality, in 2016 the IMO confirmed the entry into force of the stricter 0.5% global sulphur limit (down from 3.5%) in marine fuels from 1 January 2020. EU action was decisive in securing this decision. This framework is anticipated in the EU Sulphur Directive of 2012, which also contains tighter limits in the emission control areas established in the Baltic, North Sea and English Channel. The fuel standards successfully reduced sulphur oxides in these protected areas established by the IMO, and are instrumental in further reducing emission pollutants across all EU waters as of January 2020. Similar low emission areas are currently envisaged by the Mediterranean Countries under the Barcelona Convention. The Commission will continue to engage with Mediterranean coastal states</w:t>
      </w:r>
      <w:r>
        <w:rPr>
          <w:rStyle w:val="FootnoteReference"/>
          <w:noProof/>
          <w:lang w:eastAsia="en-US"/>
        </w:rPr>
        <w:footnoteReference w:id="105"/>
      </w:r>
      <w:r>
        <w:rPr>
          <w:noProof/>
          <w:lang w:eastAsia="en-US"/>
        </w:rPr>
        <w:t xml:space="preserve"> to push for the creation of new Emission Control Areas to protect the health of coastal citizens, their environment as well as sea-related economic activities from NO</w:t>
      </w:r>
      <w:r>
        <w:rPr>
          <w:noProof/>
          <w:vertAlign w:val="subscript"/>
          <w:lang w:eastAsia="en-US"/>
        </w:rPr>
        <w:t>x</w:t>
      </w:r>
      <w:r>
        <w:rPr>
          <w:noProof/>
          <w:lang w:eastAsia="en-US"/>
        </w:rPr>
        <w:t xml:space="preserve"> and other air shipping emissions.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 Regulation 2016/1628</w:t>
      </w:r>
      <w:r>
        <w:rPr>
          <w:rStyle w:val="FootnoteReference"/>
          <w:noProof/>
        </w:rPr>
        <w:footnoteReference w:id="106"/>
      </w:r>
      <w:r>
        <w:rPr>
          <w:noProof/>
        </w:rPr>
        <w:t xml:space="preserve"> on non-road mobile machinery was adopted in 2016 under which new engines for </w:t>
      </w:r>
      <w:r>
        <w:rPr>
          <w:b/>
          <w:noProof/>
        </w:rPr>
        <w:t>inland waterway</w:t>
      </w:r>
      <w:r>
        <w:rPr>
          <w:noProof/>
        </w:rPr>
        <w:t xml:space="preserve"> vessels have to meet stricter pollutant emission limits from 2019 for engines smaller than 300 KW, and 2020 for engine bigger than 300 KW, respectively.     </w:t>
      </w:r>
    </w:p>
    <w:p>
      <w:pPr>
        <w:pStyle w:val="LegalNumPar"/>
        <w:pBdr>
          <w:top w:val="single" w:sz="4" w:space="1" w:color="auto"/>
          <w:left w:val="single" w:sz="4" w:space="1" w:color="auto"/>
          <w:bottom w:val="single" w:sz="4" w:space="1" w:color="auto"/>
          <w:right w:val="single" w:sz="4" w:space="1" w:color="auto"/>
          <w:between w:val="nil"/>
          <w:bar w:val="nil"/>
        </w:pBdr>
        <w:shd w:val="clear" w:color="auto" w:fill="E7E6E6" w:themeFill="background2"/>
        <w:tabs>
          <w:tab w:val="left" w:pos="476"/>
        </w:tabs>
        <w:spacing w:line="240" w:lineRule="auto"/>
        <w:ind w:left="476"/>
        <w:rPr>
          <w:noProof/>
        </w:rPr>
      </w:pPr>
      <w:r>
        <w:rPr>
          <w:noProof/>
        </w:rPr>
        <w:t>Since 2017, the Commission (DG REFORM) manages the Structural Reform Support Programme (SRSP) for technical support projects in EU Member States, with a budget of EUR 222.8 million until 2020. Under the SRSP, Member States can request support to implement reforms in a wide range of areas, including for building sustainable and competitive economies. In the area of sustainable and smart mobility, Member States have received technical support, among others, for preparing regulations on sustainable mobility; performing gap analyses of a national policy frameworks for alternative fuel infrastructure in transport; improving inland navigations and traffic conditions in a major port area; and supporting new transport and mobility masterplans. The Commission has proposed a new Technical Support Instrument as part of the 2021-2027 Multiannual Financial Framework so as to continue provide its support to improve Member States’ administrative capacity to design, develop and implement reforms, including in the area of sustainable and smart mobility.</w:t>
      </w:r>
    </w:p>
    <w:p>
      <w:pPr>
        <w:pStyle w:val="LegalNumPar"/>
        <w:pBdr>
          <w:top w:val="single" w:sz="4" w:space="1" w:color="auto"/>
          <w:left w:val="single" w:sz="4" w:space="1" w:color="auto"/>
          <w:bottom w:val="single" w:sz="4" w:space="1" w:color="auto"/>
          <w:right w:val="single" w:sz="4" w:space="1" w:color="auto"/>
          <w:between w:val="nil"/>
          <w:bar w:val="nil"/>
        </w:pBdr>
        <w:shd w:val="clear" w:color="auto" w:fill="E7E6E6" w:themeFill="background2"/>
        <w:tabs>
          <w:tab w:val="left" w:pos="476"/>
        </w:tabs>
        <w:spacing w:line="240" w:lineRule="auto"/>
        <w:ind w:left="476"/>
        <w:rPr>
          <w:noProof/>
        </w:rPr>
      </w:pPr>
      <w:r>
        <w:rPr>
          <w:noProof/>
        </w:rPr>
        <w:t>In 2018, the Commission also issued a Communication on the principles of subsidiarity and proportionality</w:t>
      </w:r>
      <w:r>
        <w:rPr>
          <w:rStyle w:val="FootnoteReference"/>
          <w:noProof/>
        </w:rPr>
        <w:footnoteReference w:id="107"/>
      </w:r>
      <w:r>
        <w:rPr>
          <w:noProof/>
        </w:rPr>
        <w:t>. It noted that “it is essential that the 41 national Parliament chambers, 74 regional legislative assemblies, the 280 regions and the 80 000 local authorities, who are at the forefront of implementing EU laws, are more fully engaged in the policy process. Active subsidiarity and a new way of working with these entities will help deliver policies that work while strengthening the understanding and ownership of what the Union does.”</w:t>
      </w:r>
    </w:p>
    <w:p>
      <w:pPr>
        <w:pStyle w:val="Heading2"/>
        <w:rPr>
          <w:noProof/>
        </w:rPr>
      </w:pPr>
      <w:bookmarkStart w:id="1215" w:name="_Toc57291475"/>
      <w:bookmarkStart w:id="1216" w:name="_Toc51574788"/>
      <w:bookmarkStart w:id="1217" w:name="_Toc51575636"/>
      <w:bookmarkStart w:id="1218" w:name="_Toc51578023"/>
      <w:bookmarkStart w:id="1219" w:name="_Toc51578491"/>
      <w:bookmarkStart w:id="1220" w:name="_Toc51582907"/>
      <w:bookmarkStart w:id="1221" w:name="_Toc51583382"/>
      <w:bookmarkStart w:id="1222" w:name="_Toc51583472"/>
      <w:bookmarkStart w:id="1223" w:name="_Toc51583757"/>
      <w:bookmarkStart w:id="1224" w:name="_Toc51583947"/>
      <w:bookmarkStart w:id="1225" w:name="_Toc51583871"/>
      <w:bookmarkStart w:id="1226" w:name="_Toc51586189"/>
      <w:bookmarkStart w:id="1227" w:name="_Toc51593992"/>
      <w:bookmarkStart w:id="1228" w:name="_Toc51594318"/>
      <w:bookmarkStart w:id="1229" w:name="_Toc51595296"/>
      <w:bookmarkStart w:id="1230" w:name="_Toc51595546"/>
      <w:bookmarkStart w:id="1231" w:name="_Toc51595872"/>
      <w:bookmarkStart w:id="1232" w:name="_Toc51596035"/>
      <w:bookmarkStart w:id="1233" w:name="_Toc51596388"/>
      <w:bookmarkStart w:id="1234" w:name="_Toc52121522"/>
      <w:bookmarkStart w:id="1235" w:name="_Toc52122753"/>
      <w:bookmarkStart w:id="1236" w:name="_Toc52123870"/>
      <w:bookmarkStart w:id="1237" w:name="_Toc53405325"/>
      <w:bookmarkStart w:id="1238" w:name="_Toc53406115"/>
      <w:bookmarkStart w:id="1239" w:name="_Toc53407481"/>
      <w:bookmarkStart w:id="1240" w:name="_Toc53410928"/>
      <w:bookmarkStart w:id="1241" w:name="_Toc53411991"/>
      <w:bookmarkStart w:id="1242" w:name="_Toc53417238"/>
      <w:bookmarkStart w:id="1243" w:name="_Toc53417590"/>
      <w:bookmarkStart w:id="1244" w:name="_Toc53419825"/>
      <w:bookmarkStart w:id="1245" w:name="_Toc53434928"/>
      <w:bookmarkStart w:id="1246" w:name="_Toc53437068"/>
      <w:bookmarkStart w:id="1247" w:name="_Toc42703560"/>
      <w:bookmarkStart w:id="1248" w:name="_Toc50415250"/>
      <w:bookmarkStart w:id="1249" w:name="_Toc50416532"/>
      <w:bookmarkStart w:id="1250" w:name="_Toc50417664"/>
      <w:bookmarkStart w:id="1251" w:name="_Toc50418307"/>
      <w:bookmarkStart w:id="1252" w:name="_Toc50459887"/>
      <w:bookmarkStart w:id="1253" w:name="_Toc50466094"/>
      <w:bookmarkStart w:id="1254" w:name="_Toc50473655"/>
      <w:bookmarkStart w:id="1255" w:name="_Toc50474706"/>
      <w:bookmarkStart w:id="1256" w:name="_Toc50565056"/>
      <w:bookmarkStart w:id="1257" w:name="_Toc50568664"/>
      <w:bookmarkStart w:id="1258" w:name="_Toc50629403"/>
      <w:bookmarkStart w:id="1259" w:name="_Toc50630235"/>
      <w:bookmarkStart w:id="1260" w:name="_Toc50630959"/>
      <w:bookmarkStart w:id="1261" w:name="_Toc50633803"/>
      <w:bookmarkStart w:id="1262" w:name="_Toc50634045"/>
      <w:bookmarkStart w:id="1263" w:name="_Toc50646493"/>
      <w:bookmarkStart w:id="1264" w:name="_Toc50646628"/>
      <w:bookmarkStart w:id="1265" w:name="_Toc50649447"/>
      <w:bookmarkStart w:id="1266" w:name="_Toc50650754"/>
      <w:bookmarkStart w:id="1267" w:name="_Toc42783882"/>
      <w:bookmarkStart w:id="1268" w:name="_Toc44674168"/>
      <w:bookmarkStart w:id="1269" w:name="_Toc45271996"/>
      <w:bookmarkStart w:id="1270" w:name="_Toc46312096"/>
      <w:bookmarkStart w:id="1271" w:name="_Toc50044802"/>
      <w:bookmarkStart w:id="1272" w:name="_Toc50048917"/>
      <w:r>
        <w:rPr>
          <w:noProof/>
        </w:rPr>
        <w:t>Digitalisation</w:t>
      </w:r>
      <w:bookmarkEnd w:id="1215"/>
      <w:r>
        <w:rPr>
          <w:noProof/>
        </w:rPr>
        <w:t xml:space="preserve"> </w:t>
      </w:r>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As explained in section 2.3.3, digitalisation in transport can bring huge improvements in efficiency, safety and sustainability. This includes a better organisation and integration of transport modes towards efficient multimodal door-to-door transport and by progressively introducing new technology, which has the potential to reduce safety risks caused by human error in the longer term. </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Research and innovation programmes (especially Horizon 2020</w:t>
      </w:r>
      <w:r>
        <w:rPr>
          <w:rStyle w:val="FootnoteReference"/>
          <w:noProof/>
          <w:lang w:eastAsia="en-US"/>
        </w:rPr>
        <w:footnoteReference w:id="108"/>
      </w:r>
      <w:r>
        <w:rPr>
          <w:noProof/>
          <w:lang w:eastAsia="en-US"/>
        </w:rPr>
        <w:t xml:space="preserve"> and the European Regional Development Fund) have been essential to test and validate new technologies and solutions and prepare them for market deployment.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EU has developed legislative and non-legislative digitalisation initiatives in all transport modes, such as the Intelligent Transport Systems Directive, the Electronic Freight Transport Information Regulation and a new Regulation on a European Maritime Single Window environment. The Commission has also established a dedicated expert group, the Digital Transport and Logistics Forum (DTLF), where public and private stakeholders work together to support digitalisation in freight transport and logistics; as well as the High level Steering Group for the Governance of the of the Digital Maritime System and Services.</w:t>
      </w:r>
    </w:p>
    <w:p>
      <w:pPr>
        <w:pStyle w:val="ListParagraph"/>
        <w:numPr>
          <w:ilvl w:val="0"/>
          <w:numId w:val="89"/>
        </w:numPr>
        <w:pBdr>
          <w:top w:val="nil"/>
          <w:left w:val="nil"/>
          <w:bottom w:val="nil"/>
          <w:right w:val="nil"/>
          <w:between w:val="nil"/>
          <w:bar w:val="nil"/>
        </w:pBdr>
        <w:tabs>
          <w:tab w:val="left" w:pos="476"/>
        </w:tabs>
        <w:spacing w:after="240" w:line="240" w:lineRule="auto"/>
        <w:contextualSpacing w:val="0"/>
        <w:rPr>
          <w:noProof/>
        </w:rPr>
      </w:pPr>
      <w:r>
        <w:rPr>
          <w:noProof/>
          <w:sz w:val="24"/>
          <w:szCs w:val="24"/>
        </w:rPr>
        <w:t>Similarly, a key element towards making maritime transport smarter is the implementation of the EU Vessel Traffic Monitoring and Information System (VTMIS) – the EU-wide interoperable and safe system that provides the digital maritime picture for enhanced traffic and transport at sea. The main objective of the VTMIS Directive</w:t>
      </w:r>
      <w:r>
        <w:rPr>
          <w:rStyle w:val="FootnoteReference"/>
          <w:noProof/>
          <w:sz w:val="24"/>
          <w:szCs w:val="24"/>
        </w:rPr>
        <w:footnoteReference w:id="109"/>
      </w:r>
      <w:r>
        <w:rPr>
          <w:noProof/>
          <w:sz w:val="24"/>
          <w:szCs w:val="24"/>
        </w:rPr>
        <w:t xml:space="preserve"> is to: “</w:t>
      </w:r>
      <w:r>
        <w:rPr>
          <w:i/>
          <w:iCs/>
          <w:noProof/>
          <w:sz w:val="24"/>
          <w:szCs w:val="24"/>
        </w:rPr>
        <w:t>establish in the [Union] Community a vessel traffic monitoring and information system with a view to enhancing the safety and efficiency of maritime traffic, improving the response of authorities to incidents, accidents or potentially dangerous situations at sea, including search and rescue operations, and contributing to a better prevention and detection of pollution by ships</w:t>
      </w:r>
      <w:r>
        <w:rPr>
          <w:noProof/>
          <w:sz w:val="24"/>
          <w:szCs w:val="24"/>
        </w:rPr>
        <w:t>.”</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Better sharing of data between transport operators can be ensured by horizontal initiatives or transport-specific ones, for example the Delegated Regulation on EU-wide multi-modal travel information services</w:t>
      </w:r>
      <w:r>
        <w:rPr>
          <w:noProof/>
        </w:rPr>
        <w:footnoteReference w:id="110"/>
      </w:r>
      <w:r>
        <w:rPr>
          <w:noProof/>
          <w:lang w:eastAsia="en-US"/>
        </w:rPr>
        <w:t xml:space="preserve"> and the Implementing Regulation requiring freight rail undertakings to provide dynamic data to multimodal terminals</w:t>
      </w:r>
      <w:r>
        <w:rPr>
          <w:noProof/>
        </w:rPr>
        <w:footnoteReference w:id="111"/>
      </w:r>
      <w:r>
        <w:rPr>
          <w:noProof/>
          <w:lang w:eastAsia="en-US"/>
        </w:rPr>
        <w:t>.</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In this regard, the European Strategy for Data</w:t>
      </w:r>
      <w:r>
        <w:rPr>
          <w:noProof/>
        </w:rPr>
        <w:footnoteReference w:id="112"/>
      </w:r>
      <w:r>
        <w:rPr>
          <w:noProof/>
          <w:lang w:eastAsia="en-US"/>
        </w:rPr>
        <w:t xml:space="preserve"> aims at creating a single market for data that will ensure Europe’s global competitiveness and data autonomy, where data can flow within the EU and across sectors</w:t>
      </w:r>
      <w:r>
        <w:rPr>
          <w:noProof/>
        </w:rPr>
        <w:t>, for the benefit of all. In particular, it highlights the need for cross-sectoral actions towards a European data space through the development of sectoral data spaces in strategic areas such as manufacturing, agriculture, health, and mobility. In the field of mobility, s</w:t>
      </w:r>
      <w:r>
        <w:rPr>
          <w:noProof/>
          <w:color w:val="000000"/>
        </w:rPr>
        <w:t>uch data spaces will facilitate access, pooling and sharing of data from existing and future transport and mobility databases.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Based on the Commission's Intelligent Transport Systems (ITS) action plan of 2008, a dedicated legal framework was established with the entry into force of the ITS Directive</w:t>
      </w:r>
      <w:r>
        <w:rPr>
          <w:noProof/>
          <w:vertAlign w:val="superscript"/>
          <w:lang w:eastAsia="en-US"/>
        </w:rPr>
        <w:footnoteReference w:id="113"/>
      </w:r>
      <w:r>
        <w:rPr>
          <w:noProof/>
          <w:vertAlign w:val="superscript"/>
          <w:lang w:eastAsia="en-US"/>
        </w:rPr>
        <w:t xml:space="preserve"> </w:t>
      </w:r>
      <w:r>
        <w:rPr>
          <w:noProof/>
          <w:lang w:eastAsia="en-US"/>
        </w:rPr>
        <w:t>in 2010. This framework supports the harmonised deployment in the EU of ITS solutions in road transport. It provides in particular for EU wide specifications in different domains, such as multimodal travel, real-time traffic and safety-related information services</w:t>
      </w:r>
      <w:r>
        <w:rPr>
          <w:noProof/>
          <w:vertAlign w:val="superscript"/>
        </w:rPr>
        <w:footnoteReference w:id="114"/>
      </w:r>
      <w:r>
        <w:rPr>
          <w:noProof/>
          <w:lang w:eastAsia="en-US"/>
        </w:rPr>
        <w:t>. It supports both the deployment of services, in particular through the financial support from the CEF programme</w:t>
      </w:r>
      <w:r>
        <w:rPr>
          <w:noProof/>
          <w:vertAlign w:val="superscript"/>
        </w:rPr>
        <w:footnoteReference w:id="115"/>
      </w:r>
      <w:r>
        <w:rPr>
          <w:noProof/>
          <w:lang w:eastAsia="en-US"/>
        </w:rPr>
        <w:t>, and the organisation of the access to transport data through the creation of National (data) Access Points</w:t>
      </w:r>
      <w:r>
        <w:rPr>
          <w:noProof/>
          <w:vertAlign w:val="superscript"/>
        </w:rPr>
        <w:footnoteReference w:id="116"/>
      </w:r>
      <w:r>
        <w:rPr>
          <w:noProof/>
          <w:lang w:eastAsia="en-US"/>
        </w:rPr>
        <w: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Also in the remit of the ITS Directive, the interoperable EU-wide eCall system, which automatically dials Europe's single emergency number 112 in the event of a serious road crash and communicates the vehicle's location to the emergency services, benefitted from the development of a specific legal framework</w:t>
      </w:r>
      <w:r>
        <w:rPr>
          <w:noProof/>
          <w:vertAlign w:val="superscript"/>
        </w:rPr>
        <w:footnoteReference w:id="117"/>
      </w:r>
      <w:r>
        <w:rPr>
          <w:noProof/>
          <w:lang w:eastAsia="en-US"/>
        </w:rPr>
        <w:t xml:space="preserve"> (see also the section on Safety).</w:t>
      </w:r>
      <w:r>
        <w:rPr>
          <w:rStyle w:val="FootnoteReference"/>
          <w:noProof/>
          <w:lang w:eastAsia="en-US"/>
        </w:rPr>
        <w:footnoteReference w:id="118"/>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In 2016, the Commission presented a European strategy for the coordinated deployment of cooperative intelligent transport systems (C-ITS)</w:t>
      </w:r>
      <w:r>
        <w:rPr>
          <w:noProof/>
          <w:vertAlign w:val="superscript"/>
          <w:lang w:eastAsia="en-US"/>
        </w:rPr>
        <w:footnoteReference w:id="119"/>
      </w:r>
      <w:r>
        <w:rPr>
          <w:noProof/>
          <w:lang w:eastAsia="en-US"/>
        </w:rPr>
        <w:t xml:space="preserve"> to avoid a fragmented Single Market for cooperative transport. The strategy emphasises the need for interoperability, established a list of mature Day 1 services and the need to adopt a hybrid approach to communication technologies. It also addresses other critical issues, including cyber-security and data protection. More recently, the "Europe on the Move" Communication in 2018 highlighted the role of C-ITS in enabling cooperative and in the future connected and automated mobility.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In line with the C-ITS Strategy, 14 Member States plus several associated countries </w:t>
      </w:r>
      <w:r>
        <w:rPr>
          <w:noProof/>
          <w:lang w:eastAsia="en-US"/>
        </w:rPr>
        <w:t>have</w:t>
      </w:r>
      <w:r>
        <w:rPr>
          <w:noProof/>
        </w:rPr>
        <w:t xml:space="preserve"> started the large-scale deployment of interoperable C-ITS services through the C-ROADS platform, a Member State driven harmonisation platform supported through the Connecting Europe Facility. Since 2019, C-ITS based on ITS-G5 has also been introduced at large scale in series-produced vehicles, enabling safety critical information services increasing the road safety for every equipped vehicle.</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With the Communication “On the road to automated mobility: An EU strategy for mobility of the future”</w:t>
      </w:r>
      <w:r>
        <w:rPr>
          <w:rStyle w:val="FootnoteReference"/>
          <w:noProof/>
          <w:lang w:eastAsia="en-US"/>
        </w:rPr>
        <w:footnoteReference w:id="120"/>
      </w:r>
      <w:r>
        <w:rPr>
          <w:noProof/>
          <w:lang w:eastAsia="en-US"/>
        </w:rPr>
        <w:t>, the Commission proposed in May 2018 a comprehensive EU approach towards connected and automated mobility setting out a clear, forward looking and ambitious European agenda. This agenda provides a common vision and identifies supporting actions for developing and deploying key technologies, services and infrastructure. In June 2019, the European Commission has created a single EU wide platform grouping all relevant public and private stakeholders to coordinate open road testing of connected and automated mobility and making the link with pre-deployment activities. In addition, the European Commission has proposed to establish a European Partnership under Horizon Europe to give a clear long-term framework to the strategic planning of research and pre-deployment programmes on connected, cooperative and automated mobility at EU and national levels.</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In support of the introduction and deployment of connected and automated mobility), both the Gigabit Society Communication and the 5G Action Plan (2016)</w:t>
      </w:r>
      <w:r>
        <w:rPr>
          <w:rStyle w:val="FootnoteReference"/>
          <w:noProof/>
          <w:lang w:eastAsia="en-US"/>
        </w:rPr>
        <w:footnoteReference w:id="121"/>
      </w:r>
      <w:r>
        <w:rPr>
          <w:noProof/>
          <w:lang w:eastAsia="en-US"/>
        </w:rPr>
        <w:t xml:space="preserve"> established the goal of having uninterrupted 5G coverage in European major terrestrial transport paths by 2025. </w:t>
      </w:r>
      <w:r>
        <w:rPr>
          <w:noProof/>
        </w:rPr>
        <w:t>Consequently, some Member States set relevant cross-border corridors, in which new 5G based mobility services are being tested in order to leverage their full potential.</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 xml:space="preserve">In this regard, the recently published </w:t>
      </w:r>
      <w:r>
        <w:rPr>
          <w:noProof/>
        </w:rPr>
        <w:t xml:space="preserve">5G Strategic Deployment Agenda presents a common vision for investing in 5G-ecosystems in the field of Connected and Automated Mobility and identifies the key drivers for accelerating infrastructure roll-out. It will serve as a basis for the upcoming privately as well as publicly supported deployment projects in this field with a particular focus on the upcoming </w:t>
      </w:r>
      <w:hyperlink r:id="rId31" w:history="1">
        <w:r>
          <w:rPr>
            <w:rStyle w:val="Hyperlink"/>
            <w:noProof/>
            <w:sz w:val="24"/>
            <w:szCs w:val="24"/>
            <w:u w:val="none"/>
          </w:rPr>
          <w:t>Connecting Europe Facility 2</w:t>
        </w:r>
      </w:hyperlink>
      <w:r>
        <w:rPr>
          <w:noProof/>
        </w:rPr>
        <w:t xml:space="preserve"> Digital programme. It complements existing deployment and provides an alternative for allowing connected vehicles to access mission-critical information in real time, which will significantly contribute to road safety, to a lower carbon footprint, and to a broad range of digital services for drivers and passengers.</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rPr>
        <w:t>This agenda is complemented by the 5G Strategic Deployment Agenda for Rail, looking at synergies between the dedicated rail radio network and Mobile Network Operators (public networks), and to maximise the connectivity for Rail users. In parallel, the upgrade of the Rail Radio System for safety-critical functions to 5G (FRMCS) is developed in terms of standardisation and will be supported by Connecting Europe Facility 2 Transport Programme, potentially by Connecting Europe Facility 2 Digital and Synergic projects, as well as by the Cohesion Policy.</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 xml:space="preserve">The Artificial Intelligence White Paper of 2020 deals with technological, ethical, legal and socio-economic aspects to boost </w:t>
      </w:r>
      <w:r>
        <w:rPr>
          <w:noProof/>
        </w:rPr>
        <w:t>the EU's research and industrial capacity and to put artificial intelligence (AI) at the service of European citizens and economy. AI has become an area of strategic importance and a key driver of economic development. It can bring solutions to many societal challenges, especially those affecting the environment and sustainability. It also offers a large potential for accessibility, provided that data and algorithms are inclusive of persons with disabilities. Mobility applications, such as autonomous driving, are identified as one key sector in which focus is needed.</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The Commission adopted its strategy on Automated and connected mobility as part of the third mobility package in May 2018 together with a legislative proposal on the approval of automated/connected vehicles. Regulation (EU) 2144/2019</w:t>
      </w:r>
      <w:r>
        <w:rPr>
          <w:rStyle w:val="FootnoteReference"/>
          <w:noProof/>
          <w:lang w:eastAsia="en-US"/>
        </w:rPr>
        <w:footnoteReference w:id="122"/>
      </w:r>
      <w:r>
        <w:rPr>
          <w:noProof/>
          <w:lang w:eastAsia="en-US"/>
        </w:rPr>
        <w:t>, was subsequently adopted by the legislator and will provide the EU industry with a strong internal market to be able to compete globally.</w:t>
      </w:r>
    </w:p>
    <w:p>
      <w:pPr>
        <w:pStyle w:val="LegalNumPar"/>
        <w:numPr>
          <w:ilvl w:val="0"/>
          <w:numId w:val="89"/>
        </w:numPr>
        <w:pBdr>
          <w:top w:val="nil"/>
          <w:left w:val="nil"/>
          <w:bottom w:val="nil"/>
          <w:right w:val="nil"/>
          <w:between w:val="nil"/>
          <w:bar w:val="nil"/>
        </w:pBdr>
        <w:tabs>
          <w:tab w:val="left" w:pos="476"/>
        </w:tabs>
        <w:spacing w:line="240" w:lineRule="auto"/>
        <w:rPr>
          <w:i/>
          <w:noProof/>
          <w:lang w:val="en-IE"/>
        </w:rPr>
      </w:pPr>
      <w:r>
        <w:rPr>
          <w:noProof/>
          <w:lang w:eastAsia="en-US"/>
        </w:rPr>
        <w:t xml:space="preserve">A key element of making rail transport smart is the implementation of the European Railway Traffic Management System (ERTMS) – the interoperable and safe EU Signalling system that replaces 21 national systems. ERTMS is now a global standard for train control and communication. Its development has provided excellent opportunities for developing high value business and expertise within Europe and for export around the world. And it is being deployed in almost 50 countries around the world, with over 21,000 km deployed. </w:t>
      </w:r>
    </w:p>
    <w:p>
      <w:pPr>
        <w:pStyle w:val="LegalNumPar"/>
        <w:numPr>
          <w:ilvl w:val="0"/>
          <w:numId w:val="89"/>
        </w:numPr>
        <w:pBdr>
          <w:top w:val="nil"/>
          <w:left w:val="nil"/>
          <w:bottom w:val="nil"/>
          <w:right w:val="nil"/>
          <w:between w:val="nil"/>
          <w:bar w:val="nil"/>
        </w:pBdr>
        <w:tabs>
          <w:tab w:val="left" w:pos="476"/>
        </w:tabs>
        <w:spacing w:line="240" w:lineRule="auto"/>
        <w:rPr>
          <w:noProof/>
          <w:lang w:val="en-IE"/>
        </w:rPr>
      </w:pPr>
      <w:r>
        <w:rPr>
          <w:noProof/>
          <w:lang w:eastAsia="en-US"/>
        </w:rPr>
        <w:t>For inland navigation</w:t>
      </w:r>
      <w:r>
        <w:rPr>
          <w:rStyle w:val="FootnoteReference"/>
          <w:noProof/>
          <w:lang w:eastAsia="en-US"/>
        </w:rPr>
        <w:footnoteReference w:id="123"/>
      </w:r>
      <w:r>
        <w:rPr>
          <w:noProof/>
          <w:lang w:eastAsia="en-US"/>
        </w:rPr>
        <w:t xml:space="preserve">, significant steps have been taken to support the deployment of harmonised River Information Services (RIS) in order to enable seamless transport and traffic management on the European inland waterways. The evolution of RIS needs to take into </w:t>
      </w:r>
      <w:r>
        <w:rPr>
          <w:noProof/>
        </w:rPr>
        <w:t>consideration</w:t>
      </w:r>
      <w:r>
        <w:rPr>
          <w:noProof/>
          <w:lang w:eastAsia="en-US"/>
        </w:rPr>
        <w:t xml:space="preserve"> new requirements stemming from the digital transformation happening in the sector (e.g. digital ship operator platforms, port </w:t>
      </w:r>
      <w:r>
        <w:rPr>
          <w:noProof/>
          <w:lang w:val="en-IE"/>
        </w:rPr>
        <w:t xml:space="preserve">information </w:t>
      </w:r>
      <w:r>
        <w:rPr>
          <w:noProof/>
        </w:rPr>
        <w:t>systems,</w:t>
      </w:r>
      <w:r>
        <w:rPr>
          <w:noProof/>
          <w:lang w:val="en-IE"/>
        </w:rPr>
        <w:t xml:space="preserve"> synchromodality, corridor management,</w:t>
      </w:r>
      <w:r>
        <w:rPr>
          <w:noProof/>
        </w:rPr>
        <w:t xml:space="preserve"> Smart Shipping and Inland Waterways Autonomous Ships), including potential adaptions and extensions of the legal framework on RIS. </w:t>
      </w:r>
      <w:r>
        <w:rPr>
          <w:noProof/>
          <w:lang w:eastAsia="en-US"/>
        </w:rPr>
        <w:t>The legislative framework on the River Information Services</w:t>
      </w:r>
      <w:r>
        <w:rPr>
          <w:rStyle w:val="FootnoteReference"/>
          <w:noProof/>
          <w:lang w:eastAsia="en-US"/>
        </w:rPr>
        <w:footnoteReference w:id="124"/>
      </w:r>
      <w:r>
        <w:rPr>
          <w:noProof/>
          <w:lang w:eastAsia="en-US"/>
        </w:rPr>
        <w:t xml:space="preserve"> is currently being evaluated.  </w:t>
      </w:r>
    </w:p>
    <w:p>
      <w:pPr>
        <w:pStyle w:val="LegalNumPar"/>
        <w:numPr>
          <w:ilvl w:val="0"/>
          <w:numId w:val="89"/>
        </w:numPr>
        <w:pBdr>
          <w:top w:val="nil"/>
          <w:left w:val="nil"/>
          <w:bottom w:val="nil"/>
          <w:right w:val="nil"/>
          <w:between w:val="nil"/>
          <w:bar w:val="nil"/>
        </w:pBdr>
        <w:tabs>
          <w:tab w:val="left" w:pos="476"/>
        </w:tabs>
        <w:spacing w:line="240" w:lineRule="auto"/>
        <w:rPr>
          <w:noProof/>
          <w:lang w:val="en-IE"/>
        </w:rPr>
      </w:pPr>
      <w:r>
        <w:rPr>
          <w:noProof/>
          <w:lang w:val="en-IE" w:eastAsia="en-US"/>
        </w:rPr>
        <w:t xml:space="preserve">In order to facilitate the </w:t>
      </w:r>
      <w:r>
        <w:rPr>
          <w:noProof/>
          <w:lang w:val="en-IE"/>
        </w:rPr>
        <w:t xml:space="preserve">collection, exchange and maintenance of reference data that forms the basis for </w:t>
      </w:r>
      <w:r>
        <w:rPr>
          <w:noProof/>
          <w:lang w:eastAsia="en-US"/>
        </w:rPr>
        <w:t>many</w:t>
      </w:r>
      <w:r>
        <w:rPr>
          <w:noProof/>
          <w:lang w:val="en-IE"/>
        </w:rPr>
        <w:t xml:space="preserve"> technical and operational services of RIS, the Commission introduced the European Reference Data Management System (ERDMS) and took over its operation. To improve the functioning of the ERDMS and its compliance with evolving technical specifications and regulations, the Commission is working on improvement of the system and its service levels to ensure its fitness for the digital transformation in inland waterway transport.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The Directive (EU) 2017/2397 on the recognition of personal qualifications in inland navigation requires Members States to keep electronic registers of such qualifications, and the EC to set up an IT platform (the so called ECDB</w:t>
      </w:r>
      <w:r>
        <w:rPr>
          <w:rStyle w:val="FootnoteReference"/>
          <w:noProof/>
        </w:rPr>
        <w:footnoteReference w:id="125"/>
      </w:r>
      <w:r>
        <w:rPr>
          <w:noProof/>
        </w:rPr>
        <w:t>) for exchanging information on crew certificates. This platform should be operational by January 2022.</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The Commission services are preparing a support study on a smart tachograph for IWT. The general objective of the initiative is to contribute to a smooth and fairer functioning of the IWT market, through the use of digital technologies, so that this low carbon sector can play its role as a competitive actor in the logistic chain. More specifically, the initiative aims at:</w:t>
      </w:r>
      <w:r>
        <w:rPr>
          <w:noProof/>
        </w:rPr>
        <w:t xml:space="preserve"> 1) minimising the administrative burden; 2) improving enforcement; 3) increasing the uptake and acceptance of electronic documents/solutions</w:t>
      </w:r>
      <w:r>
        <w:rPr>
          <w:noProof/>
          <w:vertAlign w:val="superscript"/>
        </w:rPr>
        <w:t>167</w:t>
      </w:r>
      <w:r>
        <w:rPr>
          <w:noProof/>
        </w:rPr>
        <w:t xml:space="preserve">. In order to facilitate collection and exchange of data on inland waterway vessels the Commission introduced the European Hull database (EHDB). To improve the functioning of the EHDB and to ensure security of vessels’ data the Commission is working on improvement of the system.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2017 Digital Inland Waterway Area (DINA) study</w:t>
      </w:r>
      <w:r>
        <w:rPr>
          <w:rStyle w:val="FootnoteReference"/>
          <w:noProof/>
        </w:rPr>
        <w:footnoteReference w:id="126"/>
      </w:r>
      <w:r>
        <w:rPr>
          <w:noProof/>
        </w:rPr>
        <w:t xml:space="preserve"> identified three key challenges that hamper the IWT sector’s competitiveness: inefficient navigation and traffic management, </w:t>
      </w:r>
      <w:r>
        <w:rPr>
          <w:noProof/>
          <w:lang w:eastAsia="en-US"/>
        </w:rPr>
        <w:t>inefficient</w:t>
      </w:r>
      <w:r>
        <w:rPr>
          <w:noProof/>
        </w:rPr>
        <w:t xml:space="preserve"> integration of IWT in logistics processes and high administrative burden for complying with legislation.    In order to tackle these challenges and recognising that ‘digitalisation helps reduce the administrative burden and simplify procedure for authorities and businesses’, the 2018 DINA Staff Working Document</w:t>
      </w:r>
      <w:r>
        <w:rPr>
          <w:rStyle w:val="FootnoteReference"/>
          <w:noProof/>
        </w:rPr>
        <w:footnoteReference w:id="127"/>
      </w:r>
      <w:r>
        <w:rPr>
          <w:noProof/>
        </w:rPr>
        <w:t xml:space="preserve"> initiated an examination of synergies with other transport modes, which resulted the so called Digital Synergy Study</w:t>
      </w:r>
      <w:r>
        <w:rPr>
          <w:noProof/>
          <w:vertAlign w:val="superscript"/>
        </w:rPr>
        <w:footnoteReference w:id="128"/>
      </w:r>
      <w:r>
        <w:rPr>
          <w:noProof/>
        </w:rPr>
        <w:t xml:space="preserve">.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final report of the Digital Synergy Study was published</w:t>
      </w:r>
      <w:r>
        <w:rPr>
          <w:noProof/>
          <w:vertAlign w:val="superscript"/>
        </w:rPr>
        <w:footnoteReference w:id="129"/>
      </w:r>
      <w:r>
        <w:rPr>
          <w:noProof/>
        </w:rPr>
        <w:t xml:space="preserve"> in July 2020. The study aimed at identifying informatics solutions and/or legislative frameworks with digital aspect in other transport modes to assess their potential re-use in the IWT sector. The study outcomes can be used by different actors in the IWT sector as a useful source of information and potential guidance for current project activities or the development of new initiatives ranging from pilot projects to cross border systems. Digitalisation can act as accelerator to achieve the overall ambition to improve IWT sector’s competitiveness and integration with other modes.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To support the digital transformation process in strategic transport sectors, dedicated research and </w:t>
      </w:r>
      <w:r>
        <w:rPr>
          <w:noProof/>
        </w:rPr>
        <w:t>innovation</w:t>
      </w:r>
      <w:r>
        <w:rPr>
          <w:noProof/>
          <w:lang w:eastAsia="en-US"/>
        </w:rPr>
        <w:t xml:space="preserve"> partnerships have already been established for rail (the Shift2Rail joint undertaking) and air traffic management (the SESAR Joint Undertaking). These partnerships reflect requirements across the European network, and also allow close alignment with regulatory bodies, aiding early adoption of successful projects.</w:t>
      </w:r>
    </w:p>
    <w:p>
      <w:pPr>
        <w:pStyle w:val="Heading2"/>
        <w:rPr>
          <w:noProof/>
        </w:rPr>
      </w:pPr>
      <w:bookmarkStart w:id="1273" w:name="_Toc46312097"/>
      <w:bookmarkStart w:id="1274" w:name="_Toc50044803"/>
      <w:bookmarkStart w:id="1275" w:name="_Toc50048918"/>
      <w:bookmarkStart w:id="1276" w:name="_Toc50415251"/>
      <w:bookmarkStart w:id="1277" w:name="_Toc50416533"/>
      <w:bookmarkStart w:id="1278" w:name="_Toc50417665"/>
      <w:bookmarkStart w:id="1279" w:name="_Toc50418308"/>
      <w:bookmarkStart w:id="1280" w:name="_Toc50459888"/>
      <w:bookmarkStart w:id="1281" w:name="_Toc50466095"/>
      <w:bookmarkStart w:id="1282" w:name="_Toc50473656"/>
      <w:bookmarkStart w:id="1283" w:name="_Toc50474707"/>
      <w:bookmarkStart w:id="1284" w:name="_Toc50565057"/>
      <w:bookmarkStart w:id="1285" w:name="_Toc50568665"/>
      <w:bookmarkStart w:id="1286" w:name="_Toc50629404"/>
      <w:bookmarkStart w:id="1287" w:name="_Toc50630236"/>
      <w:bookmarkStart w:id="1288" w:name="_Toc50630960"/>
      <w:bookmarkStart w:id="1289" w:name="_Toc50633804"/>
      <w:bookmarkStart w:id="1290" w:name="_Toc50634046"/>
      <w:bookmarkStart w:id="1291" w:name="_Toc50646494"/>
      <w:bookmarkStart w:id="1292" w:name="_Toc50646629"/>
      <w:bookmarkStart w:id="1293" w:name="_Toc50649448"/>
      <w:bookmarkStart w:id="1294" w:name="_Toc50650755"/>
      <w:bookmarkStart w:id="1295" w:name="_Toc51574789"/>
      <w:bookmarkStart w:id="1296" w:name="_Toc51575637"/>
      <w:bookmarkStart w:id="1297" w:name="_Toc51578024"/>
      <w:bookmarkStart w:id="1298" w:name="_Toc51578492"/>
      <w:bookmarkStart w:id="1299" w:name="_Toc51582908"/>
      <w:bookmarkStart w:id="1300" w:name="_Toc51583383"/>
      <w:bookmarkStart w:id="1301" w:name="_Toc51583473"/>
      <w:bookmarkStart w:id="1302" w:name="_Toc51583758"/>
      <w:bookmarkStart w:id="1303" w:name="_Toc51583948"/>
      <w:bookmarkStart w:id="1304" w:name="_Toc51583872"/>
      <w:bookmarkStart w:id="1305" w:name="_Toc51593993"/>
      <w:bookmarkStart w:id="1306" w:name="_Toc51594319"/>
      <w:bookmarkStart w:id="1307" w:name="_Toc51595547"/>
      <w:bookmarkStart w:id="1308" w:name="_Toc51595873"/>
      <w:bookmarkStart w:id="1309" w:name="_Toc51596036"/>
      <w:bookmarkStart w:id="1310" w:name="_Toc51596389"/>
      <w:bookmarkStart w:id="1311" w:name="_Toc52121523"/>
      <w:bookmarkStart w:id="1312" w:name="_Toc52122754"/>
      <w:bookmarkStart w:id="1313" w:name="_Toc52123871"/>
      <w:bookmarkStart w:id="1314" w:name="_Toc53405326"/>
      <w:bookmarkStart w:id="1315" w:name="_Toc53406116"/>
      <w:bookmarkStart w:id="1316" w:name="_Toc53407482"/>
      <w:bookmarkStart w:id="1317" w:name="_Toc53410929"/>
      <w:bookmarkStart w:id="1318" w:name="_Toc53411992"/>
      <w:bookmarkStart w:id="1319" w:name="_Toc53417239"/>
      <w:bookmarkStart w:id="1320" w:name="_Toc53417591"/>
      <w:bookmarkStart w:id="1321" w:name="_Toc53419826"/>
      <w:bookmarkStart w:id="1322" w:name="_Toc53434929"/>
      <w:bookmarkStart w:id="1323" w:name="_Toc53437069"/>
      <w:bookmarkStart w:id="1324" w:name="_Toc57291476"/>
      <w:bookmarkStart w:id="1325" w:name="_Toc51586190"/>
      <w:bookmarkStart w:id="1326" w:name="_Toc51595297"/>
      <w:r>
        <w:rPr>
          <w:noProof/>
        </w:rPr>
        <w:t>Single Market</w:t>
      </w:r>
      <w:bookmarkEnd w:id="1211"/>
      <w:bookmarkEnd w:id="1212"/>
      <w:bookmarkEnd w:id="1213"/>
      <w:bookmarkEnd w:id="1214"/>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p>
    <w:bookmarkEnd w:id="1325"/>
    <w:bookmarkEnd w:id="1326"/>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In the last ten years, the Commission has taken several initiatives to further foster the development of the Single European Transport Area. Progress towards this goal has been made for all transport modes, for instance with the Fourth Railway Package, the Blue Belt initiatives and efforts to build a Union information system for maritime transport, the EU Aviation Strategy, urban mobility package and the NAIADES Programme for inland waterways.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The successive </w:t>
      </w:r>
      <w:r>
        <w:rPr>
          <w:noProof/>
        </w:rPr>
        <w:t>railway packages</w:t>
      </w:r>
      <w:r>
        <w:rPr>
          <w:noProof/>
          <w:lang w:eastAsia="en-US"/>
        </w:rPr>
        <w:t xml:space="preserve"> have now created the conditions for a genuine Single European Rail Area with open markets and technical interoperability, to ensure that trains are able to operate with ease across national borders, and the same rolling stock be used all across Europe but full implementation is still required to reap the benefits..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Whilst the rail freight and international passenger services markets have been open for competition for some time, rail </w:t>
      </w:r>
      <w:r>
        <w:rPr>
          <w:noProof/>
        </w:rPr>
        <w:t>domestic passenger</w:t>
      </w:r>
      <w:r>
        <w:rPr>
          <w:noProof/>
          <w:lang w:eastAsia="en-US"/>
        </w:rPr>
        <w:t xml:space="preserve"> markets are only being opened by the Fourth Railway Package, which is currently being implemented: European railway undertakings are allowed to offer rail services in any Member State since 3 December 2019, subject to specific safeguards and transitional provisions. Where services are economically not viable, the public service contracts through which they are funded will have to be tendered from 2023 onwards at the latest. Experience from countries where such contracts are already tendered shows that this leads to an improved offer and lower costs to the authorities. Joint enforcement of sectorial and competition rules has been stepped up, but those efforts are still much needed to ensure an effective market opening and to remove</w:t>
      </w:r>
      <w:r>
        <w:rPr>
          <w:noProof/>
        </w:rPr>
        <w:t xml:space="preserve"> </w:t>
      </w:r>
      <w:r>
        <w:rPr>
          <w:noProof/>
          <w:lang w:eastAsia="en-US"/>
        </w:rPr>
        <w:t>the</w:t>
      </w:r>
      <w:r>
        <w:rPr>
          <w:noProof/>
        </w:rPr>
        <w:t xml:space="preserve"> remaining market access barriers</w:t>
      </w:r>
      <w:r>
        <w:rPr>
          <w:noProof/>
          <w:lang w:eastAsia="en-US"/>
        </w:rPr>
        <w:t xml:space="preserve"> </w:t>
      </w:r>
      <w:r>
        <w:rPr>
          <w:noProof/>
        </w:rPr>
        <w:t>such</w:t>
      </w:r>
      <w:r>
        <w:rPr>
          <w:noProof/>
          <w:lang w:eastAsia="en-US"/>
        </w:rPr>
        <w:t xml:space="preserve"> as ticketing and access to rolling stock will require attention, among several other issues. Rail market issues are discussed in more detail in section 4 below</w:t>
      </w:r>
      <w:r>
        <w:rPr>
          <w:noProof/>
        </w:rPr>
        <w: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EU legislation as now implemented via the </w:t>
      </w:r>
      <w:r>
        <w:rPr>
          <w:noProof/>
        </w:rPr>
        <w:t>Technical Pillar</w:t>
      </w:r>
      <w:r>
        <w:rPr>
          <w:noProof/>
          <w:lang w:eastAsia="en-US"/>
        </w:rPr>
        <w:t xml:space="preserve"> of the Fourth Railway Package provides a harmonised set of technical standards for the European Railway network, and provides EU wide single vehicle authorisation and safety certification for railway undertakings based on EU specifications and standards, which the European Union Agency for Railways (ERA) issues for the Single European Rail Area since June 2019</w:t>
      </w:r>
      <w:r>
        <w:rPr>
          <w:rStyle w:val="FootnoteReference"/>
          <w:noProof/>
          <w:lang w:eastAsia="en-US"/>
        </w:rPr>
        <w:footnoteReference w:id="130"/>
      </w:r>
      <w:r>
        <w:rPr>
          <w:noProof/>
          <w:lang w:eastAsia="en-US"/>
        </w:rPr>
        <w:t xml:space="preserve">. The Commission and ERA, together with Member States, are identifying and eliminating national rules made redundant by this new regime. Collectively, these measures will promote cross-border services, enhance interoperability and permit the development of rolling stock and other rail equipment standardised at EU level.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The EU has established 11 </w:t>
      </w:r>
      <w:r>
        <w:rPr>
          <w:noProof/>
        </w:rPr>
        <w:t>rail freight corridors</w:t>
      </w:r>
      <w:r>
        <w:rPr>
          <w:noProof/>
          <w:lang w:eastAsia="en-US"/>
        </w:rPr>
        <w:t>, to enhance coordination between infrastructure managers on issues linked to capacity allocation and management. Regulation (EU) 913/2010</w:t>
      </w:r>
      <w:r>
        <w:rPr>
          <w:rStyle w:val="FootnoteReference"/>
          <w:noProof/>
          <w:lang w:eastAsia="en-US"/>
        </w:rPr>
        <w:footnoteReference w:id="131"/>
      </w:r>
      <w:r>
        <w:rPr>
          <w:noProof/>
          <w:lang w:eastAsia="en-US"/>
        </w:rPr>
        <w:t xml:space="preserve"> on the rail freight corridors is currently under review.</w:t>
      </w:r>
    </w:p>
    <w:p>
      <w:pPr>
        <w:pStyle w:val="Caption"/>
        <w:keepNext/>
        <w:ind w:left="476"/>
        <w:jc w:val="center"/>
        <w:rPr>
          <w:noProof/>
        </w:rPr>
      </w:pPr>
      <w:bookmarkStart w:id="1327" w:name="_Toc50417619"/>
      <w:bookmarkStart w:id="1328" w:name="_Toc50418262"/>
      <w:bookmarkStart w:id="1329" w:name="_Toc50473610"/>
      <w:bookmarkStart w:id="1330" w:name="_Toc50474661"/>
      <w:bookmarkStart w:id="1331" w:name="_Toc50630190"/>
      <w:bookmarkStart w:id="1332" w:name="_Toc50630914"/>
      <w:bookmarkStart w:id="1333" w:name="_Toc50633758"/>
      <w:bookmarkStart w:id="1334" w:name="_Toc50634000"/>
      <w:bookmarkStart w:id="1335" w:name="_Toc50646446"/>
      <w:bookmarkStart w:id="1336" w:name="_Toc50646581"/>
      <w:bookmarkStart w:id="1337" w:name="_Toc50649400"/>
      <w:bookmarkStart w:id="1338" w:name="_Toc50650707"/>
      <w:bookmarkStart w:id="1339" w:name="_Toc51593757"/>
      <w:bookmarkStart w:id="1340" w:name="_Toc51595224"/>
      <w:bookmarkStart w:id="1341" w:name="_Toc51595474"/>
      <w:bookmarkStart w:id="1342" w:name="_Toc51595800"/>
      <w:bookmarkStart w:id="1343" w:name="_Toc51595963"/>
      <w:bookmarkStart w:id="1344" w:name="_Toc52121450"/>
      <w:bookmarkStart w:id="1345" w:name="_Toc52122681"/>
      <w:bookmarkStart w:id="1346" w:name="_Toc53405245"/>
      <w:bookmarkStart w:id="1347" w:name="_Toc53406035"/>
      <w:bookmarkStart w:id="1348" w:name="_Toc53407401"/>
      <w:bookmarkStart w:id="1349" w:name="_Toc53410848"/>
      <w:bookmarkStart w:id="1350" w:name="_Toc53411911"/>
      <w:bookmarkStart w:id="1351" w:name="_Toc53417158"/>
      <w:bookmarkStart w:id="1352" w:name="_Toc53417510"/>
      <w:bookmarkStart w:id="1353" w:name="_Toc53419543"/>
      <w:bookmarkStart w:id="1354" w:name="_Toc53434848"/>
      <w:bookmarkStart w:id="1355" w:name="_Toc53436988"/>
      <w:bookmarkStart w:id="1356" w:name="_Toc57291656"/>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12</w:t>
      </w:r>
      <w:r>
        <w:rPr>
          <w:noProof/>
        </w:rPr>
        <w:fldChar w:fldCharType="end"/>
      </w:r>
      <w:r>
        <w:rPr>
          <w:i w:val="0"/>
          <w:noProof/>
        </w:rPr>
        <w:t xml:space="preserve">: </w:t>
      </w:r>
      <w:bookmarkStart w:id="1357" w:name="_Toc31986747"/>
      <w:r>
        <w:rPr>
          <w:i w:val="0"/>
          <w:noProof/>
        </w:rPr>
        <w:t>Market share of all but the principal railway undertakings in 2016</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p>
    <w:p>
      <w:pPr>
        <w:rPr>
          <w:noProof/>
        </w:rPr>
      </w:pPr>
      <w:r>
        <w:rPr>
          <w:noProof/>
        </w:rPr>
        <w:drawing>
          <wp:inline distT="0" distB="0" distL="0" distR="0">
            <wp:extent cx="5511066" cy="2564920"/>
            <wp:effectExtent l="0" t="0" r="0" b="6985"/>
            <wp:docPr id="665050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cstate="email">
                      <a:extLst>
                        <a:ext uri="{28A0092B-C50C-407E-A947-70E740481C1C}">
                          <a14:useLocalDpi xmlns:a14="http://schemas.microsoft.com/office/drawing/2010/main"/>
                        </a:ext>
                      </a:extLst>
                    </a:blip>
                    <a:stretch>
                      <a:fillRect/>
                    </a:stretch>
                  </pic:blipFill>
                  <pic:spPr>
                    <a:xfrm>
                      <a:off x="0" y="0"/>
                      <a:ext cx="5511066" cy="2564920"/>
                    </a:xfrm>
                    <a:prstGeom prst="rect">
                      <a:avLst/>
                    </a:prstGeom>
                  </pic:spPr>
                </pic:pic>
              </a:graphicData>
            </a:graphic>
          </wp:inline>
        </w:drawing>
      </w:r>
      <w:r>
        <w:rPr>
          <w:i/>
          <w:iCs/>
          <w:noProof/>
          <w:sz w:val="16"/>
          <w:szCs w:val="16"/>
        </w:rPr>
        <w:t>Source: European Commission (2018): Rail Market Monitoring Survey 2018. IRG Rail Annual Reports. Greece, Ireland, Lithuania, Luxembourg and Finland score 0 in both indicators. Passenger data: due to a methodological change in reporting, values are mostly estimated by DG MOVE. Not applicable to Cyprus and Malta.</w:t>
      </w:r>
    </w:p>
    <w:p>
      <w:pPr>
        <w:spacing w:after="0" w:line="240" w:lineRule="auto"/>
        <w:rPr>
          <w:noProof/>
          <w:sz w:val="20"/>
          <w:lang w:eastAsia="en-US"/>
        </w:rPr>
      </w:pP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In the </w:t>
      </w:r>
      <w:r>
        <w:rPr>
          <w:noProof/>
        </w:rPr>
        <w:t>road transport</w:t>
      </w:r>
      <w:r>
        <w:rPr>
          <w:noProof/>
          <w:lang w:eastAsia="en-US"/>
        </w:rPr>
        <w:t xml:space="preserve"> sector, the market for international (intra-EU) freight and passenger services has been entirely opened to competition, but domestic transport remains largely protected. On the freight side, "cabotage", i.e. domestic transport performed by foreign hauliers, is subject to the EU rules which were revised under the first Mobility Package (adopted in July 2020), together with social rules for road transport sector. One of the objectives of the revision was to improve the working conditions of drivers, by clarifying the driving and rest time rules, by establishing specific rules for posting of road transport workers and by improving enforcement of those rules with the aid of smart tachograph and other digital systems (e.g. IMI – Internal Market Information system). The other objective was to eliminate distortions of competition on the internal road transport market by clarifying the existing rules on the access to the haulage market and to the profession of road transport operator and strengthening their enforcement. Limitations to cabotage operations are part of the newly adopted rules.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Since the early 1990s the </w:t>
      </w:r>
      <w:r>
        <w:rPr>
          <w:noProof/>
        </w:rPr>
        <w:t>aviation</w:t>
      </w:r>
      <w:r>
        <w:rPr>
          <w:noProof/>
          <w:lang w:eastAsia="en-US"/>
        </w:rPr>
        <w:t xml:space="preserve"> market has been gradually liberalised. The creation of the aviation single market has produced significant socio-economic benefits for passengers, businesses and regions. Air traffic has more than doubled since 1990 and in 2018 more than a billion passengers travelled through some 500 European airports. More than 3,500 intra-EU routes provided access to both large cities as well as peripheral regions. The fostering of competition in the market</w:t>
      </w:r>
      <w:r>
        <w:rPr>
          <w:rStyle w:val="FootnoteReference"/>
          <w:noProof/>
          <w:lang w:eastAsia="en-US"/>
        </w:rPr>
        <w:footnoteReference w:id="132"/>
      </w:r>
      <w:r>
        <w:rPr>
          <w:noProof/>
          <w:lang w:eastAsia="en-US"/>
        </w:rPr>
        <w:t xml:space="preserve"> has contributed to making air travel affordable, to creating jobs and to stimulate business.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While the Single Market for aviation has been a success, there remain challenges and room for improvement in some areas of its functioning, in addition to the need to make aviation more sustainable. In particular, the Single European Sky remains incomplete. The current fragmentation of the airspace leads to inefficiencies, additional fuel burn and extra costs for the whole aviation value chain. </w:t>
      </w:r>
    </w:p>
    <w:p>
      <w:pPr>
        <w:pStyle w:val="LegalNumPar"/>
        <w:numPr>
          <w:ilvl w:val="0"/>
          <w:numId w:val="89"/>
        </w:numPr>
        <w:pBdr>
          <w:top w:val="nil"/>
          <w:left w:val="nil"/>
          <w:bottom w:val="nil"/>
          <w:right w:val="nil"/>
          <w:between w:val="nil"/>
          <w:bar w:val="nil"/>
        </w:pBdr>
        <w:tabs>
          <w:tab w:val="left" w:pos="476"/>
        </w:tabs>
        <w:spacing w:after="60" w:line="240" w:lineRule="auto"/>
        <w:rPr>
          <w:noProof/>
        </w:rPr>
      </w:pPr>
      <w:r>
        <w:rPr>
          <w:noProof/>
          <w:lang w:eastAsia="en-US"/>
        </w:rPr>
        <w:t>In 2015, the Commission adopted the EU Aviation Strategy</w:t>
      </w:r>
      <w:r>
        <w:rPr>
          <w:rStyle w:val="FootnoteReference"/>
          <w:noProof/>
          <w:lang w:eastAsia="en-US"/>
        </w:rPr>
        <w:footnoteReference w:id="133"/>
      </w:r>
      <w:r>
        <w:rPr>
          <w:noProof/>
          <w:lang w:eastAsia="en-US"/>
        </w:rPr>
        <w:t xml:space="preserve"> which pursued three key priorities: </w:t>
      </w:r>
    </w:p>
    <w:p>
      <w:pPr>
        <w:pStyle w:val="ListParagraph"/>
        <w:numPr>
          <w:ilvl w:val="0"/>
          <w:numId w:val="7"/>
        </w:numPr>
        <w:spacing w:before="60" w:after="60" w:line="240" w:lineRule="auto"/>
        <w:ind w:left="851" w:hanging="284"/>
        <w:contextualSpacing w:val="0"/>
        <w:rPr>
          <w:noProof/>
          <w:sz w:val="24"/>
          <w:szCs w:val="24"/>
          <w:lang w:eastAsia="en-US"/>
        </w:rPr>
      </w:pPr>
      <w:r>
        <w:rPr>
          <w:noProof/>
          <w:sz w:val="24"/>
          <w:szCs w:val="24"/>
          <w:lang w:eastAsia="en-US"/>
        </w:rPr>
        <w:t>Tapping into growth markets, by improving services, market access and investment opportunities with third countries, whilst guaranteeing a level playing field;</w:t>
      </w:r>
    </w:p>
    <w:p>
      <w:pPr>
        <w:pStyle w:val="ListParagraph"/>
        <w:numPr>
          <w:ilvl w:val="0"/>
          <w:numId w:val="7"/>
        </w:numPr>
        <w:spacing w:before="60" w:after="60" w:line="240" w:lineRule="auto"/>
        <w:ind w:left="851" w:hanging="284"/>
        <w:contextualSpacing w:val="0"/>
        <w:rPr>
          <w:noProof/>
          <w:sz w:val="24"/>
          <w:szCs w:val="24"/>
          <w:lang w:eastAsia="en-US"/>
        </w:rPr>
      </w:pPr>
      <w:r>
        <w:rPr>
          <w:noProof/>
          <w:sz w:val="24"/>
          <w:szCs w:val="24"/>
          <w:lang w:eastAsia="en-US"/>
        </w:rPr>
        <w:t>Tackling limits to growth in the air and on the ground, by reducing capacity constraints and improving efficiency and connectivity;</w:t>
      </w:r>
    </w:p>
    <w:p>
      <w:pPr>
        <w:pStyle w:val="LegalNumPar"/>
        <w:numPr>
          <w:ilvl w:val="0"/>
          <w:numId w:val="7"/>
        </w:numPr>
        <w:pBdr>
          <w:top w:val="nil"/>
          <w:left w:val="nil"/>
          <w:bottom w:val="nil"/>
          <w:right w:val="nil"/>
          <w:between w:val="nil"/>
          <w:bar w:val="nil"/>
        </w:pBdr>
        <w:tabs>
          <w:tab w:val="left" w:pos="476"/>
        </w:tabs>
        <w:spacing w:before="60" w:line="240" w:lineRule="auto"/>
        <w:ind w:left="851" w:hanging="284"/>
        <w:rPr>
          <w:noProof/>
        </w:rPr>
      </w:pPr>
      <w:r>
        <w:rPr>
          <w:noProof/>
          <w:lang w:eastAsia="en-US"/>
        </w:rPr>
        <w:t xml:space="preserve">Maintaining high EU safety and security standards, by shifting to a risk and performance based mind-set. Creating high quality jobs and maintaining a strong social agenda. </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The Single Market for aviation has delivered key achievements for European citizens, regions and businesses. The over 1.1 billion passengers – an average yearly growth of 6.9% between 2015 and 2018 – that travelled through European airports in 2018 meant that the global share of EU traffic in terms of passengers carried has remained stable at around 26%</w:t>
      </w:r>
      <w:r>
        <w:rPr>
          <w:rStyle w:val="FootnoteReference"/>
          <w:noProof/>
          <w:lang w:eastAsia="en-US"/>
        </w:rPr>
        <w:footnoteReference w:id="134"/>
      </w:r>
      <w:r>
        <w:rPr>
          <w:noProof/>
          <w:lang w:eastAsia="en-US"/>
        </w:rPr>
        <w:t>. Since 2015 close to 700 new routes (city to city) have been opened within EU, representing an increase of 15%</w:t>
      </w:r>
      <w:r>
        <w:rPr>
          <w:rStyle w:val="FootnoteReference"/>
          <w:noProof/>
          <w:lang w:eastAsia="en-US"/>
        </w:rPr>
        <w:footnoteReference w:id="135"/>
      </w:r>
      <w:r>
        <w:rPr>
          <w:noProof/>
          <w:lang w:eastAsia="en-US"/>
        </w:rPr>
        <w:t xml:space="preserve"> and contributing to increasing connectivity. Over the same period, nearly 200 additional routes (+30%)</w:t>
      </w:r>
      <w:r>
        <w:rPr>
          <w:rStyle w:val="FootnoteReference"/>
          <w:noProof/>
          <w:lang w:eastAsia="en-US"/>
        </w:rPr>
        <w:footnoteReference w:id="136"/>
      </w:r>
      <w:r>
        <w:rPr>
          <w:noProof/>
          <w:lang w:eastAsia="en-US"/>
        </w:rPr>
        <w:t xml:space="preserve"> have seen a third airline as an operator, contributing to increase in competition and affordability within EU.</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In the area of </w:t>
      </w:r>
      <w:r>
        <w:rPr>
          <w:noProof/>
        </w:rPr>
        <w:t>waterborne transport</w:t>
      </w:r>
      <w:r>
        <w:rPr>
          <w:noProof/>
          <w:lang w:eastAsia="en-US"/>
        </w:rPr>
        <w:t xml:space="preserve"> the Commission, in the policy framework of the 2011 White Paper, has taken initiatives to consolidate the internal market for sea shipping services and better connect EU ports to create an EU maritime transport space without barriers. In this context measures were adopted to improve maritime surveillance capabilities for safe and efficient maritime transport and traffic, to simplify procedures for regular shipping services</w:t>
      </w:r>
      <w:r>
        <w:rPr>
          <w:noProof/>
        </w:rPr>
        <w:t xml:space="preserve"> </w:t>
      </w:r>
      <w:r>
        <w:rPr>
          <w:noProof/>
          <w:lang w:eastAsia="en-US"/>
        </w:rPr>
        <w:t>and reporting formalities during port calls, review restrictions of port services and improve transparency of ports’ financing.</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As regards </w:t>
      </w:r>
      <w:r>
        <w:rPr>
          <w:noProof/>
        </w:rPr>
        <w:t>international multimodal transport</w:t>
      </w:r>
      <w:r>
        <w:rPr>
          <w:noProof/>
          <w:lang w:eastAsia="en-US"/>
        </w:rPr>
        <w:t>, the range of legal instruments shippers and transport operators have to consider for each transport operation, is very broad. This includes the rules applicable to vehicles (technical, safety and environmental norms and standards), workers (e.g. professional qualifications, working time), services (access to market) and goods (e.g. customs, rules applicable to dangerous goods). Each operation is accompanied by a large amount of information, which in vast majority of cases still involves paper documents at one stage or another. Technical systems for the electronic exchange of transport information vary between and within countries and transport modes. Some of these problems will be tackled by the implementation of the eFTI Regulation</w:t>
      </w:r>
      <w:r>
        <w:rPr>
          <w:rStyle w:val="FootnoteReference"/>
          <w:noProof/>
          <w:lang w:eastAsia="en-US"/>
        </w:rPr>
        <w:footnoteReference w:id="137"/>
      </w:r>
      <w:r>
        <w:rPr>
          <w:noProof/>
          <w:lang w:eastAsia="en-US"/>
        </w:rPr>
        <w:t xml:space="preserve"> which establishes the conditions under which certain information relevant under the </w:t>
      </w:r>
      <w:r>
        <w:rPr>
          <w:i/>
          <w:iCs/>
          <w:noProof/>
          <w:lang w:eastAsia="en-US"/>
        </w:rPr>
        <w:t xml:space="preserve">acquis </w:t>
      </w:r>
      <w:r>
        <w:rPr>
          <w:noProof/>
          <w:lang w:eastAsia="en-US"/>
        </w:rPr>
        <w:t xml:space="preserve">for intra-EU movements of freight is accepted by the authorities in electronic form and which provides for common rules for processing the data for intra-EU cargo movements.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Passengers in the EU are protected by a full set of </w:t>
      </w:r>
      <w:r>
        <w:rPr>
          <w:noProof/>
        </w:rPr>
        <w:t>passenger rights</w:t>
      </w:r>
      <w:r>
        <w:rPr>
          <w:noProof/>
          <w:lang w:eastAsia="en-US"/>
        </w:rPr>
        <w:t xml:space="preserve">, whether they travel by air, rail, ship, bus and coach. This framework provides a minimum level of protection for people using transport services, including the most vulnerable, i.e. persons with disabilities and reduced mobility. It recognises that passengers, as the weaker party to the transport service contract, need to be treated fairly when the service has not been provided as expected. </w:t>
      </w:r>
    </w:p>
    <w:p>
      <w:pPr>
        <w:pStyle w:val="LegalNumPar"/>
        <w:numPr>
          <w:ilvl w:val="0"/>
          <w:numId w:val="89"/>
        </w:numPr>
        <w:pBdr>
          <w:top w:val="nil"/>
          <w:left w:val="nil"/>
          <w:bottom w:val="nil"/>
          <w:right w:val="nil"/>
          <w:between w:val="nil"/>
          <w:bar w:val="nil"/>
        </w:pBdr>
        <w:tabs>
          <w:tab w:val="left" w:pos="476"/>
        </w:tabs>
        <w:spacing w:line="240" w:lineRule="auto"/>
        <w:rPr>
          <w:noProof/>
          <w:szCs w:val="24"/>
        </w:rPr>
      </w:pPr>
      <w:r>
        <w:rPr>
          <w:noProof/>
          <w:lang w:eastAsia="en-US"/>
        </w:rPr>
        <w:t xml:space="preserve">As a consequence, the framework addresses the three steps of the journey (prior, during and after the journey) to facilitate mobility and social inclusion. It contributes to reducing the negative impact of travel disruptions on users of collective transport modes and to improving service quality for passengers. This also contributes to the creation of a level playing field for transport operators within and across modes in the EU and a European standard of passenger protection, which is essential in the context of the single market. Today passenger rights apply to a growing market of over 400 million citizens performing several </w:t>
      </w:r>
      <w:r>
        <w:rPr>
          <w:noProof/>
          <w:szCs w:val="24"/>
          <w:lang w:eastAsia="en-US"/>
        </w:rPr>
        <w:t>billions of journeys every year for private or business purpose. In this context, passenger protection has become a cornerstone of EU transport policy</w:t>
      </w:r>
      <w:r>
        <w:rPr>
          <w:rStyle w:val="FootnoteReference"/>
          <w:noProof/>
          <w:szCs w:val="24"/>
          <w:lang w:eastAsia="en-US"/>
        </w:rPr>
        <w:footnoteReference w:id="138"/>
      </w:r>
      <w:r>
        <w:rPr>
          <w:noProof/>
          <w:szCs w:val="24"/>
          <w:lang w:eastAsia="en-US"/>
        </w:rPr>
        <w:t xml:space="preserve">, building on international conventions and the general consumer protection framework of the Union. </w:t>
      </w:r>
    </w:p>
    <w:p>
      <w:pPr>
        <w:pStyle w:val="LegalNumPar"/>
        <w:numPr>
          <w:ilvl w:val="0"/>
          <w:numId w:val="89"/>
        </w:numPr>
        <w:pBdr>
          <w:top w:val="nil"/>
          <w:left w:val="nil"/>
          <w:bottom w:val="nil"/>
          <w:right w:val="nil"/>
          <w:between w:val="nil"/>
          <w:bar w:val="nil"/>
        </w:pBdr>
        <w:tabs>
          <w:tab w:val="left" w:pos="476"/>
        </w:tabs>
        <w:spacing w:line="240" w:lineRule="auto"/>
        <w:rPr>
          <w:noProof/>
          <w:szCs w:val="24"/>
        </w:rPr>
      </w:pPr>
      <w:r>
        <w:rPr>
          <w:noProof/>
          <w:szCs w:val="24"/>
        </w:rPr>
        <w:t>Attention is being paid to accessibility of transport service information for persons with disabilities in the European Accessibility Act,</w:t>
      </w:r>
      <w:r>
        <w:rPr>
          <w:rStyle w:val="FootnoteReference"/>
          <w:noProof/>
          <w:szCs w:val="24"/>
        </w:rPr>
        <w:footnoteReference w:id="139"/>
      </w:r>
      <w:r>
        <w:rPr>
          <w:noProof/>
          <w:szCs w:val="24"/>
        </w:rPr>
        <w:t xml:space="preserve"> complementing existing passenger rights legislation which covers also the assistance to be provided to passengers with disabilities and reduced mobility when travelling by air, rail, waterborne or bus and coach transport. Accessibility is a key component of social sustainability and inclusiveness, contributing to usability and durability.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szCs w:val="24"/>
        </w:rPr>
        <w:t>In its Communication ‘A stronger and renewed strategic partnership with the EU's outermost regions’</w:t>
      </w:r>
      <w:r>
        <w:rPr>
          <w:rStyle w:val="FootnoteReference"/>
          <w:noProof/>
          <w:szCs w:val="24"/>
        </w:rPr>
        <w:footnoteReference w:id="140"/>
      </w:r>
      <w:r>
        <w:rPr>
          <w:noProof/>
          <w:szCs w:val="24"/>
        </w:rPr>
        <w:t>, the Commission committed</w:t>
      </w:r>
      <w:r>
        <w:rPr>
          <w:noProof/>
        </w:rPr>
        <w:t xml:space="preserve"> itself to reducing the outermost regions' "accessibility gap" caused by remoteness from continental Europe, insularity (in most cases) and difficult topography and to testing low-carbon transport and energy efficient solutions.  </w:t>
      </w:r>
    </w:p>
    <w:p>
      <w:pPr>
        <w:pStyle w:val="LegalNumPar"/>
        <w:pBdr>
          <w:top w:val="nil"/>
          <w:left w:val="nil"/>
          <w:bottom w:val="nil"/>
          <w:right w:val="nil"/>
          <w:between w:val="nil"/>
          <w:bar w:val="nil"/>
        </w:pBdr>
        <w:tabs>
          <w:tab w:val="left" w:pos="476"/>
        </w:tabs>
        <w:spacing w:line="240" w:lineRule="auto"/>
        <w:rPr>
          <w:i/>
          <w:noProof/>
        </w:rPr>
      </w:pPr>
      <w:r>
        <w:rPr>
          <w:i/>
          <w:iCs/>
          <w:noProof/>
          <w:lang w:eastAsia="en-US"/>
        </w:rPr>
        <w:t>Infrastructure developments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To develop the Trans-European Transport Network (</w:t>
      </w:r>
      <w:r>
        <w:rPr>
          <w:noProof/>
        </w:rPr>
        <w:t>TEN-T Network</w:t>
      </w:r>
      <w:r>
        <w:rPr>
          <w:noProof/>
          <w:lang w:eastAsia="en-US"/>
        </w:rPr>
        <w:t>), the EU adopted a Regulation in 2013</w:t>
      </w:r>
      <w:r>
        <w:rPr>
          <w:noProof/>
          <w:vertAlign w:val="superscript"/>
        </w:rPr>
        <w:footnoteReference w:id="141"/>
      </w:r>
      <w:r>
        <w:rPr>
          <w:noProof/>
          <w:lang w:eastAsia="en-US"/>
        </w:rPr>
        <w:t xml:space="preserve"> providing Union guidelines for transport investment. The Regulation establishes a legally binding obligation to develop the so-called "core" and "comprehensive" TEN-T Networks. The TEN-T covers all transport modes and connections between them (ports, airports and other transport terminals), they set standards and requirements to be met along the whole network, and they include smart and innovative components to facilitate efficient infrastructure use and high-quality services.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The core network is strategically the most important part of the TEN-T and must be completed by 2030. The core network has been designed to connect the main urban areas of the EU with the different transport modes and to ensure multimodal connections to the most important ports. It includes about 67,000 km of railway lines, 50,000 km of roads and 15,700 km of inland waterways. Motorways of the Sea are the maritime dimension of the network. At this stage, about 8,500 km of railway lines, 1,600 km of roads and some major inland waterway projects remain to be newly constructed or substantially upgraded until 2030. The TEN-T network serves also as basis for the deployment of alternative fuel infrastructure and digital infrastructure.</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Along the existing part of the TEN-T, efforts are still needed to fully comply with the standards set out in the Regulation. However, significant progress has already been made. Along the nine core network corridors, for example: 89% of the rail infrastructure is electrified. 85 % of the inland waterways infrastructure meets the requirements of a minimum draught of 2.5 m and of a minimum height of 5.25 m under bridges. 89% of the TEN-T ports on the core network corridors are connected to the railway network.</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Projects of common interest, identified in accordance with the TEN-T Regulation, can be supported under the </w:t>
      </w:r>
      <w:r>
        <w:rPr>
          <w:noProof/>
        </w:rPr>
        <w:t>Connecting Europe Facility (CEF)</w:t>
      </w:r>
      <w:r>
        <w:rPr>
          <w:noProof/>
          <w:lang w:eastAsia="en-US"/>
        </w:rPr>
        <w:t>. The CEF Regulation</w:t>
      </w:r>
      <w:r>
        <w:rPr>
          <w:noProof/>
          <w:vertAlign w:val="superscript"/>
          <w:lang w:eastAsia="en-US"/>
        </w:rPr>
        <w:footnoteReference w:id="142"/>
      </w:r>
      <w:r>
        <w:rPr>
          <w:noProof/>
          <w:lang w:eastAsia="en-US"/>
        </w:rPr>
        <w:t>, adopted in 2013, allocated a seven-year budget (2014-2020) of EUR 23.3 billion for investment projects in the transport sector.</w:t>
      </w:r>
    </w:p>
    <w:p>
      <w:pPr>
        <w:pStyle w:val="LegalNumPar"/>
        <w:keepNext/>
        <w:numPr>
          <w:ilvl w:val="0"/>
          <w:numId w:val="89"/>
        </w:numPr>
        <w:pBdr>
          <w:top w:val="nil"/>
          <w:left w:val="nil"/>
          <w:bottom w:val="nil"/>
          <w:right w:val="nil"/>
          <w:between w:val="nil"/>
          <w:bar w:val="nil"/>
        </w:pBdr>
        <w:tabs>
          <w:tab w:val="left" w:pos="476"/>
        </w:tabs>
        <w:spacing w:after="200" w:line="240" w:lineRule="auto"/>
        <w:rPr>
          <w:i/>
          <w:noProof/>
        </w:rPr>
      </w:pPr>
      <w:r>
        <w:rPr>
          <w:noProof/>
          <w:lang w:eastAsia="en-US"/>
        </w:rPr>
        <w:t>Cohesion policy provides substantial support to develop a multi-modal, door-to-door European transport system which addresses the needs of commercial actors and citizens for long-distance, cross-border transport, as well as for regional and local mobility. In the period 2014-2020 around EUR 70 billion have been programmed to support transport investments from Cohesion Fund and ERDF. Around EUR 33.4 billion for TEN-T have been programmed and around EUR 36.6 billion for other national, regional and local infrastructure. This support is delivered through over 200 national, regional, and Interreg programmes, tailored to the particular situation in the Member States and regions (in line with relevant national and regional transport plans). During the period 2014-2019, CEF Transport has awarded EUR 23.3 billion in grants to co-finance projects of common interest, out of which EUR 11.3 billion was transferred from the Cohesion Fund. These funds are dedicated to completing the TEN-T Network, building cross-border links to better integrate national networks and to foster digitalisation and improved performance of the existing network.</w:t>
      </w:r>
    </w:p>
    <w:p>
      <w:pPr>
        <w:pStyle w:val="Heading2"/>
        <w:rPr>
          <w:noProof/>
        </w:rPr>
      </w:pPr>
      <w:bookmarkStart w:id="1358" w:name="_Toc50630961"/>
      <w:bookmarkStart w:id="1359" w:name="_Toc50633805"/>
      <w:bookmarkStart w:id="1360" w:name="_Toc50634047"/>
      <w:bookmarkStart w:id="1361" w:name="_Toc50646495"/>
      <w:bookmarkStart w:id="1362" w:name="_Toc50646630"/>
      <w:bookmarkStart w:id="1363" w:name="_Toc50649449"/>
      <w:bookmarkStart w:id="1364" w:name="_Toc50650756"/>
      <w:bookmarkStart w:id="1365" w:name="_Ref51572672"/>
      <w:bookmarkStart w:id="1366" w:name="_Toc51574790"/>
      <w:bookmarkStart w:id="1367" w:name="_Toc51575638"/>
      <w:bookmarkStart w:id="1368" w:name="_Toc51578025"/>
      <w:bookmarkStart w:id="1369" w:name="_Toc51578493"/>
      <w:bookmarkStart w:id="1370" w:name="_Toc51582909"/>
      <w:bookmarkStart w:id="1371" w:name="_Toc51583384"/>
      <w:bookmarkStart w:id="1372" w:name="_Toc51583474"/>
      <w:bookmarkStart w:id="1373" w:name="_Toc51583759"/>
      <w:bookmarkStart w:id="1374" w:name="_Toc51583949"/>
      <w:bookmarkStart w:id="1375" w:name="_Toc51583873"/>
      <w:bookmarkStart w:id="1376" w:name="_Toc51586191"/>
      <w:bookmarkStart w:id="1377" w:name="_Toc51593994"/>
      <w:bookmarkStart w:id="1378" w:name="_Toc51594320"/>
      <w:bookmarkStart w:id="1379" w:name="_Toc51595298"/>
      <w:bookmarkStart w:id="1380" w:name="_Toc51595548"/>
      <w:bookmarkStart w:id="1381" w:name="_Toc51595874"/>
      <w:bookmarkStart w:id="1382" w:name="_Toc51596037"/>
      <w:bookmarkStart w:id="1383" w:name="_Toc51596390"/>
      <w:bookmarkStart w:id="1384" w:name="_Toc52121524"/>
      <w:bookmarkStart w:id="1385" w:name="_Toc52122755"/>
      <w:bookmarkStart w:id="1386" w:name="_Toc52123872"/>
      <w:bookmarkStart w:id="1387" w:name="_Toc53405327"/>
      <w:bookmarkStart w:id="1388" w:name="_Toc53406117"/>
      <w:bookmarkStart w:id="1389" w:name="_Toc53407483"/>
      <w:bookmarkStart w:id="1390" w:name="_Toc53410930"/>
      <w:bookmarkStart w:id="1391" w:name="_Toc53411993"/>
      <w:bookmarkStart w:id="1392" w:name="_Toc53417240"/>
      <w:bookmarkStart w:id="1393" w:name="_Toc53417592"/>
      <w:bookmarkStart w:id="1394" w:name="_Toc53419827"/>
      <w:bookmarkStart w:id="1395" w:name="_Toc53434930"/>
      <w:bookmarkStart w:id="1396" w:name="_Toc53437070"/>
      <w:bookmarkStart w:id="1397" w:name="_Toc57291477"/>
      <w:bookmarkStart w:id="1398" w:name="_Toc42703561"/>
      <w:bookmarkStart w:id="1399" w:name="_Toc42783883"/>
      <w:bookmarkStart w:id="1400" w:name="_Toc44674169"/>
      <w:bookmarkStart w:id="1401" w:name="_Toc45271997"/>
      <w:bookmarkStart w:id="1402" w:name="_Toc46312098"/>
      <w:bookmarkStart w:id="1403" w:name="_Toc50044804"/>
      <w:bookmarkStart w:id="1404" w:name="_Toc50048919"/>
      <w:bookmarkStart w:id="1405" w:name="_Toc50415252"/>
      <w:bookmarkStart w:id="1406" w:name="_Toc50416534"/>
      <w:bookmarkStart w:id="1407" w:name="_Toc50417666"/>
      <w:bookmarkStart w:id="1408" w:name="_Toc50418309"/>
      <w:bookmarkStart w:id="1409" w:name="_Toc50459889"/>
      <w:bookmarkStart w:id="1410" w:name="_Toc50466096"/>
      <w:bookmarkStart w:id="1411" w:name="_Toc50473657"/>
      <w:bookmarkStart w:id="1412" w:name="_Toc50474708"/>
      <w:bookmarkStart w:id="1413" w:name="_Toc50565058"/>
      <w:bookmarkStart w:id="1414" w:name="_Toc50568666"/>
      <w:bookmarkStart w:id="1415" w:name="_Toc50629405"/>
      <w:bookmarkStart w:id="1416" w:name="_Toc50630237"/>
      <w:r>
        <w:rPr>
          <w:noProof/>
        </w:rPr>
        <w:t>Safety &amp; security</w:t>
      </w:r>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pPr>
        <w:rPr>
          <w:i/>
          <w:noProof/>
          <w:sz w:val="24"/>
          <w:szCs w:val="24"/>
          <w:lang w:eastAsia="en-US"/>
        </w:rPr>
      </w:pPr>
      <w:r>
        <w:rPr>
          <w:i/>
          <w:iCs/>
          <w:noProof/>
          <w:sz w:val="24"/>
          <w:szCs w:val="24"/>
          <w:lang w:eastAsia="en-US"/>
        </w:rPr>
        <w:t>Safety</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For </w:t>
      </w:r>
      <w:r>
        <w:rPr>
          <w:b/>
          <w:bCs/>
          <w:noProof/>
          <w:lang w:eastAsia="en-US"/>
        </w:rPr>
        <w:t xml:space="preserve">road safety, </w:t>
      </w:r>
      <w:r>
        <w:rPr>
          <w:noProof/>
          <w:lang w:eastAsia="en-US"/>
        </w:rPr>
        <w:t>the Commission adopted in 2010 Road Safety Policy Orientations</w:t>
      </w:r>
      <w:r>
        <w:rPr>
          <w:rStyle w:val="FootnoteReference"/>
          <w:noProof/>
          <w:lang w:eastAsia="en-US"/>
        </w:rPr>
        <w:footnoteReference w:id="143"/>
      </w:r>
      <w:r>
        <w:rPr>
          <w:noProof/>
          <w:lang w:eastAsia="en-US"/>
        </w:rPr>
        <w:t xml:space="preserve"> that set a target of halving the number of road fatalities by 50% by 2020 and that included a mix of initiatives, focusing on improving vehicle safety, the safety of infrastructure and road users' behaviour. Faced with stagnation in the reduction of EU-wide fatality figures in the second half of the last decade, the Commission received a strong mandate for a new road safety programme from the EU Transport Ministers in the “Valletta Declaration” of 2017</w:t>
      </w:r>
      <w:r>
        <w:rPr>
          <w:rStyle w:val="FootnoteReference"/>
          <w:noProof/>
          <w:lang w:eastAsia="en-US"/>
        </w:rPr>
        <w:footnoteReference w:id="144"/>
      </w:r>
      <w:r>
        <w:rPr>
          <w:noProof/>
          <w:lang w:eastAsia="en-US"/>
        </w:rPr>
        <w:t>. The Commission in 2018 adopted the Road Safety Policy Framework 2021-2030 as part of the Third Mobility Package, along with a Strategic Action Plan on Road Safety, which set a new target for 2021-30 to reduce deaths and – for the first time – serious injuries by 50%. It also set out how the Safe System could be implemented at EU level – i.e., focusing holistically on the different elements, such as vehicle safety, infrastructure, road user behaviour such as speed, governance aspects and post-crash care, with Key Performance Indicators to benchmark progress.</w:t>
      </w:r>
      <w:r>
        <w:rPr>
          <w:rStyle w:val="FootnoteReference"/>
          <w:noProof/>
          <w:lang w:eastAsia="en-US"/>
        </w:rPr>
        <w:footnoteReference w:id="145"/>
      </w:r>
      <w:r>
        <w:rPr>
          <w:noProof/>
          <w:lang w:eastAsia="en-US"/>
        </w:rPr>
        <w:t xml:space="preserve">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In terms of vehicle safety, safety technologies and type-approval requirements have been significantly upgraded for all vehicle categories in recent years. Lane departure warning and advanced emergency braking for lorries were required as from 2015 in the General Safety Regulation</w:t>
      </w:r>
      <w:r>
        <w:rPr>
          <w:rStyle w:val="FootnoteReference"/>
          <w:noProof/>
          <w:lang w:eastAsia="en-US"/>
        </w:rPr>
        <w:footnoteReference w:id="146"/>
      </w:r>
      <w:r>
        <w:rPr>
          <w:noProof/>
          <w:lang w:eastAsia="en-US"/>
        </w:rPr>
        <w:t xml:space="preserve"> and anti-lock braking systems are mandatory for motorcycles in the EU since 2016</w:t>
      </w:r>
      <w:r>
        <w:rPr>
          <w:rStyle w:val="FootnoteReference"/>
          <w:noProof/>
          <w:lang w:eastAsia="en-US"/>
        </w:rPr>
        <w:footnoteReference w:id="147"/>
      </w:r>
      <w:r>
        <w:rPr>
          <w:noProof/>
          <w:lang w:eastAsia="en-US"/>
        </w:rPr>
        <w:t>, eCall for emergencies in cars and vans is required for new models since 2018</w:t>
      </w:r>
      <w:r>
        <w:rPr>
          <w:rStyle w:val="FootnoteReference"/>
          <w:noProof/>
          <w:lang w:eastAsia="en-US"/>
        </w:rPr>
        <w:footnoteReference w:id="148"/>
      </w:r>
      <w:r>
        <w:rPr>
          <w:noProof/>
          <w:lang w:eastAsia="en-US"/>
        </w:rPr>
        <w:t>. In 2019, the General Safety Regulation was reviewed again</w:t>
      </w:r>
      <w:r>
        <w:rPr>
          <w:rStyle w:val="FootnoteReference"/>
          <w:noProof/>
          <w:lang w:eastAsia="en-US"/>
        </w:rPr>
        <w:footnoteReference w:id="149"/>
      </w:r>
      <w:r>
        <w:rPr>
          <w:noProof/>
          <w:lang w:eastAsia="en-US"/>
        </w:rPr>
        <w:t xml:space="preserve">, requiring cars, lorries and buses to be fitted with a range of important new safety technologies such as Intelligent Speed Assistance, Lane Keeping Assistance and Automated Emergency Braking. A number of the most significant new safety systems will be mandatory from 2022 in new models and by 2024 for all new cars.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The Directive on Road Infrastructure Safety Management was also upgraded in 2019</w:t>
      </w:r>
      <w:r>
        <w:rPr>
          <w:rStyle w:val="FootnoteReference"/>
          <w:noProof/>
          <w:lang w:eastAsia="en-US"/>
        </w:rPr>
        <w:footnoteReference w:id="150"/>
      </w:r>
      <w:r>
        <w:rPr>
          <w:noProof/>
          <w:lang w:eastAsia="en-US"/>
        </w:rPr>
        <w:t xml:space="preserve">. The Directive, which prescribes safety assessments at all stages of the lifecycle of a road (design, construction, operation), now applies not only to TEN-T roads, but also to all motorways as well as primary roads. The upgrade also introduced a network-wide pro-active risk assessment and the obligation to take the needs of vulnerable road users into account systematically in all safety assessments.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In addition, the legal framework for the training of professional drivers was upgraded in 2018</w:t>
      </w:r>
      <w:r>
        <w:rPr>
          <w:rStyle w:val="FootnoteReference"/>
          <w:noProof/>
          <w:lang w:eastAsia="en-US"/>
        </w:rPr>
        <w:footnoteReference w:id="151"/>
      </w:r>
      <w:r>
        <w:rPr>
          <w:noProof/>
          <w:lang w:eastAsia="en-US"/>
        </w:rPr>
        <w:t>, a package of measures on roadworthiness testing was adopted in 2014</w:t>
      </w:r>
      <w:r>
        <w:rPr>
          <w:rStyle w:val="FootnoteReference"/>
          <w:noProof/>
          <w:lang w:eastAsia="en-US"/>
        </w:rPr>
        <w:footnoteReference w:id="152"/>
      </w:r>
      <w:r>
        <w:rPr>
          <w:noProof/>
          <w:lang w:eastAsia="en-US"/>
        </w:rPr>
        <w:t xml:space="preserve"> and rules on the cross-border pursuit of road traffic offences were introduced in 2011 (re-published in 2015)</w:t>
      </w:r>
      <w:r>
        <w:rPr>
          <w:rStyle w:val="FootnoteReference"/>
          <w:noProof/>
          <w:lang w:eastAsia="en-US"/>
        </w:rPr>
        <w:footnoteReference w:id="153"/>
      </w:r>
      <w:r>
        <w:rPr>
          <w:noProof/>
          <w:lang w:eastAsia="en-US"/>
        </w:rPr>
        <w: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b/>
          <w:bCs/>
          <w:noProof/>
          <w:lang w:eastAsia="en-US"/>
        </w:rPr>
        <w:t>Aviation safety</w:t>
      </w:r>
      <w:r>
        <w:rPr>
          <w:noProof/>
          <w:lang w:eastAsia="en-US"/>
        </w:rPr>
        <w:t xml:space="preserve"> has been a great success story, not least because fatal accidents for commercial air transport involving EU operators have fallen to zero since 2016</w:t>
      </w:r>
      <w:r>
        <w:rPr>
          <w:rStyle w:val="FootnoteReference"/>
          <w:noProof/>
          <w:lang w:eastAsia="en-US"/>
        </w:rPr>
        <w:footnoteReference w:id="154"/>
      </w:r>
      <w:r>
        <w:rPr>
          <w:noProof/>
          <w:lang w:eastAsia="en-US"/>
        </w:rPr>
        <w:t>. Work in this area is influenced by the inherently international nature of the aviation industry and most standards adopted at global level are implemented into EU aviation safety legal framework. International cooperation is thus essential to ensure aviation safety and development of globally agreed standards. The EU is actively engaged in strengthening aviation safety at the international level, notably through its work with the International Civil Aviation Organization (ICAO).</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The European aviation safety system is based on a comprehensive set of common safety rules, which are overseen by the European Commission, the European Union Aviation Safety Agency (EASA) and the National Aviation Authorities. </w:t>
      </w:r>
      <w:r>
        <w:rPr>
          <w:noProof/>
          <w:lang w:eastAsia="en-US"/>
        </w:rPr>
        <w:t>In the context of the 2015 Aviation Strategy, a new Aviation Safety Regulation</w:t>
      </w:r>
      <w:r>
        <w:rPr>
          <w:rStyle w:val="FootnoteReference"/>
          <w:noProof/>
          <w:lang w:eastAsia="en-US"/>
        </w:rPr>
        <w:footnoteReference w:id="155"/>
      </w:r>
      <w:r>
        <w:rPr>
          <w:noProof/>
          <w:lang w:eastAsia="en-US"/>
        </w:rPr>
        <w:t xml:space="preserve"> replacing Regulation 216/2008, has been elaborated and adopted. The aim is to prepare the EU aviation safety system for the challenges of the future, including a new era of innovation and digital technologies. It consists of a shift towards a risk and performance-based approach, measures to increase efficiency of the system and promotion of cooperative safety management between the EU and its Member States. Furthermore, the 2015 Aviation Strategy recommended the adoption of a basic legal framework for the safe development of drone operations in the EU, as part of the new Aviation Safety Regulation. The new Aviation Safety Regulation extended the EU safety rules to </w:t>
      </w:r>
      <w:r>
        <w:rPr>
          <w:noProof/>
        </w:rPr>
        <w:t>all drones</w:t>
      </w:r>
      <w:r>
        <w:rPr>
          <w:noProof/>
          <w:lang w:eastAsia="en-US"/>
        </w:rPr>
        <w:t xml:space="preserve"> and the recently adopted Implementing Rules</w:t>
      </w:r>
      <w:r>
        <w:rPr>
          <w:rStyle w:val="FootnoteReference"/>
          <w:noProof/>
          <w:lang w:eastAsia="en-US"/>
        </w:rPr>
        <w:footnoteReference w:id="156"/>
      </w:r>
      <w:r>
        <w:rPr>
          <w:noProof/>
          <w:lang w:eastAsia="en-US"/>
        </w:rPr>
        <w:t xml:space="preserve"> covering drone technical requirements and drone operations should help opening the EU drone services and foster the development of the manufacturing market.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As part of the 2015 Aviation Strategy, the Commission also presented a revised European Aviation Safety Programme, laying out, through an integrated set of regulations, processes and activities at Union level how aviation safety is managed in the EU, and thus providing Member States a reference for the elaboration of their own State Safety Programmes in the context of the ICAO.</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set of common safety rules is complemented with legislation on accident investigation and on the reporting, analysis and follow-up of occurrences in civil aviation which have been revised respectively in 2010</w:t>
      </w:r>
      <w:r>
        <w:rPr>
          <w:rStyle w:val="FootnoteReference"/>
          <w:noProof/>
        </w:rPr>
        <w:footnoteReference w:id="157"/>
      </w:r>
      <w:r>
        <w:rPr>
          <w:noProof/>
        </w:rPr>
        <w:t xml:space="preserve"> and 2014</w:t>
      </w:r>
      <w:r>
        <w:rPr>
          <w:rStyle w:val="FootnoteReference"/>
          <w:noProof/>
        </w:rPr>
        <w:footnoteReference w:id="158"/>
      </w:r>
      <w:r>
        <w:rPr>
          <w:noProof/>
        </w:rPr>
        <w:t xml:space="preserve">.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Finally, the EU has concluded over the past years bilateral aviation safety agreements with the United States of America, Canada, Brazil, China and Japan and the Commission is undertaking technical cooperation projects with third countries in the area of safety.</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The legislative framework for </w:t>
      </w:r>
      <w:r>
        <w:rPr>
          <w:b/>
          <w:bCs/>
          <w:noProof/>
          <w:lang w:eastAsia="en-US"/>
        </w:rPr>
        <w:t xml:space="preserve">maritime safety </w:t>
      </w:r>
      <w:r>
        <w:rPr>
          <w:noProof/>
          <w:lang w:eastAsia="en-US"/>
        </w:rPr>
        <w:t>was thoroughly assessed by way of the 2018 Maritime Transport Fitness Check. The maritime safety situation today is one characterised by a limited amount of accidents and very few fatalities. Whilst it remains hard to pinpoint ultimate safety outcomes to individual legislative acts, it was concluded that overall EU maritime legislation has contributed to decisively improve the safety situation at sea. The added value of EU intervention is shown both by the swift adoption of international safety rules, as well as the harmonised enforcement and implementation of such rules across the EU Member States and for ships under an EU Member State flag.</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The Directive (EU) 2016/1629 on technical standards for </w:t>
      </w:r>
      <w:r>
        <w:rPr>
          <w:b/>
          <w:bCs/>
          <w:noProof/>
          <w:lang w:eastAsia="en-US"/>
        </w:rPr>
        <w:t>inland navigation</w:t>
      </w:r>
      <w:r>
        <w:rPr>
          <w:noProof/>
          <w:lang w:eastAsia="en-US"/>
        </w:rPr>
        <w:t xml:space="preserve"> vessels was adopted by the European Parliament and the Council in October 2016. This Directive strengthens the Internal Market ensuring technical harmonisation throughout the Union's inland waterways while providing flexibility for taking into account the particular features of each inland waterway section in the EU and to ensure safety of inland navigation vessels.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b/>
          <w:bCs/>
          <w:noProof/>
          <w:lang w:eastAsia="en-US"/>
        </w:rPr>
        <w:t>Rail safety</w:t>
      </w:r>
      <w:r>
        <w:rPr>
          <w:noProof/>
          <w:lang w:eastAsia="en-US"/>
        </w:rPr>
        <w:t xml:space="preserve"> in the EU is assured via stringent safety requirements for the technical specifications of rail vehicles and infrastructure as well as safety management tools for rail operators and infrastructure providers set out in the Railway Safety and Railway Interoperability Directives (2016/798 and 2016/797). These rules also require the various elements of the Union rail system to be supervised by national safety authorities, while authorisations to place rail vehicles on the market and to operate as a railway operator are, in most of the cases, given by the European Union Agency for Railways (ERA). The level of safety on EU railways is by far the highest for surface mobility (0.1 fatality per billion passenger km), though it can vary between Member States.  The Commission and ERA work with Member States to maintain these high levels of safety and share best practice to increase safety levels where needed. Particular focus is put on the promotion of safety culture and will come through the roll-out of the new versions of the European railway signalling and train protection system.  ERTMS ensures trains cannot over speed or pass red signals.    </w:t>
      </w:r>
    </w:p>
    <w:p>
      <w:pPr>
        <w:pStyle w:val="LegalNumPar"/>
        <w:pBdr>
          <w:top w:val="nil"/>
          <w:left w:val="nil"/>
          <w:bottom w:val="nil"/>
          <w:right w:val="nil"/>
          <w:between w:val="nil"/>
          <w:bar w:val="nil"/>
        </w:pBdr>
        <w:tabs>
          <w:tab w:val="left" w:pos="476"/>
        </w:tabs>
        <w:spacing w:line="240" w:lineRule="auto"/>
        <w:rPr>
          <w:i/>
          <w:noProof/>
        </w:rPr>
      </w:pPr>
      <w:r>
        <w:rPr>
          <w:i/>
          <w:iCs/>
          <w:noProof/>
        </w:rPr>
        <w:t>Security</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There is currently no EU legislation addressing </w:t>
      </w:r>
      <w:r>
        <w:rPr>
          <w:b/>
          <w:bCs/>
          <w:noProof/>
          <w:lang w:eastAsia="en-US"/>
        </w:rPr>
        <w:t>land transport security</w:t>
      </w:r>
      <w:r>
        <w:rPr>
          <w:noProof/>
          <w:lang w:eastAsia="en-US"/>
        </w:rPr>
        <w:t xml:space="preserve"> (apart for dangerous goods where there is some overlap of safety and security requirements). Though theft of cargo from road and rail is estimated to cost some EUR 8</w:t>
      </w:r>
      <w:r>
        <w:rPr>
          <w:noProof/>
        </w:rPr>
        <w:t xml:space="preserve"> billion </w:t>
      </w:r>
      <w:r>
        <w:rPr>
          <w:noProof/>
          <w:lang w:eastAsia="en-US"/>
        </w:rPr>
        <w:t xml:space="preserve">per year, EU Transport Ministers, to date, have not called upon the Commission to bring forward any legislation for EU security requirements for either road or rail transport. The Commission has pursued efforts to implement an Action Plan to improve rail passenger security, notably via the establishment of the EU Rail Security Platform. The outcome of its work could potentially form the basis of a regulatory initiative. </w:t>
      </w:r>
    </w:p>
    <w:p>
      <w:pPr>
        <w:pStyle w:val="LegalNumPar"/>
        <w:numPr>
          <w:ilvl w:val="0"/>
          <w:numId w:val="89"/>
        </w:numPr>
        <w:spacing w:line="240" w:lineRule="auto"/>
        <w:rPr>
          <w:noProof/>
          <w:lang w:eastAsia="en-US"/>
        </w:rPr>
      </w:pPr>
      <w:r>
        <w:rPr>
          <w:noProof/>
        </w:rPr>
        <w:t>On road transport the Commission published a study in 2019 which concludes that 400 000 safe and secure parking places for lorries are lacking in the EU. Cargo crimes are more frequent than ever, and about 75% of these incidents are happening when lorries are parked in unsecure parking places. As a response to this critical situation, both for drivers and cargo owners, the Commission is promoting safe and secure parking areas and information provision about them, making available CEF-funding and has set up an expert group to implement common standards and certification procedures for safe and secure parking places.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Since 2002, the Commission has established common rules in the field of </w:t>
      </w:r>
      <w:r>
        <w:rPr>
          <w:b/>
          <w:bCs/>
          <w:noProof/>
          <w:lang w:eastAsia="en-US"/>
        </w:rPr>
        <w:t>civil aviation security</w:t>
      </w:r>
      <w:r>
        <w:rPr>
          <w:noProof/>
          <w:lang w:eastAsia="en-US"/>
        </w:rPr>
        <w:t xml:space="preserve"> aimed at protecting persons and goods from unlawful interference with civil aircraft.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Regulation (EC) 300/2008</w:t>
      </w:r>
      <w:r>
        <w:rPr>
          <w:rStyle w:val="FootnoteReference"/>
          <w:noProof/>
          <w:lang w:eastAsia="en-US"/>
        </w:rPr>
        <w:footnoteReference w:id="159"/>
      </w:r>
      <w:r>
        <w:rPr>
          <w:noProof/>
          <w:lang w:eastAsia="en-US"/>
        </w:rPr>
        <w:t xml:space="preserve"> lays down common rules and basic standards on aviation security and procedures to monitor the implementation of the common rules and standards. Since then, it has been supplemented through implementing legislation as regards, among other, liquids, aerosols and gels, the use of security scanners, the adoption of alternative security measures, controls of air cargo internally as well as internationally and the specifications of national quality control programmes. The Commission has powers to carry-out inspections to verify compliance with the EU legislation.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In the </w:t>
      </w:r>
      <w:r>
        <w:rPr>
          <w:b/>
          <w:bCs/>
          <w:noProof/>
        </w:rPr>
        <w:t>maritime security</w:t>
      </w:r>
      <w:r>
        <w:rPr>
          <w:noProof/>
        </w:rPr>
        <w:t xml:space="preserve"> domain, the Union benefits from a Regulation (EC) 725/2004</w:t>
      </w:r>
      <w:r>
        <w:rPr>
          <w:rStyle w:val="FootnoteReference"/>
          <w:noProof/>
        </w:rPr>
        <w:footnoteReference w:id="160"/>
      </w:r>
      <w:r>
        <w:rPr>
          <w:noProof/>
        </w:rPr>
        <w:t xml:space="preserve"> covering security measures on </w:t>
      </w:r>
      <w:r>
        <w:rPr>
          <w:noProof/>
          <w:lang w:eastAsia="en-US"/>
        </w:rPr>
        <w:t>board</w:t>
      </w:r>
      <w:r>
        <w:rPr>
          <w:noProof/>
        </w:rPr>
        <w:t xml:space="preserve"> ships and the immediate interface between ships and ports. Directive 2005/65/EC</w:t>
      </w:r>
      <w:r>
        <w:rPr>
          <w:rStyle w:val="FootnoteReference"/>
          <w:noProof/>
        </w:rPr>
        <w:footnoteReference w:id="161"/>
      </w:r>
      <w:r>
        <w:rPr>
          <w:noProof/>
        </w:rPr>
        <w:t xml:space="preserve"> addressing elements of port security not covered by the Regulation complemented it in 2005. The Commission was also given powers to conduct inspections.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Council in 2014 adopted a Maritime Security Strategy for the global maritime domain to coordinate national policies and give a European response to maritime threats and risks, cooperation within the EU and international bodies, such as the International Maritime Organisation is progressing only slowly.</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Various initiatives are on-going to tackle </w:t>
      </w:r>
      <w:r>
        <w:rPr>
          <w:b/>
          <w:bCs/>
          <w:noProof/>
        </w:rPr>
        <w:t>cyber security</w:t>
      </w:r>
      <w:r>
        <w:rPr>
          <w:noProof/>
        </w:rPr>
        <w:t xml:space="preserve"> and the EU established a dedicated agency – the EU Agency for Network and Information Security – for this purpose. The Directive on Security of Network and Information Systems (NIS Directive) constitutes a common baseline to enhance cyber-resilience, also in transport.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The legislator also adopted Regulation (EU) 2144/2019</w:t>
      </w:r>
      <w:r>
        <w:rPr>
          <w:rStyle w:val="FootnoteReference"/>
          <w:noProof/>
          <w:lang w:eastAsia="en-US"/>
        </w:rPr>
        <w:footnoteReference w:id="162"/>
      </w:r>
      <w:r>
        <w:rPr>
          <w:noProof/>
          <w:lang w:eastAsia="en-US"/>
        </w:rPr>
        <w:t xml:space="preserve"> which provides for the Commission to adopt type approval rules on cars regarding their protection about cyberattacks. These implementing rules are under development and are intended to be applicable from July 2022.</w:t>
      </w:r>
    </w:p>
    <w:p>
      <w:pPr>
        <w:pStyle w:val="Heading2"/>
        <w:rPr>
          <w:noProof/>
        </w:rPr>
      </w:pPr>
      <w:bookmarkStart w:id="1417" w:name="_Toc50630962"/>
      <w:bookmarkStart w:id="1418" w:name="_Toc50633806"/>
      <w:bookmarkStart w:id="1419" w:name="_Toc50634048"/>
      <w:bookmarkStart w:id="1420" w:name="_Toc50646496"/>
      <w:bookmarkStart w:id="1421" w:name="_Toc50646631"/>
      <w:bookmarkStart w:id="1422" w:name="_Toc50649450"/>
      <w:bookmarkStart w:id="1423" w:name="_Toc50650757"/>
      <w:bookmarkStart w:id="1424" w:name="_Toc51574791"/>
      <w:bookmarkStart w:id="1425" w:name="_Toc51575639"/>
      <w:bookmarkStart w:id="1426" w:name="_Toc51578026"/>
      <w:bookmarkStart w:id="1427" w:name="_Toc51578494"/>
      <w:bookmarkStart w:id="1428" w:name="_Toc51582910"/>
      <w:bookmarkStart w:id="1429" w:name="_Toc51583385"/>
      <w:bookmarkStart w:id="1430" w:name="_Toc51583475"/>
      <w:bookmarkStart w:id="1431" w:name="_Toc51583760"/>
      <w:bookmarkStart w:id="1432" w:name="_Toc51583950"/>
      <w:bookmarkStart w:id="1433" w:name="_Toc51583874"/>
      <w:bookmarkStart w:id="1434" w:name="_Toc51586192"/>
      <w:bookmarkStart w:id="1435" w:name="_Toc51593995"/>
      <w:bookmarkStart w:id="1436" w:name="_Toc51594321"/>
      <w:bookmarkStart w:id="1437" w:name="_Toc51595299"/>
      <w:bookmarkStart w:id="1438" w:name="_Toc51595549"/>
      <w:bookmarkStart w:id="1439" w:name="_Toc51595875"/>
      <w:bookmarkStart w:id="1440" w:name="_Toc51596038"/>
      <w:bookmarkStart w:id="1441" w:name="_Toc51596391"/>
      <w:bookmarkStart w:id="1442" w:name="_Toc52121525"/>
      <w:bookmarkStart w:id="1443" w:name="_Toc52122756"/>
      <w:bookmarkStart w:id="1444" w:name="_Toc52123873"/>
      <w:bookmarkStart w:id="1445" w:name="_Toc53405328"/>
      <w:bookmarkStart w:id="1446" w:name="_Toc53406118"/>
      <w:bookmarkStart w:id="1447" w:name="_Toc53407484"/>
      <w:bookmarkStart w:id="1448" w:name="_Toc53410931"/>
      <w:bookmarkStart w:id="1449" w:name="_Toc53411994"/>
      <w:bookmarkStart w:id="1450" w:name="_Toc53417241"/>
      <w:bookmarkStart w:id="1451" w:name="_Toc53417593"/>
      <w:bookmarkStart w:id="1452" w:name="_Toc53419828"/>
      <w:bookmarkStart w:id="1453" w:name="_Toc53434931"/>
      <w:bookmarkStart w:id="1454" w:name="_Toc53437071"/>
      <w:bookmarkStart w:id="1455" w:name="_Toc57291478"/>
      <w:r>
        <w:rPr>
          <w:noProof/>
        </w:rPr>
        <w:t>Social issues</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In 2018, the transport and storage services sector (including postal and courier activities) in the EU-27 employed around 10.3 million persons</w:t>
      </w:r>
      <w:r>
        <w:rPr>
          <w:rStyle w:val="FootnoteReference"/>
          <w:noProof/>
        </w:rPr>
        <w:footnoteReference w:id="163"/>
      </w:r>
      <w:r>
        <w:rPr>
          <w:noProof/>
        </w:rPr>
        <w:t>, some 5.3 % of the total workforce</w:t>
      </w:r>
      <w:r>
        <w:rPr>
          <w:rStyle w:val="FootnoteReference"/>
          <w:noProof/>
        </w:rPr>
        <w:footnoteReference w:id="164"/>
      </w:r>
      <w:r>
        <w:rPr>
          <w:noProof/>
        </w:rPr>
        <w:t>. Around 52% of them worked in land transport (road, rail and pipelines), 3 % in water transport (sea and inland waterways), 4 % in air transport and 27 % in warehousing and supporting and transport activities (such as cargo handling, storage and warehousing) and the remaining 14 % in postal and courier activities.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A third of transport workers are above 50 years old</w:t>
      </w:r>
      <w:r>
        <w:rPr>
          <w:rStyle w:val="FootnoteReference"/>
          <w:noProof/>
        </w:rPr>
        <w:footnoteReference w:id="165"/>
      </w:r>
      <w:r>
        <w:rPr>
          <w:noProof/>
        </w:rPr>
        <w:t>. Only 22% of transport workers are women (most of which work in administrative positions). Less than 5% work as pilots, seafarers and truck or train drivers. While the labour markets per transport mode may be separate, they may nevertheless have similar characteristics</w:t>
      </w:r>
      <w:r>
        <w:rPr>
          <w:rStyle w:val="FootnoteReference"/>
          <w:noProof/>
        </w:rPr>
        <w:footnoteReference w:id="166"/>
      </w:r>
      <w:r>
        <w:rPr>
          <w:noProof/>
        </w:rPr>
        <w:t>: male-dominated, ageing, in need of highly mobile skilled workers, labour shortages, fatigue and stress, work-life balance, skills mismatch, global competition, law application and enforcement.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A well-functioning Single Market needs to be based on fair working conditions ensuring a level playing field. Every EU worker has certain minimum rights relating to health and safety at work, equal opportunities for women and men, protection against discrimination, labour law. The EU Member States must make sure that their national laws protect these rights, in particular those laid down by EU law.</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Many transport companies operate across borders. As outlined in the recent Commission Communication on ‘A strong social Europe for just transitions</w:t>
      </w:r>
      <w:r>
        <w:rPr>
          <w:rStyle w:val="FootnoteReference"/>
          <w:noProof/>
        </w:rPr>
        <w:footnoteReference w:id="167"/>
      </w:r>
      <w:r>
        <w:rPr>
          <w:noProof/>
        </w:rPr>
        <w:t>, EU rules need to be fit for purpose to guarantee that this happens in a fair and transparent way and ensure fair competition among businesses, protect workers’ rights, and avoid double contributions and social dumping. To this end in the EU adopted the set of social rules in road transport, including sector-specific rules on posting of highly mobile road transport workers. The newly created European Labour Authority (ELA) will be a key tool to facilitate the application and enforcement of EU rules in this area, improving the functioning of the Single Market. It will provide to individuals and employers information on working or operating in another EU country, and support cooperation between national authorities, including on strengthening inspections, tackling undeclared work and fighting fraud.</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transport sector often suffer from a negative image in terms of working conditions, which may discourage in particular young people and women to look for transport jobs. In a sector that has been largely liberalised and where the mobility of workers is high, social protection and labour law rules remain primarily a responsibility of the Member States. This can lead to a different implementation and different levels of enforcement across the Member States. This brings challenges in particular a lack of clarity on applicable social rules for some workers and a low level of enforcement and the risk of unfair employment practices. Social dialogue and the involvement of workers is one of the principles of the European Pillar of Social Rights</w:t>
      </w:r>
      <w:r>
        <w:rPr>
          <w:noProof/>
          <w:vertAlign w:val="superscript"/>
        </w:rPr>
        <w:footnoteReference w:id="168"/>
      </w:r>
      <w:r>
        <w:rPr>
          <w:noProof/>
        </w:rPr>
        <w:t>. At European level, employers’ and workers’ organisations (the social partners) regularly meet within sectoral social dialogue committees</w:t>
      </w:r>
      <w:r>
        <w:rPr>
          <w:noProof/>
          <w:vertAlign w:val="superscript"/>
        </w:rPr>
        <w:footnoteReference w:id="169"/>
      </w:r>
      <w:r>
        <w:rPr>
          <w:noProof/>
        </w:rPr>
        <w:t xml:space="preserve"> established in the various segments of the transport sector: civil aviation, inland waterways, maritime transport, ports, railways, road transport, including urban public transport. The Commission supports these committees, which are intended as representative bodies for consultation, joint initiatives and negotiation and were established with due regard for the autonomy of the social partners. The Commission has regular exchanges with the European social partners in the transport sector.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color w:val="000000"/>
        </w:rPr>
        <w:t xml:space="preserve">There is a risk of skills mismatch for certain transport workers and the need to keep pace with changing skill requirements. </w:t>
      </w:r>
      <w:r>
        <w:rPr>
          <w:noProof/>
        </w:rPr>
        <w:t>Changes in skills requirements are most visible in sectors that are strongly influenced by the green transition, notably in transport. The “European Skills Agenda for sustainable competitiveness, social fairness and resilience” is the EU’s response to these challenges, in transport and in other sectors. A flagship action of the Skills Agenda is the “Pact for Skills”, which will bring together stakeholders, private and public, and will, among others, set up large-scale partnerships, including at regional level, in strategic industrial ecosystems and priority areas identified in the European Green Deal. These partnerships can build on the “Blueprint for sectoral cooperation on skills”</w:t>
      </w:r>
      <w:r>
        <w:rPr>
          <w:rStyle w:val="FootnoteReference"/>
          <w:noProof/>
        </w:rPr>
        <w:footnoteReference w:id="170"/>
      </w:r>
      <w:r>
        <w:rPr>
          <w:noProof/>
        </w:rPr>
        <w:t xml:space="preserve"> for gathering sectoral skills intelligence, mapping key occupation needs, defining occupational profiles and developing training programmes. Three Blueprint Alliances are relevant to sustainable transport: one for automotive</w:t>
      </w:r>
      <w:r>
        <w:rPr>
          <w:rStyle w:val="FootnoteReference"/>
          <w:noProof/>
        </w:rPr>
        <w:footnoteReference w:id="171"/>
      </w:r>
      <w:r>
        <w:rPr>
          <w:noProof/>
        </w:rPr>
        <w:t>, one for maritime shipping</w:t>
      </w:r>
      <w:r>
        <w:rPr>
          <w:rStyle w:val="FootnoteReference"/>
          <w:noProof/>
        </w:rPr>
        <w:footnoteReference w:id="172"/>
      </w:r>
      <w:r>
        <w:rPr>
          <w:noProof/>
        </w:rPr>
        <w:t xml:space="preserve"> and one for rail supply and transport industries. To be able to comply with EU accessibility legislation and provide better service for persons with disabilities and those with reduced mobility, training to enhance skills on these areas is needed.</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Another flagship action of the Skills Agenda is the Commission Proposal for a Council Recommendation on VET for sustainable competitiveness, social fairness and resilience</w:t>
      </w:r>
      <w:r>
        <w:rPr>
          <w:rStyle w:val="FootnoteReference"/>
          <w:noProof/>
        </w:rPr>
        <w:footnoteReference w:id="173"/>
      </w:r>
      <w:r>
        <w:rPr>
          <w:noProof/>
        </w:rPr>
        <w:t xml:space="preserve">. It proposes that by 2025, 8% of learners in vocational education and training benefit from a learning mobility abroad. Learning and working placements abroad teach young people not only job-specific technical but also soft skills, such as adaptability, resilience, intercultural or language skills - skills that are very sought after, and not only in the transport sector.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Digitalisation and automation are already affecting employment in certain sectors, including transport. The Commission is looking how to address associated social impacts, through cooperation with interested parties, including social partners, and by supporting research in the field. The 2017 Digital Transport Days addressed the social impact of digitalisation and automation and concluded that the social dimension should be at the heart of the transition (technical standards are not enough). A Commission conference in 2018 confirmed that stakeholders expect public authorities to be active in accompanying the transition. This was also addressed during the 2019 Digital Transport Days in a dedicated session on ‘Managing the transition towards digitalisation and automation – social aspects’. </w:t>
      </w:r>
    </w:p>
    <w:p>
      <w:pPr>
        <w:pStyle w:val="LegalNumPar"/>
        <w:pBdr>
          <w:top w:val="nil"/>
          <w:left w:val="nil"/>
          <w:bottom w:val="nil"/>
          <w:right w:val="nil"/>
          <w:between w:val="nil"/>
          <w:bar w:val="nil"/>
        </w:pBdr>
        <w:tabs>
          <w:tab w:val="left" w:pos="476"/>
        </w:tabs>
        <w:spacing w:line="240" w:lineRule="auto"/>
        <w:rPr>
          <w:i/>
          <w:noProof/>
        </w:rPr>
      </w:pPr>
      <w:r>
        <w:rPr>
          <w:i/>
          <w:iCs/>
          <w:noProof/>
        </w:rPr>
        <w:t>Women in transport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With the setting-up of the ‘Women in Transport – EU Platform for change’</w:t>
      </w:r>
      <w:r>
        <w:rPr>
          <w:rStyle w:val="FootnoteReference"/>
          <w:noProof/>
        </w:rPr>
        <w:footnoteReference w:id="174"/>
      </w:r>
      <w:r>
        <w:rPr>
          <w:noProof/>
        </w:rPr>
        <w:t xml:space="preserve"> in 2017, first steps were taken to address the sector’s gender gap and lack of attractiveness. Meanwhile, all important EU associations covering all transport modes, including social partners, have joined this action-oriented platform that aims at increasing the number of women employed in the sector by putting forward and exchanging good practices. Until now companies have brought 18 different actions to the platform. Another tool is the Declaration on equal opportunities for women and men in the transport sector. In 2019 the Commission published</w:t>
      </w:r>
      <w:r>
        <w:rPr>
          <w:rStyle w:val="FootnoteReference"/>
          <w:noProof/>
        </w:rPr>
        <w:footnoteReference w:id="175"/>
      </w:r>
      <w:r>
        <w:rPr>
          <w:noProof/>
        </w:rPr>
        <w:t xml:space="preserve"> a list of measures that companies can take to improve their gender balance (based on real case studies) and powerful messages on what a gender policy can bring about for companies. In rail for example, social partners are negotiating an agreement to promote the employment of women in the railway sector. </w:t>
      </w:r>
    </w:p>
    <w:p>
      <w:pPr>
        <w:pStyle w:val="LegalNumPar"/>
        <w:pBdr>
          <w:top w:val="nil"/>
          <w:left w:val="nil"/>
          <w:bottom w:val="nil"/>
          <w:right w:val="nil"/>
          <w:between w:val="nil"/>
          <w:bar w:val="nil"/>
        </w:pBdr>
        <w:tabs>
          <w:tab w:val="left" w:pos="476"/>
        </w:tabs>
        <w:spacing w:line="240" w:lineRule="auto"/>
        <w:rPr>
          <w:i/>
          <w:noProof/>
        </w:rPr>
      </w:pPr>
      <w:r>
        <w:rPr>
          <w:i/>
          <w:iCs/>
          <w:noProof/>
        </w:rPr>
        <w:t>Persons with disabilities</w:t>
      </w:r>
      <w:r>
        <w:rPr>
          <w:rStyle w:val="FootnoteReference"/>
          <w:i/>
          <w:iCs/>
          <w:noProof/>
        </w:rPr>
        <w:footnoteReference w:id="176"/>
      </w:r>
      <w:r>
        <w:rPr>
          <w:i/>
          <w:iCs/>
          <w:noProof/>
        </w:rPr>
        <w:t xml:space="preserve"> and reduced mobility</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The EU and all Member States are parties to the UN Convention on the Rights of Persons with Disabilities. According to the Convention, States parties shall take appropriate measures to ensure access to persons with disabilities, on an equal basis with others to transportation. These measures include the identification and elimination of obstacles and barriers to accessibility </w:t>
      </w:r>
      <w:r>
        <w:rPr>
          <w:i/>
          <w:noProof/>
        </w:rPr>
        <w:t>inter alia</w:t>
      </w:r>
      <w:r>
        <w:rPr>
          <w:noProof/>
        </w:rPr>
        <w:t xml:space="preserve"> in buildings, road and transportation. Appropriate measures to be adopted also concern services open or provided to the public. Moreover States parties are to take appropriate measures inter alia to develop, promulgate and monitor the implementation of minimum standards and guidelines for the accessibility, to ensure that private entities offering facilities and services which are open or provided to the public take into account all aspects of accessibility for persons with disabilities, to provide training for stakeholders and forms of live assistance and  intermediaries and to promote other appropriate forms of assistance and support to persons with disabilities to ensure their access to information. State Parties shall take effective measures to ensure personal mobility with the greatest possible independence for persons with disabilities, including by facilitating the personal mobility of persons with disabilities in the manner and at the time of their choice, and at affordable cost.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Attention is being paid to accessibility of transport for persons with disabilities in the European Accessibility Act</w:t>
      </w:r>
      <w:r>
        <w:rPr>
          <w:rStyle w:val="FootnoteReference"/>
          <w:noProof/>
        </w:rPr>
        <w:footnoteReference w:id="177"/>
      </w:r>
      <w:r>
        <w:rPr>
          <w:noProof/>
        </w:rPr>
        <w:t>, complementing existing passenger rights legislation. Accessibility is a key component of social sustainability contributing to usability and durability. The Technical Specifications for the accessibility of the railway system for persons with reduced mobility (PRM TSI) have been amended in 2019, to ensure inventories of assets, including a website providing practical information about the accessibility of railway stations.</w:t>
      </w:r>
    </w:p>
    <w:p>
      <w:pPr>
        <w:rPr>
          <w:i/>
          <w:noProof/>
          <w:sz w:val="24"/>
          <w:szCs w:val="24"/>
        </w:rPr>
      </w:pPr>
      <w:r>
        <w:rPr>
          <w:i/>
          <w:iCs/>
          <w:noProof/>
          <w:sz w:val="24"/>
          <w:szCs w:val="24"/>
        </w:rPr>
        <w:t>Road transport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The revision of the road transport social legislation adopted under the first Mobility Package provides urgent solutions to the current social and employment challenges in the sector. These include: revised rules on driving and rest times – to improve </w:t>
      </w:r>
      <w:r>
        <w:rPr>
          <w:noProof/>
          <w:lang w:eastAsia="en-US"/>
        </w:rPr>
        <w:t>working</w:t>
      </w:r>
      <w:r>
        <w:rPr>
          <w:noProof/>
        </w:rPr>
        <w:t xml:space="preserve"> conditions by giving more flexibility for drivers to organise their activities and by obliging employers to ensure adequate accommodation for drivers and enable them to return home at regular intervals; revised enforcement requirements, in particular for the rules on the tachograph which controls the driving and rest time of drivers - to improve the efficiency and consistency of enforcement practices; and the sector specific rules on the posting of drivers - to adapt the application of posting rules to the highly mobile nature of the road transport workforce and ensure more uniform and lighter administrative and control measures. </w:t>
      </w:r>
    </w:p>
    <w:p>
      <w:pPr>
        <w:rPr>
          <w:i/>
          <w:noProof/>
          <w:sz w:val="24"/>
          <w:szCs w:val="24"/>
        </w:rPr>
      </w:pPr>
      <w:r>
        <w:rPr>
          <w:i/>
          <w:iCs/>
          <w:noProof/>
          <w:sz w:val="24"/>
          <w:szCs w:val="24"/>
        </w:rPr>
        <w:t>Rail transport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Commission is engaged in dialogue with stakeholders to promote young people and especially young women, who can help replace an ageing workforce. With a budget of EUR 4 million, “Rail supply and transport industries” (including both manufacturers of trains and train equipment and provision of services) is one of the sectors included in the fourth wave of the Blueprint initiative, starting in 2021</w:t>
      </w:r>
      <w:r>
        <w:rPr>
          <w:rStyle w:val="FootnoteReference"/>
          <w:noProof/>
        </w:rPr>
        <w:footnoteReference w:id="178"/>
      </w:r>
      <w:r>
        <w:rPr>
          <w:noProof/>
        </w:rPr>
        <w:t xml:space="preserve">.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Language requirements for train drivers were revised in 2016, to allow the exemption from the B1 level language requirement for train drivers if they only reach the border station of a neighbouring Member State, while ensuring that safety is not be negatively impacted. The sector is currently exploring options such as rail-specific communication terminology, or a lower general language level combined with alternative, electronic means to support effective communication without the stringent language requirements. The European legal framework for train driver licensing and training has been evaluated in 2019, modernisation to meet digital challenges and for creating a level playing field for new rail service operators seems necessary.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Commission has been supporting the sectoral social dialogue committee on railways, which promotes the dialogue between the social partners in the sectors at European level. The committee has put the social impact of automation/digitalisation on its work programme, and carries out activities to anticipate and manage change. The Shift2Rail Joint Undertaking has contracted a study to identify what skills will be most important in the future for different categories of railway staff.</w:t>
      </w:r>
    </w:p>
    <w:p>
      <w:pPr>
        <w:rPr>
          <w:i/>
          <w:noProof/>
          <w:sz w:val="24"/>
          <w:szCs w:val="24"/>
        </w:rPr>
      </w:pPr>
      <w:r>
        <w:rPr>
          <w:i/>
          <w:iCs/>
          <w:noProof/>
          <w:sz w:val="24"/>
          <w:szCs w:val="24"/>
        </w:rPr>
        <w:t>Aviation</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Maintaining and promoting high social standards was highlighted as a priority in the 2015 Aviation Strategy for Europe ensuring worker protection and a level playing field for airlines. The work done so far in this context lays the ground for any further action necessary to: improve </w:t>
      </w:r>
      <w:r>
        <w:rPr>
          <w:noProof/>
          <w:lang w:eastAsia="en-US"/>
        </w:rPr>
        <w:t>legal</w:t>
      </w:r>
      <w:r>
        <w:rPr>
          <w:noProof/>
        </w:rPr>
        <w:t xml:space="preserve"> certainty for mobile aircrew and airlines; support better enforcement of applicable social and employment law acquis for aircrew; develop and enhance competency-based training; pursue efforts to address social issues in aviation at the international level, including ICAO and the ILO, as well as including relevant provisions in comprehensive air transport agreements with partners worldwide; to establish, in coordination with stakeholders, a human dimension roadmap to accompany the digital transformation in air traffic management.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Since the 2000s the EU has also sought to include ambitious social and labour clauses in its aviation agreements with third countries. In some cases, the EU has secured the application of the EU social acquis of relevance to aviation, in particular among those neighbourhood countries with which aviation agreements are in force.</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To support better enforcement of applicable social and employment law acquis for aircrew, a practice guide was published in 2016 on applicable labour law and competent courts, </w:t>
      </w:r>
      <w:r>
        <w:rPr>
          <w:noProof/>
          <w:color w:val="000000" w:themeColor="text1"/>
        </w:rPr>
        <w:t>which is also relevant for the transport sector</w:t>
      </w:r>
      <w:r>
        <w:rPr>
          <w:noProof/>
        </w:rPr>
        <w: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In the context of the evaluation of the Air Services Regulation, the Commission services assessed possible unintended social impacts of the legislation, notably on working conditions of aircrews.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In March 2019, the Commission published a Report focusing on aircrew which took stock of progress on the social agenda in aviation,</w:t>
      </w:r>
      <w:r>
        <w:rPr>
          <w:noProof/>
          <w:color w:val="000000"/>
        </w:rPr>
        <w:t xml:space="preserve"> also drawing on the findings of a s</w:t>
      </w:r>
      <w:r>
        <w:rPr>
          <w:noProof/>
        </w:rPr>
        <w:t>tudy on aircrew’s employment and working conditions in today's EU aviation market. It outlined concrete actions for a stronger social agenda to be implemented in the short term. It concluded that better enforcement is key to improve the situation for aircrew. The Commission renewed its commitment to support Member States in this. An expert group with Member State experts both from the aviation and employment side of the administration was set up. The conclusions of the expert group will be taken into account when assessing possible options for future action at EU level. In February 2020, the European Platform Tackling Undeclared Work which promotes collaboration between competent authorities organised a seminar to tackle undeclared work in the air transport sector, with a special focus on bogus self-employment of aircrews</w:t>
      </w:r>
      <w:r>
        <w:rPr>
          <w:rStyle w:val="FootnoteReference"/>
          <w:noProof/>
        </w:rPr>
        <w:footnoteReference w:id="179"/>
      </w:r>
      <w:r>
        <w:rPr>
          <w:noProof/>
        </w:rPr>
        <w: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As regards ATM, in June 2017, the Commission adopted a Communication on Aviation: Open and Connected Europe accompanied by a Staff Working Document on practises favouring service continuity. An expert group with representatives of the ATM industry and social partners was set up to assess the impact of the Single European Sky in 2019 on staff working practices. A study was launched on the working conditions in the air traffic management sector, the issues air traffic controllers are facing and how things will evolve in the next 15 years or more. </w:t>
      </w:r>
    </w:p>
    <w:p>
      <w:pPr>
        <w:pStyle w:val="LegalNumPar"/>
        <w:numPr>
          <w:ilvl w:val="0"/>
          <w:numId w:val="89"/>
        </w:numPr>
        <w:pBdr>
          <w:top w:val="nil"/>
          <w:left w:val="nil"/>
          <w:bottom w:val="nil"/>
          <w:right w:val="nil"/>
          <w:between w:val="nil"/>
          <w:bar w:val="nil"/>
        </w:pBdr>
        <w:tabs>
          <w:tab w:val="left" w:pos="476"/>
        </w:tabs>
        <w:spacing w:line="240" w:lineRule="auto"/>
        <w:rPr>
          <w:noProof/>
          <w:lang w:val="en-US" w:eastAsia="en-US"/>
        </w:rPr>
      </w:pPr>
      <w:r>
        <w:rPr>
          <w:noProof/>
          <w:lang w:eastAsia="en-US"/>
        </w:rPr>
        <w:t xml:space="preserve">The European associations collectively representing the entire European aviation recognised in their report the importance of </w:t>
      </w:r>
      <w:r>
        <w:rPr>
          <w:noProof/>
          <w:lang w:val="en-US" w:eastAsia="en-US"/>
        </w:rPr>
        <w:t xml:space="preserve">the social dimension </w:t>
      </w:r>
      <w:r>
        <w:rPr>
          <w:noProof/>
          <w:lang w:eastAsia="en-US"/>
        </w:rPr>
        <w:t xml:space="preserve">in the EU Pact for Sustainable Aviation. </w:t>
      </w:r>
      <w:r>
        <w:rPr>
          <w:noProof/>
          <w:lang w:val="en-US" w:eastAsia="en-US"/>
        </w:rPr>
        <w:t>They called for ensuring that social and employment rights enshrined in European and national legislation are applied effectively for all workers and highlighted the particular importance of effective oversight and enforcement of the social acquis. Moreover they called on the industry to ensure secure and fair working conditions, and stressed the need to ensure that the social dialogue structures are used effectively.</w:t>
      </w:r>
      <w:r>
        <w:rPr>
          <w:noProof/>
          <w:vertAlign w:val="superscript"/>
          <w:lang w:eastAsia="en-US"/>
        </w:rPr>
        <w:footnoteReference w:id="180"/>
      </w:r>
      <w:r>
        <w:rPr>
          <w:noProof/>
          <w:lang w:val="en-US" w:eastAsia="en-US"/>
        </w:rPr>
        <w:t xml:space="preserve"> </w:t>
      </w:r>
    </w:p>
    <w:p>
      <w:pPr>
        <w:keepNext/>
        <w:rPr>
          <w:i/>
          <w:noProof/>
          <w:sz w:val="24"/>
          <w:szCs w:val="24"/>
        </w:rPr>
      </w:pPr>
      <w:r>
        <w:rPr>
          <w:i/>
          <w:iCs/>
          <w:noProof/>
          <w:sz w:val="24"/>
          <w:szCs w:val="24"/>
        </w:rPr>
        <w:t>Waterborne transport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Working and living conditions for seafarers are regulated mainly at international level through the Maritime Labour Convention of ILO (which entered into force in 2013), and are further implemented at EU level through various Directives</w:t>
      </w:r>
      <w:r>
        <w:rPr>
          <w:rStyle w:val="FootnoteReference"/>
          <w:noProof/>
        </w:rPr>
        <w:footnoteReference w:id="181"/>
      </w:r>
      <w:r>
        <w:rPr>
          <w:noProof/>
        </w:rPr>
        <w:t>.    Directive 2008/106</w:t>
      </w:r>
      <w:r>
        <w:rPr>
          <w:rStyle w:val="FootnoteReference"/>
          <w:noProof/>
        </w:rPr>
        <w:footnoteReference w:id="182"/>
      </w:r>
      <w:r>
        <w:rPr>
          <w:noProof/>
        </w:rPr>
        <w:t xml:space="preserve"> on the minimum level of training of seafarers, as amended, </w:t>
      </w:r>
      <w:r>
        <w:rPr>
          <w:noProof/>
          <w:lang w:eastAsia="en-US"/>
        </w:rPr>
        <w:t>incorporates</w:t>
      </w:r>
      <w:r>
        <w:rPr>
          <w:noProof/>
        </w:rPr>
        <w:t xml:space="preserve"> into EU law the International Maritime Organisation’s Convention on Standards of Training, Certification and Watchkeeping (STCW) for Seafarers. The Directive applies to seafarers serving on board seagoing ships flying the flag of a Member State. Following a REFIT exercise, it was amended in 2019 in order to legally clarify the scope of seafarers’ certificates mutually recognized by EU Member States, and to raise the efficiency of the EU centralized mechanism to recognize third countries at EU level. Furthermore, Council Directive 1999/63/EC concerning the Agreement on the organisation of working time of seafarers sets out minimum standards for the working conditions of seafarers. In inland waterway transport, Directive 2014/112/EU was adopted to lay down more specific requirements relating to the organisation of the working time taking into account the specificities of this transport mode, in particular that certain categories of workers have not only their place of work but also their accommodation or living quarters on board the vessel</w:t>
      </w:r>
      <w:r>
        <w:rPr>
          <w:rStyle w:val="FootnoteReference"/>
          <w:noProof/>
        </w:rPr>
        <w:footnoteReference w:id="183"/>
      </w:r>
      <w:r>
        <w:rPr>
          <w:noProof/>
        </w:rPr>
        <w: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There are also a number of non-legislative initiatives and projects</w:t>
      </w:r>
      <w:r>
        <w:rPr>
          <w:rStyle w:val="FootnoteReference"/>
          <w:noProof/>
        </w:rPr>
        <w:footnoteReference w:id="184"/>
      </w:r>
      <w:r>
        <w:rPr>
          <w:noProof/>
        </w:rPr>
        <w:t xml:space="preserve"> to enhance the attractiveness of the seafarer profession and improve working and living conditions.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Directive (EU) 2017/2397, on the recognition of professional qualifications in inland navigation and repealing Council Directives 91/672/EEC and 96/50/EC, was adopted by the European Parliament and the Council. With this Directive, crew members can find work more easily in a cross-border environment as the EU certificates of qualification will be valid on all EU inland waterways. At the same time, the new rules will be built on a modern competence based system that will provide new career prospects and contribute to safety.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Within the sectoral social dialogue committee for inland waterways transport, social partners exchange views on issues relevant to the sector, such as the application of horizontal social legislation (e.g. working time and social security) in the IWT sector, as well as developments stemming from EU inland waterways legislation and policies, e.g. development of databases and digital tools for the implementation of legislation concerning professional qualifications.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rFonts w:eastAsiaTheme="minorEastAsia"/>
          <w:noProof/>
          <w:lang w:eastAsia="ja-JP"/>
        </w:rPr>
        <w:t>The EU sectoral social dialogue committee in the port sector provides the social partners with a framework to develop a joint approach to the social challenges related to port labour relations, including working conditions, health and safety questions, digitalisation, training requirements and professional qualifications.</w:t>
      </w:r>
    </w:p>
    <w:p>
      <w:pPr>
        <w:pStyle w:val="Heading2"/>
        <w:rPr>
          <w:noProof/>
        </w:rPr>
      </w:pPr>
      <w:bookmarkStart w:id="1456" w:name="_Toc50227120"/>
      <w:bookmarkStart w:id="1457" w:name="_Toc50630963"/>
      <w:bookmarkStart w:id="1458" w:name="_Toc50633807"/>
      <w:bookmarkStart w:id="1459" w:name="_Toc50634049"/>
      <w:bookmarkStart w:id="1460" w:name="_Toc50646497"/>
      <w:bookmarkStart w:id="1461" w:name="_Toc50646632"/>
      <w:bookmarkStart w:id="1462" w:name="_Toc50649451"/>
      <w:bookmarkStart w:id="1463" w:name="_Toc50650758"/>
      <w:bookmarkStart w:id="1464" w:name="_Toc51574792"/>
      <w:bookmarkStart w:id="1465" w:name="_Toc51575640"/>
      <w:bookmarkStart w:id="1466" w:name="_Toc51578027"/>
      <w:bookmarkStart w:id="1467" w:name="_Toc51578495"/>
      <w:bookmarkStart w:id="1468" w:name="_Toc51582911"/>
      <w:bookmarkStart w:id="1469" w:name="_Toc51583386"/>
      <w:bookmarkStart w:id="1470" w:name="_Toc51583476"/>
      <w:bookmarkStart w:id="1471" w:name="_Toc51583761"/>
      <w:bookmarkStart w:id="1472" w:name="_Toc51583951"/>
      <w:bookmarkStart w:id="1473" w:name="_Toc51583875"/>
      <w:bookmarkStart w:id="1474" w:name="_Toc51586193"/>
      <w:bookmarkStart w:id="1475" w:name="_Toc51593996"/>
      <w:bookmarkStart w:id="1476" w:name="_Toc51594322"/>
      <w:bookmarkStart w:id="1477" w:name="_Toc51595300"/>
      <w:bookmarkStart w:id="1478" w:name="_Toc51595550"/>
      <w:bookmarkStart w:id="1479" w:name="_Toc51595876"/>
      <w:bookmarkStart w:id="1480" w:name="_Toc51596039"/>
      <w:bookmarkStart w:id="1481" w:name="_Toc51596392"/>
      <w:bookmarkStart w:id="1482" w:name="_Toc52121526"/>
      <w:bookmarkStart w:id="1483" w:name="_Toc52122757"/>
      <w:bookmarkStart w:id="1484" w:name="_Toc52123874"/>
      <w:bookmarkStart w:id="1485" w:name="_Toc53405329"/>
      <w:bookmarkStart w:id="1486" w:name="_Toc53406119"/>
      <w:bookmarkStart w:id="1487" w:name="_Toc53407485"/>
      <w:bookmarkStart w:id="1488" w:name="_Toc53410932"/>
      <w:bookmarkStart w:id="1489" w:name="_Toc53411995"/>
      <w:bookmarkStart w:id="1490" w:name="_Toc53417242"/>
      <w:bookmarkStart w:id="1491" w:name="_Toc53417594"/>
      <w:bookmarkStart w:id="1492" w:name="_Toc53419829"/>
      <w:bookmarkStart w:id="1493" w:name="_Toc53434932"/>
      <w:bookmarkStart w:id="1494" w:name="_Toc53437072"/>
      <w:bookmarkStart w:id="1495" w:name="_Toc57291479"/>
      <w:bookmarkEnd w:id="1456"/>
      <w:r>
        <w:rPr>
          <w:noProof/>
        </w:rPr>
        <w:t>Enforcement of the EU transport acquis</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p>
    <w:p>
      <w:pPr>
        <w:rPr>
          <w:b/>
          <w:noProof/>
        </w:rPr>
      </w:pPr>
    </w:p>
    <w:p>
      <w:pPr>
        <w:rPr>
          <w:i/>
          <w:noProof/>
        </w:rPr>
      </w:pPr>
      <w:r>
        <w:rPr>
          <w:i/>
          <w:iCs/>
          <w:noProof/>
        </w:rPr>
        <w:t>Background</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Treaties entrust the Commission with the task of ensuring that EU law is properly applied. The Commission’s monitoring/infringement work takes place in the context of the major policy overhaul that was introduced by the 2016 Communication from the Commission on EU law: Better results through better application</w:t>
      </w:r>
      <w:r>
        <w:rPr>
          <w:rStyle w:val="FootnoteReference"/>
          <w:noProof/>
        </w:rPr>
        <w:footnoteReference w:id="185"/>
      </w:r>
      <w:r>
        <w:rPr>
          <w:noProof/>
        </w:rPr>
        <w:t xml:space="preserve">, which underlines the need for a more strategic approach to enforcement actions.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Such enforcement is one of the means to </w:t>
      </w:r>
      <w:r>
        <w:rPr>
          <w:noProof/>
          <w:shd w:val="clear" w:color="auto" w:fill="FFFFFF"/>
        </w:rPr>
        <w:t xml:space="preserve">assist Member States in their efforts to implement EU law, and to ensure that they live up to their responsibilities in correctly applying EU legislation. </w:t>
      </w:r>
      <w:r>
        <w:rPr>
          <w:noProof/>
        </w:rPr>
        <w:t xml:space="preserve">According to the Communication, moreover, the Commission will </w:t>
      </w:r>
      <w:r>
        <w:rPr>
          <w:noProof/>
          <w:shd w:val="clear" w:color="auto" w:fill="FFFFFF"/>
        </w:rPr>
        <w:t>prioritise its enforcement efforts on the most important breaches of EU law affecting the interests of its citizens and business</w:t>
      </w:r>
      <w:r>
        <w:rPr>
          <w:noProof/>
        </w:rPr>
        <w:t>. The Communication also encourages good cooperation and communication between the Commission and the Member States as a method conducive to reaching compliance at an early stage, rather than having to resort to infringement procedures. The Communication further recalls that the work done to ensure the effective enforcement of existing Union law should be recognised as being of equivalent importance to the work devoted to developing new legislation.</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importance of the Commission’s work on monitoring the implementation of EU legislation in the field of mobility and transport was emphasised by President von der Leyen in her mission letter to the Commissioner Vălean, where the need to focus on the application and enforcement of EU law in the field of transport, and the need to take swift action if EU law is breached, were underlined as key objectives</w:t>
      </w:r>
      <w:r>
        <w:rPr>
          <w:rStyle w:val="FootnoteReference"/>
          <w:noProof/>
        </w:rPr>
        <w:footnoteReference w:id="186"/>
      </w:r>
      <w:r>
        <w:rPr>
          <w:noProof/>
        </w:rPr>
        <w:t>. Co-operation with Member States is also encouraged by the President, in particular to support their efforts when implementing EU legislation.</w:t>
      </w:r>
    </w:p>
    <w:p>
      <w:pPr>
        <w:spacing w:before="240"/>
        <w:rPr>
          <w:i/>
          <w:noProof/>
        </w:rPr>
      </w:pPr>
      <w:r>
        <w:rPr>
          <w:i/>
          <w:iCs/>
          <w:noProof/>
        </w:rPr>
        <w:t>Enforcement of the transport acquis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color w:val="000000" w:themeColor="text1"/>
        </w:rPr>
        <w:t xml:space="preserve">The </w:t>
      </w:r>
      <w:r>
        <w:rPr>
          <w:noProof/>
        </w:rPr>
        <w:t xml:space="preserve">importance of the transport area translates both into the large number of relevant legislative and non-legislative acts (25% of the EU legislative </w:t>
      </w:r>
      <w:r>
        <w:rPr>
          <w:i/>
          <w:iCs/>
          <w:noProof/>
        </w:rPr>
        <w:t>corpus</w:t>
      </w:r>
      <w:r>
        <w:rPr>
          <w:noProof/>
        </w:rPr>
        <w:t>, including over 70 Directives and 200 Regulations) and the sensitivity of a number of transport issues (such as safety, security, technical standards, social rules and environmental protection).</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The Commission’s commitment to and proactivity in monitoring the implementation of the transport acquis, often with the support of dedicated Safety Agencies, led over the last decade to its managing of an infringement portfolio of circa 1,800 cases accounting for the Directorate-General for Mobility and Transport (DG MOVE). A large proportion of these cases arises from Member States’ failure to timely notify the Commission of their national implementing measures of Directives (1,000 cases). Complaints by citizens and businesses over the application of the transport </w:t>
      </w:r>
      <w:r>
        <w:rPr>
          <w:i/>
          <w:noProof/>
        </w:rPr>
        <w:t>acquis</w:t>
      </w:r>
      <w:r>
        <w:rPr>
          <w:noProof/>
        </w:rPr>
        <w:t xml:space="preserve"> also play an increasingly significant role.</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Commission’s monitoring initiatives in the area cover notably the non-communication of national measures transposing Directives and non-conformity cases (i.e. cases of incorrect transposition of Directives), as well as the implementation of decisions from the Court of Justice but also address the need to pursue persistent failures in correctly applying EU law and breaches of the fundamental freedoms. In the area of transport, particular attention has been devoted to cases falling under EU policy priorities in this area, such as safety and security, digitalisation and decarbonisation, sustainable/intelligent transport, and the completion of the single market.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In recent years, the Commission monitored in particular the national implementing measures aimed at creating a single European rail area. This concerns aspects relevant to competition</w:t>
      </w:r>
      <w:r>
        <w:rPr>
          <w:rStyle w:val="FootnoteReference"/>
          <w:noProof/>
        </w:rPr>
        <w:footnoteReference w:id="187"/>
      </w:r>
      <w:r>
        <w:rPr>
          <w:noProof/>
        </w:rPr>
        <w:t xml:space="preserve"> in this field the regulatory oversight and financial architecture of the railway sector, the power of national regulators, the improved framework for investment in rail, and the fair and non-discriminatory access to rail infrastructure and rail-related services. The Commission has also been very active in monitoring safety rules in road transport (particularly regarding the training of drivers, roadworthiness inspections and safety requirements for tunnels), maritime transport issues (training of seafarers, accident investigations and marine equipment) and aviation (Single European Sky, airport charges, groundhandling and aviation safety technical requirements and administrative procedures).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To better monitor the compliance of transposition measures by Member States, the Commission has developed a number of tools to assist Member States transposing and implementing EU law correctly and on time, which include guidance documents, implementation plans, expert groups, explanatory documents, training, organising workshops and holding package meetings.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To facilitate the implementation of the transport </w:t>
      </w:r>
      <w:r>
        <w:rPr>
          <w:i/>
          <w:iCs/>
          <w:noProof/>
        </w:rPr>
        <w:t xml:space="preserve">acquis, </w:t>
      </w:r>
      <w:r>
        <w:rPr>
          <w:noProof/>
        </w:rPr>
        <w:t xml:space="preserve">the Commission has relied among others on the organisation of workshops in Member States, for instance, with representatives of national and regional competent authorities for the award of public service contracts. In these workshops </w:t>
      </w:r>
      <w:r>
        <w:rPr>
          <w:i/>
          <w:iCs/>
          <w:noProof/>
        </w:rPr>
        <w:t>ex ante</w:t>
      </w:r>
      <w:r>
        <w:rPr>
          <w:noProof/>
        </w:rPr>
        <w:t xml:space="preserve"> interpretative guidance is provided of the relevant provisions of EU law applied to concrete practical questions, thus enhancing legal certainty and administrative capacity.</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The Commission also organised transport infringement package meetings with Member States (20 meetings in the period 2017-2019) which allowed for dedicated discussions of infringements/EU Pilots and of general infringement policies. By establishing strong communication channels with the Member States, the Commission is able to engage in </w:t>
      </w:r>
      <w:r>
        <w:rPr>
          <w:i/>
          <w:iCs/>
          <w:noProof/>
        </w:rPr>
        <w:t xml:space="preserve">ex ante </w:t>
      </w:r>
      <w:r>
        <w:rPr>
          <w:noProof/>
        </w:rPr>
        <w:t xml:space="preserve">and </w:t>
      </w:r>
      <w:r>
        <w:rPr>
          <w:i/>
          <w:iCs/>
          <w:noProof/>
        </w:rPr>
        <w:t xml:space="preserve">ex post </w:t>
      </w:r>
      <w:r>
        <w:rPr>
          <w:noProof/>
        </w:rPr>
        <w:t xml:space="preserve">assessments of infringement procedures, to improve its knowledge of national administrations’ transposition and implementation constraints, thus contributing to the swift correction of shortcomings. </w:t>
      </w:r>
    </w:p>
    <w:p>
      <w:pPr>
        <w:keepNext/>
        <w:spacing w:before="120"/>
        <w:rPr>
          <w:noProof/>
        </w:rPr>
      </w:pPr>
      <w:r>
        <w:rPr>
          <w:i/>
          <w:iCs/>
          <w:noProof/>
        </w:rPr>
        <w:t>State of play regarding mobility and transport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At the end of 2019, 1,564 infringement cases remained open at Commission level, of which 203 concerned mobility and transport. Of these infringement cases, 44 concerned the rail sector, 43 road safety, 24 road transport, and the remaining 92 concerned other policy areas (digitalisation, maritime, aviation, sustainable transport, passenger rights):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As far as the types of infringements handled by DG MOVE are concerned, between 2015-2019, in broad terms, two-thirds of the infringement cases in the field of transport were opened for non-communication of national implementing measures of Directives (while they account for more than 80% for the Commission as a whole). The remaining cases were opened as own-initiative cases for non-conformity or incorrect application. They are most often the result of a breach of legal obligations (such as absence of reporting, absence of connection to a network, etc.) rather than the operational conclusions arising from a comprehensive overview of the enforcement of the EU transport legislation within the Member States.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More than half of the infringement cases (297) handled between 2015 and 2019 by DG MOVE involve safety and security issues. The achievement of the single market and the development of new technologies (digitalisation and alternative fuels) are the other main targets of DG MOVE’s monitoring efforts.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number of contacts established with Member States through the structured problem-solving dialogue tool known as EU Pilot decreased substantially over the 2015-2018 period. The EU Pilot tool was set up as a means to quickly resolve potential breaches of EU law at an early stage without resorting to an infringement procedure. However, in 2019-2020, DG MOVE restarted contacting Member States through EU Pilot, which has a proven record of flexibility and effectiveness.</w:t>
      </w:r>
    </w:p>
    <w:p>
      <w:pPr>
        <w:pStyle w:val="LegalNumPar"/>
        <w:pBdr>
          <w:top w:val="nil"/>
          <w:left w:val="nil"/>
          <w:bottom w:val="nil"/>
          <w:right w:val="nil"/>
          <w:between w:val="nil"/>
          <w:bar w:val="nil"/>
        </w:pBdr>
        <w:tabs>
          <w:tab w:val="left" w:pos="476"/>
        </w:tabs>
        <w:spacing w:line="240" w:lineRule="auto"/>
        <w:rPr>
          <w:noProof/>
        </w:rPr>
      </w:pPr>
    </w:p>
    <w:p>
      <w:pPr>
        <w:pStyle w:val="Caption"/>
        <w:keepNext/>
        <w:keepLines/>
        <w:jc w:val="center"/>
        <w:rPr>
          <w:i w:val="0"/>
          <w:noProof/>
        </w:rPr>
      </w:pPr>
      <w:bookmarkStart w:id="1496" w:name="_Toc51593762"/>
      <w:bookmarkStart w:id="1497" w:name="_Toc51595229"/>
      <w:bookmarkStart w:id="1498" w:name="_Toc51595479"/>
      <w:bookmarkStart w:id="1499" w:name="_Toc51595805"/>
      <w:bookmarkStart w:id="1500" w:name="_Toc51595968"/>
      <w:bookmarkStart w:id="1501" w:name="_Toc52121455"/>
      <w:bookmarkStart w:id="1502" w:name="_Toc52122686"/>
      <w:bookmarkStart w:id="1503" w:name="_Toc53405250"/>
      <w:bookmarkStart w:id="1504" w:name="_Toc53406040"/>
      <w:bookmarkStart w:id="1505" w:name="_Toc53407406"/>
      <w:bookmarkStart w:id="1506" w:name="_Toc53410853"/>
      <w:bookmarkStart w:id="1507" w:name="_Toc53411916"/>
      <w:bookmarkStart w:id="1508" w:name="_Toc53417163"/>
      <w:bookmarkStart w:id="1509" w:name="_Toc53417515"/>
      <w:bookmarkStart w:id="1510" w:name="_Toc53419548"/>
      <w:bookmarkStart w:id="1511" w:name="_Toc53434853"/>
      <w:bookmarkStart w:id="1512" w:name="_Toc53436993"/>
      <w:bookmarkStart w:id="1513" w:name="_Toc57291657"/>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13</w:t>
      </w:r>
      <w:r>
        <w:rPr>
          <w:noProof/>
        </w:rPr>
        <w:fldChar w:fldCharType="end"/>
      </w:r>
      <w:r>
        <w:rPr>
          <w:i w:val="0"/>
          <w:noProof/>
        </w:rPr>
        <w:t>: The use of EU Pilot concerning mobility and transport infringements between 2015-August 2020</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p>
    <w:p>
      <w:pPr>
        <w:spacing w:before="120"/>
        <w:jc w:val="center"/>
        <w:rPr>
          <w:noProof/>
        </w:rPr>
      </w:pPr>
      <w:r>
        <w:rPr>
          <w:noProof/>
        </w:rPr>
        <w:drawing>
          <wp:inline distT="0" distB="0" distL="0" distR="0">
            <wp:extent cx="4860000" cy="2520000"/>
            <wp:effectExtent l="0" t="0" r="17145" b="1397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spacing w:before="120"/>
        <w:jc w:val="center"/>
        <w:rPr>
          <w:noProof/>
        </w:rPr>
      </w:pPr>
      <w:r>
        <w:rPr>
          <w:noProof/>
        </w:rPr>
        <w:drawing>
          <wp:inline distT="0" distB="0" distL="0" distR="0">
            <wp:extent cx="4860000" cy="2520000"/>
            <wp:effectExtent l="0" t="0" r="17145" b="1397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spacing w:before="120"/>
        <w:rPr>
          <w:noProof/>
        </w:rPr>
      </w:pP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Finally, DG MOVE receives and handles over one hundred complaints per year (2019: DG MOVE, 161; Commission: 3525) regarding legislation in the field of transport, mostly on incorrect implementation issues relating to passenger rights, public service obligations, recognition of driving licences, market and professional access, port services, and independence and powers of air regulatory bodies.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Of the 161 complaints received in 2019, 53 concerned road safety, 28 road transport, 22 passenger rights and 58 concerned other areas.</w:t>
      </w:r>
    </w:p>
    <w:p>
      <w:pPr>
        <w:spacing w:after="0" w:line="240" w:lineRule="auto"/>
        <w:jc w:val="left"/>
        <w:rPr>
          <w:b/>
          <w:smallCaps/>
          <w:noProof/>
          <w:sz w:val="26"/>
        </w:rPr>
      </w:pPr>
      <w:r>
        <w:rPr>
          <w:b/>
          <w:smallCaps/>
          <w:noProof/>
          <w:sz w:val="26"/>
        </w:rPr>
        <w:br w:type="page"/>
      </w:r>
    </w:p>
    <w:p>
      <w:pPr>
        <w:pStyle w:val="Heading1"/>
        <w:rPr>
          <w:noProof/>
        </w:rPr>
      </w:pPr>
      <w:bookmarkStart w:id="1514" w:name="_Toc57291480"/>
      <w:bookmarkStart w:id="1515" w:name="_Toc51574793"/>
      <w:bookmarkStart w:id="1516" w:name="_Toc51575641"/>
      <w:bookmarkStart w:id="1517" w:name="_Toc51578028"/>
      <w:bookmarkStart w:id="1518" w:name="_Toc51578496"/>
      <w:bookmarkStart w:id="1519" w:name="_Toc51582912"/>
      <w:bookmarkStart w:id="1520" w:name="_Toc51583387"/>
      <w:bookmarkStart w:id="1521" w:name="_Toc51583477"/>
      <w:bookmarkStart w:id="1522" w:name="_Toc51583762"/>
      <w:bookmarkStart w:id="1523" w:name="_Toc51583952"/>
      <w:bookmarkStart w:id="1524" w:name="_Toc51583876"/>
      <w:bookmarkStart w:id="1525" w:name="_Toc51586194"/>
      <w:bookmarkStart w:id="1526" w:name="_Toc51593997"/>
      <w:bookmarkStart w:id="1527" w:name="_Toc51594323"/>
      <w:bookmarkStart w:id="1528" w:name="_Toc51595301"/>
      <w:bookmarkStart w:id="1529" w:name="_Toc51595551"/>
      <w:bookmarkStart w:id="1530" w:name="_Toc51595877"/>
      <w:bookmarkStart w:id="1531" w:name="_Toc51596040"/>
      <w:bookmarkStart w:id="1532" w:name="_Toc51596393"/>
      <w:bookmarkStart w:id="1533" w:name="_Toc52121527"/>
      <w:bookmarkStart w:id="1534" w:name="_Toc52122758"/>
      <w:bookmarkStart w:id="1535" w:name="_Toc52123875"/>
      <w:bookmarkStart w:id="1536" w:name="_Toc53405330"/>
      <w:bookmarkStart w:id="1537" w:name="_Toc53406120"/>
      <w:bookmarkStart w:id="1538" w:name="_Toc53407486"/>
      <w:bookmarkStart w:id="1539" w:name="_Toc53410933"/>
      <w:bookmarkStart w:id="1540" w:name="_Toc53411996"/>
      <w:bookmarkStart w:id="1541" w:name="_Toc53417243"/>
      <w:bookmarkStart w:id="1542" w:name="_Toc53417595"/>
      <w:bookmarkStart w:id="1543" w:name="_Toc53419830"/>
      <w:bookmarkStart w:id="1544" w:name="_Toc53434933"/>
      <w:bookmarkStart w:id="1545" w:name="_Toc53437073"/>
      <w:bookmarkStart w:id="1546" w:name="_Toc50633808"/>
      <w:bookmarkStart w:id="1547" w:name="_Toc50634050"/>
      <w:bookmarkStart w:id="1548" w:name="_Toc50646498"/>
      <w:bookmarkStart w:id="1549" w:name="_Toc50646633"/>
      <w:bookmarkStart w:id="1550" w:name="_Toc50649452"/>
      <w:bookmarkStart w:id="1551" w:name="_Toc50650759"/>
      <w:r>
        <w:rPr>
          <w:noProof/>
        </w:rPr>
        <w:t>Challenges to sustainable, smart and resilient mobility</w:t>
      </w:r>
      <w:bookmarkEnd w:id="1514"/>
      <w:r>
        <w:rPr>
          <w:noProof/>
        </w:rPr>
        <w:t xml:space="preserve"> </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p>
    <w:p>
      <w:pPr>
        <w:pStyle w:val="Heading2"/>
        <w:rPr>
          <w:noProof/>
        </w:rPr>
      </w:pPr>
      <w:bookmarkStart w:id="1552" w:name="_Toc51574794"/>
      <w:bookmarkStart w:id="1553" w:name="_Toc51575642"/>
      <w:bookmarkStart w:id="1554" w:name="_Toc51578029"/>
      <w:bookmarkStart w:id="1555" w:name="_Toc51578497"/>
      <w:bookmarkStart w:id="1556" w:name="_Toc51582913"/>
      <w:bookmarkStart w:id="1557" w:name="_Toc51583388"/>
      <w:bookmarkStart w:id="1558" w:name="_Toc51583478"/>
      <w:bookmarkStart w:id="1559" w:name="_Toc51583763"/>
      <w:bookmarkStart w:id="1560" w:name="_Toc51583953"/>
      <w:bookmarkStart w:id="1561" w:name="_Toc51583877"/>
      <w:bookmarkStart w:id="1562" w:name="_Toc51586195"/>
      <w:bookmarkStart w:id="1563" w:name="_Toc51593998"/>
      <w:bookmarkStart w:id="1564" w:name="_Toc51594324"/>
      <w:bookmarkStart w:id="1565" w:name="_Toc51595302"/>
      <w:bookmarkStart w:id="1566" w:name="_Toc51595552"/>
      <w:bookmarkStart w:id="1567" w:name="_Toc51595878"/>
      <w:bookmarkStart w:id="1568" w:name="_Toc51596041"/>
      <w:bookmarkStart w:id="1569" w:name="_Toc51596394"/>
      <w:bookmarkStart w:id="1570" w:name="_Toc52121528"/>
      <w:bookmarkStart w:id="1571" w:name="_Toc52122759"/>
      <w:bookmarkStart w:id="1572" w:name="_Toc52123876"/>
      <w:bookmarkStart w:id="1573" w:name="_Toc53405331"/>
      <w:bookmarkStart w:id="1574" w:name="_Toc53406121"/>
      <w:bookmarkStart w:id="1575" w:name="_Toc53407487"/>
      <w:bookmarkStart w:id="1576" w:name="_Toc53410934"/>
      <w:bookmarkStart w:id="1577" w:name="_Toc53411997"/>
      <w:bookmarkStart w:id="1578" w:name="_Toc53417244"/>
      <w:bookmarkStart w:id="1579" w:name="_Toc53417596"/>
      <w:bookmarkStart w:id="1580" w:name="_Toc53419831"/>
      <w:bookmarkStart w:id="1581" w:name="_Toc53434934"/>
      <w:bookmarkStart w:id="1582" w:name="_Toc53437074"/>
      <w:bookmarkStart w:id="1583" w:name="_Toc42783895"/>
      <w:bookmarkStart w:id="1584" w:name="_Toc46312102"/>
      <w:bookmarkStart w:id="1585" w:name="_Toc50044808"/>
      <w:bookmarkStart w:id="1586" w:name="_Toc50048923"/>
      <w:bookmarkStart w:id="1587" w:name="_Toc50415255"/>
      <w:bookmarkStart w:id="1588" w:name="_Toc50416537"/>
      <w:bookmarkStart w:id="1589" w:name="_Toc50417669"/>
      <w:bookmarkStart w:id="1590" w:name="_Toc50418312"/>
      <w:bookmarkStart w:id="1591" w:name="_Toc50459892"/>
      <w:bookmarkStart w:id="1592" w:name="_Toc50466099"/>
      <w:bookmarkStart w:id="1593" w:name="_Toc50473660"/>
      <w:bookmarkStart w:id="1594" w:name="_Toc50474711"/>
      <w:bookmarkStart w:id="1595" w:name="_Toc50565061"/>
      <w:bookmarkStart w:id="1596" w:name="_Toc50568669"/>
      <w:bookmarkStart w:id="1597" w:name="_Toc50629408"/>
      <w:bookmarkStart w:id="1598" w:name="_Toc50630240"/>
      <w:bookmarkStart w:id="1599" w:name="_Toc50630965"/>
      <w:bookmarkStart w:id="1600" w:name="_Toc50633809"/>
      <w:bookmarkStart w:id="1601" w:name="_Toc50634051"/>
      <w:bookmarkStart w:id="1602" w:name="_Toc50646499"/>
      <w:bookmarkStart w:id="1603" w:name="_Toc50646634"/>
      <w:bookmarkStart w:id="1604" w:name="_Toc50649453"/>
      <w:bookmarkStart w:id="1605" w:name="_Toc50650760"/>
      <w:bookmarkStart w:id="1606" w:name="_Toc57291481"/>
      <w:bookmarkEnd w:id="61"/>
      <w:r>
        <w:rPr>
          <w:noProof/>
        </w:rPr>
        <w:t>The sustainability challenge</w:t>
      </w:r>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p>
    <w:p>
      <w:pPr>
        <w:pStyle w:val="LegalNumPar"/>
        <w:numPr>
          <w:ilvl w:val="0"/>
          <w:numId w:val="89"/>
        </w:numPr>
        <w:pBdr>
          <w:top w:val="nil"/>
          <w:left w:val="nil"/>
          <w:bottom w:val="nil"/>
          <w:right w:val="nil"/>
          <w:between w:val="nil"/>
          <w:bar w:val="nil"/>
        </w:pBdr>
        <w:tabs>
          <w:tab w:val="left" w:pos="476"/>
        </w:tabs>
        <w:spacing w:line="240" w:lineRule="auto"/>
        <w:rPr>
          <w:noProof/>
        </w:rPr>
      </w:pPr>
      <w:bookmarkStart w:id="1607" w:name="_Toc42783897"/>
      <w:r>
        <w:rPr>
          <w:noProof/>
        </w:rPr>
        <w:t>Transport currently accounts for almost a quarter of all EU GHG emissions (road transport alone is 20% of total) and it is also a major contributor to air pollution, a problem particularly acute in urban areas. Noise pollution remains a major health problem in Europe, with the transport sector being the main cause. Illegal discharges of oily waste, hazardous substances, sewage and garbage as well as underwater noise from ships harm and disturb the marine and river environment. Transport infrastructure also exerts pressure on terrestrial and aquatic ecosystems, in particular from habitats loss, degradation and fragmentation. In total, the external costs of transport related to GHG emissions (direct and indirect, from power generation and well-to-tank emissions), air and noise pollution, and habitat loss due to the transport infrastructure has been recently estimated to amount to about EUR 388 billion/year in the EU</w:t>
      </w:r>
      <w:bookmarkStart w:id="1608" w:name="_Ref50464072"/>
      <w:r>
        <w:rPr>
          <w:noProof/>
        </w:rPr>
        <w:t>-27</w:t>
      </w:r>
      <w:r>
        <w:rPr>
          <w:rStyle w:val="FootnoteReference"/>
          <w:noProof/>
        </w:rPr>
        <w:footnoteReference w:id="188"/>
      </w:r>
      <w:bookmarkEnd w:id="1608"/>
      <w:r>
        <w:rPr>
          <w:noProof/>
        </w:rPr>
        <w: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Transport is the only economic sector whose GHG emissions are higher than in 1990 and have been growing again since 2013 despite the mitigation efforts already undertaken. On the one hand, this reflects the close link between economic activity and transport as well as the important role that mobility plays in the life of citizens: between 1995 and 2018, the number of tonne-kilometres and passenger-kilometres transported in the EU-27 has increased by more than 30 %.</w:t>
      </w:r>
    </w:p>
    <w:p>
      <w:pPr>
        <w:pStyle w:val="Caption"/>
        <w:keepNext/>
        <w:keepLines/>
        <w:jc w:val="center"/>
        <w:rPr>
          <w:i w:val="0"/>
          <w:noProof/>
        </w:rPr>
      </w:pPr>
      <w:bookmarkStart w:id="1609" w:name="_Toc50417620"/>
      <w:bookmarkStart w:id="1610" w:name="_Toc50418263"/>
      <w:bookmarkStart w:id="1611" w:name="_Toc50473611"/>
      <w:bookmarkStart w:id="1612" w:name="_Toc50474662"/>
      <w:bookmarkStart w:id="1613" w:name="_Toc50630191"/>
      <w:bookmarkStart w:id="1614" w:name="_Toc50630915"/>
      <w:bookmarkStart w:id="1615" w:name="_Toc50633759"/>
      <w:bookmarkStart w:id="1616" w:name="_Toc50634001"/>
      <w:bookmarkStart w:id="1617" w:name="_Toc50646447"/>
      <w:bookmarkStart w:id="1618" w:name="_Toc50646582"/>
      <w:bookmarkStart w:id="1619" w:name="_Toc50649401"/>
      <w:bookmarkStart w:id="1620" w:name="_Toc50650708"/>
      <w:bookmarkStart w:id="1621" w:name="_Toc51593764"/>
      <w:bookmarkStart w:id="1622" w:name="_Toc51595231"/>
      <w:bookmarkStart w:id="1623" w:name="_Toc51595481"/>
      <w:bookmarkStart w:id="1624" w:name="_Toc51595807"/>
      <w:bookmarkStart w:id="1625" w:name="_Toc51595970"/>
      <w:bookmarkStart w:id="1626" w:name="_Toc52121457"/>
      <w:bookmarkStart w:id="1627" w:name="_Toc52122688"/>
      <w:bookmarkStart w:id="1628" w:name="_Toc53405252"/>
      <w:bookmarkStart w:id="1629" w:name="_Toc53406042"/>
      <w:bookmarkStart w:id="1630" w:name="_Toc53407408"/>
      <w:bookmarkStart w:id="1631" w:name="_Toc53410855"/>
      <w:bookmarkStart w:id="1632" w:name="_Toc53411918"/>
      <w:bookmarkStart w:id="1633" w:name="_Toc53417165"/>
      <w:bookmarkStart w:id="1634" w:name="_Toc53417517"/>
      <w:bookmarkStart w:id="1635" w:name="_Toc53419550"/>
      <w:bookmarkStart w:id="1636" w:name="_Toc53434855"/>
      <w:bookmarkStart w:id="1637" w:name="_Toc53436995"/>
      <w:bookmarkStart w:id="1638" w:name="_Toc57291658"/>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14</w:t>
      </w:r>
      <w:r>
        <w:rPr>
          <w:noProof/>
        </w:rPr>
        <w:fldChar w:fldCharType="end"/>
      </w:r>
      <w:r>
        <w:rPr>
          <w:i w:val="0"/>
          <w:noProof/>
        </w:rPr>
        <w:t>: Evolution of transport activity in tonne- and passenger-kilometres in the E</w:t>
      </w:r>
      <w:bookmarkEnd w:id="1609"/>
      <w:bookmarkEnd w:id="1610"/>
      <w:bookmarkEnd w:id="1611"/>
      <w:bookmarkEnd w:id="1612"/>
      <w:bookmarkEnd w:id="1613"/>
      <w:bookmarkEnd w:id="1614"/>
      <w:bookmarkEnd w:id="1615"/>
      <w:bookmarkEnd w:id="1616"/>
      <w:bookmarkEnd w:id="1617"/>
      <w:bookmarkEnd w:id="1618"/>
      <w:bookmarkEnd w:id="1619"/>
      <w:bookmarkEnd w:id="1620"/>
      <w:r>
        <w:rPr>
          <w:i w:val="0"/>
          <w:noProof/>
        </w:rPr>
        <w:t>U</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p>
    <w:p>
      <w:pPr>
        <w:rPr>
          <w:noProof/>
        </w:rPr>
      </w:pPr>
      <w:r>
        <w:rPr>
          <w:noProof/>
        </w:rPr>
        <w:drawing>
          <wp:inline distT="0" distB="0" distL="0" distR="0">
            <wp:extent cx="5654263" cy="365975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657883" cy="3662102"/>
                    </a:xfrm>
                    <a:prstGeom prst="rect">
                      <a:avLst/>
                    </a:prstGeom>
                    <a:noFill/>
                  </pic:spPr>
                </pic:pic>
              </a:graphicData>
            </a:graphic>
          </wp:inline>
        </w:drawing>
      </w:r>
    </w:p>
    <w:p>
      <w:pPr>
        <w:pStyle w:val="FootnoteText"/>
        <w:spacing w:after="0" w:line="240" w:lineRule="auto"/>
        <w:rPr>
          <w:i/>
          <w:noProof/>
          <w:sz w:val="16"/>
          <w:szCs w:val="16"/>
        </w:rPr>
      </w:pPr>
      <w:r>
        <w:rPr>
          <w:i/>
          <w:iCs/>
          <w:noProof/>
          <w:sz w:val="16"/>
          <w:szCs w:val="16"/>
          <w:lang w:val="fr-BE"/>
        </w:rPr>
        <w:t xml:space="preserve">Source: EU Transport in Figures. </w:t>
      </w:r>
      <w:r>
        <w:rPr>
          <w:i/>
          <w:iCs/>
          <w:noProof/>
          <w:sz w:val="16"/>
          <w:szCs w:val="16"/>
        </w:rPr>
        <w:t>Statistical Pocketbook 2020. Index values based on 1995 = 100.</w:t>
      </w:r>
    </w:p>
    <w:p>
      <w:pPr>
        <w:pStyle w:val="FootnoteText"/>
        <w:spacing w:after="0" w:line="240" w:lineRule="auto"/>
        <w:rPr>
          <w:i/>
          <w:noProof/>
          <w:sz w:val="16"/>
          <w:szCs w:val="16"/>
        </w:rPr>
      </w:pPr>
      <w:r>
        <w:rPr>
          <w:i/>
          <w:iCs/>
          <w:noProof/>
          <w:sz w:val="16"/>
          <w:szCs w:val="16"/>
        </w:rPr>
        <w:t>(1) : passenger cars, powered two-wheelers, buses &amp; coaches, tram &amp; metro, railways, intra-EU air, intra-EU sea</w:t>
      </w:r>
      <w:r>
        <w:rPr>
          <w:i/>
          <w:noProof/>
          <w:sz w:val="16"/>
          <w:szCs w:val="16"/>
        </w:rPr>
        <w:tab/>
      </w:r>
    </w:p>
    <w:p>
      <w:pPr>
        <w:pStyle w:val="FootnoteText"/>
        <w:spacing w:after="0" w:line="240" w:lineRule="auto"/>
        <w:rPr>
          <w:noProof/>
          <w:sz w:val="16"/>
          <w:szCs w:val="16"/>
        </w:rPr>
      </w:pPr>
      <w:r>
        <w:rPr>
          <w:i/>
          <w:iCs/>
          <w:noProof/>
          <w:sz w:val="16"/>
          <w:szCs w:val="16"/>
        </w:rPr>
        <w:t>(2) : road, rail, inland waterways, oil pipelines, intra-EU air, intra-EU sea</w:t>
      </w:r>
      <w:r>
        <w:rPr>
          <w:i/>
          <w:noProof/>
          <w:sz w:val="16"/>
          <w:szCs w:val="16"/>
        </w:rPr>
        <w:tab/>
      </w:r>
      <w:r>
        <w:rPr>
          <w:noProof/>
          <w:sz w:val="16"/>
          <w:szCs w:val="16"/>
        </w:rPr>
        <w:tab/>
      </w:r>
      <w:r>
        <w:rPr>
          <w:noProof/>
          <w:sz w:val="16"/>
          <w:szCs w:val="16"/>
        </w:rPr>
        <w:tab/>
      </w:r>
      <w:r>
        <w:rPr>
          <w:noProof/>
          <w:sz w:val="16"/>
          <w:szCs w:val="16"/>
        </w:rPr>
        <w:tab/>
      </w:r>
      <w:r>
        <w:rPr>
          <w:noProof/>
          <w:sz w:val="16"/>
          <w:szCs w:val="16"/>
        </w:rPr>
        <w:tab/>
      </w:r>
    </w:p>
    <w:p>
      <w:pPr>
        <w:pStyle w:val="LegalNumPar"/>
        <w:pBdr>
          <w:top w:val="nil"/>
          <w:left w:val="nil"/>
          <w:bottom w:val="nil"/>
          <w:right w:val="nil"/>
          <w:between w:val="nil"/>
          <w:bar w:val="nil"/>
        </w:pBdr>
        <w:tabs>
          <w:tab w:val="left" w:pos="476"/>
        </w:tabs>
        <w:spacing w:after="0" w:line="240" w:lineRule="auto"/>
        <w:ind w:left="476" w:hanging="476"/>
        <w:rPr>
          <w:i/>
          <w:noProof/>
          <w:sz w:val="16"/>
          <w:szCs w:val="16"/>
        </w:rPr>
      </w:pPr>
      <w:r>
        <w:rPr>
          <w:i/>
          <w:iCs/>
          <w:noProof/>
          <w:sz w:val="16"/>
          <w:szCs w:val="16"/>
        </w:rPr>
        <w:t>GDP: at constant year 2005 prices and exchange rates</w:t>
      </w:r>
      <w:r>
        <w:rPr>
          <w:i/>
          <w:noProof/>
          <w:sz w:val="16"/>
          <w:szCs w:val="16"/>
        </w:rPr>
        <w:tab/>
      </w:r>
    </w:p>
    <w:p>
      <w:pPr>
        <w:pStyle w:val="LegalNumPar"/>
        <w:pBdr>
          <w:top w:val="nil"/>
          <w:left w:val="nil"/>
          <w:bottom w:val="nil"/>
          <w:right w:val="nil"/>
          <w:between w:val="nil"/>
          <w:bar w:val="nil"/>
        </w:pBdr>
        <w:tabs>
          <w:tab w:val="left" w:pos="476"/>
        </w:tabs>
        <w:spacing w:after="0" w:line="240" w:lineRule="auto"/>
        <w:ind w:left="476" w:hanging="476"/>
        <w:rPr>
          <w:i/>
          <w:iCs/>
          <w:noProof/>
          <w:sz w:val="16"/>
          <w:szCs w:val="16"/>
          <w:lang w:eastAsia="en-US"/>
        </w:rPr>
      </w:pPr>
      <w:r>
        <w:rPr>
          <w:i/>
          <w:noProof/>
          <w:lang w:eastAsia="en-US"/>
        </w:rPr>
        <w:tab/>
      </w:r>
      <w:r>
        <w:rPr>
          <w:i/>
          <w:noProof/>
          <w:lang w:eastAsia="en-US"/>
        </w:rPr>
        <w:tab/>
      </w:r>
      <w:r>
        <w:rPr>
          <w:i/>
          <w:noProof/>
          <w:lang w:eastAsia="en-US"/>
        </w:rPr>
        <w:tab/>
      </w:r>
      <w:r>
        <w:rPr>
          <w:i/>
          <w:noProof/>
          <w:lang w:eastAsia="en-US"/>
        </w:rPr>
        <w:tab/>
      </w:r>
      <w:r>
        <w:rPr>
          <w:i/>
          <w:noProof/>
          <w:lang w:eastAsia="en-US"/>
        </w:rPr>
        <w:tab/>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On the other hand, it also shows that the sector remains overly dependent on oil due to insufficient progress in overcoming technological constraints, in developing and deploying cost-effective clean alternatives, as well as in switching to more sustainable transport modes. This is due to the combined effect of market failures, inadequate market signals, regulatory shortcomings and insufficient policy alignment at various governmental levels, in addition to weak international cooperation. Furthermore, transport is not a uniform industrial sector, but covers various modes operating under very different conditions, which in turn influences their decarbonisation potential.</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Based on the analysis underlying the 2030 Climate Target Plan and in line with Communication on the European Green Deal, in order to reach the objective of a climate-neutral economy by 2050, a reduction of 90% in transport CO</w:t>
      </w:r>
      <w:r>
        <w:rPr>
          <w:noProof/>
          <w:vertAlign w:val="subscript"/>
        </w:rPr>
        <w:t>2</w:t>
      </w:r>
      <w:r>
        <w:rPr>
          <w:noProof/>
        </w:rPr>
        <w:t xml:space="preserve"> emissions must be achieved, relative to 1990 levels. This raises the ambition of the existing target of 60% (from 2011 White Paper) and requires significant efforts compared to developments under current trends and policies (i.e. projected to deliver around 18% emissions reductions by 2050 relative to 1990).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All transport modes need to become more sustainable as all are indispensable for our interconnected transport system (see below sections 4.1.1 and 4.1.2). In the meantime, as each mode is in the process of decarbonising, more sustainable alternatives need to be made available now (see below section 4.1.3 and 4.1.4), and there is a need to rethink the incentives for transport users to make more sustainable choices (see below section 4.1.5).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This will lead to a transport system in which people and businesses have the freedom to choose their preferred ways of moving or doing business, while making all transport modes cleaner in a technologically neutral manner, and providing the right mix of incentives to support sustainable choices. </w:t>
      </w:r>
    </w:p>
    <w:p>
      <w:pPr>
        <w:pStyle w:val="LegalNumPar"/>
        <w:pBdr>
          <w:top w:val="nil"/>
          <w:left w:val="nil"/>
          <w:bottom w:val="nil"/>
          <w:right w:val="nil"/>
          <w:between w:val="nil"/>
          <w:bar w:val="nil"/>
        </w:pBdr>
        <w:tabs>
          <w:tab w:val="left" w:pos="476"/>
        </w:tabs>
        <w:spacing w:line="240" w:lineRule="auto"/>
        <w:ind w:left="476"/>
        <w:rPr>
          <w:noProof/>
        </w:rPr>
      </w:pPr>
    </w:p>
    <w:p>
      <w:pPr>
        <w:pStyle w:val="LegalNumPar"/>
        <w:pBdr>
          <w:top w:val="nil"/>
          <w:left w:val="nil"/>
          <w:bottom w:val="nil"/>
          <w:right w:val="nil"/>
          <w:between w:val="nil"/>
          <w:bar w:val="nil"/>
        </w:pBdr>
        <w:tabs>
          <w:tab w:val="left" w:pos="476"/>
        </w:tabs>
        <w:spacing w:line="240" w:lineRule="auto"/>
        <w:rPr>
          <w:noProof/>
        </w:rPr>
      </w:pPr>
      <w:r>
        <w:rPr>
          <w:i/>
          <w:iCs/>
          <w:noProof/>
        </w:rPr>
        <w:t>Key externalities of transport</w:t>
      </w:r>
      <w:r>
        <w:rPr>
          <w:rStyle w:val="FootnoteReference"/>
          <w:i/>
          <w:iCs/>
          <w:noProof/>
        </w:rPr>
        <w:footnoteReference w:id="189"/>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Transport is a key enabling service to the whole economy contributing to economic growth and to satisfy the mobility needs of people. Efficient and accessible transport services are crucial to ensure the connectivity of our societies, from remote areas such as the outermost regions to our largest cities. Yet, transport activities also produce negative externalities to the environment and to society. In the context of pressing environment and climate challenges, updated and comprehensive assessment of the external costs of transport activities are an important aspect to be taken into account by EU transport policy.  According to the “Handbook on the External Costs of Transport”, commissioned by the Commission, the external environmental costs of transport (linked to GHG emissions, local air pollution, noise, energy production, habitat damage</w:t>
      </w:r>
      <w:r>
        <w:rPr>
          <w:rStyle w:val="FootnoteReference"/>
          <w:noProof/>
          <w:lang w:eastAsia="en-US"/>
        </w:rPr>
        <w:footnoteReference w:id="190"/>
      </w:r>
      <w:r>
        <w:rPr>
          <w:noProof/>
          <w:lang w:eastAsia="en-US"/>
        </w:rPr>
        <w:t>), together with the costs of congestion and crashes sum up in the EU-27 to almost EUR 900 billion annually</w:t>
      </w:r>
      <w:r>
        <w:rPr>
          <w:rStyle w:val="FootnoteReference"/>
          <w:noProof/>
          <w:lang w:eastAsia="en-US"/>
        </w:rPr>
        <w:footnoteReference w:id="191"/>
      </w:r>
      <w:r>
        <w:rPr>
          <w:noProof/>
          <w:lang w:eastAsia="en-US"/>
        </w:rPr>
        <w: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Road transport causes more than 80% of such external costs (approximately EUR 550 billion in passenger transport and EUR 170 billion for freight). These costs include road crash costs (almost EUR 250 billion), congestion costs (some EUR 230 billion) and environmental costs (almost EUR 250 billion).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Other modes cause smaller total external costs than road</w:t>
      </w:r>
      <w:r>
        <w:rPr>
          <w:noProof/>
          <w:vertAlign w:val="superscript"/>
        </w:rPr>
        <w:footnoteReference w:id="192"/>
      </w:r>
      <w:r>
        <w:rPr>
          <w:rStyle w:val="FootnoteReference"/>
          <w:noProof/>
          <w:lang w:eastAsia="en-US"/>
        </w:rPr>
        <w:footnoteReference w:id="193"/>
      </w:r>
      <w:r>
        <w:rPr>
          <w:noProof/>
          <w:lang w:eastAsia="en-US"/>
        </w:rPr>
        <w:t>, namely:</w:t>
      </w:r>
    </w:p>
    <w:p>
      <w:pPr>
        <w:numPr>
          <w:ilvl w:val="0"/>
          <w:numId w:val="8"/>
        </w:numPr>
        <w:spacing w:after="240" w:line="276" w:lineRule="auto"/>
        <w:contextualSpacing/>
        <w:jc w:val="left"/>
        <w:rPr>
          <w:noProof/>
          <w:sz w:val="24"/>
          <w:szCs w:val="24"/>
          <w:lang w:eastAsia="en-US"/>
        </w:rPr>
      </w:pPr>
      <w:r>
        <w:rPr>
          <w:noProof/>
          <w:sz w:val="24"/>
          <w:szCs w:val="24"/>
          <w:lang w:eastAsia="en-US"/>
        </w:rPr>
        <w:t>Maritime: almost EUR 90 billion (mostly air pollution)</w:t>
      </w:r>
    </w:p>
    <w:p>
      <w:pPr>
        <w:numPr>
          <w:ilvl w:val="0"/>
          <w:numId w:val="8"/>
        </w:numPr>
        <w:spacing w:after="240" w:line="276" w:lineRule="auto"/>
        <w:contextualSpacing/>
        <w:jc w:val="left"/>
        <w:rPr>
          <w:noProof/>
          <w:sz w:val="24"/>
          <w:szCs w:val="24"/>
          <w:lang w:eastAsia="en-US"/>
        </w:rPr>
      </w:pPr>
      <w:r>
        <w:rPr>
          <w:noProof/>
          <w:sz w:val="24"/>
          <w:szCs w:val="24"/>
          <w:lang w:eastAsia="en-US"/>
        </w:rPr>
        <w:t>Aviation: almost EUR 40 billion (mostly climate change)</w:t>
      </w:r>
    </w:p>
    <w:p>
      <w:pPr>
        <w:numPr>
          <w:ilvl w:val="0"/>
          <w:numId w:val="8"/>
        </w:numPr>
        <w:spacing w:after="240" w:line="276" w:lineRule="auto"/>
        <w:contextualSpacing/>
        <w:jc w:val="left"/>
        <w:rPr>
          <w:noProof/>
          <w:sz w:val="24"/>
          <w:szCs w:val="24"/>
          <w:lang w:eastAsia="en-US"/>
        </w:rPr>
      </w:pPr>
      <w:r>
        <w:rPr>
          <w:noProof/>
          <w:sz w:val="24"/>
          <w:szCs w:val="24"/>
          <w:lang w:eastAsia="en-US"/>
        </w:rPr>
        <w:t>Rail: less than EUR 20 billion (the biggest being noise)</w:t>
      </w:r>
    </w:p>
    <w:p>
      <w:pPr>
        <w:numPr>
          <w:ilvl w:val="0"/>
          <w:numId w:val="8"/>
        </w:numPr>
        <w:spacing w:after="240" w:line="276" w:lineRule="auto"/>
        <w:ind w:left="714" w:hanging="357"/>
        <w:contextualSpacing/>
        <w:jc w:val="left"/>
        <w:rPr>
          <w:noProof/>
          <w:sz w:val="24"/>
          <w:szCs w:val="24"/>
          <w:lang w:eastAsia="en-US"/>
        </w:rPr>
      </w:pPr>
      <w:r>
        <w:rPr>
          <w:noProof/>
          <w:sz w:val="24"/>
          <w:szCs w:val="24"/>
          <w:lang w:eastAsia="en-US"/>
        </w:rPr>
        <w:t>Inland waterways: around EUR 3 billion (mostly air pollution).</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The high modal share of road is clearly an important reason for this, but road also shows the highest average external costs across modes (costs per passenger-kilometre and ton-kilometre). Looking at passenger transport, cars show the highest average</w:t>
      </w:r>
      <w:r>
        <w:rPr>
          <w:rStyle w:val="FootnoteReference"/>
          <w:noProof/>
          <w:lang w:eastAsia="en-US"/>
        </w:rPr>
        <w:footnoteReference w:id="194"/>
      </w:r>
      <w:r>
        <w:rPr>
          <w:noProof/>
          <w:lang w:eastAsia="en-US"/>
        </w:rPr>
        <w:t xml:space="preserve"> costs</w:t>
      </w:r>
      <w:r>
        <w:rPr>
          <w:noProof/>
          <w:vertAlign w:val="superscript"/>
          <w:lang w:eastAsia="en-US"/>
        </w:rPr>
        <w:footnoteReference w:id="195"/>
      </w:r>
      <w:r>
        <w:rPr>
          <w:noProof/>
          <w:lang w:eastAsia="en-US"/>
        </w:rPr>
        <w:t xml:space="preserve">. Buses and coaches, trains and aviation have similar magnitude of average external costs, three to four times less than cars. The lowest external costs are shown by rail: the average costs of aviation and buses and coaches is 10% higher than in rail.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As far as freight is concerned, lorries show the highest average costs, followed by inland waterways (roughly 50% less than lorries), rail (roughly two third less than lorries) and maritime (80% less than lorries).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The above includes all external costs of individual transport modes, i.e. environmental costs as well as crashes and congestion, with the exception of walking and cycling where data at EU level is not available.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It should be noted  that road users, while producing the highest costs to the society, are also those who “pay back” the most, in terms of transport related taxes and charges</w:t>
      </w:r>
      <w:r>
        <w:rPr>
          <w:rStyle w:val="FootnoteReference"/>
          <w:noProof/>
        </w:rPr>
        <w:footnoteReference w:id="196"/>
      </w:r>
      <w:r>
        <w:rPr>
          <w:noProof/>
        </w:rPr>
        <w:t>.  Overall, road is the mode paying the highest share of its total costs, nearly 50%. However, there are good economic reasons to exclude fixed infrastructure costs from the cost coverage indicators, therefore charging only the marginal infrastructure costs. Excluding them leads to the rail sector showing the highest cost coverage of 80% (with high-speed rail paying even more than it costs to society).</w:t>
      </w:r>
    </w:p>
    <w:p>
      <w:pPr>
        <w:pStyle w:val="LegalNumPar"/>
        <w:pBdr>
          <w:top w:val="nil"/>
          <w:left w:val="nil"/>
          <w:bottom w:val="nil"/>
          <w:right w:val="nil"/>
          <w:between w:val="nil"/>
          <w:bar w:val="nil"/>
        </w:pBdr>
        <w:tabs>
          <w:tab w:val="left" w:pos="476"/>
        </w:tabs>
        <w:spacing w:line="240" w:lineRule="auto"/>
        <w:rPr>
          <w:i/>
          <w:noProof/>
        </w:rPr>
      </w:pPr>
      <w:r>
        <w:rPr>
          <w:i/>
          <w:iCs/>
          <w:noProof/>
          <w:lang w:eastAsia="en-US"/>
        </w:rPr>
        <w:t>Environmental costs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Looking at just the environmental </w:t>
      </w:r>
      <w:r>
        <w:rPr>
          <w:noProof/>
        </w:rPr>
        <w:t>costs</w:t>
      </w:r>
      <w:r>
        <w:rPr>
          <w:rStyle w:val="FootnoteReference"/>
          <w:noProof/>
        </w:rPr>
        <w:footnoteReference w:id="197"/>
      </w:r>
      <w:r>
        <w:rPr>
          <w:noProof/>
        </w:rPr>
        <w:t>, cars and</w:t>
      </w:r>
      <w:r>
        <w:rPr>
          <w:noProof/>
          <w:lang w:eastAsia="en-US"/>
        </w:rPr>
        <w:t xml:space="preserve"> aviation are the passenger modes with the highest external costs. Rail and collective road transport (all buses and coaches) produce the smallest environmental external costs, both in total and per passenger kilometre, with the exception of active modes. Compared with cars and aviation, the level of environmental costs in euro per kilometre is about 30% lower for rail, and 50% lower for collective road transport</w:t>
      </w:r>
      <w:r>
        <w:rPr>
          <w:noProof/>
          <w:vertAlign w:val="superscript"/>
          <w:lang w:eastAsia="en-US"/>
        </w:rPr>
        <w:footnoteReference w:id="198"/>
      </w:r>
      <w:r>
        <w:rPr>
          <w:noProof/>
          <w:lang w:eastAsia="en-US"/>
        </w:rPr>
        <w:t>. On the freight side, lorries have the highest environmental footprint, closely followed by inland waterway transport. On average, rail environmental costs are almost half and maritime almost one third of those of lorries.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In 2018, the transport sector contributed 30.5% of the EU-27 final energy consumption</w:t>
      </w:r>
      <w:r>
        <w:rPr>
          <w:rStyle w:val="FootnoteReference"/>
          <w:noProof/>
        </w:rPr>
        <w:footnoteReference w:id="199"/>
      </w:r>
      <w:r>
        <w:rPr>
          <w:noProof/>
        </w:rPr>
        <w:t>. 24.6% of GHG emissions (31.8% above the 1990 levels) in the EU stemmed from transport, excluding international maritime. Including international maritime, the share of GHG emissions was 27.2% in 2018.</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share of GHG emissions from transport (including international aviation and maritime) in EU-27 total GHG emissions has increased from 16.5 % in 1990 to 27.2% in 2018. The level of GHG emissions from road transport alone have increased by 26.8% between 1990 and 2018 and accounts for 71.8% of the transport GHG emissions.</w:t>
      </w:r>
      <w:r>
        <w:rPr>
          <w:rStyle w:val="FootnoteReference"/>
          <w:noProof/>
          <w:lang w:eastAsia="en-US"/>
        </w:rPr>
        <w:footnoteReference w:id="200"/>
      </w:r>
    </w:p>
    <w:p>
      <w:pPr>
        <w:pStyle w:val="Caption"/>
        <w:keepNext/>
        <w:keepLines/>
        <w:jc w:val="center"/>
        <w:rPr>
          <w:i w:val="0"/>
          <w:noProof/>
        </w:rPr>
      </w:pPr>
      <w:bookmarkStart w:id="1639" w:name="_Toc50417622"/>
      <w:bookmarkStart w:id="1640" w:name="_Toc50418265"/>
      <w:bookmarkStart w:id="1641" w:name="_Toc50473613"/>
      <w:bookmarkStart w:id="1642" w:name="_Toc50474664"/>
      <w:bookmarkStart w:id="1643" w:name="_Toc50630193"/>
      <w:bookmarkStart w:id="1644" w:name="_Toc50630917"/>
      <w:bookmarkStart w:id="1645" w:name="_Toc50633761"/>
      <w:bookmarkStart w:id="1646" w:name="_Toc50634003"/>
      <w:bookmarkStart w:id="1647" w:name="_Toc50646449"/>
      <w:bookmarkStart w:id="1648" w:name="_Toc50646584"/>
      <w:bookmarkStart w:id="1649" w:name="_Toc50649403"/>
      <w:bookmarkStart w:id="1650" w:name="_Toc50650710"/>
      <w:bookmarkStart w:id="1651" w:name="_Toc51593766"/>
      <w:bookmarkStart w:id="1652" w:name="_Toc51595233"/>
      <w:bookmarkStart w:id="1653" w:name="_Toc51595483"/>
      <w:bookmarkStart w:id="1654" w:name="_Toc51595809"/>
      <w:bookmarkStart w:id="1655" w:name="_Toc51595972"/>
      <w:bookmarkStart w:id="1656" w:name="_Toc52121459"/>
      <w:bookmarkStart w:id="1657" w:name="_Toc52122690"/>
      <w:bookmarkStart w:id="1658" w:name="_Toc53405254"/>
      <w:bookmarkStart w:id="1659" w:name="_Toc53406044"/>
      <w:bookmarkStart w:id="1660" w:name="_Toc53407410"/>
      <w:bookmarkStart w:id="1661" w:name="_Toc53410857"/>
      <w:bookmarkStart w:id="1662" w:name="_Toc53411920"/>
      <w:bookmarkStart w:id="1663" w:name="_Toc53417167"/>
      <w:bookmarkStart w:id="1664" w:name="_Toc53417519"/>
      <w:bookmarkStart w:id="1665" w:name="_Toc53419552"/>
      <w:bookmarkStart w:id="1666" w:name="_Toc53434857"/>
      <w:bookmarkStart w:id="1667" w:name="_Toc53436997"/>
      <w:bookmarkStart w:id="1668" w:name="_Toc57291659"/>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15</w:t>
      </w:r>
      <w:r>
        <w:rPr>
          <w:noProof/>
        </w:rPr>
        <w:fldChar w:fldCharType="end"/>
      </w:r>
      <w:r>
        <w:rPr>
          <w:i w:val="0"/>
          <w:noProof/>
        </w:rPr>
        <w:t>: Share by mode in total transport GHG emissions, including international bunkers, in the EU-27 in 2018</w:t>
      </w:r>
      <w:bookmarkEnd w:id="1639"/>
      <w:bookmarkEnd w:id="1640"/>
      <w:bookmarkEnd w:id="1641"/>
      <w:bookmarkEnd w:id="1642"/>
      <w:bookmarkEnd w:id="1643"/>
      <w:bookmarkEnd w:id="1644"/>
      <w:bookmarkEnd w:id="1645"/>
      <w:bookmarkEnd w:id="1646"/>
      <w:bookmarkEnd w:id="1647"/>
      <w:bookmarkEnd w:id="1648"/>
      <w:bookmarkEnd w:id="1649"/>
      <w:bookmarkEnd w:id="1650"/>
      <w:r>
        <w:rPr>
          <w:rStyle w:val="FootnoteReference"/>
          <w:i w:val="0"/>
          <w:noProof/>
        </w:rPr>
        <w:footnoteReference w:id="201"/>
      </w:r>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p>
    <w:p>
      <w:pPr>
        <w:ind w:left="1276"/>
        <w:rPr>
          <w:noProof/>
        </w:rPr>
      </w:pPr>
      <w:r>
        <w:rPr>
          <w:noProof/>
        </w:rPr>
        <w:drawing>
          <wp:inline distT="0" distB="0" distL="0" distR="0">
            <wp:extent cx="5337544" cy="3487479"/>
            <wp:effectExtent l="0" t="0" r="0" b="0"/>
            <wp:docPr id="4" name="Chart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734CF44B-9587-418F-A8AB-FE2AC3B3CB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TableText"/>
        <w:jc w:val="center"/>
        <w:rPr>
          <w:noProof/>
          <w:szCs w:val="24"/>
          <w:lang w:eastAsia="en-US"/>
        </w:rPr>
      </w:pPr>
    </w:p>
    <w:p>
      <w:pPr>
        <w:pStyle w:val="TableText"/>
        <w:jc w:val="left"/>
        <w:rPr>
          <w:b w:val="0"/>
          <w:i/>
          <w:noProof/>
          <w:lang w:eastAsia="en-US"/>
        </w:rPr>
      </w:pPr>
      <w:r>
        <w:rPr>
          <w:b w:val="0"/>
          <w:i/>
          <w:iCs/>
          <w:noProof/>
          <w:sz w:val="16"/>
          <w:szCs w:val="16"/>
        </w:rPr>
        <w:t>Source: Transport in the EU. Statistical Pocketbook 2020. For railways, indirect emissions from electricity consumption are excluded.</w:t>
      </w:r>
    </w:p>
    <w:p>
      <w:pPr>
        <w:pStyle w:val="TableText"/>
        <w:rPr>
          <w:i/>
          <w:noProof/>
          <w:sz w:val="16"/>
          <w:szCs w:val="16"/>
        </w:rPr>
      </w:pP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When looking at GHG emissions from individual modes of transport in the EU, and including international bunkers, </w:t>
      </w:r>
      <w:r>
        <w:rPr>
          <w:noProof/>
        </w:rPr>
        <w:t>the rise in emissions from aviation since 1990 stands out,</w:t>
      </w:r>
      <w:r>
        <w:rPr>
          <w:noProof/>
          <w:lang w:eastAsia="en-US"/>
        </w:rPr>
        <w:t xml:space="preserve"> whereas the railway sector has been the only transport mode to consistently reduce GHG emissions since 1990.</w:t>
      </w:r>
    </w:p>
    <w:p>
      <w:pPr>
        <w:pStyle w:val="Caption"/>
        <w:keepNext/>
        <w:keepLines/>
        <w:jc w:val="center"/>
        <w:rPr>
          <w:i w:val="0"/>
          <w:noProof/>
        </w:rPr>
      </w:pPr>
      <w:bookmarkStart w:id="1669" w:name="_Toc50417623"/>
      <w:bookmarkStart w:id="1670" w:name="_Toc50418266"/>
      <w:bookmarkStart w:id="1671" w:name="_Toc50473614"/>
      <w:bookmarkStart w:id="1672" w:name="_Toc50474665"/>
      <w:bookmarkStart w:id="1673" w:name="_Toc50630194"/>
      <w:bookmarkStart w:id="1674" w:name="_Toc50630918"/>
      <w:bookmarkStart w:id="1675" w:name="_Toc50633762"/>
      <w:bookmarkStart w:id="1676" w:name="_Toc50634004"/>
      <w:bookmarkStart w:id="1677" w:name="_Toc50646450"/>
      <w:bookmarkStart w:id="1678" w:name="_Toc50646585"/>
      <w:bookmarkStart w:id="1679" w:name="_Toc50649404"/>
      <w:bookmarkStart w:id="1680" w:name="_Toc50650711"/>
      <w:bookmarkStart w:id="1681" w:name="_Toc51593767"/>
      <w:bookmarkStart w:id="1682" w:name="_Toc51595234"/>
      <w:bookmarkStart w:id="1683" w:name="_Toc51595484"/>
      <w:bookmarkStart w:id="1684" w:name="_Toc51595810"/>
      <w:bookmarkStart w:id="1685" w:name="_Toc51595973"/>
      <w:bookmarkStart w:id="1686" w:name="_Toc52121460"/>
      <w:bookmarkStart w:id="1687" w:name="_Toc52122691"/>
      <w:bookmarkStart w:id="1688" w:name="_Toc53405255"/>
      <w:bookmarkStart w:id="1689" w:name="_Toc53406045"/>
      <w:bookmarkStart w:id="1690" w:name="_Toc53407411"/>
      <w:bookmarkStart w:id="1691" w:name="_Toc53410858"/>
      <w:bookmarkStart w:id="1692" w:name="_Toc53411921"/>
      <w:bookmarkStart w:id="1693" w:name="_Toc53417168"/>
      <w:bookmarkStart w:id="1694" w:name="_Toc53417520"/>
      <w:bookmarkStart w:id="1695" w:name="_Toc53419553"/>
      <w:bookmarkStart w:id="1696" w:name="_Toc53434858"/>
      <w:bookmarkStart w:id="1697" w:name="_Toc53436998"/>
      <w:bookmarkStart w:id="1698" w:name="_Toc57291660"/>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16</w:t>
      </w:r>
      <w:r>
        <w:rPr>
          <w:noProof/>
        </w:rPr>
        <w:fldChar w:fldCharType="end"/>
      </w:r>
      <w:r>
        <w:rPr>
          <w:i w:val="0"/>
          <w:noProof/>
        </w:rPr>
        <w:t>: Evolution of GHG emissions by transport mode in the EU-27 (1990 = 1)</w:t>
      </w:r>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r>
        <w:rPr>
          <w:i w:val="0"/>
          <w:noProof/>
        </w:rPr>
        <w:t xml:space="preserve"> </w:t>
      </w:r>
    </w:p>
    <w:p>
      <w:pPr>
        <w:rPr>
          <w:noProof/>
        </w:rPr>
      </w:pPr>
      <w:r>
        <w:rPr>
          <w:noProof/>
        </w:rPr>
        <w:drawing>
          <wp:inline distT="0" distB="0" distL="0" distR="0">
            <wp:extent cx="5400040" cy="3360901"/>
            <wp:effectExtent l="0" t="0" r="0" b="0"/>
            <wp:docPr id="1528954628" name="Picture 1528954628" descr="C:\Users\sulyoge\Documents\Picture10-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ulyoge\Documents\Picture10-min.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400040" cy="3360901"/>
                    </a:xfrm>
                    <a:prstGeom prst="rect">
                      <a:avLst/>
                    </a:prstGeom>
                    <a:noFill/>
                    <a:ln>
                      <a:noFill/>
                    </a:ln>
                  </pic:spPr>
                </pic:pic>
              </a:graphicData>
            </a:graphic>
          </wp:inline>
        </w:drawing>
      </w:r>
    </w:p>
    <w:p>
      <w:pPr>
        <w:rPr>
          <w:i/>
          <w:noProof/>
          <w:sz w:val="16"/>
          <w:szCs w:val="16"/>
        </w:rPr>
      </w:pPr>
      <w:r>
        <w:rPr>
          <w:i/>
          <w:iCs/>
          <w:noProof/>
          <w:sz w:val="16"/>
          <w:szCs w:val="16"/>
          <w:lang w:val="fr-BE"/>
        </w:rPr>
        <w:t xml:space="preserve">Source: European Commission (2020) : EU Transport in Figures. </w:t>
      </w:r>
      <w:r>
        <w:rPr>
          <w:i/>
          <w:iCs/>
          <w:noProof/>
          <w:sz w:val="16"/>
          <w:szCs w:val="16"/>
        </w:rPr>
        <w:t>Statistical Pocketbook 2020.</w:t>
      </w:r>
      <w:r>
        <w:rPr>
          <w:noProof/>
        </w:rPr>
        <w:t xml:space="preserve"> </w:t>
      </w:r>
      <w:r>
        <w:rPr>
          <w:i/>
          <w:iCs/>
          <w:noProof/>
          <w:sz w:val="16"/>
          <w:szCs w:val="16"/>
        </w:rPr>
        <w:t>For railways, indirect emissions from electricity consumption are excluded.</w:t>
      </w:r>
    </w:p>
    <w:p>
      <w:pPr>
        <w:pStyle w:val="LegalNumPar"/>
        <w:pBdr>
          <w:top w:val="nil"/>
          <w:left w:val="nil"/>
          <w:bottom w:val="nil"/>
          <w:right w:val="nil"/>
          <w:between w:val="nil"/>
          <w:bar w:val="nil"/>
        </w:pBdr>
        <w:tabs>
          <w:tab w:val="left" w:pos="476"/>
        </w:tabs>
        <w:spacing w:line="240" w:lineRule="auto"/>
        <w:ind w:left="476"/>
        <w:rPr>
          <w:noProof/>
        </w:rPr>
      </w:pPr>
    </w:p>
    <w:p>
      <w:pPr>
        <w:pStyle w:val="LegalNumPar"/>
        <w:numPr>
          <w:ilvl w:val="0"/>
          <w:numId w:val="89"/>
        </w:numPr>
        <w:pBdr>
          <w:top w:val="nil"/>
          <w:left w:val="nil"/>
          <w:bottom w:val="nil"/>
          <w:right w:val="nil"/>
          <w:between w:val="nil"/>
          <w:bar w:val="nil"/>
        </w:pBdr>
        <w:tabs>
          <w:tab w:val="left" w:pos="476"/>
        </w:tabs>
        <w:spacing w:line="240" w:lineRule="auto"/>
        <w:rPr>
          <w:noProof/>
        </w:rPr>
      </w:pPr>
      <w:r>
        <w:rPr>
          <w:b/>
          <w:bCs/>
          <w:noProof/>
        </w:rPr>
        <w:t>Road transport</w:t>
      </w:r>
      <w:r>
        <w:rPr>
          <w:noProof/>
        </w:rPr>
        <w:t xml:space="preserve"> is by far the mode with the highest total GHG emissions, accounting for around 72% of the total transport emissions. After a decrease mainly caused by the 2008-2009 economic crisis and high oil prices, emissions from road transport started growing again in 2014, at an average yearly pace of 1.5%.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b/>
          <w:bCs/>
          <w:noProof/>
        </w:rPr>
        <w:t>Aviation</w:t>
      </w:r>
      <w:r>
        <w:rPr>
          <w:noProof/>
        </w:rPr>
        <w:t xml:space="preserve"> has a much lower share in GHG emission than road transport, but emissions would increase as air traffic is projected to increase in Europe and worldwide.</w:t>
      </w:r>
      <w:r>
        <w:rPr>
          <w:noProof/>
          <w:vertAlign w:val="superscript"/>
        </w:rPr>
        <w:footnoteReference w:id="202"/>
      </w:r>
      <w:r>
        <w:rPr>
          <w:noProof/>
        </w:rPr>
        <w:t xml:space="preserve"> According to the data reported by Members States to the United Nations Framework Convention on Climate Change, the </w:t>
      </w:r>
      <w:r>
        <w:rPr>
          <w:noProof/>
          <w:lang w:eastAsia="en-US"/>
        </w:rPr>
        <w:t>CO</w:t>
      </w:r>
      <w:r>
        <w:rPr>
          <w:noProof/>
          <w:vertAlign w:val="subscript"/>
          <w:lang w:eastAsia="en-US"/>
        </w:rPr>
        <w:t>2</w:t>
      </w:r>
      <w:r>
        <w:rPr>
          <w:noProof/>
        </w:rPr>
        <w:t xml:space="preserve"> emissions of all flights departing from EU and EFTA increased from 88 to 171 million tonnes (+95%) between 1990 and 2016. Between 2014 and 2017, average fuel burn per passenger kilometre flown has reduced at an average rate of 2.8% per annum. However, this efficiency gain was not sufficient to counterbalance the increase in CO</w:t>
      </w:r>
      <w:r>
        <w:rPr>
          <w:noProof/>
          <w:vertAlign w:val="subscript"/>
        </w:rPr>
        <w:t>2</w:t>
      </w:r>
      <w:r>
        <w:rPr>
          <w:noProof/>
        </w:rPr>
        <w:t xml:space="preserve"> emitted due to the growth in the number of flights, aircraft size and flown distance. During the 2013-2017 phase, the total verified CO</w:t>
      </w:r>
      <w:r>
        <w:rPr>
          <w:noProof/>
          <w:vertAlign w:val="subscript"/>
        </w:rPr>
        <w:t>2</w:t>
      </w:r>
      <w:r>
        <w:rPr>
          <w:noProof/>
        </w:rPr>
        <w:t xml:space="preserve"> emissions from aviation covered by the EU ETS increased from 53.5 Mt in 2013 to 64.3 Mt in 2017, equal to an average increase of 4.7% per year. Beyond CO</w:t>
      </w:r>
      <w:r>
        <w:rPr>
          <w:noProof/>
          <w:vertAlign w:val="subscript"/>
        </w:rPr>
        <w:t>2,</w:t>
      </w:r>
      <w:r>
        <w:rPr>
          <w:noProof/>
        </w:rPr>
        <w:t xml:space="preserve"> although more research is needed to fully understand the non-CO</w:t>
      </w:r>
      <w:r>
        <w:rPr>
          <w:noProof/>
          <w:vertAlign w:val="subscript"/>
        </w:rPr>
        <w:t>2</w:t>
      </w:r>
      <w:r>
        <w:rPr>
          <w:noProof/>
        </w:rPr>
        <w:t xml:space="preserve"> climate impacts from aviation activities, these have recently been estimated to be at least as important in total as those of CO</w:t>
      </w:r>
      <w:r>
        <w:rPr>
          <w:noProof/>
          <w:vertAlign w:val="subscript"/>
        </w:rPr>
        <w:t>2</w:t>
      </w:r>
      <w:r>
        <w:rPr>
          <w:noProof/>
        </w:rPr>
        <w:t xml:space="preserve"> alone. The Commission has provided and updated analysis of the science and potential policy measures to address these non-CO</w:t>
      </w:r>
      <w:r>
        <w:rPr>
          <w:noProof/>
          <w:vertAlign w:val="subscript"/>
        </w:rPr>
        <w:t>2</w:t>
      </w:r>
      <w:r>
        <w:rPr>
          <w:noProof/>
        </w:rPr>
        <w:t xml:space="preserve"> drivers of climate change.</w:t>
      </w:r>
      <w:r>
        <w:rPr>
          <w:rStyle w:val="FootnoteReference"/>
          <w:noProof/>
        </w:rPr>
        <w:footnoteReference w:id="203"/>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EU </w:t>
      </w:r>
      <w:r>
        <w:rPr>
          <w:b/>
          <w:bCs/>
          <w:noProof/>
        </w:rPr>
        <w:t>waterborne transport</w:t>
      </w:r>
      <w:r>
        <w:rPr>
          <w:noProof/>
        </w:rPr>
        <w:t xml:space="preserve"> consists of two very distinct segments: international shipping (ships calling from third countries in EU ports and sailing between two EU Member States) and inland navigation (ships sailing within the same EU Member State, including inland waterways). GHG emissions from inland navigation are subject to the EU Effort Sharing Regulation. Member States have to implement measures to fulfil the Union’s target of reducing its GHG emissions by 30% below 2005 levels in 2030 in these sectors.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Data collected from the EU MRV system</w:t>
      </w:r>
      <w:r>
        <w:rPr>
          <w:rStyle w:val="FootnoteReference"/>
          <w:noProof/>
        </w:rPr>
        <w:footnoteReference w:id="204"/>
      </w:r>
      <w:r>
        <w:rPr>
          <w:noProof/>
        </w:rPr>
        <w:t xml:space="preserve"> confirmed that CO</w:t>
      </w:r>
      <w:r>
        <w:rPr>
          <w:noProof/>
          <w:vertAlign w:val="subscript"/>
        </w:rPr>
        <w:t>2</w:t>
      </w:r>
      <w:r>
        <w:rPr>
          <w:noProof/>
        </w:rPr>
        <w:t xml:space="preserve"> emissions from maritime transport are substantial, with over 138 million tonnes of CO</w:t>
      </w:r>
      <w:r>
        <w:rPr>
          <w:noProof/>
          <w:vertAlign w:val="subscript"/>
        </w:rPr>
        <w:t>2</w:t>
      </w:r>
      <w:r>
        <w:rPr>
          <w:noProof/>
        </w:rPr>
        <w:t xml:space="preserve"> released into the atmosphere in 2018. This represents over 3.7% of total EU-27 plus UK CO</w:t>
      </w:r>
      <w:r>
        <w:rPr>
          <w:noProof/>
          <w:vertAlign w:val="subscript"/>
        </w:rPr>
        <w:t>2</w:t>
      </w:r>
      <w:r>
        <w:rPr>
          <w:noProof/>
        </w:rPr>
        <w:t xml:space="preserve"> emissions. While compared to other modes of transport, maritime transport remains the most carbon efficient mode of transport per ton km, the reported CO</w:t>
      </w:r>
      <w:r>
        <w:rPr>
          <w:noProof/>
          <w:vertAlign w:val="subscript"/>
        </w:rPr>
        <w:t>2</w:t>
      </w:r>
      <w:r>
        <w:rPr>
          <w:noProof/>
        </w:rPr>
        <w:t xml:space="preserve"> emissions in the EU, based on the fuel sold and also accounting for the inland and domestic navigation, make up around 14% of the total transport CO</w:t>
      </w:r>
      <w:r>
        <w:rPr>
          <w:noProof/>
          <w:vertAlign w:val="subscript"/>
        </w:rPr>
        <w:t>2</w:t>
      </w:r>
      <w:r>
        <w:rPr>
          <w:noProof/>
        </w:rPr>
        <w:t xml:space="preserve"> emissions.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EU's CO</w:t>
      </w:r>
      <w:r>
        <w:rPr>
          <w:noProof/>
          <w:vertAlign w:val="subscript"/>
        </w:rPr>
        <w:t>2</w:t>
      </w:r>
      <w:r>
        <w:rPr>
          <w:noProof/>
        </w:rPr>
        <w:t xml:space="preserve"> emissions from inland and domestic navigation</w:t>
      </w:r>
      <w:r>
        <w:rPr>
          <w:rStyle w:val="FootnoteReference"/>
          <w:noProof/>
        </w:rPr>
        <w:footnoteReference w:id="205"/>
      </w:r>
      <w:r>
        <w:rPr>
          <w:noProof/>
        </w:rPr>
        <w:t xml:space="preserve"> are about 16 million tonnes of CO</w:t>
      </w:r>
      <w:r>
        <w:rPr>
          <w:noProof/>
          <w:vertAlign w:val="subscript"/>
        </w:rPr>
        <w:t>2</w:t>
      </w:r>
      <w:r>
        <w:rPr>
          <w:noProof/>
        </w:rPr>
        <w:t xml:space="preserve"> and have decreased over time (about 26% below 1990 levels). This decrease is related to the renewal of the fleet, increase in energy efficiency (EU standards for inland waterways have been put in place since 2003).</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On the contrary, CO</w:t>
      </w:r>
      <w:r>
        <w:rPr>
          <w:noProof/>
          <w:vertAlign w:val="subscript"/>
        </w:rPr>
        <w:t>2</w:t>
      </w:r>
      <w:r>
        <w:rPr>
          <w:noProof/>
        </w:rPr>
        <w:t xml:space="preserve"> emissions from the EU-related international shipping (i.e. from ships calling to EEA ports from third countries and ships sailing between 2 or more EU Member States) have continued to increase, and are currently around one third above 1990 levels. This increase is primarily driven by the growth in transport activity and the current heavy reliance on oil derivatives despite the uptake of energy efficient technologies. </w:t>
      </w:r>
    </w:p>
    <w:p>
      <w:pPr>
        <w:pStyle w:val="LegalNumPar"/>
        <w:numPr>
          <w:ilvl w:val="0"/>
          <w:numId w:val="89"/>
        </w:numPr>
        <w:pBdr>
          <w:top w:val="nil"/>
          <w:left w:val="nil"/>
          <w:bottom w:val="nil"/>
          <w:right w:val="nil"/>
          <w:between w:val="nil"/>
          <w:bar w:val="nil"/>
        </w:pBdr>
        <w:tabs>
          <w:tab w:val="left" w:pos="476"/>
        </w:tabs>
        <w:spacing w:line="240" w:lineRule="auto"/>
        <w:rPr>
          <w:i/>
          <w:noProof/>
        </w:rPr>
      </w:pPr>
      <w:r>
        <w:rPr>
          <w:noProof/>
        </w:rPr>
        <w:t xml:space="preserve">Direct GHG emissions from </w:t>
      </w:r>
      <w:r>
        <w:rPr>
          <w:b/>
          <w:bCs/>
          <w:noProof/>
        </w:rPr>
        <w:t>rail transport</w:t>
      </w:r>
      <w:r>
        <w:rPr>
          <w:noProof/>
        </w:rPr>
        <w:t xml:space="preserve"> are very low, due to the majority of traffic running on electrified lines, representing only 0.4% of transport emissions. On this basis, shifting substantially more passengers and freight to rail would significantly contribute to decarbonising transport.</w:t>
      </w:r>
    </w:p>
    <w:p>
      <w:pPr>
        <w:pStyle w:val="LegalNumPar"/>
        <w:pBdr>
          <w:top w:val="nil"/>
          <w:left w:val="nil"/>
          <w:bottom w:val="nil"/>
          <w:right w:val="nil"/>
          <w:between w:val="nil"/>
          <w:bar w:val="nil"/>
        </w:pBdr>
        <w:tabs>
          <w:tab w:val="left" w:pos="476"/>
        </w:tabs>
        <w:spacing w:line="240" w:lineRule="auto"/>
        <w:ind w:left="476"/>
        <w:rPr>
          <w:i/>
          <w:noProof/>
        </w:rPr>
      </w:pPr>
    </w:p>
    <w:p>
      <w:pPr>
        <w:pStyle w:val="LegalNumPar"/>
        <w:pBdr>
          <w:top w:val="nil"/>
          <w:left w:val="nil"/>
          <w:bottom w:val="nil"/>
          <w:right w:val="nil"/>
          <w:between w:val="nil"/>
          <w:bar w:val="nil"/>
        </w:pBdr>
        <w:tabs>
          <w:tab w:val="left" w:pos="476"/>
        </w:tabs>
        <w:spacing w:line="240" w:lineRule="auto"/>
        <w:rPr>
          <w:i/>
          <w:noProof/>
        </w:rPr>
      </w:pPr>
      <w:r>
        <w:rPr>
          <w:i/>
          <w:iCs/>
          <w:noProof/>
        </w:rPr>
        <w:t>Air pollution</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Transport is responsible for more than half of all </w:t>
      </w:r>
      <w:r>
        <w:rPr>
          <w:noProof/>
          <w:lang w:eastAsia="en-US"/>
        </w:rPr>
        <w:t>nitrogen oxides (</w:t>
      </w:r>
      <w:r>
        <w:rPr>
          <w:noProof/>
        </w:rPr>
        <w:t>NO</w:t>
      </w:r>
      <w:r>
        <w:rPr>
          <w:noProof/>
          <w:vertAlign w:val="subscript"/>
        </w:rPr>
        <w:t>x</w:t>
      </w:r>
      <w:r>
        <w:rPr>
          <w:noProof/>
        </w:rPr>
        <w:t>) emissions and significantly contributes to the total emissions of the other air pollutants. The situation has improved though compared to the past. NO</w:t>
      </w:r>
      <w:r>
        <w:rPr>
          <w:noProof/>
          <w:vertAlign w:val="subscript"/>
        </w:rPr>
        <w:t xml:space="preserve">x </w:t>
      </w:r>
      <w:r>
        <w:rPr>
          <w:noProof/>
        </w:rPr>
        <w:t>emissions from road transport decreased by 37% between 2007 and 2017 (non-road transport: -20%).</w:t>
      </w:r>
      <w:r>
        <w:rPr>
          <w:rStyle w:val="FootnoteReference"/>
          <w:noProof/>
        </w:rPr>
        <w:footnoteReference w:id="206"/>
      </w:r>
      <w:r>
        <w:rPr>
          <w:noProof/>
        </w:rPr>
        <w:t xml:space="preserve"> During the same period, emissions of total </w:t>
      </w:r>
      <w:r>
        <w:rPr>
          <w:noProof/>
          <w:lang w:eastAsia="en-US"/>
        </w:rPr>
        <w:t>particulate matters t</w:t>
      </w:r>
      <w:r>
        <w:rPr>
          <w:noProof/>
          <w:color w:val="222222"/>
          <w:shd w:val="clear" w:color="auto" w:fill="FFFFFF"/>
        </w:rPr>
        <w:t>hat have diameter less than 2.5 micrometre (</w:t>
      </w:r>
      <w:r>
        <w:rPr>
          <w:noProof/>
          <w:lang w:eastAsia="en-US"/>
        </w:rPr>
        <w:t>PM</w:t>
      </w:r>
      <w:r>
        <w:rPr>
          <w:noProof/>
          <w:vertAlign w:val="subscript"/>
          <w:lang w:eastAsia="en-US"/>
        </w:rPr>
        <w:t>2.5</w:t>
      </w:r>
      <w:r>
        <w:rPr>
          <w:noProof/>
          <w:color w:val="222222"/>
          <w:shd w:val="clear" w:color="auto" w:fill="FFFFFF"/>
        </w:rPr>
        <w:t xml:space="preserve">) by </w:t>
      </w:r>
      <w:r>
        <w:rPr>
          <w:noProof/>
        </w:rPr>
        <w:t xml:space="preserve">road transport </w:t>
      </w:r>
      <w:r>
        <w:rPr>
          <w:noProof/>
          <w:lang w:eastAsia="en-US"/>
        </w:rPr>
        <w:t>decreased</w:t>
      </w:r>
      <w:r>
        <w:rPr>
          <w:noProof/>
        </w:rPr>
        <w:t xml:space="preserve"> by 42%, in non-road transport the decrease was 28% in the same timeframe</w:t>
      </w:r>
      <w:r>
        <w:rPr>
          <w:rStyle w:val="FootnoteReference"/>
          <w:noProof/>
        </w:rPr>
        <w:footnoteReference w:id="207"/>
      </w:r>
      <w:r>
        <w:rPr>
          <w:noProof/>
        </w:rPr>
        <w:t xml:space="preserve">. </w:t>
      </w:r>
      <w:r>
        <w:rPr>
          <w:noProof/>
          <w:lang w:eastAsia="en-US"/>
        </w:rPr>
        <w:t>Sulphur oxides (SO</w:t>
      </w:r>
      <w:r>
        <w:rPr>
          <w:noProof/>
          <w:vertAlign w:val="subscript"/>
          <w:lang w:eastAsia="en-US"/>
        </w:rPr>
        <w:t>x</w:t>
      </w:r>
      <w:r>
        <w:rPr>
          <w:noProof/>
          <w:lang w:eastAsia="en-US"/>
        </w:rPr>
        <w:t>)</w:t>
      </w:r>
      <w:r>
        <w:rPr>
          <w:noProof/>
        </w:rPr>
        <w:t xml:space="preserve"> emissions from road transport and non-road transport were 70% and 60% lower in 2017 than in 2007, respectively.</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SO</w:t>
      </w:r>
      <w:r>
        <w:rPr>
          <w:noProof/>
          <w:vertAlign w:val="subscript"/>
          <w:lang w:eastAsia="en-US"/>
        </w:rPr>
        <w:t>x</w:t>
      </w:r>
      <w:r>
        <w:rPr>
          <w:noProof/>
          <w:lang w:eastAsia="en-US"/>
        </w:rPr>
        <w:t xml:space="preserve"> and NO</w:t>
      </w:r>
      <w:r>
        <w:rPr>
          <w:noProof/>
          <w:vertAlign w:val="subscript"/>
          <w:lang w:eastAsia="en-US"/>
        </w:rPr>
        <w:t>x</w:t>
      </w:r>
      <w:r>
        <w:rPr>
          <w:noProof/>
          <w:lang w:eastAsia="en-US"/>
        </w:rPr>
        <w:t xml:space="preserve"> are known to be harmful to human health since they are precursors of PM pollution and ozone, causing respiratory symptoms and lung disease. In the atmosphere, SO</w:t>
      </w:r>
      <w:r>
        <w:rPr>
          <w:noProof/>
          <w:vertAlign w:val="subscript"/>
          <w:lang w:eastAsia="en-US"/>
        </w:rPr>
        <w:t>x</w:t>
      </w:r>
      <w:r>
        <w:rPr>
          <w:noProof/>
          <w:lang w:eastAsia="en-US"/>
        </w:rPr>
        <w:t xml:space="preserve"> can lead to acid rain, which harms crops, forests and aquatic species, and contributes to the acidification of the oceans. NO</w:t>
      </w:r>
      <w:r>
        <w:rPr>
          <w:noProof/>
          <w:vertAlign w:val="subscript"/>
          <w:lang w:eastAsia="en-US"/>
        </w:rPr>
        <w:t>x</w:t>
      </w:r>
      <w:r>
        <w:rPr>
          <w:noProof/>
          <w:lang w:eastAsia="en-US"/>
        </w:rPr>
        <w:t xml:space="preserve"> deposition</w:t>
      </w:r>
      <w:r>
        <w:rPr>
          <w:noProof/>
        </w:rPr>
        <w:t xml:space="preserve"> in the </w:t>
      </w:r>
      <w:r>
        <w:rPr>
          <w:noProof/>
          <w:lang w:eastAsia="en-US"/>
        </w:rPr>
        <w:t>oceans and seas induces eutrophication, which together with acidification,</w:t>
      </w:r>
      <w:r>
        <w:rPr>
          <w:noProof/>
        </w:rPr>
        <w:t xml:space="preserve"> is </w:t>
      </w:r>
      <w:r>
        <w:rPr>
          <w:noProof/>
          <w:lang w:eastAsia="en-US"/>
        </w:rPr>
        <w:t>a severe pressure</w:t>
      </w:r>
      <w:r>
        <w:rPr>
          <w:noProof/>
        </w:rPr>
        <w:t xml:space="preserve"> on marine b</w:t>
      </w:r>
      <w:r>
        <w:rPr>
          <w:noProof/>
          <w:lang w:eastAsia="en-US"/>
        </w:rPr>
        <w:t>iodiversity</w:t>
      </w:r>
      <w:r>
        <w:rPr>
          <w:noProof/>
        </w:rPr>
        <w: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The contribution of road transport to </w:t>
      </w:r>
      <w:r>
        <w:rPr>
          <w:noProof/>
          <w:lang w:eastAsia="en-US"/>
        </w:rPr>
        <w:t>harmful</w:t>
      </w:r>
      <w:r>
        <w:rPr>
          <w:noProof/>
        </w:rPr>
        <w:t xml:space="preserve"> NO</w:t>
      </w:r>
      <w:r>
        <w:rPr>
          <w:noProof/>
          <w:vertAlign w:val="subscript"/>
        </w:rPr>
        <w:t>x</w:t>
      </w:r>
      <w:r>
        <w:rPr>
          <w:noProof/>
        </w:rPr>
        <w:t xml:space="preserve"> concentrations is particularly problematic in urban areas, because emissions occur close to the ground and mainly in densely populated areas. I</w:t>
      </w:r>
      <w:r>
        <w:rPr>
          <w:noProof/>
          <w:lang w:eastAsia="en-US"/>
        </w:rPr>
        <w:t xml:space="preserve">n “street canyons”, i.e. streets enclosed by a high density of usually tall buildings and high levels of road traffic, </w:t>
      </w:r>
      <w:r>
        <w:rPr>
          <w:noProof/>
        </w:rPr>
        <w:t>NO</w:t>
      </w:r>
      <w:r>
        <w:rPr>
          <w:noProof/>
          <w:vertAlign w:val="subscript"/>
        </w:rPr>
        <w:t>x</w:t>
      </w:r>
      <w:r>
        <w:rPr>
          <w:noProof/>
          <w:lang w:eastAsia="en-US"/>
        </w:rPr>
        <w:t xml:space="preserve"> emissions can be very high, leading to exceedances of air quality standards.</w:t>
      </w:r>
      <w:r>
        <w:rPr>
          <w:noProof/>
        </w:rPr>
        <w:t xml:space="preserve"> </w:t>
      </w:r>
      <w:r>
        <w:rPr>
          <w:noProof/>
          <w:lang w:eastAsia="en-US"/>
        </w:rPr>
        <w:t>95% of the EU urban population remain exposed to pollutant concentrations above WHO air quality guidelines</w:t>
      </w:r>
      <w:r>
        <w:rPr>
          <w:rStyle w:val="FootnoteReference"/>
          <w:noProof/>
          <w:lang w:eastAsia="en-US"/>
        </w:rPr>
        <w:footnoteReference w:id="208"/>
      </w:r>
      <w:r>
        <w:rPr>
          <w:noProof/>
          <w:lang w:eastAsia="en-US"/>
        </w:rPr>
        <w:t xml:space="preserve"> and majority of EU Member States are in breach of the Union air quality legislation.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While gaseous emissions from transport are mostly arising from fuel combustion, other releases contribute to both non-methane volatile organic compounds (NMVOCs) (from fuel evaporation) and primary PM pollution, namely from road transport - exhaust and non-exhaust (from tyre- and brake-wear, and road abrasion). Combustion engines remain a significant source of transport nanoparticles. The relative importance of non-exhaust emissions for the larger sizes of particles has increased since the introduction of vehicle particulate abatement technologies, which reduced exhaust emissions</w:t>
      </w:r>
      <w:r>
        <w:rPr>
          <w:rStyle w:val="FootnoteReference"/>
          <w:noProof/>
        </w:rPr>
        <w:footnoteReference w:id="209"/>
      </w:r>
      <w:r>
        <w:rPr>
          <w:noProof/>
        </w:rPr>
        <w:t xml:space="preserve"> for some types of vehicles.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Maritime transport also contributes significantly to air pollution in Europe</w:t>
      </w:r>
      <w:r>
        <w:rPr>
          <w:rStyle w:val="FootnoteReference"/>
          <w:noProof/>
          <w:lang w:eastAsia="en-US"/>
        </w:rPr>
        <w:footnoteReference w:id="210"/>
      </w:r>
      <w:r>
        <w:rPr>
          <w:noProof/>
          <w:lang w:eastAsia="en-US"/>
        </w:rPr>
        <w:t xml:space="preserve"> as ship combustion generates SO</w:t>
      </w:r>
      <w:r>
        <w:rPr>
          <w:noProof/>
          <w:vertAlign w:val="subscript"/>
          <w:lang w:eastAsia="en-US"/>
        </w:rPr>
        <w:t>x</w:t>
      </w:r>
      <w:r>
        <w:rPr>
          <w:noProof/>
          <w:lang w:eastAsia="en-US"/>
        </w:rPr>
        <w:t xml:space="preserve">, </w:t>
      </w:r>
      <w:r>
        <w:rPr>
          <w:noProof/>
        </w:rPr>
        <w:t>NO</w:t>
      </w:r>
      <w:r>
        <w:rPr>
          <w:noProof/>
          <w:vertAlign w:val="subscript"/>
        </w:rPr>
        <w:t>x</w:t>
      </w:r>
      <w:r>
        <w:rPr>
          <w:noProof/>
          <w:lang w:eastAsia="en-US"/>
        </w:rPr>
        <w:t xml:space="preserve"> and particulate matter. Even though international and EU legislation has lowered the allowed sulphur content of marine fuels, these continue to contain more sulphur than fuels used on land. NO</w:t>
      </w:r>
      <w:r>
        <w:rPr>
          <w:noProof/>
          <w:vertAlign w:val="subscript"/>
          <w:lang w:eastAsia="en-US"/>
        </w:rPr>
        <w:t>x</w:t>
      </w:r>
      <w:r>
        <w:rPr>
          <w:noProof/>
          <w:lang w:eastAsia="en-US"/>
        </w:rPr>
        <w:t xml:space="preserve"> reducing engine standards or retrofits are also much less stricter.</w:t>
      </w:r>
      <w:r>
        <w:rPr>
          <w:noProof/>
        </w:rPr>
        <w:t xml:space="preserve">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Air transport also contributes to air pollution especially in the vicinity of airports. More precisely air quality is influenced not only by the emissions from aircraft engines, but also from other sources such as ground operations, surface access road transport and airport on-site energy generation and heating. The most significant emissions related to health impacts from aviation activities are particulate matter (PM), nitrogen oxides (NO</w:t>
      </w:r>
      <w:r>
        <w:rPr>
          <w:noProof/>
          <w:vertAlign w:val="subscript"/>
        </w:rPr>
        <w:t>x</w:t>
      </w:r>
      <w:r>
        <w:rPr>
          <w:noProof/>
        </w:rPr>
        <w:t>) and volatile organic compounds (VOCs)</w:t>
      </w:r>
      <w:r>
        <w:rPr>
          <w:rStyle w:val="FootnoteReference"/>
          <w:noProof/>
        </w:rPr>
        <w:footnoteReference w:id="211"/>
      </w:r>
      <w:r>
        <w:rPr>
          <w:noProof/>
        </w:rPr>
        <w:t>. The ICAO technical design standards limit emissions of NO</w:t>
      </w:r>
      <w:r>
        <w:rPr>
          <w:noProof/>
          <w:vertAlign w:val="subscript"/>
        </w:rPr>
        <w:t>x</w:t>
      </w:r>
      <w:r>
        <w:rPr>
          <w:noProof/>
        </w:rPr>
        <w:t>, carbon monoxide (CO) and unburnt hydrocarbons (HFC)</w:t>
      </w:r>
      <w:r>
        <w:rPr>
          <w:rStyle w:val="FootnoteReference"/>
          <w:noProof/>
        </w:rPr>
        <w:footnoteReference w:id="212"/>
      </w:r>
      <w:r>
        <w:rPr>
          <w:noProof/>
        </w:rPr>
        <w:t>. The general EU air quality legislation</w:t>
      </w:r>
      <w:r>
        <w:rPr>
          <w:rStyle w:val="FootnoteReference"/>
          <w:noProof/>
        </w:rPr>
        <w:footnoteReference w:id="213"/>
      </w:r>
      <w:r>
        <w:rPr>
          <w:noProof/>
        </w:rPr>
        <w:t xml:space="preserve"> establishing limit values for the certain pollutants (mainly NO</w:t>
      </w:r>
      <w:r>
        <w:rPr>
          <w:noProof/>
          <w:vertAlign w:val="subscript"/>
        </w:rPr>
        <w:t>x</w:t>
      </w:r>
      <w:r>
        <w:rPr>
          <w:noProof/>
        </w:rPr>
        <w:t xml:space="preserve"> and particulates in the case of aircraft emissions) also applies at and around airports.</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Black Carbon</w:t>
      </w:r>
      <w:r>
        <w:rPr>
          <w:rStyle w:val="FootnoteReference"/>
          <w:noProof/>
          <w:lang w:eastAsia="en-US"/>
        </w:rPr>
        <w:footnoteReference w:id="214"/>
      </w:r>
      <w:r>
        <w:rPr>
          <w:noProof/>
          <w:lang w:eastAsia="en-US"/>
        </w:rPr>
        <w:t xml:space="preserve"> is of great relevance for the EU in view of the on-going developments of the EU's air quality policy and the interlinkages to EU climate change policy. EU legislation addresses Black Carbon in the Directive 2008/50/EC of the European Parliament and of the Council on ambient air quality and cleaner air for Europe by setting binding air quality standard requirements on PM</w:t>
      </w:r>
      <w:r>
        <w:rPr>
          <w:noProof/>
          <w:vertAlign w:val="subscript"/>
          <w:lang w:eastAsia="en-US"/>
        </w:rPr>
        <w:t>10</w:t>
      </w:r>
      <w:r>
        <w:rPr>
          <w:noProof/>
          <w:lang w:eastAsia="en-US"/>
        </w:rPr>
        <w:t xml:space="preserve"> and PM</w:t>
      </w:r>
      <w:r>
        <w:rPr>
          <w:noProof/>
          <w:vertAlign w:val="subscript"/>
          <w:lang w:eastAsia="en-US"/>
        </w:rPr>
        <w:t>2.5</w:t>
      </w:r>
      <w:r>
        <w:rPr>
          <w:rStyle w:val="FootnoteReference"/>
          <w:noProof/>
          <w:lang w:eastAsia="en-US"/>
        </w:rPr>
        <w:footnoteReference w:id="215"/>
      </w:r>
      <w:r>
        <w:rPr>
          <w:noProof/>
          <w:lang w:eastAsia="en-US"/>
        </w:rPr>
        <w:t>. Although the Directive excludes PM emissions from international maritime shipping, future reductions of PM emissions from maritime transport due to the reduction of sulphur content and uptake of alternative fuels will contribute to a decrease of long range transboundary air pollution affecting background concentrations of air pollution in the EU. The joint Communication by the Commission and the High Representative of the Union for Foreign Affairs and Security Policy</w:t>
      </w:r>
      <w:r>
        <w:rPr>
          <w:rStyle w:val="FootnoteReference"/>
          <w:noProof/>
          <w:lang w:eastAsia="en-US"/>
        </w:rPr>
        <w:footnoteReference w:id="216"/>
      </w:r>
      <w:r>
        <w:rPr>
          <w:noProof/>
          <w:lang w:eastAsia="en-US"/>
        </w:rPr>
        <w:t xml:space="preserve"> on An Integrated European Policy for the Arctic of April 2016 outlines that the EU should contribute to international efforts to limit emissions of short-lived climate pollutants such as black carbon and methane that further accelerate climatic changes in the Arctic</w:t>
      </w:r>
      <w:r>
        <w:rPr>
          <w:rStyle w:val="FootnoteReference"/>
          <w:noProof/>
          <w:lang w:eastAsia="en-US"/>
        </w:rPr>
        <w:footnoteReference w:id="217"/>
      </w:r>
      <w:r>
        <w:rPr>
          <w:noProof/>
          <w:lang w:eastAsia="en-US"/>
        </w:rPr>
        <w:t xml:space="preserve">. </w:t>
      </w:r>
    </w:p>
    <w:p>
      <w:pPr>
        <w:pStyle w:val="LegalNumPar"/>
        <w:pBdr>
          <w:top w:val="nil"/>
          <w:left w:val="nil"/>
          <w:bottom w:val="nil"/>
          <w:right w:val="nil"/>
          <w:between w:val="nil"/>
          <w:bar w:val="nil"/>
        </w:pBdr>
        <w:tabs>
          <w:tab w:val="left" w:pos="476"/>
        </w:tabs>
        <w:spacing w:line="240" w:lineRule="auto"/>
        <w:ind w:left="476"/>
        <w:rPr>
          <w:noProof/>
          <w:lang w:eastAsia="en-US"/>
        </w:rPr>
      </w:pPr>
    </w:p>
    <w:p>
      <w:pPr>
        <w:pStyle w:val="LegalNumPar"/>
        <w:pBdr>
          <w:top w:val="nil"/>
          <w:left w:val="nil"/>
          <w:bottom w:val="nil"/>
          <w:right w:val="nil"/>
          <w:between w:val="nil"/>
          <w:bar w:val="nil"/>
        </w:pBdr>
        <w:tabs>
          <w:tab w:val="left" w:pos="476"/>
        </w:tabs>
        <w:spacing w:line="240" w:lineRule="auto"/>
        <w:rPr>
          <w:i/>
          <w:noProof/>
        </w:rPr>
      </w:pPr>
      <w:r>
        <w:rPr>
          <w:i/>
          <w:iCs/>
          <w:noProof/>
          <w:lang w:eastAsia="en-US"/>
        </w:rPr>
        <w:t>Noise pollution</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Noise pollution is the second largest health problem due to transport in the EU, with road traffic being the most </w:t>
      </w:r>
      <w:r>
        <w:rPr>
          <w:noProof/>
          <w:lang w:eastAsia="en-US"/>
        </w:rPr>
        <w:t>widespread</w:t>
      </w:r>
      <w:r>
        <w:rPr>
          <w:noProof/>
        </w:rPr>
        <w:t xml:space="preserve"> source of environmental noise.</w:t>
      </w:r>
      <w:r>
        <w:rPr>
          <w:noProof/>
          <w:lang w:eastAsia="en-US"/>
        </w:rPr>
        <w:t xml:space="preserve"> An estimated 120 million Europeans are affected by noise levels dangerous for health, mostly from road transport, above the recommended WHO levels</w:t>
      </w:r>
      <w:r>
        <w:rPr>
          <w:noProof/>
          <w:vertAlign w:val="superscript"/>
          <w:lang w:eastAsia="en-US"/>
        </w:rPr>
        <w:footnoteReference w:id="218"/>
      </w:r>
      <w:r>
        <w:rPr>
          <w:noProof/>
          <w:lang w:eastAsia="en-US"/>
        </w:rPr>
        <w:t>.</w:t>
      </w:r>
      <w:r>
        <w:rPr>
          <w:noProof/>
        </w:rPr>
        <w:t xml:space="preserve"> 48,000 new cases of ischaemic heart disease are causes each year by transport, and 6,500,000 citizen have their sleep heavily disturbed</w:t>
      </w:r>
      <w:r>
        <w:rPr>
          <w:noProof/>
          <w:vertAlign w:val="superscript"/>
        </w:rPr>
        <w:footnoteReference w:id="219"/>
      </w:r>
      <w:r>
        <w:rPr>
          <w:noProof/>
        </w:rPr>
        <w:t xml:space="preserve">. </w:t>
      </w:r>
      <w:r>
        <w:rPr>
          <w:noProof/>
          <w:lang w:eastAsia="en-US"/>
        </w:rPr>
        <w:t xml:space="preserve">It </w:t>
      </w:r>
      <w:r>
        <w:rPr>
          <w:noProof/>
        </w:rPr>
        <w:t>is also harmful to nature and certain eco-systems exposed to it</w:t>
      </w:r>
      <w:r>
        <w:rPr>
          <w:rStyle w:val="FootnoteReference"/>
          <w:noProof/>
        </w:rPr>
        <w:footnoteReference w:id="220"/>
      </w:r>
      <w:r>
        <w:rPr>
          <w:noProof/>
        </w:rPr>
        <w:t xml:space="preserve">.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Transport related noise generates an external cost of about EUR </w:t>
      </w:r>
      <w:r>
        <w:rPr>
          <w:noProof/>
          <w:lang w:eastAsia="en-US"/>
        </w:rPr>
        <w:t>60 billion in the EU-27.</w:t>
      </w:r>
      <w:r>
        <w:rPr>
          <w:rStyle w:val="FootnoteReference"/>
          <w:noProof/>
          <w:lang w:eastAsia="en-US"/>
        </w:rPr>
        <w:footnoteReference w:id="221"/>
      </w:r>
      <w:r>
        <w:rPr>
          <w:noProof/>
        </w:rPr>
        <w:t xml:space="preserve"> According to the latest data reported under the Environmental Noise Directive</w:t>
      </w:r>
      <w:r>
        <w:rPr>
          <w:rStyle w:val="FootnoteReference"/>
          <w:noProof/>
        </w:rPr>
        <w:footnoteReference w:id="222"/>
      </w:r>
      <w:r>
        <w:rPr>
          <w:noProof/>
        </w:rPr>
        <w:t>, around 100 million people in the EU are exposed to average sound levels of 55 dB or higher during the day, evening and night for road traffic noise, 20 million for railway noise and 4 million for aircraft noise. Similarly, road traffic is by far the biggest source of environmental noise during night time, affecting around 75 million people, followed by rail with 15 million people, air with 1.5 million people and industrial noise with 0.5 million people. While aircraft noise does not affect a wide geographical area, it causes more stress and disrupted sleep than road or railway at the same noise levels.</w:t>
      </w:r>
      <w:r>
        <w:rPr>
          <w:rStyle w:val="FootnoteReference"/>
          <w:noProof/>
        </w:rPr>
        <w:footnoteReference w:id="223"/>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Although modern electric passenger trains running on well-maintained track are relatively quiet, older freight wagons equipped with cast iron brake blocks can generate a significant noise issue, in particular since many freight trains are operated at night. This is a public health and political concern in some Member States, and leads to substantial opposition to increases in rail freight. Retrofitting of freight wagons with composite brake blocks (replacing cast iron brake blocks) is the most efficient way of addressing the matter</w:t>
      </w:r>
      <w:r>
        <w:rPr>
          <w:noProof/>
          <w:vertAlign w:val="superscript"/>
        </w:rPr>
        <w:footnoteReference w:id="224"/>
      </w:r>
      <w:r>
        <w:rPr>
          <w:noProof/>
          <w:vertAlign w:val="superscript"/>
        </w:rPr>
        <w:t>,</w:t>
      </w:r>
      <w:r>
        <w:rPr>
          <w:rStyle w:val="FootnoteReference"/>
          <w:noProof/>
        </w:rPr>
        <w:footnoteReference w:id="225"/>
      </w:r>
      <w:r>
        <w:rPr>
          <w:noProof/>
        </w:rPr>
        <w:t xml:space="preserve">. The banning of “noisy” freight wagons from the busiest rail freight routes from December 2024 as a result of the revised Technical Specification for Interoperability for Noise will largely address the European dimension of the issue.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In spite of technological improvements which have made aircraft less noisy, the problem of aircraft noise in the EU has continuously increased in the past years. This is due to the continuous overall growth of air traffic in Europe as well as the expansion from population affected by aviation noise, linked to demographic growth and weak land use planning. Noise from aircraft is the third largest source of noise pollution affecting EU citizens, and research shows that people perceive noise from aircraft as more annoying than noise from road or rail, at the same noise level exposure. It is estimated that in 2017, more than 2.5 million EU citizens were subject to 55 dB noise level from aircraft, an increase of 12% as compared to 2005. With the expected continued overall growth of air traffic in Europe in the next decades - generating more flights in particular at medium size airports, the total population affected by critical noise levels from aircraft will likely further increase, especially at regional airports. Aircraft noise at night time is also a growing concern. In 2017, around 1 million EU citizens were exposed to at least 50 dB aircraft noise levels at night, an increase by 13% as compared to 2005.</w:t>
      </w:r>
    </w:p>
    <w:p>
      <w:pPr>
        <w:pStyle w:val="LegalNumPar"/>
        <w:pBdr>
          <w:top w:val="nil"/>
          <w:left w:val="nil"/>
          <w:bottom w:val="nil"/>
          <w:right w:val="nil"/>
          <w:between w:val="nil"/>
          <w:bar w:val="nil"/>
        </w:pBdr>
        <w:tabs>
          <w:tab w:val="left" w:pos="476"/>
        </w:tabs>
        <w:spacing w:line="240" w:lineRule="auto"/>
        <w:ind w:left="476"/>
        <w:rPr>
          <w:noProof/>
          <w:szCs w:val="24"/>
        </w:rPr>
      </w:pPr>
    </w:p>
    <w:p>
      <w:pPr>
        <w:pStyle w:val="LegalNumPar"/>
        <w:keepNext/>
        <w:pBdr>
          <w:top w:val="nil"/>
          <w:left w:val="nil"/>
          <w:bottom w:val="nil"/>
          <w:right w:val="nil"/>
          <w:between w:val="nil"/>
          <w:bar w:val="nil"/>
        </w:pBdr>
        <w:tabs>
          <w:tab w:val="left" w:pos="476"/>
        </w:tabs>
        <w:spacing w:line="240" w:lineRule="auto"/>
        <w:rPr>
          <w:i/>
          <w:noProof/>
        </w:rPr>
      </w:pPr>
      <w:r>
        <w:rPr>
          <w:i/>
          <w:iCs/>
          <w:noProof/>
          <w:lang w:eastAsia="en-US"/>
        </w:rPr>
        <w:t>Water pollution</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According to a recent report from the European Environment Agency</w:t>
      </w:r>
      <w:r>
        <w:rPr>
          <w:rStyle w:val="FootnoteReference"/>
          <w:noProof/>
        </w:rPr>
        <w:footnoteReference w:id="226"/>
      </w:r>
      <w:r>
        <w:rPr>
          <w:noProof/>
        </w:rPr>
        <w:t>, the increased threats posed by overexploitation of marine resources, pollution and climate change call for urgent action to bring Europe’s seas back to good condition, and we are running out of time to reverse decades of neglect and misuse.</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Illegal discharges of oily waste, hazardous substances, sewage and garbage from ships harm the marine &amp; river environment</w:t>
      </w:r>
      <w:r>
        <w:rPr>
          <w:noProof/>
          <w:lang w:eastAsia="en-US"/>
        </w:rPr>
        <w:t>. T</w:t>
      </w:r>
      <w:r>
        <w:rPr>
          <w:noProof/>
          <w:color w:val="000000" w:themeColor="text1"/>
        </w:rPr>
        <w:t>he use of antifouling agents for ship paint is another source of emissions of toxic substances, generally organic pollutants, metal-organic compounds or heavy metals. In maritime transport and inland waterways, waste water and ballast water leads to the pollution of seawater, lakes or rivers. The emissions mainly occur in ports but also affects inland waterways, and can lead to substantial water and sediment pollution</w:t>
      </w:r>
      <w:r>
        <w:rPr>
          <w:rStyle w:val="FootnoteReference"/>
          <w:noProof/>
          <w:color w:val="000000" w:themeColor="text1"/>
        </w:rPr>
        <w:footnoteReference w:id="227"/>
      </w:r>
      <w:r>
        <w:rPr>
          <w:noProof/>
          <w:color w:val="000000" w:themeColor="text1"/>
        </w:rPr>
        <w:t xml:space="preserve">.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In inland navigation there is no common rule at EU level on protecting rivers against wastes from vessels. The absence of a policy and regulatory framework creates a “gap” in relation to the protection of waters and it would require close cooperation with relevant international organizations to address this.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Maritime transport and tourism (cruises) can also be a significant source of plastic pollution, as demonstrated also by its accumulation along shipping routes. The accidental loss of 342 containers in 2019 in the North Sea and the resulting waste dissemination is another case in point. The EU is aware of the problem and, further to adopting a new Directive on Port Reception Facilities focused on reducing litter from shipping and fishing as a follow-up of its Strategy for Plastics and the Circular Economy Action Plan, is considering additional initiatives to tackle sea-based sources of marine litter, including microplastics, in close cooperation with international partners and other relevant initiatives, notably the IMO Action Plan to address marine plastic litter from ships.</w:t>
      </w:r>
    </w:p>
    <w:p>
      <w:pPr>
        <w:pStyle w:val="LegalNumPar"/>
        <w:pBdr>
          <w:top w:val="nil"/>
          <w:left w:val="nil"/>
          <w:bottom w:val="nil"/>
          <w:right w:val="nil"/>
          <w:between w:val="nil"/>
          <w:bar w:val="nil"/>
        </w:pBdr>
        <w:tabs>
          <w:tab w:val="left" w:pos="476"/>
        </w:tabs>
        <w:spacing w:line="240" w:lineRule="auto"/>
        <w:rPr>
          <w:noProof/>
        </w:rPr>
      </w:pPr>
    </w:p>
    <w:p>
      <w:pPr>
        <w:pStyle w:val="LegalNumPar"/>
        <w:pBdr>
          <w:top w:val="nil"/>
          <w:left w:val="nil"/>
          <w:bottom w:val="nil"/>
          <w:right w:val="nil"/>
          <w:between w:val="nil"/>
          <w:bar w:val="nil"/>
        </w:pBdr>
        <w:tabs>
          <w:tab w:val="left" w:pos="476"/>
        </w:tabs>
        <w:spacing w:line="240" w:lineRule="auto"/>
        <w:rPr>
          <w:i/>
          <w:noProof/>
        </w:rPr>
      </w:pPr>
      <w:r>
        <w:rPr>
          <w:i/>
          <w:iCs/>
          <w:noProof/>
        </w:rPr>
        <w:t>Biodiversity loss</w:t>
      </w:r>
    </w:p>
    <w:p>
      <w:pPr>
        <w:pStyle w:val="LegalNumPar"/>
        <w:numPr>
          <w:ilvl w:val="0"/>
          <w:numId w:val="89"/>
        </w:numPr>
        <w:pBdr>
          <w:top w:val="nil"/>
          <w:left w:val="nil"/>
          <w:bottom w:val="nil"/>
          <w:right w:val="nil"/>
          <w:between w:val="nil"/>
          <w:bar w:val="nil"/>
        </w:pBdr>
        <w:tabs>
          <w:tab w:val="left" w:pos="476"/>
        </w:tabs>
        <w:spacing w:line="240" w:lineRule="auto"/>
        <w:rPr>
          <w:noProof/>
          <w:color w:val="000000" w:themeColor="text1"/>
        </w:rPr>
      </w:pPr>
      <w:r>
        <w:rPr>
          <w:noProof/>
          <w:color w:val="000000" w:themeColor="text1"/>
        </w:rPr>
        <w:t xml:space="preserve">Transport can also cause several significant negative impacts on ecosystems and biodiversity. The design and use of road, rail and waterborne transport infrastructure alters the quality and connectivity of habitats and can create physical barriers to the movement of plants and animals between habitat areas. Species can be injured or killed by vehicles, become isolated by habitat fragmentation or incapable of fulfilling their life cycle, lose their habitat, or exhibit behavioural changes that put their survival at risk, such as feeding on or near roads, or changes in migratory behaviour including for migratory fish, which can prevent them from reproducing and consequently exerts high pressure on the survival of populations. Fragmentation of rivers and deterioration of their hydrological and morphological conditions is one of the main pressure affecting freshwater in the EU. Barriers in rivers can also prevent the flow of sediments and consequently affect downstream water bodies. The development and use of transport infrastructure can also increase pollution levels in surrounding habitats. </w:t>
      </w:r>
    </w:p>
    <w:p>
      <w:pPr>
        <w:pStyle w:val="LegalNumPar"/>
        <w:numPr>
          <w:ilvl w:val="0"/>
          <w:numId w:val="89"/>
        </w:numPr>
        <w:pBdr>
          <w:top w:val="nil"/>
          <w:left w:val="nil"/>
          <w:bottom w:val="nil"/>
          <w:right w:val="nil"/>
          <w:between w:val="nil"/>
          <w:bar w:val="nil"/>
        </w:pBdr>
        <w:tabs>
          <w:tab w:val="left" w:pos="476"/>
        </w:tabs>
        <w:spacing w:line="240" w:lineRule="auto"/>
        <w:rPr>
          <w:noProof/>
          <w:color w:val="000000" w:themeColor="text1"/>
        </w:rPr>
      </w:pPr>
      <w:r>
        <w:rPr>
          <w:noProof/>
          <w:color w:val="000000" w:themeColor="text1"/>
        </w:rPr>
        <w:t>Noise and light pollution can affect the breeding success of many species of birds and mammals (e.g. bats) as well as their feeding, migration and wintering needs. Noise from ships can alter the capacity of fish and marine mammals to locate themselves, their capacity to search for food and to escape from predators.</w:t>
      </w:r>
    </w:p>
    <w:p>
      <w:pPr>
        <w:pStyle w:val="LegalNumPar"/>
        <w:numPr>
          <w:ilvl w:val="0"/>
          <w:numId w:val="89"/>
        </w:numPr>
        <w:pBdr>
          <w:top w:val="nil"/>
          <w:left w:val="nil"/>
          <w:bottom w:val="nil"/>
          <w:right w:val="nil"/>
          <w:between w:val="nil"/>
          <w:bar w:val="nil"/>
        </w:pBdr>
        <w:tabs>
          <w:tab w:val="left" w:pos="476"/>
        </w:tabs>
        <w:spacing w:line="240" w:lineRule="auto"/>
        <w:rPr>
          <w:noProof/>
          <w:color w:val="000000" w:themeColor="text1"/>
        </w:rPr>
      </w:pPr>
      <w:r>
        <w:rPr>
          <w:noProof/>
          <w:color w:val="000000"/>
        </w:rPr>
        <w:t>Furthermore, transport infrastructure and vehicles can serve as a vector for the spread of invasive alien species (through hull fouling, ballast water in relation to maritime and inland waterways transport, stowaway species attached to vehicles, infrastructure facilitating dispersal of species</w:t>
      </w:r>
      <w:r>
        <w:rPr>
          <w:noProof/>
        </w:rPr>
        <w:t xml:space="preserve"> </w:t>
      </w:r>
      <w:r>
        <w:rPr>
          <w:noProof/>
          <w:color w:val="000000"/>
        </w:rPr>
        <w:t>across physical and environmental barriers (e.g. a mountain range now crossed by a tunnel, new canals etc.).</w:t>
      </w:r>
      <w:r>
        <w:rPr>
          <w:noProof/>
          <w:color w:val="000000"/>
          <w:vertAlign w:val="superscript"/>
        </w:rPr>
        <w:footnoteReference w:id="228"/>
      </w:r>
      <w:r>
        <w:rPr>
          <w:noProof/>
          <w:color w:val="000000"/>
        </w:rPr>
        <w:t xml:space="preserve"> Invasive alien species have significant impacts on native species through competition, predation, etc., may cause alteration and/or loss of native habitats, or even impact overall ecosystem functioning. </w:t>
      </w:r>
    </w:p>
    <w:p>
      <w:pPr>
        <w:pStyle w:val="LegalNumPar"/>
        <w:numPr>
          <w:ilvl w:val="0"/>
          <w:numId w:val="89"/>
        </w:numPr>
        <w:pBdr>
          <w:top w:val="nil"/>
          <w:left w:val="nil"/>
          <w:bottom w:val="nil"/>
          <w:right w:val="nil"/>
          <w:between w:val="nil"/>
          <w:bar w:val="nil"/>
        </w:pBdr>
        <w:tabs>
          <w:tab w:val="left" w:pos="476"/>
        </w:tabs>
        <w:spacing w:line="240" w:lineRule="auto"/>
        <w:rPr>
          <w:noProof/>
          <w:color w:val="000000" w:themeColor="text1"/>
        </w:rPr>
      </w:pPr>
      <w:r>
        <w:rPr>
          <w:noProof/>
          <w:color w:val="000000"/>
        </w:rPr>
        <w:t>The loss and fragmentation of habitats through land use for transport infrastructure are estimated to amount to EUR 37 billion annually at EU-27 level.</w:t>
      </w:r>
      <w:r>
        <w:rPr>
          <w:noProof/>
          <w:color w:val="000000"/>
          <w:vertAlign w:val="superscript"/>
        </w:rPr>
        <w:footnoteReference w:id="229"/>
      </w:r>
      <w:r>
        <w:rPr>
          <w:noProof/>
          <w:color w:val="000000"/>
          <w:vertAlign w:val="superscript"/>
        </w:rPr>
        <w:t xml:space="preserve"> </w:t>
      </w:r>
      <w:r>
        <w:rPr>
          <w:noProof/>
          <w:color w:val="000000"/>
        </w:rPr>
        <w:t>The biggest share of these costs is produced by road infrastructure. However, railway infrastructure also tends to have a high impact on habitat, as well as inland waterways.</w:t>
      </w:r>
    </w:p>
    <w:p>
      <w:pPr>
        <w:pStyle w:val="LegalNumPar"/>
        <w:numPr>
          <w:ilvl w:val="0"/>
          <w:numId w:val="89"/>
        </w:numPr>
        <w:pBdr>
          <w:top w:val="nil"/>
          <w:left w:val="nil"/>
          <w:bottom w:val="nil"/>
          <w:right w:val="nil"/>
          <w:between w:val="nil"/>
          <w:bar w:val="nil"/>
        </w:pBdr>
        <w:tabs>
          <w:tab w:val="left" w:pos="476"/>
        </w:tabs>
        <w:spacing w:line="240" w:lineRule="auto"/>
        <w:rPr>
          <w:noProof/>
          <w:color w:val="000000" w:themeColor="text1"/>
        </w:rPr>
      </w:pPr>
      <w:r>
        <w:rPr>
          <w:noProof/>
          <w:color w:val="000000" w:themeColor="text1"/>
        </w:rPr>
        <w:t>Transport activities lead to other negative impacts on soil and water through abrasion of brakes, tyres, road surfaces and rail track (road, rail). Tyre abrasion in particular is one of the largest sources of microplastics, ending up in the food chain. Finally the deposit of combustion emissions from air onto land and into water may be the cause of severe instances of eutrophication and acidification hampering linked biodiversity.</w:t>
      </w:r>
    </w:p>
    <w:p>
      <w:pPr>
        <w:pStyle w:val="LegalNumPar"/>
        <w:pBdr>
          <w:top w:val="nil"/>
          <w:left w:val="nil"/>
          <w:bottom w:val="nil"/>
          <w:right w:val="nil"/>
          <w:between w:val="nil"/>
          <w:bar w:val="nil"/>
        </w:pBdr>
        <w:tabs>
          <w:tab w:val="left" w:pos="476"/>
        </w:tabs>
        <w:spacing w:line="240" w:lineRule="auto"/>
        <w:rPr>
          <w:i/>
          <w:noProof/>
        </w:rPr>
      </w:pPr>
    </w:p>
    <w:p>
      <w:pPr>
        <w:pStyle w:val="LegalNumPar"/>
        <w:pBdr>
          <w:top w:val="nil"/>
          <w:left w:val="nil"/>
          <w:bottom w:val="nil"/>
          <w:right w:val="nil"/>
          <w:between w:val="nil"/>
          <w:bar w:val="nil"/>
        </w:pBdr>
        <w:tabs>
          <w:tab w:val="left" w:pos="476"/>
        </w:tabs>
        <w:spacing w:line="240" w:lineRule="auto"/>
        <w:rPr>
          <w:i/>
          <w:noProof/>
        </w:rPr>
      </w:pPr>
      <w:r>
        <w:rPr>
          <w:i/>
          <w:iCs/>
          <w:noProof/>
        </w:rPr>
        <w:t>Insufficient physical activity</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Over-reliance on individual cars, in particular in urban areas, is linked with insufficient levels of regular physical activity for adults and children, and related health problems, including premature deaths</w:t>
      </w:r>
      <w:r>
        <w:rPr>
          <w:noProof/>
          <w:vertAlign w:val="superscript"/>
        </w:rPr>
        <w:footnoteReference w:id="230"/>
      </w:r>
      <w:r>
        <w:rPr>
          <w:noProof/>
        </w:rPr>
        <w:t>. A review of 28 health impact studies related to greater active transport and less car use found people who switched from using a car to active transport received substantial health benefits from increased physical activity. This benefit well outweighed any risks cyclists or pedestrians might experience from exposure to air pollution or being involved in motor vehicle crashes</w:t>
      </w:r>
      <w:r>
        <w:rPr>
          <w:noProof/>
          <w:vertAlign w:val="superscript"/>
        </w:rPr>
        <w:footnoteReference w:id="231"/>
      </w:r>
      <w:r>
        <w:rPr>
          <w:noProof/>
        </w:rPr>
        <w:t>. Being physically inactive is associated with many non-communicable diseases, such as cancer, cardiovascular diseases, overweight/obesity, dementia, type 2 diabetes and stress and anxiety. One study found that people who get insufficient exercise have a 20-30% increased risk of all-cause mortality compared with people who exercise for 30 minutes a day. The European Code against Cancer</w:t>
      </w:r>
      <w:r>
        <w:rPr>
          <w:rStyle w:val="FootnoteReference"/>
          <w:noProof/>
        </w:rPr>
        <w:footnoteReference w:id="232"/>
      </w:r>
      <w:r>
        <w:rPr>
          <w:noProof/>
        </w:rPr>
        <w:t>, an initiative of the European Commission, informs individual citizens about actions they can take for themselves or their families to reduce their risk of cancer. The Code calls for people to be physically active in everyday life and to limit the time spent sitting.</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Walking and cycling (combined with public transport or shared mobility if necessary) provide the opportunity for city dwellers, particularly those who do not have time for other exercise, to incorporate more physical activity into their daily routines</w:t>
      </w:r>
      <w:r>
        <w:rPr>
          <w:rStyle w:val="FootnoteReference"/>
          <w:noProof/>
        </w:rPr>
        <w:footnoteReference w:id="233"/>
      </w:r>
      <w:r>
        <w:rPr>
          <w:noProof/>
        </w:rPr>
        <w:t>. The Commission’s sustainable urban mobility planning (SUMP) concept and published guidelines provide an appropriate approach to facilitate active mobility in cities. In addition, the WHO’s Health Economic Assessment Tool (HEAT)</w:t>
      </w:r>
      <w:r>
        <w:rPr>
          <w:rStyle w:val="FootnoteReference"/>
          <w:noProof/>
        </w:rPr>
        <w:footnoteReference w:id="234"/>
      </w:r>
      <w:r>
        <w:rPr>
          <w:noProof/>
        </w:rPr>
        <w:t xml:space="preserve"> estimates the value of reduced mortality that results from regular walking or cycling and should be part of comprehensive cost–benefit analyses of transport interventions or infrastructure projects, in particular at urban level.</w:t>
      </w:r>
    </w:p>
    <w:p>
      <w:pPr>
        <w:pStyle w:val="LegalNumPar"/>
        <w:pBdr>
          <w:top w:val="nil"/>
          <w:left w:val="nil"/>
          <w:bottom w:val="nil"/>
          <w:right w:val="nil"/>
          <w:between w:val="nil"/>
          <w:bar w:val="nil"/>
        </w:pBdr>
        <w:tabs>
          <w:tab w:val="left" w:pos="476"/>
        </w:tabs>
        <w:spacing w:line="240" w:lineRule="auto"/>
        <w:ind w:left="476"/>
        <w:rPr>
          <w:noProof/>
        </w:rPr>
      </w:pPr>
    </w:p>
    <w:p>
      <w:pPr>
        <w:pStyle w:val="LegalNumPar"/>
        <w:pBdr>
          <w:top w:val="nil"/>
          <w:left w:val="nil"/>
          <w:bottom w:val="nil"/>
          <w:right w:val="nil"/>
          <w:between w:val="nil"/>
          <w:bar w:val="nil"/>
        </w:pBdr>
        <w:tabs>
          <w:tab w:val="left" w:pos="476"/>
        </w:tabs>
        <w:spacing w:line="240" w:lineRule="auto"/>
        <w:rPr>
          <w:i/>
          <w:noProof/>
        </w:rPr>
      </w:pPr>
      <w:r>
        <w:rPr>
          <w:i/>
          <w:iCs/>
          <w:noProof/>
        </w:rPr>
        <w:t>Degradation of public space</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 Road and parking infrastructure for individual cars contributes to soil sealing and takes up valuable space that could be used to create green areas as well as pedestrian and cycling infrastructure, which are beneficial for people’s physical and mental well-being</w:t>
      </w:r>
      <w:r>
        <w:rPr>
          <w:noProof/>
          <w:vertAlign w:val="superscript"/>
        </w:rPr>
        <w:footnoteReference w:id="235"/>
      </w:r>
      <w:r>
        <w:rPr>
          <w:noProof/>
        </w:rPr>
        <w:t>. The average car is parked more than 90% of the time.</w:t>
      </w:r>
      <w:r>
        <w:rPr>
          <w:rStyle w:val="FootnoteReference"/>
          <w:noProof/>
        </w:rPr>
        <w:footnoteReference w:id="236"/>
      </w:r>
      <w:r>
        <w:rPr>
          <w:noProof/>
        </w:rPr>
        <w:t xml:space="preserve"> In addition, the COVID-19 pandemic has highlighted the issue of distribution of public space in favour of motorised traffic: with cars accounting for ~30-40% of journeys and occupying ~70-80% of public space in European cities, there was often insufficient space left for people to walk and cycle whilst complying with social distancing requirements.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While visual pollution per se is a lesser concern than safety or noise, in the future it is possible that frequent sighting of remotely-piloted or autonomous aircraft in the sky, in particular in urban environments, may negatively impact social acceptance of their operations, and heighten concerns, justified or not, about privacy, safety or security. Therefore public acceptance is key for new technologies such as drones and Urban Air Mobility. </w:t>
      </w:r>
    </w:p>
    <w:p>
      <w:pPr>
        <w:pStyle w:val="Heading3"/>
        <w:rPr>
          <w:noProof/>
        </w:rPr>
      </w:pPr>
      <w:bookmarkStart w:id="1699" w:name="_Toc57291482"/>
      <w:bookmarkStart w:id="1700" w:name="_Toc46312103"/>
      <w:bookmarkStart w:id="1701" w:name="_Toc50044809"/>
      <w:bookmarkStart w:id="1702" w:name="_Toc50048924"/>
      <w:bookmarkStart w:id="1703" w:name="_Toc50415256"/>
      <w:bookmarkStart w:id="1704" w:name="_Toc50416538"/>
      <w:bookmarkStart w:id="1705" w:name="_Toc50417670"/>
      <w:bookmarkStart w:id="1706" w:name="_Toc50418313"/>
      <w:bookmarkStart w:id="1707" w:name="_Toc50459893"/>
      <w:bookmarkStart w:id="1708" w:name="_Toc50466100"/>
      <w:bookmarkStart w:id="1709" w:name="_Toc50473661"/>
      <w:bookmarkStart w:id="1710" w:name="_Toc50474712"/>
      <w:bookmarkStart w:id="1711" w:name="_Toc50565062"/>
      <w:bookmarkStart w:id="1712" w:name="_Toc50568670"/>
      <w:bookmarkStart w:id="1713" w:name="_Toc50629409"/>
      <w:bookmarkStart w:id="1714" w:name="_Toc50630241"/>
      <w:bookmarkStart w:id="1715" w:name="_Toc50630966"/>
      <w:bookmarkStart w:id="1716" w:name="_Toc50633810"/>
      <w:bookmarkStart w:id="1717" w:name="_Toc50634052"/>
      <w:bookmarkStart w:id="1718" w:name="_Toc50646500"/>
      <w:bookmarkStart w:id="1719" w:name="_Toc50646635"/>
      <w:bookmarkStart w:id="1720" w:name="_Toc50649454"/>
      <w:bookmarkStart w:id="1721" w:name="_Toc50650761"/>
      <w:bookmarkStart w:id="1722" w:name="_Toc51574795"/>
      <w:bookmarkStart w:id="1723" w:name="_Toc51575643"/>
      <w:bookmarkStart w:id="1724" w:name="_Toc51578030"/>
      <w:bookmarkStart w:id="1725" w:name="_Toc51578498"/>
      <w:bookmarkStart w:id="1726" w:name="_Toc51582914"/>
      <w:bookmarkStart w:id="1727" w:name="_Toc51583389"/>
      <w:bookmarkStart w:id="1728" w:name="_Toc51583479"/>
      <w:bookmarkStart w:id="1729" w:name="_Toc51583764"/>
      <w:bookmarkStart w:id="1730" w:name="_Toc51583954"/>
      <w:bookmarkStart w:id="1731" w:name="_Toc51583878"/>
      <w:bookmarkStart w:id="1732" w:name="_Toc51586196"/>
      <w:bookmarkStart w:id="1733" w:name="_Toc51593999"/>
      <w:bookmarkStart w:id="1734" w:name="_Toc51594325"/>
      <w:bookmarkStart w:id="1735" w:name="_Toc51595303"/>
      <w:bookmarkStart w:id="1736" w:name="_Toc51595553"/>
      <w:bookmarkStart w:id="1737" w:name="_Toc51595879"/>
      <w:bookmarkStart w:id="1738" w:name="_Toc51596042"/>
      <w:bookmarkStart w:id="1739" w:name="_Toc51596395"/>
      <w:bookmarkStart w:id="1740" w:name="_Toc52121529"/>
      <w:bookmarkStart w:id="1741" w:name="_Toc52122760"/>
      <w:bookmarkStart w:id="1742" w:name="_Toc52123877"/>
      <w:bookmarkStart w:id="1743" w:name="_Toc53405332"/>
      <w:bookmarkStart w:id="1744" w:name="_Toc53406122"/>
      <w:bookmarkStart w:id="1745" w:name="_Toc53407488"/>
      <w:bookmarkStart w:id="1746" w:name="_Toc53410935"/>
      <w:bookmarkStart w:id="1747" w:name="_Toc53411998"/>
      <w:bookmarkStart w:id="1748" w:name="_Toc53417245"/>
      <w:bookmarkStart w:id="1749" w:name="_Toc53417597"/>
      <w:bookmarkStart w:id="1750" w:name="_Toc53419832"/>
      <w:bookmarkStart w:id="1751" w:name="_Toc53434935"/>
      <w:bookmarkStart w:id="1752" w:name="_Toc53437075"/>
      <w:r>
        <w:rPr>
          <w:noProof/>
        </w:rPr>
        <w:t>Zero- and low-emission vehicles and renewable and low carbon transport fuels</w:t>
      </w:r>
      <w:bookmarkEnd w:id="1699"/>
      <w:r>
        <w:rPr>
          <w:noProof/>
        </w:rPr>
        <w:t xml:space="preserve"> </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Transport modes prevalent for our mobility and transport must be sustainable for the objective set in the Communication on the European Green Deal is to be attained. To achieve this, it is necessary to boost the production and uptake of low- and zero- emission vehicles, vessels and aircraft, supported by renewable and low-carbon fuels for road, waterborne, air and rail transport. There is need to ensure that the sustainable vehicles and fuels are supplied by the industry, put in place the necessary infrastructure, and incentivise demand by end-users. It will also be necessary to support research and innovation on competitive and future-proof technologies, products and services.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The European Green Deal stresses the need to ramp up production and distribution of renewable and low carbon fuels. It notes the relevance of complete alternative fuels connectivity throughout the EU and sets the objective of having 1 million public recharging and refuelling points in place by 2025.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This is because EU-27 transport still relies on oil for about 93% of its energy needs. Most energy consumed in road, air and waterborne transport is fossil fuel based. Road transport depended on oil products for 94% of its energy use and rail transport for 23% in 2018. While air transport relies only on kerosene, inland navigation uses few types of fuels, but all petroleum based. International shipping is capable of using a variety of oil based fuels, mainly heavier fuel oils due to their lower cost. In addition a few ships use liquefied natural gas fuel because of its lower pollution characteristics. The total EU oil import bill is estimated at EUR 227.5 billion in 2018</w:t>
      </w:r>
      <w:r>
        <w:rPr>
          <w:noProof/>
          <w:vertAlign w:val="superscript"/>
        </w:rPr>
        <w:footnoteReference w:id="237"/>
      </w:r>
      <w:r>
        <w:rPr>
          <w:noProof/>
          <w:lang w:eastAsia="en-US"/>
        </w:rPr>
        <w:t xml:space="preserve">. </w:t>
      </w:r>
    </w:p>
    <w:p>
      <w:pPr>
        <w:pStyle w:val="Caption"/>
        <w:keepNext/>
        <w:keepLines/>
        <w:jc w:val="center"/>
        <w:rPr>
          <w:i w:val="0"/>
          <w:noProof/>
        </w:rPr>
      </w:pPr>
      <w:bookmarkStart w:id="1753" w:name="_Toc50417624"/>
      <w:bookmarkStart w:id="1754" w:name="_Toc50418267"/>
      <w:bookmarkStart w:id="1755" w:name="_Toc50473615"/>
      <w:bookmarkStart w:id="1756" w:name="_Toc50474666"/>
      <w:bookmarkStart w:id="1757" w:name="_Toc50630195"/>
      <w:bookmarkStart w:id="1758" w:name="_Toc50630919"/>
      <w:bookmarkStart w:id="1759" w:name="_Toc50633763"/>
      <w:bookmarkStart w:id="1760" w:name="_Toc50634005"/>
      <w:bookmarkStart w:id="1761" w:name="_Toc50646451"/>
      <w:bookmarkStart w:id="1762" w:name="_Toc50646586"/>
      <w:bookmarkStart w:id="1763" w:name="_Toc50649405"/>
      <w:bookmarkStart w:id="1764" w:name="_Toc50650712"/>
      <w:bookmarkStart w:id="1765" w:name="_Toc51593768"/>
      <w:bookmarkStart w:id="1766" w:name="_Toc51595235"/>
      <w:bookmarkStart w:id="1767" w:name="_Toc51595485"/>
      <w:bookmarkStart w:id="1768" w:name="_Toc51595811"/>
      <w:bookmarkStart w:id="1769" w:name="_Toc51595974"/>
      <w:bookmarkStart w:id="1770" w:name="_Toc52121461"/>
      <w:bookmarkStart w:id="1771" w:name="_Toc52122692"/>
      <w:bookmarkStart w:id="1772" w:name="_Toc53405256"/>
      <w:bookmarkStart w:id="1773" w:name="_Toc53406046"/>
      <w:bookmarkStart w:id="1774" w:name="_Toc53407412"/>
      <w:bookmarkStart w:id="1775" w:name="_Toc53410859"/>
      <w:bookmarkStart w:id="1776" w:name="_Toc53411922"/>
      <w:bookmarkStart w:id="1777" w:name="_Toc53417169"/>
      <w:bookmarkStart w:id="1778" w:name="_Toc53417521"/>
      <w:bookmarkStart w:id="1779" w:name="_Toc53419554"/>
      <w:bookmarkStart w:id="1780" w:name="_Toc53434859"/>
      <w:bookmarkStart w:id="1781" w:name="_Toc53436999"/>
      <w:bookmarkStart w:id="1782" w:name="_Toc57291661"/>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17</w:t>
      </w:r>
      <w:r>
        <w:rPr>
          <w:noProof/>
        </w:rPr>
        <w:fldChar w:fldCharType="end"/>
      </w:r>
      <w:r>
        <w:rPr>
          <w:i w:val="0"/>
          <w:noProof/>
        </w:rPr>
        <w:t>: Evolution of final energy consumption by sector in the EU (million tonnes of oil equivalent)</w:t>
      </w:r>
      <w:bookmarkEnd w:id="1753"/>
      <w:bookmarkEnd w:id="1754"/>
      <w:bookmarkEnd w:id="1755"/>
      <w:bookmarkEnd w:id="1756"/>
      <w:bookmarkEnd w:id="1757"/>
      <w:bookmarkEnd w:id="1758"/>
      <w:bookmarkEnd w:id="1759"/>
      <w:bookmarkEnd w:id="1760"/>
      <w:bookmarkEnd w:id="1761"/>
      <w:bookmarkEnd w:id="1762"/>
      <w:bookmarkEnd w:id="1763"/>
      <w:bookmarkEnd w:id="1764"/>
      <w:r>
        <w:rPr>
          <w:rStyle w:val="FootnoteReference"/>
          <w:i w:val="0"/>
          <w:noProof/>
        </w:rPr>
        <w:footnoteReference w:id="238"/>
      </w:r>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p>
    <w:p>
      <w:pPr>
        <w:pStyle w:val="TableText"/>
        <w:keepNext/>
        <w:jc w:val="center"/>
        <w:rPr>
          <w:b w:val="0"/>
          <w:i/>
          <w:iCs/>
          <w:noProof/>
          <w:sz w:val="16"/>
          <w:szCs w:val="16"/>
          <w:lang w:eastAsia="en-US"/>
        </w:rPr>
      </w:pPr>
      <w:r>
        <w:rPr>
          <w:b w:val="0"/>
          <w:i/>
          <w:iCs/>
          <w:noProof/>
          <w:sz w:val="16"/>
          <w:szCs w:val="16"/>
        </w:rPr>
        <w:drawing>
          <wp:inline distT="0" distB="0" distL="0" distR="0">
            <wp:extent cx="4920615" cy="2425700"/>
            <wp:effectExtent l="0" t="0" r="0" b="0"/>
            <wp:docPr id="1657890218" name="Picture 1657890218" descr="C:\Users\sulyoge\Documents\Pict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ulyoge\Documents\Picture8.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4920615" cy="2425700"/>
                    </a:xfrm>
                    <a:prstGeom prst="rect">
                      <a:avLst/>
                    </a:prstGeom>
                    <a:noFill/>
                    <a:ln>
                      <a:noFill/>
                    </a:ln>
                  </pic:spPr>
                </pic:pic>
              </a:graphicData>
            </a:graphic>
          </wp:inline>
        </w:drawing>
      </w:r>
    </w:p>
    <w:p>
      <w:pPr>
        <w:pStyle w:val="TableText"/>
        <w:keepNext/>
        <w:rPr>
          <w:b w:val="0"/>
          <w:i/>
          <w:noProof/>
          <w:sz w:val="16"/>
          <w:szCs w:val="16"/>
          <w:lang w:eastAsia="en-US"/>
        </w:rPr>
      </w:pP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After reaching its peak in 2007, oil consumption in transport (including international aviation and maritime) reduced by 12.2% during 2007-2013 (-2.1% per year). Since 2014, oil consumption has been following an upward trend at an average rate of 1.9% per year. The growth in transport activity, the shift towards larger cars and the low oil prices were the main reasons for the increasing energy consumption. </w:t>
      </w:r>
    </w:p>
    <w:p>
      <w:pPr>
        <w:pStyle w:val="Caption"/>
        <w:keepNext/>
        <w:keepLines/>
        <w:jc w:val="center"/>
        <w:rPr>
          <w:i w:val="0"/>
          <w:noProof/>
        </w:rPr>
      </w:pPr>
      <w:bookmarkStart w:id="1783" w:name="_Toc57291662"/>
      <w:bookmarkStart w:id="1784" w:name="_Toc51593769"/>
      <w:bookmarkStart w:id="1785" w:name="_Toc51595236"/>
      <w:bookmarkStart w:id="1786" w:name="_Toc51595486"/>
      <w:bookmarkStart w:id="1787" w:name="_Toc51595812"/>
      <w:bookmarkStart w:id="1788" w:name="_Toc51595975"/>
      <w:bookmarkStart w:id="1789" w:name="_Toc52121462"/>
      <w:bookmarkStart w:id="1790" w:name="_Toc52122693"/>
      <w:bookmarkStart w:id="1791" w:name="_Toc53405257"/>
      <w:bookmarkStart w:id="1792" w:name="_Toc53406047"/>
      <w:bookmarkStart w:id="1793" w:name="_Toc53410860"/>
      <w:bookmarkStart w:id="1794" w:name="_Toc53407413"/>
      <w:bookmarkStart w:id="1795" w:name="_Toc53411923"/>
      <w:bookmarkStart w:id="1796" w:name="_Toc53417170"/>
      <w:bookmarkStart w:id="1797" w:name="_Toc53417522"/>
      <w:bookmarkStart w:id="1798" w:name="_Toc53419555"/>
      <w:bookmarkStart w:id="1799" w:name="_Toc53434860"/>
      <w:bookmarkStart w:id="1800" w:name="_Toc53437000"/>
      <w:bookmarkStart w:id="1801" w:name="_Toc50417625"/>
      <w:bookmarkStart w:id="1802" w:name="_Toc50418268"/>
      <w:bookmarkStart w:id="1803" w:name="_Toc50473616"/>
      <w:bookmarkStart w:id="1804" w:name="_Toc50474667"/>
      <w:bookmarkStart w:id="1805" w:name="_Toc50630196"/>
      <w:bookmarkStart w:id="1806" w:name="_Toc50630920"/>
      <w:bookmarkStart w:id="1807" w:name="_Toc50633764"/>
      <w:bookmarkStart w:id="1808" w:name="_Toc50634006"/>
      <w:bookmarkStart w:id="1809" w:name="_Toc50646452"/>
      <w:bookmarkStart w:id="1810" w:name="_Toc50646587"/>
      <w:bookmarkStart w:id="1811" w:name="_Toc50649406"/>
      <w:bookmarkStart w:id="1812" w:name="_Toc50650713"/>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18</w:t>
      </w:r>
      <w:r>
        <w:rPr>
          <w:noProof/>
        </w:rPr>
        <w:fldChar w:fldCharType="end"/>
      </w:r>
      <w:r>
        <w:rPr>
          <w:i w:val="0"/>
          <w:noProof/>
        </w:rPr>
        <w:t>: Transport sector consumption of petroleum products &amp; biofuels, 2000-18</w:t>
      </w:r>
      <w:r>
        <w:rPr>
          <w:b w:val="0"/>
          <w:i w:val="0"/>
          <w:noProof/>
          <w:sz w:val="21"/>
          <w:szCs w:val="21"/>
          <w:vertAlign w:val="superscript"/>
        </w:rPr>
        <w:footnoteReference w:id="239"/>
      </w:r>
      <w:bookmarkEnd w:id="1783"/>
    </w:p>
    <w:p>
      <w:pPr>
        <w:pStyle w:val="Caption"/>
        <w:keepNext/>
        <w:keepLines/>
        <w:jc w:val="center"/>
        <w:rPr>
          <w:b w:val="0"/>
          <w:noProof/>
          <w:sz w:val="21"/>
          <w:szCs w:val="21"/>
          <w:lang w:eastAsia="en-US"/>
        </w:rPr>
      </w:pPr>
      <w:r>
        <w:rPr>
          <w:i w:val="0"/>
          <w:noProof/>
        </w:rPr>
        <w:cr/>
      </w:r>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r>
        <w:rPr>
          <w:noProof/>
        </w:rPr>
        <w:drawing>
          <wp:inline distT="0" distB="0" distL="0" distR="0">
            <wp:extent cx="5399387" cy="3001107"/>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5400040" cy="3001470"/>
                    </a:xfrm>
                    <a:prstGeom prst="rect">
                      <a:avLst/>
                    </a:prstGeom>
                    <a:ln>
                      <a:noFill/>
                    </a:ln>
                    <a:extLst>
                      <a:ext uri="{53640926-AAD7-44D8-BBD7-CCE9431645EC}">
                        <a14:shadowObscured xmlns:a14="http://schemas.microsoft.com/office/drawing/2010/main"/>
                      </a:ext>
                    </a:extLst>
                  </pic:spPr>
                </pic:pic>
              </a:graphicData>
            </a:graphic>
          </wp:inline>
        </w:drawing>
      </w:r>
      <w:bookmarkEnd w:id="1801"/>
      <w:bookmarkEnd w:id="1802"/>
      <w:bookmarkEnd w:id="1803"/>
      <w:bookmarkEnd w:id="1804"/>
      <w:bookmarkEnd w:id="1805"/>
      <w:bookmarkEnd w:id="1806"/>
      <w:bookmarkEnd w:id="1807"/>
      <w:bookmarkEnd w:id="1808"/>
      <w:bookmarkEnd w:id="1809"/>
      <w:bookmarkEnd w:id="1810"/>
      <w:bookmarkEnd w:id="1811"/>
      <w:bookmarkEnd w:id="1812"/>
      <w:r>
        <w:rPr>
          <w:b w:val="0"/>
          <w:noProof/>
          <w:sz w:val="21"/>
          <w:szCs w:val="21"/>
          <w:lang w:eastAsia="en-US"/>
        </w:rPr>
        <w:t>Source: Eurostat Energy Balances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Until 2017, the average fuel efficiency of new light duty vehicles has been improving over time and this has helped to improve the fuel economy of the whole fleet. However, a rise in registrations has been observed in the past years in the sports utility vehicle (SUV) segment. In comparison with other car types, SUVs tend to have characteristics such as large frontal areas, greater mass and higher drag coefficients that have a negative impact on fuel consumption. Following the “Dieselgate” affair of 2015, there has also been a marked shift toward gasoline cars which traditionally have had lower fuel efficiency than diesel ones</w:t>
      </w:r>
      <w:r>
        <w:rPr>
          <w:rStyle w:val="FootnoteReference"/>
          <w:noProof/>
        </w:rPr>
        <w:footnoteReference w:id="240"/>
      </w:r>
      <w:r>
        <w:rPr>
          <w:noProof/>
        </w:rPr>
        <w:t>. These trends have contributed to an overall increase in average fuel consumption and CO</w:t>
      </w:r>
      <w:r>
        <w:rPr>
          <w:noProof/>
          <w:vertAlign w:val="subscript"/>
        </w:rPr>
        <w:t>2</w:t>
      </w:r>
      <w:r>
        <w:rPr>
          <w:noProof/>
        </w:rPr>
        <w:t xml:space="preserve"> emissions of the new passenger car fleet. In 2019 (provisional data), new cars registered in the EU, UK, Norway and Iceland had average CO2 emissions of 122.4 g CO2/km (4.3 g/km higher than in 2016). </w:t>
      </w:r>
    </w:p>
    <w:p>
      <w:pPr>
        <w:pStyle w:val="LegalNumPar"/>
        <w:numPr>
          <w:ilvl w:val="0"/>
          <w:numId w:val="89"/>
        </w:numPr>
        <w:pBdr>
          <w:top w:val="nil"/>
          <w:left w:val="nil"/>
          <w:bottom w:val="nil"/>
          <w:right w:val="nil"/>
          <w:between w:val="nil"/>
          <w:bar w:val="nil"/>
        </w:pBdr>
        <w:tabs>
          <w:tab w:val="left" w:pos="476"/>
        </w:tabs>
        <w:spacing w:line="240" w:lineRule="auto"/>
        <w:rPr>
          <w:noProof/>
          <w:color w:val="000000" w:themeColor="text1"/>
        </w:rPr>
      </w:pPr>
      <w:r>
        <w:rPr>
          <w:noProof/>
        </w:rPr>
        <w:t>The sales of plug-in hybrid electric passenger vehicles (PHEV)</w:t>
      </w:r>
      <w:r>
        <w:rPr>
          <w:rStyle w:val="FootnoteReference"/>
          <w:noProof/>
        </w:rPr>
        <w:footnoteReference w:id="241"/>
      </w:r>
      <w:r>
        <w:rPr>
          <w:noProof/>
        </w:rPr>
        <w:t xml:space="preserve"> and battery-electric passenger vehicles (BEV) in the EU have steadily increased over the past years. According to incomplete 2020 data from the European Alternative Fuels Observatory, the EU vehicle fleet currently includes around 1.7 million battery-electric and plug-in hybrid light duty vehicles</w:t>
      </w:r>
      <w:r>
        <w:rPr>
          <w:rStyle w:val="FootnoteReference"/>
          <w:noProof/>
        </w:rPr>
        <w:footnoteReference w:id="242"/>
      </w:r>
      <w:r>
        <w:rPr>
          <w:noProof/>
        </w:rPr>
        <w:t xml:space="preserve"> (Category M1 and N1</w:t>
      </w:r>
      <w:r>
        <w:rPr>
          <w:noProof/>
          <w:color w:val="000000"/>
        </w:rPr>
        <w:t>). This is more than four times more than in 2015 (about 280,000)</w:t>
      </w:r>
      <w:r>
        <w:rPr>
          <w:noProof/>
        </w:rPr>
        <w:t xml:space="preserve">. </w:t>
      </w:r>
      <w:r>
        <w:rPr>
          <w:noProof/>
          <w:color w:val="000000" w:themeColor="text1"/>
        </w:rPr>
        <w:t>The size of the light electric vehicle fleet also exceeded 157,000. Registration of electric powered-two-wheelers (e-PTWs) have been rapidly growing in Europe</w:t>
      </w:r>
      <w:r>
        <w:rPr>
          <w:rStyle w:val="FootnoteReference"/>
          <w:noProof/>
          <w:color w:val="000000" w:themeColor="text1"/>
        </w:rPr>
        <w:footnoteReference w:id="243"/>
      </w:r>
      <w:r>
        <w:rPr>
          <w:noProof/>
          <w:color w:val="000000" w:themeColor="text1"/>
        </w:rPr>
        <w:t xml:space="preserve">. </w:t>
      </w:r>
      <w:r>
        <w:rPr>
          <w:noProof/>
        </w:rPr>
        <w:t xml:space="preserve">However, electric vehicle deployment is still uneven in the Union. In 2019, the Netherlands (15.2%) and Sweden (5.1%) were the only Member States with comparatively higher market share for electric cars in new vehicle sales, while in 2020 more Member States are witnessing higher growth rates. </w:t>
      </w:r>
    </w:p>
    <w:p>
      <w:pPr>
        <w:pStyle w:val="Caption"/>
        <w:keepNext/>
        <w:keepLines/>
        <w:jc w:val="center"/>
        <w:rPr>
          <w:i w:val="0"/>
          <w:noProof/>
        </w:rPr>
      </w:pPr>
      <w:bookmarkStart w:id="1813" w:name="_Toc50417626"/>
      <w:bookmarkStart w:id="1814" w:name="_Toc50418269"/>
      <w:bookmarkStart w:id="1815" w:name="_Toc50473617"/>
      <w:bookmarkStart w:id="1816" w:name="_Toc50474668"/>
      <w:bookmarkStart w:id="1817" w:name="_Toc50630197"/>
      <w:bookmarkStart w:id="1818" w:name="_Toc50630921"/>
      <w:bookmarkStart w:id="1819" w:name="_Toc50633765"/>
      <w:bookmarkStart w:id="1820" w:name="_Toc50634007"/>
      <w:bookmarkStart w:id="1821" w:name="_Toc50646453"/>
      <w:bookmarkStart w:id="1822" w:name="_Toc50646588"/>
      <w:bookmarkStart w:id="1823" w:name="_Toc50649407"/>
      <w:bookmarkStart w:id="1824" w:name="_Toc50650714"/>
      <w:bookmarkStart w:id="1825" w:name="_Toc51593770"/>
      <w:bookmarkStart w:id="1826" w:name="_Toc51595237"/>
      <w:bookmarkStart w:id="1827" w:name="_Toc51595487"/>
      <w:bookmarkStart w:id="1828" w:name="_Toc51595813"/>
      <w:bookmarkStart w:id="1829" w:name="_Toc51595976"/>
      <w:bookmarkStart w:id="1830" w:name="_Toc52121463"/>
      <w:bookmarkStart w:id="1831" w:name="_Toc52122694"/>
      <w:bookmarkStart w:id="1832" w:name="_Toc53405258"/>
      <w:bookmarkStart w:id="1833" w:name="_Toc53406048"/>
      <w:bookmarkStart w:id="1834" w:name="_Toc53407414"/>
      <w:bookmarkStart w:id="1835" w:name="_Toc53410861"/>
      <w:bookmarkStart w:id="1836" w:name="_Toc53411924"/>
      <w:bookmarkStart w:id="1837" w:name="_Toc53417171"/>
      <w:bookmarkStart w:id="1838" w:name="_Toc53417523"/>
      <w:bookmarkStart w:id="1839" w:name="_Toc53419556"/>
      <w:bookmarkStart w:id="1840" w:name="_Toc53434861"/>
      <w:bookmarkStart w:id="1841" w:name="_Toc53437001"/>
      <w:bookmarkStart w:id="1842" w:name="_Toc57291663"/>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19</w:t>
      </w:r>
      <w:r>
        <w:rPr>
          <w:noProof/>
        </w:rPr>
        <w:fldChar w:fldCharType="end"/>
      </w:r>
      <w:r>
        <w:rPr>
          <w:i w:val="0"/>
          <w:noProof/>
        </w:rPr>
        <w:t>: Number of BEV and PHEV passenger cars in 2020</w:t>
      </w:r>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p>
    <w:p>
      <w:pPr>
        <w:pStyle w:val="TableText"/>
        <w:rPr>
          <w:b w:val="0"/>
          <w:noProof/>
          <w:sz w:val="20"/>
        </w:rPr>
      </w:pPr>
      <w:r>
        <w:rPr>
          <w:b w:val="0"/>
          <w:noProof/>
          <w:sz w:val="20"/>
        </w:rPr>
        <w:drawing>
          <wp:inline distT="0" distB="0" distL="0" distR="0">
            <wp:extent cx="5400040" cy="3645339"/>
            <wp:effectExtent l="0" t="0" r="0" b="0"/>
            <wp:docPr id="1528954627" name="Picture 1528954627" descr="C:\Users\sulyoge\Documents\Picture9-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ulyoge\Documents\Picture9-min.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400040" cy="3645339"/>
                    </a:xfrm>
                    <a:prstGeom prst="rect">
                      <a:avLst/>
                    </a:prstGeom>
                    <a:noFill/>
                    <a:ln>
                      <a:noFill/>
                    </a:ln>
                  </pic:spPr>
                </pic:pic>
              </a:graphicData>
            </a:graphic>
          </wp:inline>
        </w:drawing>
      </w:r>
      <w:r>
        <w:rPr>
          <w:b w:val="0"/>
          <w:noProof/>
          <w:sz w:val="20"/>
          <w:lang w:eastAsia="en-US"/>
        </w:rPr>
        <w:t xml:space="preserve"> </w:t>
      </w:r>
    </w:p>
    <w:p>
      <w:pPr>
        <w:pStyle w:val="TableText"/>
        <w:ind w:firstLine="476"/>
        <w:rPr>
          <w:b w:val="0"/>
          <w:i/>
          <w:noProof/>
          <w:sz w:val="16"/>
          <w:szCs w:val="16"/>
        </w:rPr>
      </w:pPr>
      <w:r>
        <w:rPr>
          <w:b w:val="0"/>
          <w:i/>
          <w:iCs/>
          <w:noProof/>
          <w:sz w:val="16"/>
          <w:szCs w:val="16"/>
          <w:lang w:val="fr-BE"/>
        </w:rPr>
        <w:t>Source: European Alternative Fuels Observatory</w:t>
      </w:r>
      <w:r>
        <w:rPr>
          <w:rStyle w:val="FootnoteReference"/>
          <w:i/>
          <w:iCs/>
          <w:noProof/>
          <w:color w:val="000000"/>
          <w:sz w:val="16"/>
          <w:szCs w:val="16"/>
        </w:rPr>
        <w:footnoteReference w:id="244"/>
      </w:r>
    </w:p>
    <w:p>
      <w:pPr>
        <w:pStyle w:val="LegalNumPar"/>
        <w:numPr>
          <w:ilvl w:val="0"/>
          <w:numId w:val="89"/>
        </w:numPr>
        <w:pBdr>
          <w:top w:val="nil"/>
          <w:left w:val="nil"/>
          <w:bottom w:val="nil"/>
          <w:right w:val="nil"/>
          <w:between w:val="nil"/>
          <w:bar w:val="nil"/>
        </w:pBdr>
        <w:tabs>
          <w:tab w:val="left" w:pos="476"/>
        </w:tabs>
        <w:spacing w:line="240" w:lineRule="auto"/>
        <w:rPr>
          <w:noProof/>
          <w:color w:val="000000" w:themeColor="text1"/>
        </w:rPr>
      </w:pPr>
      <w:r>
        <w:rPr>
          <w:noProof/>
          <w:color w:val="000000" w:themeColor="text1"/>
        </w:rPr>
        <w:t xml:space="preserve">As regards </w:t>
      </w:r>
      <w:r>
        <w:rPr>
          <w:noProof/>
        </w:rPr>
        <w:t>Compressed Natural Gas (CNG)</w:t>
      </w:r>
      <w:r>
        <w:rPr>
          <w:noProof/>
          <w:color w:val="000000" w:themeColor="text1"/>
        </w:rPr>
        <w:t xml:space="preserve"> light-duty vehicles, </w:t>
      </w:r>
      <w:r>
        <w:rPr>
          <w:noProof/>
        </w:rPr>
        <w:t xml:space="preserve">Italy was the Member State with the largest fleet (close to 1.1 million), whereas fleets in other Member States were considerably smaller. </w:t>
      </w:r>
      <w:r>
        <w:rPr>
          <w:noProof/>
          <w:color w:val="000000" w:themeColor="text1"/>
        </w:rPr>
        <w:t>The light-duty vehicle fleet fuelled by CNG in the whole EU has increased slightly since 2015, from about 1.2 million vehicles to 1.36 million vehicles.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Heavy-duty vehicle fleets in the bus and coach segment included approximately 20,000 CNG/Liquefied Natural Gas (LNG) buses and coaches, approximately 2,200 battery-electric buses and around 100 hydrogen buses.  Zero-emission buses are rapidly growing in importance, also due to the requirements of the revised Clean Vehicles Directive. In 2019, 15% of all new bus registrations were alternatively-powered vehicles, according to ACEA. Concerning heavy-duty road freight transport, natural gas currently represents the main alternative fuel, with approximately 24,000 CNG and 4,000 LNG lorries in operation in 2019. While zero-emission lorries are still in an early stage of market development, demonstration fleets of electric lorries for regional use profiles are already in operation.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In addition to various national and European support schemes and measures to boost R&amp;I towards clean </w:t>
      </w:r>
      <w:r>
        <w:rPr>
          <w:noProof/>
          <w:color w:val="000000"/>
        </w:rPr>
        <w:t>vehicles</w:t>
      </w:r>
      <w:r>
        <w:rPr>
          <w:noProof/>
        </w:rPr>
        <w:t xml:space="preserve"> such as the successful </w:t>
      </w:r>
      <w:r>
        <w:rPr>
          <w:rStyle w:val="Strong"/>
          <w:b w:val="0"/>
          <w:bCs w:val="0"/>
          <w:noProof/>
          <w:color w:val="000000"/>
          <w:bdr w:val="none" w:sz="0" w:space="0" w:color="auto" w:frame="1"/>
          <w:shd w:val="clear" w:color="auto" w:fill="FFFFFF"/>
        </w:rPr>
        <w:t>European Green Vehicles Initiative</w:t>
      </w:r>
      <w:r>
        <w:rPr>
          <w:b/>
          <w:bCs/>
          <w:noProof/>
        </w:rPr>
        <w:t>,</w:t>
      </w:r>
      <w:r>
        <w:rPr>
          <w:noProof/>
        </w:rPr>
        <w:t xml:space="preserve"> the European CO</w:t>
      </w:r>
      <w:r>
        <w:rPr>
          <w:noProof/>
          <w:vertAlign w:val="subscript"/>
        </w:rPr>
        <w:t>2</w:t>
      </w:r>
      <w:r>
        <w:rPr>
          <w:noProof/>
        </w:rPr>
        <w:t xml:space="preserve"> standards have been the key driver of the uptake of the low and zero-emission light-duty vehicles.</w:t>
      </w:r>
      <w:r>
        <w:rPr>
          <w:noProof/>
          <w:color w:val="000000"/>
          <w:shd w:val="clear" w:color="auto" w:fill="FFFFFF"/>
        </w:rPr>
        <w:t>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color w:val="000000"/>
          <w:shd w:val="clear" w:color="auto" w:fill="FFFFFF"/>
        </w:rPr>
        <w:t>Cur</w:t>
      </w:r>
      <w:r>
        <w:rPr>
          <w:noProof/>
        </w:rPr>
        <w:t>rent CO</w:t>
      </w:r>
      <w:r>
        <w:rPr>
          <w:noProof/>
          <w:vertAlign w:val="subscript"/>
        </w:rPr>
        <w:t>2</w:t>
      </w:r>
      <w:r>
        <w:rPr>
          <w:noProof/>
        </w:rPr>
        <w:t xml:space="preserve"> emission performance standards require average CO</w:t>
      </w:r>
      <w:r>
        <w:rPr>
          <w:noProof/>
          <w:vertAlign w:val="subscript"/>
        </w:rPr>
        <w:t>2</w:t>
      </w:r>
      <w:r>
        <w:rPr>
          <w:noProof/>
        </w:rPr>
        <w:t xml:space="preserve"> emissions from new cars and </w:t>
      </w:r>
      <w:r>
        <w:rPr>
          <w:noProof/>
          <w:color w:val="000000"/>
        </w:rPr>
        <w:t>vans</w:t>
      </w:r>
      <w:r>
        <w:rPr>
          <w:noProof/>
        </w:rPr>
        <w:t xml:space="preserve"> to be respectively 37.5% and 31% lower in 2030 compared to 2021; in the case of lorries, average 2030 CO</w:t>
      </w:r>
      <w:r>
        <w:rPr>
          <w:noProof/>
          <w:vertAlign w:val="subscript"/>
        </w:rPr>
        <w:t>2</w:t>
      </w:r>
      <w:r>
        <w:rPr>
          <w:noProof/>
        </w:rPr>
        <w:t xml:space="preserve"> emissions must be 30% lower than the 2021 baseline. For all three categories, emission reductions of 15% are required by 2025. These standards will further drive low and zero-emission vehicles in the market.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While </w:t>
      </w:r>
      <w:r>
        <w:rPr>
          <w:b/>
          <w:bCs/>
          <w:noProof/>
        </w:rPr>
        <w:t>rail</w:t>
      </w:r>
      <w:r>
        <w:rPr>
          <w:noProof/>
        </w:rPr>
        <w:t xml:space="preserve"> is already largely electrified, it is not economic to electrify some parts of the network (e.g. rural branch lines or production site feeder lines), while it is difficult or impossible for others (e.g. parts of ports where catenary would interfere with cargo handling). Hydrogen, and battery electric rolling stock would allow the elimination of remaining diesel operations.</w:t>
      </w:r>
      <w:r>
        <w:rPr>
          <w:b/>
          <w:bCs/>
          <w:noProof/>
        </w:rPr>
        <w:t xml:space="preserve"> </w:t>
      </w:r>
      <w:r>
        <w:rPr>
          <w:noProof/>
        </w:rPr>
        <w:t>Such alternative fuels powered trains, whose development is supported by Shift2Rail Joint Undertaking and Fuel Cells and Hydrogen Joint Undertaking (FCH JU), can bring rail to zero direct CO</w:t>
      </w:r>
      <w:r>
        <w:rPr>
          <w:noProof/>
          <w:vertAlign w:val="subscript"/>
        </w:rPr>
        <w:t>2</w:t>
      </w:r>
      <w:r>
        <w:rPr>
          <w:noProof/>
        </w:rPr>
        <w:t xml:space="preserve"> emissions, decrease air pollution, and improve rail’s multimodal performances (hybrid locomotives</w:t>
      </w:r>
      <w:r>
        <w:rPr>
          <w:rStyle w:val="FootnoteReference"/>
          <w:noProof/>
        </w:rPr>
        <w:footnoteReference w:id="245"/>
      </w:r>
      <w:r>
        <w:rPr>
          <w:noProof/>
        </w:rPr>
        <w:t xml:space="preserve"> can switch from an electrified line to a terminal eliminating the need for additional shunting locomotives).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Substantial emission reduction has been achieved in the </w:t>
      </w:r>
      <w:r>
        <w:rPr>
          <w:b/>
          <w:bCs/>
          <w:noProof/>
        </w:rPr>
        <w:t xml:space="preserve">aviation </w:t>
      </w:r>
      <w:r>
        <w:rPr>
          <w:noProof/>
        </w:rPr>
        <w:t xml:space="preserve">sector by improving the fuel efficiency of aircraft engines and design. </w:t>
      </w:r>
      <w:r>
        <w:rPr>
          <w:noProof/>
          <w:lang w:eastAsia="en-US"/>
        </w:rPr>
        <w:t xml:space="preserve">The sustained policy and industrial efforts to improve aviation sustainability have allowed to reduce noise from aircraft and fuel burn per passenger by respectively 14% and 24% between 2005 and 2017. However, the overall sustained growth of air traffic (+60% over the same period) has continued to outpace the environmental improvements. Substantial public and private investments and adequate policy frameworks are needed to accelerate the decarbonisation of air transport.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New aircraft models provide 20% to 25% of improved fuel efficiency compared to the previous generation.</w:t>
      </w:r>
      <w:r>
        <w:rPr>
          <w:rStyle w:val="FootnoteReference"/>
          <w:noProof/>
        </w:rPr>
        <w:footnoteReference w:id="246"/>
      </w:r>
      <w:r>
        <w:rPr>
          <w:noProof/>
        </w:rPr>
        <w:t xml:space="preserve">  Promoting fleet modernisation by an earlier retirement from circulation of old aircraft and their replacement with a significantly more fuel-efficient aircraft can generate significant CO</w:t>
      </w:r>
      <w:r>
        <w:rPr>
          <w:noProof/>
          <w:vertAlign w:val="subscript"/>
        </w:rPr>
        <w:t>2</w:t>
      </w:r>
      <w:r>
        <w:rPr>
          <w:noProof/>
        </w:rPr>
        <w:t xml:space="preserve"> per each flight in the transition until breakthrough clean aircraft are developed and commercially available for deployment. Ensuring the capacity of European industry to increase the environmental performance of aircraft would have an important impact on the greening of global air transport as European aircraft today represent 45% of the worldwide commercial fleet and European engines power 70% of single-aisle aircraft in the world.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In the longer-term, new disruptive technologies need to be developed and deployed in the market, notably to unleash the full potential of sustainable fuels and otherwise provide for new clean methods of propulsion and power generation in aircraft.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This requires considerable investment in research and innovation, such as envisaged under the Horizon Europe programme by the proposed set-up of a Clean Aviation partnership with the aviation industry and further investment in collaborative research in clean aviation technology. The partnership should follow in the footsteps of the Clean Sky Joint Undertaking, which had a participation of 1.7 billion EUR from the EU budget</w:t>
      </w:r>
      <w:r>
        <w:rPr>
          <w:rStyle w:val="FootnoteReference"/>
          <w:noProof/>
        </w:rPr>
        <w:footnoteReference w:id="247"/>
      </w:r>
      <w:r>
        <w:rPr>
          <w:noProof/>
        </w:rPr>
        <w:t>. The priority focus should be on the development of technologies that can generate the largest impact on overall aviation emissions, notably hybrid and full electric prolusion, ultra-efficient aircraft configurations, and the development of sustainable alternatives such as the emerging potential of hydrogen powered aircraft. Accompanying measures would be necessary to develop infrastructure and production capacity for hydrogen.</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stimulus for the development of new technologies should be seen in conjunction with the measures taken relating to innovation, production and deployment of sustainable aviation fuels (SAF). This is because in order to decrease significantly its emissions, the aviation sector will especially need to rely on the use of liquid SAF in the years to come. Indeed, whereas other transport modes have access to various sources of energy including renewable energy, aviation is still almost exclusively reliant on liquid fossil fuel, due to the physical properties of flying.</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Concerning the nature of </w:t>
      </w:r>
      <w:r>
        <w:rPr>
          <w:b/>
          <w:bCs/>
          <w:noProof/>
        </w:rPr>
        <w:t xml:space="preserve">waterborne transport </w:t>
      </w:r>
      <w:r>
        <w:rPr>
          <w:noProof/>
        </w:rPr>
        <w:t xml:space="preserve">and the availability of alternative fuels in particular, it is important to distinguish between transport on sea (maritime) and inland waterways. The main distinction in maritime transport is to be done between deep sea shipping (long distance and high energy density requirements) and short-sea shipping, incl. domestic voyages (shorter distances with more technological alternatives available due to the nature of traffic, regular port calls, etc. requiring therefore a lower energy density).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environmental challenges faced by the maritime sector</w:t>
      </w:r>
      <w:r>
        <w:rPr>
          <w:b/>
          <w:bCs/>
          <w:noProof/>
        </w:rPr>
        <w:t xml:space="preserve"> </w:t>
      </w:r>
      <w:r>
        <w:rPr>
          <w:noProof/>
        </w:rPr>
        <w:t>impose to continue improving the energy efficiency of the fleet, the rapid advancements in the development and deployment of innovative low or zero emissions technologies and the widespread use of sustainable alternative fuels</w:t>
      </w:r>
      <w:r>
        <w:rPr>
          <w:rStyle w:val="FootnoteReference"/>
          <w:noProof/>
        </w:rPr>
        <w:footnoteReference w:id="248"/>
      </w:r>
      <w:r>
        <w:rPr>
          <w:noProof/>
        </w:rPr>
        <w:t xml:space="preserve">. This requires the cooperation of all actors in the maritime sector: fuel suppliers, vessel and engine manufacturers, shipping operators, port authorities and service providers, etc. in particular to demonstrate commercially viable zero-emissions vessels by 2030. Whereas various technologies, including the use of hydrogen or electric propulsion, are being successfully tested for short journeys, the situation is more complex for deep-sea shipping, which has significantly higher power needs, requires much greater autonomy and the availability of global network of refuelling stations.     </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rPr>
        <w:t xml:space="preserve">The Commission is preparing the “FuelEU Maritime” initiative, with the aim to deliver a legislative proposal at the beginning of 2021 to boost the demand for renewable and low carbon fuels in maritime transport. </w:t>
      </w:r>
      <w:r>
        <w:rPr>
          <w:noProof/>
          <w:lang w:eastAsia="en-US"/>
        </w:rPr>
        <w:t>Reduction of GHG emissions from international shipping is also being addressed at global level at the International Maritime Organization (IMO) and the EU is one of the key drivers of the IMO’s work in this area. The agreement at IMO on new mandatory measures setting carbon intensity performance targets for all existing vessels has been reached in November 2020</w:t>
      </w:r>
      <w:r>
        <w:rPr>
          <w:rStyle w:val="FootnoteReference"/>
          <w:noProof/>
          <w:lang w:eastAsia="en-US"/>
        </w:rPr>
        <w:footnoteReference w:id="249"/>
      </w:r>
      <w:r>
        <w:rPr>
          <w:noProof/>
          <w:lang w:eastAsia="en-US"/>
        </w:rPr>
        <w:t>. The new measures add further requirements to existing energy efficiency measures, which state that all vessels must put in place the so-called Ship Energy Efficiency Management Plan (SEEMP) to demonstrate their efforts to improve ship’s energy efficiency and all vessels built after 2013 must abide by compulsory energy efficiency standards (the Energy Efficiency Design Index, EEDI). In parallel, preparatory work has commenced to support the uptake of alternative low- and zero-emission fuels in shipping, with the EU advocating a lifecycle (well-to-wake) approach to GHG emissions.</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 xml:space="preserve">In accordance with the first EU Annual Report on Carbon Dioxide Emissions from Maritime Transport (data collected in 2018 in the framework of the MRV regulation), more than 90% of all monitored ships have reported the use of heavy fuel oil (HFO). In terms of amounts of fuel consumed, HFO represented a little more than 70% of the fuel consumed by the monitored fleet in 2018. Gas oil accounted for only 10% of the total fuel consumed and another 10% was covered by light fuel oil and diesel oil taken together. </w:t>
      </w:r>
      <w:r>
        <w:rPr>
          <w:noProof/>
        </w:rPr>
        <w:t>The global limit on sulphur</w:t>
      </w:r>
      <w:r>
        <w:rPr>
          <w:noProof/>
          <w:vertAlign w:val="subscript"/>
        </w:rPr>
        <w:t xml:space="preserve"> </w:t>
      </w:r>
      <w:r>
        <w:rPr>
          <w:noProof/>
        </w:rPr>
        <w:t>in marine fuel has been reduced which means that more of these cleaner fuels are likely to be used.</w:t>
      </w:r>
      <w:r>
        <w:rPr>
          <w:noProof/>
          <w:lang w:eastAsia="en-US"/>
        </w:rPr>
        <w:t xml:space="preserve"> These types of low sulphur fuels are generally used for auxiliary engines and boilers when ships are berthing in EU ports or during the operation of a ship in SO</w:t>
      </w:r>
      <w:r>
        <w:rPr>
          <w:noProof/>
          <w:vertAlign w:val="subscript"/>
          <w:lang w:eastAsia="en-US"/>
        </w:rPr>
        <w:t>x</w:t>
      </w:r>
      <w:r>
        <w:rPr>
          <w:noProof/>
          <w:lang w:eastAsia="en-US"/>
        </w:rPr>
        <w:t xml:space="preserve"> Emission Control Areas (SECAs). The use of Liquefied Natural Gas (LNG) represents only 3% of the total amount of fuel consumed. It is mostly used by LNG and gas carriers. Even though the number of LNG-fuelled vessels continued to increase in 2019 across all ship types, these remain a very small fraction of the fleet. In accordance with DNV GL’s Alternative Fuels Insight database, the total number of commissioned LNG ships worldwide has just passed the threshold of 300 in 2019 with about half of them already in operation and the remaining ones on order.</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rPr>
        <w:t xml:space="preserve">At present, there is yet no consensus on the most realistic pathway to decarbonise the maritime sector as a number of fuel/technology combinations could become more competitive over time. In addition, the solutions are likely to be different for individual ships, different ship types and market segments. The key objective is to support the fuels that lead to the most GHG emissions reduction from a “well to wake” perspective, while being sustainable, available at sufficient scale in the mid and long term, safe and affordable. On the short-term, advanced biofuels and biogas are likely to be the first sustainable alternative fuels available to shipping companies.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While LNG delivers significant air quality benefits compared to other fossil fuels (reductions in SO</w:t>
      </w:r>
      <w:r>
        <w:rPr>
          <w:noProof/>
          <w:vertAlign w:val="subscript"/>
        </w:rPr>
        <w:t>x</w:t>
      </w:r>
      <w:r>
        <w:rPr>
          <w:noProof/>
        </w:rPr>
        <w:t>, NO</w:t>
      </w:r>
      <w:r>
        <w:rPr>
          <w:noProof/>
          <w:vertAlign w:val="subscript"/>
        </w:rPr>
        <w:t>x</w:t>
      </w:r>
      <w:r>
        <w:rPr>
          <w:noProof/>
        </w:rPr>
        <w:t xml:space="preserve"> and PM emissions), it remains a fossil fuel and present limited advantages in terms of GHG emissions. It is therefore important to continue supporting a broader basket of fuel and technologies including electric/hybrid propulsion, advanced liquid biofuels, bio-LNG, liquid and gaseous synthetic fuels as well as the use of hydrogen. Support measures should aim at boosting demand for them, their production and distribution. </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rPr>
        <w:t xml:space="preserve">Due to the nature of the sector, the situation for </w:t>
      </w:r>
      <w:r>
        <w:rPr>
          <w:b/>
          <w:bCs/>
          <w:noProof/>
        </w:rPr>
        <w:t>inland waterways</w:t>
      </w:r>
      <w:r>
        <w:rPr>
          <w:noProof/>
        </w:rPr>
        <w:t xml:space="preserve"> is similar to short-sea shipping (availability of network infrastructure, lower power requirements) and alternatives can be developed and deployed more quickly (including for instance with regards to electricity, and hydrogen). </w:t>
      </w:r>
      <w:r>
        <w:rPr>
          <w:noProof/>
          <w:lang w:eastAsia="en-US"/>
        </w:rPr>
        <w:t>In 2018, more than 15,000 inland cargo vessels were registered in Europe. Looking at the vessels’ age structure, inland navigation fleet is relatively old: the majority of vessels were constructed before 2000 and before 2003 there were no provisions for the emission limits from engines used in IWT.</w:t>
      </w:r>
    </w:p>
    <w:p>
      <w:pPr>
        <w:pStyle w:val="LegalNumPar"/>
        <w:pBdr>
          <w:top w:val="nil"/>
          <w:left w:val="nil"/>
          <w:bottom w:val="nil"/>
          <w:right w:val="nil"/>
          <w:between w:val="nil"/>
          <w:bar w:val="nil"/>
        </w:pBdr>
        <w:tabs>
          <w:tab w:val="left" w:pos="476"/>
        </w:tabs>
        <w:spacing w:line="240" w:lineRule="auto"/>
        <w:ind w:left="476"/>
        <w:rPr>
          <w:noProof/>
          <w:szCs w:val="24"/>
          <w:lang w:eastAsia="en-US"/>
        </w:rPr>
      </w:pPr>
    </w:p>
    <w:p>
      <w:pPr>
        <w:pStyle w:val="Caption"/>
        <w:keepNext/>
        <w:keepLines/>
        <w:jc w:val="center"/>
        <w:rPr>
          <w:i w:val="0"/>
          <w:noProof/>
        </w:rPr>
      </w:pPr>
      <w:bookmarkStart w:id="1843" w:name="_Toc50417627"/>
      <w:bookmarkStart w:id="1844" w:name="_Toc50418270"/>
      <w:bookmarkStart w:id="1845" w:name="_Toc50473618"/>
      <w:bookmarkStart w:id="1846" w:name="_Toc50474669"/>
      <w:bookmarkStart w:id="1847" w:name="_Toc50630198"/>
      <w:bookmarkStart w:id="1848" w:name="_Toc50630922"/>
      <w:bookmarkStart w:id="1849" w:name="_Toc50633766"/>
      <w:bookmarkStart w:id="1850" w:name="_Toc50634008"/>
      <w:bookmarkStart w:id="1851" w:name="_Toc50646454"/>
      <w:bookmarkStart w:id="1852" w:name="_Toc50646589"/>
      <w:bookmarkStart w:id="1853" w:name="_Toc50649408"/>
      <w:bookmarkStart w:id="1854" w:name="_Toc50650715"/>
      <w:bookmarkStart w:id="1855" w:name="_Toc51593771"/>
      <w:bookmarkStart w:id="1856" w:name="_Toc51595238"/>
      <w:bookmarkStart w:id="1857" w:name="_Toc51595488"/>
      <w:bookmarkStart w:id="1858" w:name="_Toc51595814"/>
      <w:bookmarkStart w:id="1859" w:name="_Toc51595977"/>
      <w:bookmarkStart w:id="1860" w:name="_Toc52121464"/>
      <w:bookmarkStart w:id="1861" w:name="_Toc52122695"/>
      <w:bookmarkStart w:id="1862" w:name="_Toc53405259"/>
      <w:bookmarkStart w:id="1863" w:name="_Toc53406049"/>
      <w:bookmarkStart w:id="1864" w:name="_Toc53407415"/>
      <w:bookmarkStart w:id="1865" w:name="_Toc53410862"/>
      <w:bookmarkStart w:id="1866" w:name="_Toc53411925"/>
      <w:bookmarkStart w:id="1867" w:name="_Toc53417172"/>
      <w:bookmarkStart w:id="1868" w:name="_Toc53417524"/>
      <w:bookmarkStart w:id="1869" w:name="_Toc53419557"/>
      <w:bookmarkStart w:id="1870" w:name="_Toc53434862"/>
      <w:bookmarkStart w:id="1871" w:name="_Toc53437002"/>
      <w:bookmarkStart w:id="1872" w:name="_Toc57291664"/>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20</w:t>
      </w:r>
      <w:r>
        <w:rPr>
          <w:noProof/>
        </w:rPr>
        <w:fldChar w:fldCharType="end"/>
      </w:r>
      <w:r>
        <w:rPr>
          <w:i w:val="0"/>
          <w:noProof/>
        </w:rPr>
        <w:t>: Number of inland vessels per year of construction in the Belgian and German fleet</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p>
    <w:p>
      <w:pPr>
        <w:pStyle w:val="LegalNumPar"/>
        <w:pBdr>
          <w:top w:val="nil"/>
          <w:left w:val="nil"/>
          <w:bottom w:val="nil"/>
          <w:right w:val="nil"/>
          <w:between w:val="nil"/>
          <w:bar w:val="nil"/>
        </w:pBdr>
        <w:tabs>
          <w:tab w:val="left" w:pos="476"/>
        </w:tabs>
        <w:spacing w:line="240" w:lineRule="auto"/>
        <w:ind w:left="476"/>
        <w:jc w:val="left"/>
        <w:rPr>
          <w:rFonts w:eastAsia="Arial"/>
          <w:i/>
          <w:noProof/>
          <w:sz w:val="16"/>
          <w:szCs w:val="16"/>
          <w:lang w:eastAsia="nl-NL"/>
        </w:rPr>
      </w:pPr>
      <w:r>
        <w:rPr>
          <w:noProof/>
        </w:rPr>
        <w:drawing>
          <wp:inline distT="0" distB="0" distL="0" distR="0">
            <wp:extent cx="5289112" cy="1776367"/>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5290842" cy="1776948"/>
                    </a:xfrm>
                    <a:prstGeom prst="rect">
                      <a:avLst/>
                    </a:prstGeom>
                    <a:ln>
                      <a:noFill/>
                    </a:ln>
                    <a:extLst>
                      <a:ext uri="{53640926-AAD7-44D8-BBD7-CCE9431645EC}">
                        <a14:shadowObscured xmlns:a14="http://schemas.microsoft.com/office/drawing/2010/main"/>
                      </a:ext>
                    </a:extLst>
                  </pic:spPr>
                </pic:pic>
              </a:graphicData>
            </a:graphic>
          </wp:inline>
        </w:drawing>
      </w:r>
      <w:r>
        <w:rPr>
          <w:rFonts w:eastAsia="Arial"/>
          <w:i/>
          <w:iCs/>
          <w:noProof/>
          <w:sz w:val="16"/>
          <w:szCs w:val="16"/>
          <w:lang w:eastAsia="nl-NL"/>
        </w:rPr>
        <w:t>Source: CCNR based on German Waterway and Shipping administration, Belgian Ministry of Transport. Included are dry cargo vessels, liquid cargo vessels and push&amp;tug boats.</w:t>
      </w:r>
    </w:p>
    <w:p>
      <w:pPr>
        <w:pStyle w:val="Caption"/>
        <w:keepNext/>
        <w:keepLines/>
        <w:jc w:val="center"/>
        <w:rPr>
          <w:i w:val="0"/>
          <w:noProof/>
        </w:rPr>
      </w:pPr>
      <w:bookmarkStart w:id="1873" w:name="_Toc50417628"/>
      <w:bookmarkStart w:id="1874" w:name="_Toc50418271"/>
      <w:bookmarkStart w:id="1875" w:name="_Toc50473619"/>
      <w:bookmarkStart w:id="1876" w:name="_Toc50474670"/>
      <w:bookmarkStart w:id="1877" w:name="_Toc50630199"/>
      <w:bookmarkStart w:id="1878" w:name="_Toc50630923"/>
      <w:bookmarkStart w:id="1879" w:name="_Toc50633767"/>
      <w:bookmarkStart w:id="1880" w:name="_Toc50634009"/>
      <w:bookmarkStart w:id="1881" w:name="_Toc50646455"/>
      <w:bookmarkStart w:id="1882" w:name="_Toc50646590"/>
      <w:bookmarkStart w:id="1883" w:name="_Toc50649409"/>
      <w:bookmarkStart w:id="1884" w:name="_Toc50650716"/>
      <w:bookmarkStart w:id="1885" w:name="_Toc51593772"/>
      <w:bookmarkStart w:id="1886" w:name="_Toc51595239"/>
      <w:bookmarkStart w:id="1887" w:name="_Toc51595489"/>
      <w:bookmarkStart w:id="1888" w:name="_Toc51595815"/>
      <w:bookmarkStart w:id="1889" w:name="_Toc51595978"/>
      <w:bookmarkStart w:id="1890" w:name="_Toc52121465"/>
      <w:bookmarkStart w:id="1891" w:name="_Toc52122696"/>
      <w:bookmarkStart w:id="1892" w:name="_Toc53405260"/>
      <w:bookmarkStart w:id="1893" w:name="_Toc53406050"/>
      <w:bookmarkStart w:id="1894" w:name="_Toc53407416"/>
      <w:bookmarkStart w:id="1895" w:name="_Toc53410863"/>
      <w:bookmarkStart w:id="1896" w:name="_Toc53411926"/>
      <w:bookmarkStart w:id="1897" w:name="_Toc53417173"/>
      <w:bookmarkStart w:id="1898" w:name="_Toc53417525"/>
      <w:bookmarkStart w:id="1899" w:name="_Toc53419558"/>
      <w:bookmarkStart w:id="1900" w:name="_Toc53434863"/>
      <w:bookmarkStart w:id="1901" w:name="_Toc53437003"/>
      <w:bookmarkStart w:id="1902" w:name="_Toc57291665"/>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21</w:t>
      </w:r>
      <w:r>
        <w:rPr>
          <w:noProof/>
        </w:rPr>
        <w:fldChar w:fldCharType="end"/>
      </w:r>
      <w:r>
        <w:rPr>
          <w:i w:val="0"/>
          <w:noProof/>
        </w:rPr>
        <w:t>: Number of inland vessels per year of construction in the Danube countries</w:t>
      </w:r>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p>
    <w:p>
      <w:pPr>
        <w:pStyle w:val="ListParagraph"/>
        <w:spacing w:after="0" w:line="240" w:lineRule="auto"/>
        <w:ind w:left="476"/>
        <w:contextualSpacing w:val="0"/>
        <w:jc w:val="center"/>
        <w:rPr>
          <w:noProof/>
          <w:sz w:val="24"/>
          <w:szCs w:val="24"/>
        </w:rPr>
      </w:pPr>
      <w:r>
        <w:rPr>
          <w:noProof/>
        </w:rPr>
        <w:drawing>
          <wp:inline distT="0" distB="0" distL="0" distR="0">
            <wp:extent cx="5314950" cy="1763603"/>
            <wp:effectExtent l="0" t="0" r="0" b="8255"/>
            <wp:docPr id="17646529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cstate="email">
                      <a:extLst>
                        <a:ext uri="{28A0092B-C50C-407E-A947-70E740481C1C}">
                          <a14:useLocalDpi xmlns:a14="http://schemas.microsoft.com/office/drawing/2010/main"/>
                        </a:ext>
                      </a:extLst>
                    </a:blip>
                    <a:stretch>
                      <a:fillRect/>
                    </a:stretch>
                  </pic:blipFill>
                  <pic:spPr>
                    <a:xfrm>
                      <a:off x="0" y="0"/>
                      <a:ext cx="5314950" cy="1763603"/>
                    </a:xfrm>
                    <a:prstGeom prst="rect">
                      <a:avLst/>
                    </a:prstGeom>
                  </pic:spPr>
                </pic:pic>
              </a:graphicData>
            </a:graphic>
          </wp:inline>
        </w:drawing>
      </w:r>
    </w:p>
    <w:p>
      <w:pPr>
        <w:spacing w:after="0" w:line="240" w:lineRule="auto"/>
        <w:rPr>
          <w:noProof/>
          <w:sz w:val="24"/>
          <w:szCs w:val="24"/>
        </w:rPr>
      </w:pPr>
    </w:p>
    <w:p>
      <w:pPr>
        <w:pStyle w:val="ListParagraph"/>
        <w:numPr>
          <w:ilvl w:val="0"/>
          <w:numId w:val="89"/>
        </w:numPr>
        <w:spacing w:after="0" w:line="240" w:lineRule="auto"/>
        <w:contextualSpacing w:val="0"/>
        <w:rPr>
          <w:rFonts w:eastAsiaTheme="minorEastAsia"/>
          <w:noProof/>
          <w:sz w:val="24"/>
          <w:szCs w:val="24"/>
          <w:lang w:eastAsia="en-US"/>
        </w:rPr>
      </w:pPr>
      <w:r>
        <w:rPr>
          <w:rFonts w:eastAsiaTheme="minorEastAsia"/>
          <w:noProof/>
          <w:sz w:val="24"/>
          <w:szCs w:val="24"/>
          <w:lang w:eastAsia="en-US"/>
        </w:rPr>
        <w:t>There has been a slow innovation uptake concerning greening in the IWT sector. The relatively slow pace of</w:t>
      </w:r>
      <w:r>
        <w:rPr>
          <w:noProof/>
          <w:sz w:val="24"/>
          <w:szCs w:val="24"/>
        </w:rPr>
        <w:t xml:space="preserve"> innovation is mainly caused by</w:t>
      </w:r>
      <w:r>
        <w:rPr>
          <w:rFonts w:eastAsiaTheme="minorEastAsia"/>
          <w:noProof/>
          <w:sz w:val="24"/>
          <w:szCs w:val="24"/>
          <w:lang w:eastAsia="en-US"/>
        </w:rPr>
        <w:t xml:space="preserve">: </w:t>
      </w:r>
    </w:p>
    <w:p>
      <w:pPr>
        <w:spacing w:after="0" w:line="240" w:lineRule="auto"/>
        <w:rPr>
          <w:rFonts w:eastAsiaTheme="minorHAnsi"/>
          <w:noProof/>
          <w:sz w:val="24"/>
          <w:szCs w:val="24"/>
          <w:lang w:eastAsia="en-US"/>
        </w:rPr>
      </w:pPr>
    </w:p>
    <w:p>
      <w:pPr>
        <w:pStyle w:val="LegalNumPar"/>
        <w:numPr>
          <w:ilvl w:val="0"/>
          <w:numId w:val="30"/>
        </w:numPr>
        <w:pBdr>
          <w:top w:val="nil"/>
          <w:left w:val="nil"/>
          <w:bottom w:val="nil"/>
          <w:right w:val="nil"/>
          <w:between w:val="nil"/>
          <w:bar w:val="nil"/>
        </w:pBdr>
        <w:tabs>
          <w:tab w:val="left" w:pos="476"/>
        </w:tabs>
        <w:spacing w:line="240" w:lineRule="auto"/>
        <w:rPr>
          <w:noProof/>
        </w:rPr>
      </w:pPr>
      <w:r>
        <w:rPr>
          <w:noProof/>
        </w:rPr>
        <w:t xml:space="preserve">the long serviceable lifetime of engines in inland vessels (30,000 to over 200,000 hours, depending on the engine type) which translates to ca. 40 years of operation; </w:t>
      </w:r>
    </w:p>
    <w:p>
      <w:pPr>
        <w:pStyle w:val="LegalNumPar"/>
        <w:numPr>
          <w:ilvl w:val="0"/>
          <w:numId w:val="30"/>
        </w:numPr>
        <w:pBdr>
          <w:top w:val="nil"/>
          <w:left w:val="nil"/>
          <w:bottom w:val="nil"/>
          <w:right w:val="nil"/>
          <w:between w:val="nil"/>
          <w:bar w:val="nil"/>
        </w:pBdr>
        <w:tabs>
          <w:tab w:val="left" w:pos="476"/>
        </w:tabs>
        <w:spacing w:line="240" w:lineRule="auto"/>
        <w:rPr>
          <w:noProof/>
        </w:rPr>
      </w:pPr>
      <w:r>
        <w:rPr>
          <w:noProof/>
        </w:rPr>
        <w:t>the small and specific market for inland vessels and their engines, making it a less attractive market for engine manufacturers;</w:t>
      </w:r>
    </w:p>
    <w:p>
      <w:pPr>
        <w:pStyle w:val="LegalNumPar"/>
        <w:numPr>
          <w:ilvl w:val="0"/>
          <w:numId w:val="30"/>
        </w:numPr>
        <w:pBdr>
          <w:top w:val="nil"/>
          <w:left w:val="nil"/>
          <w:bottom w:val="nil"/>
          <w:right w:val="nil"/>
          <w:between w:val="nil"/>
          <w:bar w:val="nil"/>
        </w:pBdr>
        <w:tabs>
          <w:tab w:val="left" w:pos="476"/>
        </w:tabs>
        <w:spacing w:line="240" w:lineRule="auto"/>
        <w:rPr>
          <w:noProof/>
        </w:rPr>
      </w:pPr>
      <w:r>
        <w:rPr>
          <w:noProof/>
        </w:rPr>
        <w:t xml:space="preserve">the lack of incentives for vessel operators/owners to increase the environmental performance of the engines; </w:t>
      </w:r>
    </w:p>
    <w:p>
      <w:pPr>
        <w:pStyle w:val="LegalNumPar"/>
        <w:numPr>
          <w:ilvl w:val="0"/>
          <w:numId w:val="30"/>
        </w:numPr>
        <w:pBdr>
          <w:top w:val="nil"/>
          <w:left w:val="nil"/>
          <w:bottom w:val="nil"/>
          <w:right w:val="nil"/>
          <w:between w:val="nil"/>
          <w:bar w:val="nil"/>
        </w:pBdr>
        <w:tabs>
          <w:tab w:val="left" w:pos="476"/>
        </w:tabs>
        <w:spacing w:line="240" w:lineRule="auto"/>
        <w:rPr>
          <w:noProof/>
        </w:rPr>
      </w:pPr>
      <w:r>
        <w:rPr>
          <w:noProof/>
        </w:rPr>
        <w:t>The lack of information on existing possibilities for greening, in particular regarding their consequences for actual emissions (and how they relate to possible emission regulation) and the business case of the vessel operators/owners.</w:t>
      </w:r>
    </w:p>
    <w:p>
      <w:pPr>
        <w:pStyle w:val="NoSpacing"/>
        <w:numPr>
          <w:ilvl w:val="0"/>
          <w:numId w:val="89"/>
        </w:numPr>
        <w:rPr>
          <w:noProof/>
        </w:rPr>
      </w:pPr>
      <w:r>
        <w:rPr>
          <w:noProof/>
        </w:rPr>
        <w:t>The number of newly built and repowered vessels in the EU is limited to several dozen per year. Compared to other shipping markets, inland market potential is low and the emission limits are the most stringent. International engine manufacturers thus often prioritise their development capacity for engineering engines for markets with greater sales potential. This hinders the modernisation of the powertrains in the European fleet.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Whilst potential solutions to enable clean climate neutral shipping exist, these are largely premature and investment in research and innovation, such as envisaged under the Horizon Europe programme through the establishment of the Zero Emission Waterborne Transport partnership, is required.  It is envisaged that the partnership focus on decarbonised clean shipping and seek to demonstrate deployable solutions, appropriate for all main ship types by 2030. Addressing efficiency improvement, electrification, renewable energies such as wind, take up of new fuels such as hydrogen within new and retrofitted marine and inland waterway ships. </w:t>
      </w:r>
    </w:p>
    <w:p>
      <w:pPr>
        <w:pStyle w:val="Heading4"/>
        <w:rPr>
          <w:noProof/>
        </w:rPr>
      </w:pPr>
      <w:bookmarkStart w:id="1903" w:name="_Toc46312104"/>
      <w:bookmarkStart w:id="1904" w:name="_Toc50044810"/>
      <w:bookmarkStart w:id="1905" w:name="_Toc50048925"/>
      <w:bookmarkStart w:id="1906" w:name="_Toc50415257"/>
      <w:bookmarkStart w:id="1907" w:name="_Toc50416539"/>
      <w:bookmarkStart w:id="1908" w:name="_Toc50417671"/>
      <w:bookmarkStart w:id="1909" w:name="_Toc50418314"/>
      <w:bookmarkStart w:id="1910" w:name="_Toc50459894"/>
      <w:bookmarkStart w:id="1911" w:name="_Toc50466101"/>
      <w:bookmarkStart w:id="1912" w:name="_Toc50473662"/>
      <w:bookmarkStart w:id="1913" w:name="_Toc50474713"/>
      <w:bookmarkStart w:id="1914" w:name="_Toc50565063"/>
      <w:bookmarkStart w:id="1915" w:name="_Toc50568671"/>
      <w:bookmarkStart w:id="1916" w:name="_Toc50629410"/>
      <w:bookmarkStart w:id="1917" w:name="_Toc50630242"/>
      <w:bookmarkStart w:id="1918" w:name="_Toc50630967"/>
      <w:bookmarkStart w:id="1919" w:name="_Toc50633811"/>
      <w:bookmarkStart w:id="1920" w:name="_Toc50634053"/>
      <w:bookmarkStart w:id="1921" w:name="_Toc50646501"/>
      <w:bookmarkStart w:id="1922" w:name="_Toc50646636"/>
      <w:bookmarkStart w:id="1923" w:name="_Toc50649455"/>
      <w:bookmarkStart w:id="1924" w:name="_Toc50650762"/>
      <w:bookmarkStart w:id="1925" w:name="_Toc51574796"/>
      <w:bookmarkStart w:id="1926" w:name="_Toc51575644"/>
      <w:bookmarkStart w:id="1927" w:name="_Toc51578031"/>
      <w:bookmarkStart w:id="1928" w:name="_Toc51578499"/>
      <w:bookmarkStart w:id="1929" w:name="_Toc51582915"/>
      <w:bookmarkStart w:id="1930" w:name="_Toc51583390"/>
      <w:bookmarkStart w:id="1931" w:name="_Toc51583480"/>
      <w:bookmarkStart w:id="1932" w:name="_Toc51583765"/>
      <w:bookmarkStart w:id="1933" w:name="_Toc51583955"/>
      <w:bookmarkStart w:id="1934" w:name="_Toc51583879"/>
      <w:bookmarkStart w:id="1935" w:name="_Toc51586197"/>
      <w:bookmarkStart w:id="1936" w:name="_Toc51594000"/>
      <w:bookmarkStart w:id="1937" w:name="_Toc51594326"/>
      <w:bookmarkStart w:id="1938" w:name="_Toc51595304"/>
      <w:bookmarkStart w:id="1939" w:name="_Toc51595554"/>
      <w:bookmarkStart w:id="1940" w:name="_Toc51595880"/>
      <w:bookmarkStart w:id="1941" w:name="_Toc51596043"/>
      <w:bookmarkStart w:id="1942" w:name="_Toc51596396"/>
      <w:bookmarkStart w:id="1943" w:name="_Toc52121530"/>
      <w:bookmarkStart w:id="1944" w:name="_Toc52122761"/>
      <w:bookmarkStart w:id="1945" w:name="_Toc52123878"/>
      <w:bookmarkStart w:id="1946" w:name="_Toc53405333"/>
      <w:bookmarkStart w:id="1947" w:name="_Toc53406123"/>
      <w:bookmarkStart w:id="1948" w:name="_Toc53407489"/>
      <w:bookmarkStart w:id="1949" w:name="_Toc53410936"/>
      <w:bookmarkStart w:id="1950" w:name="_Toc53411999"/>
      <w:bookmarkStart w:id="1951" w:name="_Toc53417246"/>
      <w:bookmarkStart w:id="1952" w:name="_Toc53417598"/>
      <w:bookmarkStart w:id="1953" w:name="_Toc53419833"/>
      <w:bookmarkStart w:id="1954" w:name="_Toc53434936"/>
      <w:bookmarkStart w:id="1955" w:name="_Toc53437076"/>
      <w:bookmarkStart w:id="1956" w:name="_Toc57291483"/>
      <w:r>
        <w:rPr>
          <w:noProof/>
        </w:rPr>
        <w:t>Fuel supply</w:t>
      </w:r>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deployment of vehicles, vessels and aircraft as well as infrastructure and services needs to happen everywhere in the EU, in an interoperable manner. However, there are a number of issues that prevent the uptake of sustainable transport fuels: limitation of appropriate supply, lack of a suitable refuelling/recharging network and low or fragmented demand for the sustainable fuels and vehicles/vessels, influenced also by pricing and tax regimes.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 The lack of appropriate supply is particularly relevant for certain fuels, namely sustainable biofuels, e-fuels, clean hydrogen, and biogas. Apart from electricity from renewable sources there is still considerable lack of availability of renewable energy sources for transport: the EU share of renewable </w:t>
      </w:r>
      <w:r>
        <w:rPr>
          <w:noProof/>
          <w:lang w:eastAsia="en-US"/>
        </w:rPr>
        <w:t>energy</w:t>
      </w:r>
      <w:r>
        <w:rPr>
          <w:noProof/>
        </w:rPr>
        <w:t xml:space="preserve"> in transport reached 8.3% in 2018</w:t>
      </w:r>
      <w:r>
        <w:rPr>
          <w:rStyle w:val="FootnoteReference"/>
          <w:noProof/>
        </w:rPr>
        <w:footnoteReference w:id="250"/>
      </w:r>
      <w:r>
        <w:rPr>
          <w:noProof/>
        </w:rPr>
        <w:t xml:space="preserve">.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Air and waterborne transport must have priority access to sustainable liquid and gaseous fuels, since suitable alternatives do not exist for these modes, and these fuels are the furthest from mass production and use.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Sustainable aviation fuels (SAF) are fully compatible with current aircraft technology and already certified up to 50% of the fuel used in a flight. Although they have the potential to make an important contribution to tackling GHG emissions in aviation (emission savings can go up to 80% compared to conventional jet fuel), this potential is still largely untapped. Current production and use of SAF is below 0.1% of total jet fuel consumption in the EU. While the Renewable Energy Directive and the EU Emissions Trading Scheme contain some mechanisms intended to reward the use of SAF, these measures have so far limited impact to boost SAF supply and demand.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As a concrete deliverable of the European Green Deal, the Commission is preparing the “ReFuelEU Aviation” initiative, with the aim to deliver a legislative proposal at the beginning of 2021 to boost the sustainable aviation fuels market. Several Member States also intend to promote SAFs in their national legislations (such as Finland, France, Germany, the Netherlands, Spain and Sweden).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Sustainable advanced biofuels are not produced at scale, and most biofuel consumption happens at a low percentage blending with conventional fuels. Power-to-liquid and power-to-gas fuels from renewable sources are available only at demonstration scale</w:t>
      </w:r>
      <w:r>
        <w:rPr>
          <w:rFonts w:cs="Arial"/>
          <w:noProof/>
          <w:color w:val="000000" w:themeColor="text1"/>
        </w:rPr>
        <w:t xml:space="preserve">. </w:t>
      </w:r>
      <w:r>
        <w:rPr>
          <w:noProof/>
        </w:rPr>
        <w:t xml:space="preserve">While there could be sufficient demand for all types of sustainable transport fuels catering for all the key products along the refining process, there is still a lack of investments in production capacity, also due to limited sustainable production. Volumes are limited and the resulting product price is not competitive with the fossil-based alternatives, even factoring in the carbon price and other existing incentives. In a vicious circle, the resulting lack of demand at such prices does not trigger the necessary investments in feedstock renewable electricity production and refining capacity that could bring about the required economies of scale. A long-term policy framework with strong incentives and closer industrial cooperation appear therefore necessary to break this circle and boost confidence for major investments, particularly for those transport modes that have no other technologically-viable and proportionate current decarbonisation alternative. </w:t>
      </w:r>
    </w:p>
    <w:p>
      <w:pPr>
        <w:pStyle w:val="LegalNumPar"/>
        <w:numPr>
          <w:ilvl w:val="0"/>
          <w:numId w:val="89"/>
        </w:numPr>
        <w:pBdr>
          <w:top w:val="nil"/>
          <w:left w:val="nil"/>
          <w:bottom w:val="nil"/>
          <w:right w:val="nil"/>
          <w:between w:val="nil"/>
          <w:bar w:val="nil"/>
        </w:pBdr>
        <w:tabs>
          <w:tab w:val="left" w:pos="476"/>
        </w:tabs>
        <w:spacing w:line="240" w:lineRule="auto"/>
        <w:rPr>
          <w:noProof/>
        </w:rPr>
      </w:pPr>
      <w:bookmarkStart w:id="1957" w:name="_Toc53405334"/>
      <w:bookmarkStart w:id="1958" w:name="_Toc53407490"/>
      <w:r>
        <w:rPr>
          <w:noProof/>
        </w:rPr>
        <w:t xml:space="preserve">These issues also affect waterborne and long-distance heavy-duty road transport. While battery- and fuel-cell electric vehicles already represent a viable option for buses and for urban and regional delivery vehicles, alternatives to diesel for long-haul lorries and coaches are not yet widely available. Battery- and fuel-cell electric long-haul lorries and coaches are now in market development, with 331 battery-electric new registered heavy goods vehicles (N2 and N3 categories) in 2019, with larger numbers expected on the EU markets in the next 5 years.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On the other hand, LNG vehicles would require significant efficiency improvements in order to meet the required CO</w:t>
      </w:r>
      <w:r>
        <w:rPr>
          <w:noProof/>
          <w:vertAlign w:val="subscript"/>
        </w:rPr>
        <w:t>2</w:t>
      </w:r>
      <w:r>
        <w:rPr>
          <w:noProof/>
        </w:rPr>
        <w:t xml:space="preserve"> emission targets in 2030 and would need to find solutions to significantly reduce the emitted air pollutants. Synthetic fuels and biogas, that may have very high cost and renewable energy production needs are not available at scale either, and similarly to sustainable advanced biofuels, they also require fully addressing the issue of urban air quality. Shipping can be flexible in the types of deployable advanced biofuels and may be able to use lower cost fuel options which would not be deployable in other transport modes. An example is bio-ammonia, which however, is an extremely hazardous substance and would have to be handled accordingly. </w:t>
      </w:r>
      <w:bookmarkStart w:id="1959" w:name="_Toc46312105"/>
      <w:bookmarkStart w:id="1960" w:name="_Toc50044811"/>
      <w:bookmarkStart w:id="1961" w:name="_Toc50048926"/>
      <w:bookmarkStart w:id="1962" w:name="_Toc50415258"/>
      <w:bookmarkStart w:id="1963" w:name="_Toc50416540"/>
      <w:bookmarkStart w:id="1964" w:name="_Toc50417672"/>
      <w:bookmarkStart w:id="1965" w:name="_Toc50418315"/>
      <w:bookmarkStart w:id="1966" w:name="_Toc50459895"/>
      <w:bookmarkStart w:id="1967" w:name="_Toc50466102"/>
      <w:bookmarkStart w:id="1968" w:name="_Toc50473663"/>
      <w:bookmarkStart w:id="1969" w:name="_Toc50474714"/>
      <w:bookmarkStart w:id="1970" w:name="_Toc50565064"/>
      <w:bookmarkStart w:id="1971" w:name="_Toc50568672"/>
      <w:bookmarkStart w:id="1972" w:name="_Toc50629411"/>
      <w:bookmarkStart w:id="1973" w:name="_Toc50630243"/>
      <w:bookmarkStart w:id="1974" w:name="_Toc50630968"/>
      <w:bookmarkStart w:id="1975" w:name="_Toc50633812"/>
      <w:bookmarkStart w:id="1976" w:name="_Toc50634054"/>
      <w:bookmarkStart w:id="1977" w:name="_Toc50646502"/>
      <w:bookmarkStart w:id="1978" w:name="_Toc50646637"/>
      <w:bookmarkStart w:id="1979" w:name="_Toc50649456"/>
      <w:bookmarkStart w:id="1980" w:name="_Toc50650763"/>
      <w:bookmarkStart w:id="1981" w:name="_Toc51574797"/>
      <w:bookmarkStart w:id="1982" w:name="_Toc51575645"/>
      <w:bookmarkStart w:id="1983" w:name="_Toc51578032"/>
      <w:bookmarkStart w:id="1984" w:name="_Toc51578500"/>
      <w:bookmarkStart w:id="1985" w:name="_Toc51582916"/>
      <w:bookmarkStart w:id="1986" w:name="_Toc51583391"/>
      <w:bookmarkStart w:id="1987" w:name="_Toc51583481"/>
      <w:bookmarkStart w:id="1988" w:name="_Toc51583766"/>
      <w:bookmarkStart w:id="1989" w:name="_Toc51583956"/>
      <w:bookmarkStart w:id="1990" w:name="_Toc51583880"/>
      <w:bookmarkStart w:id="1991" w:name="_Toc51586198"/>
      <w:bookmarkStart w:id="1992" w:name="_Toc51594001"/>
      <w:bookmarkStart w:id="1993" w:name="_Toc51594327"/>
      <w:bookmarkStart w:id="1994" w:name="_Toc51595305"/>
      <w:bookmarkStart w:id="1995" w:name="_Toc51595555"/>
      <w:bookmarkStart w:id="1996" w:name="_Toc51595881"/>
      <w:bookmarkStart w:id="1997" w:name="_Toc51596044"/>
      <w:bookmarkStart w:id="1998" w:name="_Toc51596397"/>
      <w:bookmarkStart w:id="1999" w:name="_Toc52121531"/>
      <w:bookmarkStart w:id="2000" w:name="_Toc52122762"/>
      <w:bookmarkStart w:id="2001" w:name="_Toc52123879"/>
      <w:bookmarkStart w:id="2002" w:name="_Toc53405335"/>
      <w:bookmarkStart w:id="2003" w:name="_Toc53406124"/>
      <w:bookmarkStart w:id="2004" w:name="_Toc53407491"/>
      <w:bookmarkStart w:id="2005" w:name="_Toc53410937"/>
      <w:bookmarkStart w:id="2006" w:name="_Toc53412000"/>
      <w:bookmarkStart w:id="2007" w:name="_Toc53417247"/>
      <w:bookmarkStart w:id="2008" w:name="_Toc53417599"/>
      <w:bookmarkStart w:id="2009" w:name="_Toc53419834"/>
      <w:bookmarkStart w:id="2010" w:name="_Toc53434937"/>
      <w:bookmarkStart w:id="2011" w:name="_Toc53437077"/>
      <w:bookmarkEnd w:id="1957"/>
      <w:bookmarkEnd w:id="1958"/>
    </w:p>
    <w:p>
      <w:pPr>
        <w:pStyle w:val="Heading4"/>
        <w:rPr>
          <w:noProof/>
        </w:rPr>
      </w:pPr>
      <w:bookmarkStart w:id="2012" w:name="_Toc57291484"/>
      <w:r>
        <w:rPr>
          <w:noProof/>
        </w:rPr>
        <w:t>Fuel infrastructure</w:t>
      </w:r>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Equally significant is the challenge that the</w:t>
      </w:r>
      <w:r>
        <w:rPr>
          <w:b/>
          <w:bCs/>
          <w:noProof/>
        </w:rPr>
        <w:t xml:space="preserve"> lack of a suitable network of recharging and refuelling infrastructure</w:t>
      </w:r>
      <w:r>
        <w:rPr>
          <w:noProof/>
        </w:rPr>
        <w:t xml:space="preserve"> poses. Two-thirds of EU cars park overnight on the street or in public car parks</w:t>
      </w:r>
      <w:r>
        <w:rPr>
          <w:rStyle w:val="FootnoteReference"/>
          <w:noProof/>
        </w:rPr>
        <w:footnoteReference w:id="251"/>
      </w:r>
      <w:r>
        <w:rPr>
          <w:noProof/>
        </w:rPr>
        <w:t>. There are in particular four issues in relation to this:</w:t>
      </w:r>
    </w:p>
    <w:p>
      <w:pPr>
        <w:pStyle w:val="LegalNumPar"/>
        <w:numPr>
          <w:ilvl w:val="0"/>
          <w:numId w:val="31"/>
        </w:numPr>
        <w:pBdr>
          <w:top w:val="nil"/>
          <w:left w:val="nil"/>
          <w:bottom w:val="nil"/>
          <w:right w:val="nil"/>
          <w:between w:val="nil"/>
          <w:bar w:val="nil"/>
        </w:pBdr>
        <w:tabs>
          <w:tab w:val="left" w:pos="476"/>
        </w:tabs>
        <w:spacing w:line="240" w:lineRule="auto"/>
        <w:rPr>
          <w:noProof/>
        </w:rPr>
      </w:pPr>
      <w:r>
        <w:rPr>
          <w:noProof/>
        </w:rPr>
        <w:t>While there has been considerable progress in some Member States, there are still not enough recharging and refuelling points in all Member States and for all modes. While the formal requirements of the Alternative Fuels Infrastructure Directive</w:t>
      </w:r>
      <w:r>
        <w:rPr>
          <w:rStyle w:val="FootnoteReference"/>
          <w:noProof/>
        </w:rPr>
        <w:footnoteReference w:id="252"/>
      </w:r>
      <w:r>
        <w:rPr>
          <w:noProof/>
        </w:rPr>
        <w:t xml:space="preserve"> (whereby Member States have to adopt a policy framework for the development of the market as regards alternative fuels in the transport sector and to make sure that an “appropriate number” of recharging or refuelling points are available) appear to be fulfilled, infrastructure planning under national policy frameworks in many Member States risks not to be in line with the required update of zero and low-emission vehicles and infrastructure needed to meet the increased ambitions under the European Green Deal. </w:t>
      </w:r>
    </w:p>
    <w:p>
      <w:pPr>
        <w:pStyle w:val="LegalNumPar"/>
        <w:numPr>
          <w:ilvl w:val="0"/>
          <w:numId w:val="31"/>
        </w:numPr>
        <w:pBdr>
          <w:top w:val="nil"/>
          <w:left w:val="nil"/>
          <w:bottom w:val="nil"/>
          <w:right w:val="nil"/>
          <w:between w:val="nil"/>
          <w:bar w:val="nil"/>
        </w:pBdr>
        <w:tabs>
          <w:tab w:val="left" w:pos="476"/>
        </w:tabs>
        <w:spacing w:line="240" w:lineRule="auto"/>
        <w:rPr>
          <w:noProof/>
        </w:rPr>
      </w:pPr>
      <w:r>
        <w:rPr>
          <w:noProof/>
        </w:rPr>
        <w:t>There is no comprehensive network connectivity across borders and modes with minimum coherence in the EU. Recharging and refuelling points are distributed unevenly among Member States and within single Member States. Consumers and businesses also perceive the uneven development of different alternative fuel recharging and refuelling stations as a barrier in acquiring or investing in vehicles powered by alternative fuels.</w:t>
      </w:r>
    </w:p>
    <w:p>
      <w:pPr>
        <w:pStyle w:val="LegalNumPar"/>
        <w:numPr>
          <w:ilvl w:val="0"/>
          <w:numId w:val="31"/>
        </w:numPr>
        <w:pBdr>
          <w:top w:val="nil"/>
          <w:left w:val="nil"/>
          <w:bottom w:val="nil"/>
          <w:right w:val="nil"/>
          <w:between w:val="nil"/>
          <w:bar w:val="nil"/>
        </w:pBdr>
        <w:tabs>
          <w:tab w:val="left" w:pos="476"/>
        </w:tabs>
        <w:spacing w:line="240" w:lineRule="auto"/>
        <w:rPr>
          <w:noProof/>
        </w:rPr>
      </w:pPr>
      <w:r>
        <w:rPr>
          <w:noProof/>
        </w:rPr>
        <w:t xml:space="preserve">Users of an alternative fuels road vehicle often face problematic conditions for using that infrastructure, particularly when departing from their home fuelling/recharging model. This is particularly relevant in the area of electric mobility, where there is a lack of coherent and transparent user information on availability, accessibility and usability of recharging stations as well as a broad variety of approaches to using and paying at these stations, in particular for cross-border users. </w:t>
      </w:r>
    </w:p>
    <w:p>
      <w:pPr>
        <w:pStyle w:val="LegalNumPar"/>
        <w:numPr>
          <w:ilvl w:val="0"/>
          <w:numId w:val="31"/>
        </w:numPr>
        <w:pBdr>
          <w:top w:val="nil"/>
          <w:left w:val="nil"/>
          <w:bottom w:val="nil"/>
          <w:right w:val="nil"/>
          <w:between w:val="nil"/>
          <w:bar w:val="nil"/>
        </w:pBdr>
        <w:tabs>
          <w:tab w:val="left" w:pos="476"/>
        </w:tabs>
        <w:spacing w:line="240" w:lineRule="auto"/>
        <w:rPr>
          <w:noProof/>
        </w:rPr>
      </w:pPr>
      <w:r>
        <w:rPr>
          <w:noProof/>
        </w:rPr>
        <w:t>If not managed in a smart way, there is a risk that the rapidly increasing fleet of electric vehicles may lead to congestion in the electricity grid, in particular at peak times and at distribution level</w:t>
      </w:r>
      <w:r>
        <w:rPr>
          <w:rStyle w:val="FootnoteReference"/>
          <w:noProof/>
        </w:rPr>
        <w:footnoteReference w:id="253"/>
      </w:r>
      <w:r>
        <w:rPr>
          <w:noProof/>
        </w:rPr>
        <w:t xml:space="preserve">.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To illustrate the first issue, i</w:t>
      </w:r>
      <w:r>
        <w:rPr>
          <w:noProof/>
          <w:lang w:eastAsia="en-US"/>
        </w:rPr>
        <w:t>n 2019, the territory of the EU hosted more than 200,000 publicly accessible filling stations</w:t>
      </w:r>
      <w:r>
        <w:rPr>
          <w:rStyle w:val="FootnoteReference"/>
          <w:noProof/>
          <w:lang w:eastAsia="en-US"/>
        </w:rPr>
        <w:footnoteReference w:id="254"/>
      </w:r>
      <w:r>
        <w:rPr>
          <w:noProof/>
          <w:lang w:eastAsia="en-US"/>
        </w:rPr>
        <w:t xml:space="preserve"> for alternative fuels, out of which about 194,000 were electric charging points, </w:t>
      </w:r>
      <w:r>
        <w:rPr>
          <w:noProof/>
          <w:color w:val="000000"/>
        </w:rPr>
        <w:t xml:space="preserve">including around 22,000 fast-charging points. There are also </w:t>
      </w:r>
      <w:r>
        <w:rPr>
          <w:noProof/>
          <w:lang w:eastAsia="en-US"/>
        </w:rPr>
        <w:t xml:space="preserve">125 fuelling stations for </w:t>
      </w:r>
      <w:r>
        <w:rPr>
          <w:noProof/>
        </w:rPr>
        <w:t>hydrogen</w:t>
      </w:r>
      <w:r>
        <w:rPr>
          <w:noProof/>
          <w:lang w:eastAsia="en-US"/>
        </w:rPr>
        <w:t xml:space="preserve">, as well as almost 4,000 filling stations </w:t>
      </w:r>
      <w:r>
        <w:rPr>
          <w:noProof/>
        </w:rPr>
        <w:t>for</w:t>
      </w:r>
      <w:r>
        <w:rPr>
          <w:noProof/>
          <w:lang w:eastAsia="en-US"/>
        </w:rPr>
        <w:t xml:space="preserve"> natural gas, out of which </w:t>
      </w:r>
      <w:r>
        <w:rPr>
          <w:noProof/>
        </w:rPr>
        <w:t>249 LNG refuelling stations,</w:t>
      </w:r>
      <w:r>
        <w:rPr>
          <w:noProof/>
          <w:lang w:eastAsia="en-US"/>
        </w:rPr>
        <w:t xml:space="preserve"> and 34,</w:t>
      </w:r>
      <w:r>
        <w:rPr>
          <w:noProof/>
        </w:rPr>
        <w:t>000</w:t>
      </w:r>
      <w:r>
        <w:rPr>
          <w:noProof/>
          <w:lang w:eastAsia="en-US"/>
        </w:rPr>
        <w:t xml:space="preserve"> LPG filling stations available.</w:t>
      </w:r>
      <w:r>
        <w:rPr>
          <w:noProof/>
          <w:vertAlign w:val="superscript"/>
        </w:rPr>
        <w:footnoteReference w:id="255"/>
      </w:r>
      <w:r>
        <w:rPr>
          <w:noProof/>
          <w:vertAlign w:val="superscript"/>
          <w:lang w:eastAsia="en-US"/>
        </w:rPr>
        <w:t xml:space="preserve"> </w:t>
      </w:r>
    </w:p>
    <w:p>
      <w:pPr>
        <w:pStyle w:val="ListParagraph"/>
        <w:numPr>
          <w:ilvl w:val="0"/>
          <w:numId w:val="89"/>
        </w:numPr>
        <w:spacing w:after="0" w:line="240" w:lineRule="auto"/>
        <w:contextualSpacing w:val="0"/>
        <w:rPr>
          <w:noProof/>
          <w:sz w:val="24"/>
          <w:szCs w:val="24"/>
        </w:rPr>
      </w:pPr>
      <w:r>
        <w:rPr>
          <w:noProof/>
          <w:sz w:val="24"/>
          <w:szCs w:val="24"/>
          <w:lang w:eastAsia="en-US"/>
        </w:rPr>
        <w:t>Whereas the number of alternative fuel filling stations has increased since 2011, the number of electric vehicles per charging point is increasing too: o</w:t>
      </w:r>
      <w:r>
        <w:rPr>
          <w:noProof/>
          <w:color w:val="000000"/>
          <w:sz w:val="24"/>
          <w:szCs w:val="24"/>
        </w:rPr>
        <w:t>n average, one charging point serves seven vehicles.</w:t>
      </w:r>
      <w:r>
        <w:rPr>
          <w:rStyle w:val="FootnoteReference"/>
          <w:noProof/>
          <w:color w:val="000000"/>
          <w:sz w:val="24"/>
          <w:szCs w:val="24"/>
        </w:rPr>
        <w:footnoteReference w:id="256"/>
      </w:r>
      <w:r>
        <w:rPr>
          <w:noProof/>
          <w:color w:val="000000"/>
          <w:sz w:val="24"/>
          <w:szCs w:val="24"/>
        </w:rPr>
        <w:t xml:space="preserve"> </w:t>
      </w:r>
      <w:r>
        <w:rPr>
          <w:noProof/>
          <w:sz w:val="24"/>
          <w:szCs w:val="24"/>
          <w:lang w:eastAsia="en-US"/>
        </w:rPr>
        <w:t>However, the situation of recharging/refuelling infrastructure differs across EU countries.</w:t>
      </w:r>
      <w:r>
        <w:rPr>
          <w:noProof/>
          <w:sz w:val="24"/>
          <w:szCs w:val="24"/>
        </w:rPr>
        <w:t xml:space="preserve"> As </w:t>
      </w:r>
      <w:r>
        <w:rPr>
          <w:noProof/>
        </w:rPr>
        <w:fldChar w:fldCharType="begin"/>
      </w:r>
      <w:r>
        <w:rPr>
          <w:noProof/>
          <w:sz w:val="24"/>
          <w:szCs w:val="24"/>
        </w:rPr>
        <w:instrText xml:space="preserve"> REF _Ref45561527 \h  \* MERGEFORMAT </w:instrText>
      </w:r>
      <w:r>
        <w:rPr>
          <w:noProof/>
        </w:rPr>
      </w:r>
      <w:r>
        <w:rPr>
          <w:noProof/>
          <w:sz w:val="24"/>
          <w:szCs w:val="24"/>
        </w:rPr>
        <w:fldChar w:fldCharType="separate"/>
      </w:r>
      <w:r>
        <w:rPr>
          <w:noProof/>
          <w:sz w:val="24"/>
          <w:szCs w:val="24"/>
        </w:rPr>
        <w:t>Figure 22</w:t>
      </w:r>
      <w:r>
        <w:rPr>
          <w:noProof/>
        </w:rPr>
        <w:fldChar w:fldCharType="end"/>
      </w:r>
      <w:r>
        <w:rPr>
          <w:noProof/>
          <w:sz w:val="24"/>
          <w:szCs w:val="24"/>
          <w:lang w:eastAsia="en-US"/>
        </w:rPr>
        <w:t xml:space="preserve"> </w:t>
      </w:r>
      <w:r>
        <w:rPr>
          <w:noProof/>
          <w:sz w:val="24"/>
          <w:szCs w:val="24"/>
        </w:rPr>
        <w:t xml:space="preserve">shows, the infrastructure is not spread evenly, and parts of the EU transport network are not well equipped. Hydrogen refuelling infrastructure is still thinly spread with up to 125 stations (with a large concentration in Germany). It is clear that in view of the expected acceleration of electric vehicle ramp up, the pace of infrastructure roll out needs to increase: the European Green Deal set the indicative target of 1 million public recharging and refuelling points by 2025. </w:t>
      </w:r>
    </w:p>
    <w:p>
      <w:pPr>
        <w:pStyle w:val="ListParagraph"/>
        <w:spacing w:after="0" w:line="240" w:lineRule="auto"/>
        <w:ind w:left="476"/>
        <w:contextualSpacing w:val="0"/>
        <w:rPr>
          <w:noProof/>
          <w:sz w:val="24"/>
          <w:szCs w:val="24"/>
        </w:rPr>
      </w:pPr>
    </w:p>
    <w:p>
      <w:pPr>
        <w:pStyle w:val="Caption"/>
        <w:keepNext/>
        <w:keepLines/>
        <w:jc w:val="center"/>
        <w:rPr>
          <w:i w:val="0"/>
          <w:noProof/>
        </w:rPr>
      </w:pPr>
      <w:bookmarkStart w:id="2013" w:name="_Ref45561527"/>
      <w:bookmarkStart w:id="2014" w:name="_Toc50417629"/>
      <w:bookmarkStart w:id="2015" w:name="_Toc50418272"/>
      <w:bookmarkStart w:id="2016" w:name="_Toc50473620"/>
      <w:bookmarkStart w:id="2017" w:name="_Toc50474671"/>
      <w:bookmarkStart w:id="2018" w:name="_Toc50630200"/>
      <w:bookmarkStart w:id="2019" w:name="_Toc50630924"/>
      <w:bookmarkStart w:id="2020" w:name="_Toc50633768"/>
      <w:bookmarkStart w:id="2021" w:name="_Toc50634010"/>
      <w:bookmarkStart w:id="2022" w:name="_Toc50646456"/>
      <w:bookmarkStart w:id="2023" w:name="_Toc50646591"/>
      <w:bookmarkStart w:id="2024" w:name="_Toc50649410"/>
      <w:bookmarkStart w:id="2025" w:name="_Toc50650717"/>
      <w:bookmarkStart w:id="2026" w:name="_Toc51593773"/>
      <w:bookmarkStart w:id="2027" w:name="_Toc51595240"/>
      <w:bookmarkStart w:id="2028" w:name="_Toc51595490"/>
      <w:bookmarkStart w:id="2029" w:name="_Toc51595816"/>
      <w:bookmarkStart w:id="2030" w:name="_Toc51595979"/>
      <w:bookmarkStart w:id="2031" w:name="_Toc52121466"/>
      <w:bookmarkStart w:id="2032" w:name="_Toc52122697"/>
      <w:bookmarkStart w:id="2033" w:name="_Toc53405261"/>
      <w:bookmarkStart w:id="2034" w:name="_Toc53406051"/>
      <w:bookmarkStart w:id="2035" w:name="_Toc53407417"/>
      <w:bookmarkStart w:id="2036" w:name="_Toc53410864"/>
      <w:bookmarkStart w:id="2037" w:name="_Toc53411927"/>
      <w:bookmarkStart w:id="2038" w:name="_Toc53417174"/>
      <w:bookmarkStart w:id="2039" w:name="_Toc53417526"/>
      <w:bookmarkStart w:id="2040" w:name="_Toc53419559"/>
      <w:bookmarkStart w:id="2041" w:name="_Toc53434864"/>
      <w:bookmarkStart w:id="2042" w:name="_Toc53437004"/>
      <w:bookmarkStart w:id="2043" w:name="_Toc57291666"/>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22</w:t>
      </w:r>
      <w:r>
        <w:rPr>
          <w:noProof/>
        </w:rPr>
        <w:fldChar w:fldCharType="end"/>
      </w:r>
      <w:bookmarkEnd w:id="2013"/>
      <w:r>
        <w:rPr>
          <w:i w:val="0"/>
          <w:noProof/>
        </w:rPr>
        <w:t xml:space="preserve">: </w:t>
      </w:r>
      <w:bookmarkStart w:id="2044" w:name="_Ref45561514"/>
      <w:r>
        <w:rPr>
          <w:i w:val="0"/>
          <w:noProof/>
        </w:rPr>
        <w:t>Situation of the publicly accessible recharging points in 2018 across EU</w:t>
      </w:r>
      <w:r>
        <w:rPr>
          <w:i w:val="0"/>
          <w:noProof/>
          <w:vertAlign w:val="superscript"/>
        </w:rPr>
        <w:footnoteReference w:id="257"/>
      </w:r>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p>
    <w:p>
      <w:pPr>
        <w:pStyle w:val="LegalNumPar"/>
        <w:pBdr>
          <w:top w:val="nil"/>
          <w:left w:val="nil"/>
          <w:bottom w:val="nil"/>
          <w:right w:val="nil"/>
          <w:between w:val="nil"/>
          <w:bar w:val="nil"/>
        </w:pBdr>
        <w:tabs>
          <w:tab w:val="left" w:pos="476"/>
        </w:tabs>
        <w:spacing w:line="240" w:lineRule="auto"/>
        <w:rPr>
          <w:noProof/>
        </w:rPr>
      </w:pPr>
      <w:r>
        <w:rPr>
          <w:noProof/>
        </w:rPr>
        <w:drawing>
          <wp:inline distT="0" distB="0" distL="0" distR="0">
            <wp:extent cx="5404757" cy="3591822"/>
            <wp:effectExtent l="0" t="0" r="571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5412685" cy="3597090"/>
                    </a:xfrm>
                    <a:prstGeom prst="rect">
                      <a:avLst/>
                    </a:prstGeom>
                    <a:ln>
                      <a:noFill/>
                    </a:ln>
                    <a:extLst>
                      <a:ext uri="{53640926-AAD7-44D8-BBD7-CCE9431645EC}">
                        <a14:shadowObscured xmlns:a14="http://schemas.microsoft.com/office/drawing/2010/main"/>
                      </a:ext>
                    </a:extLst>
                  </pic:spPr>
                </pic:pic>
              </a:graphicData>
            </a:graphic>
          </wp:inline>
        </w:drawing>
      </w:r>
    </w:p>
    <w:p>
      <w:pPr>
        <w:autoSpaceDE w:val="0"/>
        <w:autoSpaceDN w:val="0"/>
        <w:adjustRightInd w:val="0"/>
        <w:spacing w:after="0" w:line="240" w:lineRule="auto"/>
        <w:ind w:firstLine="720"/>
        <w:jc w:val="left"/>
        <w:rPr>
          <w:i/>
          <w:noProof/>
          <w:sz w:val="16"/>
          <w:szCs w:val="16"/>
        </w:rPr>
      </w:pPr>
      <w:r>
        <w:rPr>
          <w:i/>
          <w:iCs/>
          <w:noProof/>
          <w:sz w:val="16"/>
          <w:szCs w:val="16"/>
        </w:rPr>
        <w:t>Source: EAFO</w:t>
      </w:r>
    </w:p>
    <w:p>
      <w:pPr>
        <w:pStyle w:val="Heading4"/>
        <w:rPr>
          <w:noProof/>
        </w:rPr>
      </w:pPr>
      <w:bookmarkStart w:id="2045" w:name="_Toc46312106"/>
      <w:bookmarkStart w:id="2046" w:name="_Toc50044812"/>
      <w:bookmarkStart w:id="2047" w:name="_Toc50048927"/>
      <w:bookmarkStart w:id="2048" w:name="_Toc50415259"/>
      <w:bookmarkStart w:id="2049" w:name="_Toc50416541"/>
      <w:bookmarkStart w:id="2050" w:name="_Toc50417673"/>
      <w:bookmarkStart w:id="2051" w:name="_Toc50418316"/>
      <w:bookmarkStart w:id="2052" w:name="_Toc50459896"/>
      <w:bookmarkStart w:id="2053" w:name="_Toc50466103"/>
      <w:bookmarkStart w:id="2054" w:name="_Toc50473664"/>
      <w:bookmarkStart w:id="2055" w:name="_Toc50474715"/>
      <w:bookmarkStart w:id="2056" w:name="_Toc50565065"/>
      <w:bookmarkStart w:id="2057" w:name="_Toc50568673"/>
      <w:bookmarkStart w:id="2058" w:name="_Toc50629412"/>
      <w:bookmarkStart w:id="2059" w:name="_Toc50630244"/>
      <w:bookmarkStart w:id="2060" w:name="_Toc50630969"/>
      <w:bookmarkStart w:id="2061" w:name="_Toc50633813"/>
      <w:bookmarkStart w:id="2062" w:name="_Toc50634055"/>
      <w:bookmarkStart w:id="2063" w:name="_Toc50646503"/>
      <w:bookmarkStart w:id="2064" w:name="_Toc50646638"/>
      <w:bookmarkStart w:id="2065" w:name="_Toc50649457"/>
      <w:bookmarkStart w:id="2066" w:name="_Toc50650764"/>
      <w:bookmarkStart w:id="2067" w:name="_Toc51574798"/>
      <w:bookmarkStart w:id="2068" w:name="_Toc51575646"/>
      <w:bookmarkStart w:id="2069" w:name="_Toc51578033"/>
      <w:bookmarkStart w:id="2070" w:name="_Toc51578501"/>
      <w:bookmarkStart w:id="2071" w:name="_Toc51582917"/>
      <w:bookmarkStart w:id="2072" w:name="_Toc51583392"/>
      <w:bookmarkStart w:id="2073" w:name="_Toc51583482"/>
      <w:bookmarkStart w:id="2074" w:name="_Toc51583767"/>
      <w:bookmarkStart w:id="2075" w:name="_Toc51583957"/>
      <w:bookmarkStart w:id="2076" w:name="_Toc51583881"/>
      <w:bookmarkStart w:id="2077" w:name="_Toc51586199"/>
      <w:bookmarkStart w:id="2078" w:name="_Toc51594002"/>
      <w:bookmarkStart w:id="2079" w:name="_Toc51594328"/>
      <w:bookmarkStart w:id="2080" w:name="_Toc51595306"/>
      <w:bookmarkStart w:id="2081" w:name="_Toc51595556"/>
      <w:bookmarkStart w:id="2082" w:name="_Toc51595882"/>
      <w:bookmarkStart w:id="2083" w:name="_Toc51596045"/>
      <w:bookmarkStart w:id="2084" w:name="_Toc51596398"/>
      <w:bookmarkStart w:id="2085" w:name="_Toc52121532"/>
      <w:bookmarkStart w:id="2086" w:name="_Toc52122763"/>
      <w:bookmarkStart w:id="2087" w:name="_Toc52123880"/>
      <w:bookmarkStart w:id="2088" w:name="_Toc53405336"/>
      <w:bookmarkStart w:id="2089" w:name="_Toc53406125"/>
      <w:bookmarkStart w:id="2090" w:name="_Toc53407492"/>
      <w:bookmarkStart w:id="2091" w:name="_Toc53410938"/>
      <w:bookmarkStart w:id="2092" w:name="_Toc53412001"/>
      <w:bookmarkStart w:id="2093" w:name="_Toc53417248"/>
      <w:bookmarkStart w:id="2094" w:name="_Toc53417600"/>
      <w:bookmarkStart w:id="2095" w:name="_Toc53419835"/>
      <w:bookmarkStart w:id="2096" w:name="_Toc53434938"/>
      <w:bookmarkStart w:id="2097" w:name="_Toc53437078"/>
      <w:bookmarkStart w:id="2098" w:name="_Toc57291485"/>
      <w:r>
        <w:rPr>
          <w:noProof/>
        </w:rPr>
        <w:t>Other incentives</w:t>
      </w:r>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In recent years an increase in average CO</w:t>
      </w:r>
      <w:r>
        <w:rPr>
          <w:noProof/>
          <w:vertAlign w:val="subscript"/>
        </w:rPr>
        <w:t>2</w:t>
      </w:r>
      <w:r>
        <w:rPr>
          <w:noProof/>
        </w:rPr>
        <w:t xml:space="preserve"> emissions of new vehicles has been observed, together with a diverse, but still low, share of low and zero-emission vehicles among Member States. With this respect, the CO</w:t>
      </w:r>
      <w:r>
        <w:rPr>
          <w:noProof/>
          <w:vertAlign w:val="subscript"/>
        </w:rPr>
        <w:t>2</w:t>
      </w:r>
      <w:r>
        <w:rPr>
          <w:noProof/>
        </w:rPr>
        <w:t xml:space="preserve"> emission standards will drive manufacturers to invest in zero and low emission vehicles, to accelerate their deployment.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Several experiences across different EU Member States and third countries show that reducing registration and vehicle taxes for those vehicles is a very effective means of triggering consumer demand, in addition to other demand-side incentives such as energy taxes, company car taxation</w:t>
      </w:r>
      <w:r>
        <w:rPr>
          <w:rStyle w:val="FootnoteReference"/>
          <w:noProof/>
        </w:rPr>
        <w:footnoteReference w:id="258"/>
      </w:r>
      <w:r>
        <w:rPr>
          <w:noProof/>
        </w:rPr>
        <w:t>, scrappage and purchasing schemes and premiums, purchase subsidies or favourable infrastructure charges, etc. CO</w:t>
      </w:r>
      <w:r>
        <w:rPr>
          <w:noProof/>
          <w:vertAlign w:val="subscript"/>
        </w:rPr>
        <w:t>2</w:t>
      </w:r>
      <w:r>
        <w:rPr>
          <w:noProof/>
        </w:rPr>
        <w:t>-based road charging as set out in the Eurovignette Directive currently under negotiation would be an important incentive for greening fleets.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Additional policy measures could promote the uptake of zero emission vehicles and sustainable fuels. Public procurement can play a key role in particular in those segments – such as buses and fleets – where it represents a major share of the market. For example the pooled procurement by several cities of clean and safe vehicles (buses, refuse collection vehicles etc.) along with financial support for infrastructure measures and retrofitting of vehicles, for instance with turning assistants could be instrumental.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Concerning public transport in particular, the Clean Vehicles Directive</w:t>
      </w:r>
      <w:r>
        <w:rPr>
          <w:noProof/>
          <w:vertAlign w:val="superscript"/>
        </w:rPr>
        <w:footnoteReference w:id="259"/>
      </w:r>
      <w:r>
        <w:rPr>
          <w:noProof/>
        </w:rPr>
        <w:t xml:space="preserve"> and the Clean Bus Europe Platform will help the transition towards low- and zero-emission options. By requiring a minimum share of public procurement of cars, vans, lorries and buses to be covered through clean (and zero-emission) vehicles, the Clean Vehicles Directive will help mobilise this potential in the period 2021-2030. The Directive must be transposed by August 2021, and it sets ambitious targets for two five-year periods (2021-2025 and 2026-2030). Post-2030 targets will be set as part of a 2027 revision.</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In addition, given the significant additional costs of zero-emission solutions available for long-distance lorries, the adaptation of the Weights and Dimension Directive</w:t>
      </w:r>
      <w:r>
        <w:rPr>
          <w:noProof/>
          <w:vertAlign w:val="superscript"/>
        </w:rPr>
        <w:footnoteReference w:id="260"/>
      </w:r>
      <w:r>
        <w:rPr>
          <w:noProof/>
          <w:lang w:eastAsia="en-US"/>
        </w:rPr>
        <w:t xml:space="preserve"> for allowing zero-emission </w:t>
      </w:r>
      <w:r>
        <w:rPr>
          <w:noProof/>
        </w:rPr>
        <w:t xml:space="preserve">heavy-goods </w:t>
      </w:r>
      <w:r>
        <w:rPr>
          <w:noProof/>
          <w:lang w:eastAsia="en-US"/>
        </w:rPr>
        <w:t>vehicles a</w:t>
      </w:r>
      <w:r>
        <w:rPr>
          <w:noProof/>
        </w:rPr>
        <w:t xml:space="preserve">dditional weight and dimensions on freight tonnage could increase the competitiveness of zero-emission vehicles. </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Transporting more goods with fewer lorries might increase efficiency and sustainability</w:t>
      </w:r>
      <w:r>
        <w:rPr>
          <w:rStyle w:val="FootnoteReference"/>
          <w:noProof/>
          <w:lang w:eastAsia="en-US"/>
        </w:rPr>
        <w:footnoteReference w:id="261"/>
      </w:r>
      <w:r>
        <w:rPr>
          <w:noProof/>
          <w:lang w:eastAsia="en-US"/>
        </w:rPr>
        <w:t>. So-called European Modular Systems (EMS), which are longer lorries of up to 25.25 metres typically used on inter-urban roads between transport centres, allow reducing fuel consumption and emissions by up to 15%</w:t>
      </w:r>
      <w:r>
        <w:rPr>
          <w:rStyle w:val="FootnoteReference"/>
          <w:noProof/>
          <w:lang w:eastAsia="en-US"/>
        </w:rPr>
        <w:footnoteReference w:id="262"/>
      </w:r>
      <w:r>
        <w:rPr>
          <w:noProof/>
          <w:lang w:eastAsia="en-US"/>
        </w:rPr>
        <w:t xml:space="preserve"> and at the same time congestion. </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rPr>
        <w:t xml:space="preserve">Specifically, the legislation </w:t>
      </w:r>
      <w:r>
        <w:rPr>
          <w:noProof/>
          <w:lang w:eastAsia="en-US"/>
        </w:rPr>
        <w:t xml:space="preserve">on the maximum weights and dimensions of road vehicles provides for limited circumstances where derogations to the maximum dimensions of the lorries can be granted. The use of such vehicles, in particular the modular concepts, in international transport is however very restricted while their use would be justified for long haul on certain infrastructure. Today, adjacent Member States who wish to use these derogations to authorise longer lorries to cross the border between them can only do so if specific conditions are met. Currently, use of modular lorries is allowed in Finland and Sweden, and is being trialled in Denmark, the Netherlands, Belgium Spain, Portugal, Czech Republic and some German Länder. </w:t>
      </w:r>
    </w:p>
    <w:p>
      <w:pPr>
        <w:pStyle w:val="Heading4"/>
        <w:rPr>
          <w:noProof/>
        </w:rPr>
      </w:pPr>
      <w:bookmarkStart w:id="2099" w:name="_Toc46312107"/>
      <w:bookmarkStart w:id="2100" w:name="_Toc50044813"/>
      <w:bookmarkStart w:id="2101" w:name="_Toc50048928"/>
      <w:bookmarkStart w:id="2102" w:name="_Toc50415260"/>
      <w:bookmarkStart w:id="2103" w:name="_Toc50416542"/>
      <w:bookmarkStart w:id="2104" w:name="_Toc50417674"/>
      <w:bookmarkStart w:id="2105" w:name="_Toc50418317"/>
      <w:bookmarkStart w:id="2106" w:name="_Toc50459897"/>
      <w:bookmarkStart w:id="2107" w:name="_Toc50466104"/>
      <w:bookmarkStart w:id="2108" w:name="_Toc50473665"/>
      <w:bookmarkStart w:id="2109" w:name="_Toc50474716"/>
      <w:bookmarkStart w:id="2110" w:name="_Toc50565066"/>
      <w:bookmarkStart w:id="2111" w:name="_Toc50568674"/>
      <w:bookmarkStart w:id="2112" w:name="_Toc50629413"/>
      <w:bookmarkStart w:id="2113" w:name="_Toc50630245"/>
      <w:bookmarkStart w:id="2114" w:name="_Toc50630970"/>
      <w:bookmarkStart w:id="2115" w:name="_Toc50633814"/>
      <w:bookmarkStart w:id="2116" w:name="_Toc50634056"/>
      <w:bookmarkStart w:id="2117" w:name="_Toc50646504"/>
      <w:bookmarkStart w:id="2118" w:name="_Toc50646639"/>
      <w:bookmarkStart w:id="2119" w:name="_Toc50649458"/>
      <w:bookmarkStart w:id="2120" w:name="_Toc50650765"/>
      <w:bookmarkStart w:id="2121" w:name="_Toc51574799"/>
      <w:bookmarkStart w:id="2122" w:name="_Toc51575647"/>
      <w:bookmarkStart w:id="2123" w:name="_Toc51578034"/>
      <w:bookmarkStart w:id="2124" w:name="_Toc51578502"/>
      <w:bookmarkStart w:id="2125" w:name="_Toc51582918"/>
      <w:bookmarkStart w:id="2126" w:name="_Toc51583393"/>
      <w:bookmarkStart w:id="2127" w:name="_Toc51583483"/>
      <w:bookmarkStart w:id="2128" w:name="_Toc51583768"/>
      <w:bookmarkStart w:id="2129" w:name="_Toc51583958"/>
      <w:bookmarkStart w:id="2130" w:name="_Toc51583882"/>
      <w:bookmarkStart w:id="2131" w:name="_Toc51586200"/>
      <w:bookmarkStart w:id="2132" w:name="_Toc51594003"/>
      <w:bookmarkStart w:id="2133" w:name="_Toc51594329"/>
      <w:bookmarkStart w:id="2134" w:name="_Toc51595307"/>
      <w:bookmarkStart w:id="2135" w:name="_Toc51595557"/>
      <w:bookmarkStart w:id="2136" w:name="_Toc51595883"/>
      <w:bookmarkStart w:id="2137" w:name="_Toc51596046"/>
      <w:bookmarkStart w:id="2138" w:name="_Toc51596399"/>
      <w:bookmarkStart w:id="2139" w:name="_Toc52121533"/>
      <w:bookmarkStart w:id="2140" w:name="_Toc52122764"/>
      <w:bookmarkStart w:id="2141" w:name="_Toc52123881"/>
      <w:bookmarkStart w:id="2142" w:name="_Toc53405338"/>
      <w:bookmarkStart w:id="2143" w:name="_Toc53406127"/>
      <w:bookmarkStart w:id="2144" w:name="_Toc53407494"/>
      <w:bookmarkStart w:id="2145" w:name="_Toc53410940"/>
      <w:bookmarkStart w:id="2146" w:name="_Toc53412003"/>
      <w:bookmarkStart w:id="2147" w:name="_Toc53417250"/>
      <w:bookmarkStart w:id="2148" w:name="_Toc53417602"/>
      <w:bookmarkStart w:id="2149" w:name="_Toc53419837"/>
      <w:bookmarkStart w:id="2150" w:name="_Toc53434940"/>
      <w:bookmarkStart w:id="2151" w:name="_Toc53437080"/>
      <w:bookmarkStart w:id="2152" w:name="_Toc57291486"/>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r>
        <w:rPr>
          <w:noProof/>
        </w:rPr>
        <w:t>Pollutant standards, batteries and roadworthiness</w:t>
      </w:r>
      <w:bookmarkEnd w:id="2152"/>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Commission responded to the Dieselgate affair by overhauling its legislative framework for type approval and market surveillance, introducing new tests in vehicle type approval and during in-service conformity for checking real driving emissions (RDE) on the road</w:t>
      </w:r>
      <w:r>
        <w:rPr>
          <w:rStyle w:val="FootnoteReference"/>
          <w:noProof/>
        </w:rPr>
        <w:footnoteReference w:id="263"/>
      </w:r>
      <w:r>
        <w:rPr>
          <w:noProof/>
        </w:rPr>
        <w:t xml:space="preserve"> and is currently preparing a legislative proposal for stricter emission limits for cars, vans, buses and lorries.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A proposal on the </w:t>
      </w:r>
      <w:r>
        <w:rPr>
          <w:b/>
          <w:bCs/>
          <w:noProof/>
        </w:rPr>
        <w:t>EURO 7</w:t>
      </w:r>
      <w:r>
        <w:rPr>
          <w:noProof/>
        </w:rPr>
        <w:t xml:space="preserve"> is expected in the second half of 2021. The Commission is studying all the relevant issues, such as the simplification of the legislation, technological neutrality, adaptation to connectivity and automation, durability and lifetime compliance, stricter emission limits covering all conditions of use, and possible inclusion of pollutants not yet regulated. The proposal is expected to include also requirements for in-vehicle battery durability.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Commission proposal on</w:t>
      </w:r>
      <w:r>
        <w:rPr>
          <w:b/>
          <w:bCs/>
          <w:noProof/>
        </w:rPr>
        <w:t xml:space="preserve"> batteries</w:t>
      </w:r>
      <w:r>
        <w:rPr>
          <w:noProof/>
        </w:rPr>
        <w:t xml:space="preserve">, including EV batteries, establishes several sustainability criteria. EV batteries should comply with those criteria to enter (or to be allowed in) the Union market. Moreover the end of life of such batteries, including second-life, recycling efficiencies and materials recovery targets are also covered. Concerning the sustainability criteria, they cover several aspects along the entire life cycle of the batteries, such as the extraction of the minerals used in their manufacturing (the responsible sourcing or supply chain due diligence), the obligation on incorporation a certain level of recycled materials when batteries are manufactures and the carbon footprint of the batteries. Other aspects cover labelling and information disclosure to end-users and economic operators and extended producer responsibility.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Following the new stricter emissions limits, more effective emission testing should also be part of </w:t>
      </w:r>
      <w:r>
        <w:rPr>
          <w:b/>
          <w:bCs/>
          <w:noProof/>
        </w:rPr>
        <w:t xml:space="preserve">periodic technical inspections and technical roadside checks </w:t>
      </w:r>
      <w:r>
        <w:rPr>
          <w:noProof/>
        </w:rPr>
        <w:t>of vehicles. This concerns in particular testing for NOx and particulate matter.</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Particles emitted by diesel engines are filtered by the diesel particulate filter (DPF), while currently all gasoline direct injection (GDI) vehicles also filter particle emissions via a gasoline particulate filter (GPF). The current framework requires the visual inspection of the filters as a method to verify if the filter is leaking, absent or defective. However, this method has proven to be ineffective, as the filter is often inaccessible (hidden or too hot to check) and the casing is often filled with some material to hide the traces of the filter removal. According to a Dutch study of 2016</w:t>
      </w:r>
      <w:r>
        <w:rPr>
          <w:rStyle w:val="FootnoteReference"/>
          <w:noProof/>
        </w:rPr>
        <w:footnoteReference w:id="264"/>
      </w:r>
      <w:r>
        <w:rPr>
          <w:noProof/>
        </w:rPr>
        <w:t xml:space="preserve">, in approximately 5-7% of diesel cars with a DPF, the filter was removed or defective. While this does not seem a lot, a well-functioning DPF filters out about 99% of the so-called micro particles. These particles are so small that they enter the human body through inhalation via the lungs and have severe negative health effects.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The impact on the overall fleet emissions is very large, for instance a study on vehicles in Prague found that 1% of a fleet with a broken DPF doubles the emissions of the whole fleet, while 1% with a removed DPF due to excess engine-out PM (x10) emissions increase fleet emissions by a factor 10. The most effective solution would be the tailpipe testing of the exhaust gas verifying the particle numbers.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The main reason to tamper with DPF appears to be related to the very significant cost of the replacement filter, amounting to several thousand euros especially for heavy duty vehicles. In an older vehicle where the DPF has not been installed during the manufacturing, </w:t>
      </w:r>
      <w:r>
        <w:rPr>
          <w:noProof/>
          <w:lang w:eastAsia="en-US"/>
        </w:rPr>
        <w:t>retrofits can be very effective in reducing emissions, eliminating up to 90 percent of pollutants in some cases, and Germany, Sweden and the Netherlands have experience with national retrofitting schemes for DPFs. However</w:t>
      </w:r>
      <w:r>
        <w:rPr>
          <w:noProof/>
        </w:rPr>
        <w:t xml:space="preserve"> </w:t>
      </w:r>
      <w:r>
        <w:rPr>
          <w:noProof/>
          <w:lang w:eastAsia="en-US"/>
        </w:rPr>
        <w:t>r</w:t>
      </w:r>
      <w:r>
        <w:rPr>
          <w:noProof/>
        </w:rPr>
        <w:t>etrofitting may not be an appropriate solution as long as the cost of replacement DPFs has not been lowered</w:t>
      </w:r>
      <w:r>
        <w:rPr>
          <w:noProof/>
          <w:lang w:eastAsia="en-US"/>
        </w:rPr>
        <w:t xml:space="preserve"> enough to make it a reasonable repair in light of the market value of the vehicle in question.</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rPr>
        <w:t>After years of research and development conducted by some Member States, there is now a method and suitable equipment at periodical technical inspections to test particle number (PN), which indicate a malfunctioning of the DPF. Belgium, Germany and the Netherlands will introduce testing from 2021. The introduction of the new testing method for PN at EU level will require the revision of the roadworthiness framework, but in the meantime the Commission is closely following the Member States’ experiences and it is looking at possible ways to support the Member States’ efforts.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Another issue to consider in this context is tampering with the vehicle’s Selective Catalytic Reduction (SCR) system, mainly a problem linked to heavy goods vehicles. The SCR system uses AdBlue, a liquid developed to react in the SCR and decrease NO</w:t>
      </w:r>
      <w:r>
        <w:rPr>
          <w:noProof/>
          <w:vertAlign w:val="subscript"/>
          <w:lang w:eastAsia="en-US"/>
        </w:rPr>
        <w:t>x</w:t>
      </w:r>
      <w:r>
        <w:rPr>
          <w:noProof/>
          <w:lang w:eastAsia="en-US"/>
        </w:rPr>
        <w:t xml:space="preserve"> emissions from diesel engines. Vehicles are in principle protected from running without AdBlue, but systems exist that bypass the vehicle controls (AdBlue killers). This is done in order to save its cost which can be a significant saving especially for operators of fleets of lorries. Such tampering is already a reason for failure of a technical roadside inspection of a vehicle, if detected. However, in the absence of a suitable NO</w:t>
      </w:r>
      <w:r>
        <w:rPr>
          <w:noProof/>
          <w:vertAlign w:val="subscript"/>
          <w:lang w:eastAsia="en-US"/>
        </w:rPr>
        <w:t>x</w:t>
      </w:r>
      <w:r>
        <w:rPr>
          <w:noProof/>
          <w:lang w:eastAsia="en-US"/>
        </w:rPr>
        <w:t xml:space="preserve"> testing method and equipment, it is difficult to detect the often very sophisticated tampering. The Commission is closely following the progress in the development of such testing methods in view of possible legislative action. However, it is also not enough to rely on the legal framework only. The practice of some Member States combining several measures, such as high fines, on-site checks of transport company fleets, withdrawal of transport operator and transport manager licences, follow-up actions after identified manipulations appear to yield good results. The Commission is helping to spread this know-how, via Member States’ experts in the Roadworthiness </w:t>
      </w:r>
      <w:r>
        <w:rPr>
          <w:noProof/>
        </w:rPr>
        <w:t>Committee.</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 xml:space="preserve">The development and supervision of harmonised testing methods for roadworthiness checks, as well as coherence with vehicle type approval, at EU level would have great added value, but requires additional technical capacity and resources.  </w:t>
      </w:r>
      <w:bookmarkStart w:id="2153" w:name="_Toc53405339"/>
      <w:bookmarkStart w:id="2154" w:name="_Toc53407495"/>
      <w:bookmarkEnd w:id="2153"/>
      <w:bookmarkEnd w:id="2154"/>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Tyres are an important consideration in road safety.  Nevertheless, tyres are a significant cause of noise above 30 km/h and low performing tyres increase noise and its health effects. Regulating rolling resistance affects the energy consumption, and emissions of vehicles as well, thus again tyres are key in reducing carbon footprint. Last but not least tyres are a main cause of the microplastics released in the environment. Different factors influence the abrasion rate of tyres. Tyre design, type of their raw materials and external parameters such as roads, vehicle characteristics that can be regulated as well as ambient meteorological conditions to be taken into account, are some of these factors.</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The Report from the Group of Chief Scientific Advisors</w:t>
      </w:r>
      <w:r>
        <w:rPr>
          <w:rStyle w:val="FootnoteReference"/>
          <w:noProof/>
          <w:lang w:eastAsia="en-US"/>
        </w:rPr>
        <w:footnoteReference w:id="265"/>
      </w:r>
      <w:r>
        <w:rPr>
          <w:noProof/>
          <w:lang w:eastAsia="en-US"/>
        </w:rPr>
        <w:t xml:space="preserve"> calls attention to the growing scientific evidence on the hazards of the uncontrolled, irreversible, and long-term ecological risks due to microplastics do exist for some coastal waters and sediments. </w:t>
      </w:r>
    </w:p>
    <w:p>
      <w:pPr>
        <w:pStyle w:val="Heading3"/>
        <w:rPr>
          <w:noProof/>
        </w:rPr>
      </w:pPr>
      <w:bookmarkStart w:id="2155" w:name="_Toc46312108"/>
      <w:bookmarkStart w:id="2156" w:name="_Toc50044814"/>
      <w:bookmarkStart w:id="2157" w:name="_Toc50048929"/>
      <w:bookmarkStart w:id="2158" w:name="_Toc50415261"/>
      <w:bookmarkStart w:id="2159" w:name="_Toc50416543"/>
      <w:bookmarkStart w:id="2160" w:name="_Toc50417675"/>
      <w:bookmarkStart w:id="2161" w:name="_Toc50418318"/>
      <w:bookmarkStart w:id="2162" w:name="_Toc50459898"/>
      <w:bookmarkStart w:id="2163" w:name="_Toc50466105"/>
      <w:bookmarkStart w:id="2164" w:name="_Toc50473666"/>
      <w:bookmarkStart w:id="2165" w:name="_Toc50474717"/>
      <w:bookmarkStart w:id="2166" w:name="_Toc50565067"/>
      <w:bookmarkStart w:id="2167" w:name="_Toc50568675"/>
      <w:bookmarkStart w:id="2168" w:name="_Toc50629414"/>
      <w:bookmarkStart w:id="2169" w:name="_Toc50630246"/>
      <w:bookmarkStart w:id="2170" w:name="_Toc50630971"/>
      <w:bookmarkStart w:id="2171" w:name="_Toc50633815"/>
      <w:bookmarkStart w:id="2172" w:name="_Toc50634057"/>
      <w:bookmarkStart w:id="2173" w:name="_Toc50646505"/>
      <w:bookmarkStart w:id="2174" w:name="_Toc50646640"/>
      <w:bookmarkStart w:id="2175" w:name="_Toc50649459"/>
      <w:bookmarkStart w:id="2176" w:name="_Toc50650766"/>
      <w:bookmarkStart w:id="2177" w:name="_Toc51574800"/>
      <w:bookmarkStart w:id="2178" w:name="_Toc51575648"/>
      <w:bookmarkStart w:id="2179" w:name="_Toc51578035"/>
      <w:bookmarkStart w:id="2180" w:name="_Toc51578503"/>
      <w:bookmarkStart w:id="2181" w:name="_Toc51582919"/>
      <w:bookmarkStart w:id="2182" w:name="_Toc51583394"/>
      <w:bookmarkStart w:id="2183" w:name="_Toc51583484"/>
      <w:bookmarkStart w:id="2184" w:name="_Toc51583769"/>
      <w:bookmarkStart w:id="2185" w:name="_Toc51583959"/>
      <w:bookmarkStart w:id="2186" w:name="_Toc51583883"/>
      <w:bookmarkStart w:id="2187" w:name="_Toc51586201"/>
      <w:bookmarkStart w:id="2188" w:name="_Toc51594004"/>
      <w:bookmarkStart w:id="2189" w:name="_Toc51594330"/>
      <w:bookmarkStart w:id="2190" w:name="_Toc51595308"/>
      <w:bookmarkStart w:id="2191" w:name="_Toc51595558"/>
      <w:bookmarkStart w:id="2192" w:name="_Toc51595884"/>
      <w:bookmarkStart w:id="2193" w:name="_Toc51596047"/>
      <w:bookmarkStart w:id="2194" w:name="_Toc51596400"/>
      <w:bookmarkStart w:id="2195" w:name="_Toc52121534"/>
      <w:bookmarkStart w:id="2196" w:name="_Toc52122765"/>
      <w:bookmarkStart w:id="2197" w:name="_Toc52123882"/>
      <w:bookmarkStart w:id="2198" w:name="_Toc53405340"/>
      <w:bookmarkStart w:id="2199" w:name="_Toc53406128"/>
      <w:bookmarkStart w:id="2200" w:name="_Toc53407496"/>
      <w:bookmarkStart w:id="2201" w:name="_Toc53410941"/>
      <w:bookmarkStart w:id="2202" w:name="_Toc53412004"/>
      <w:bookmarkStart w:id="2203" w:name="_Toc53417251"/>
      <w:bookmarkStart w:id="2204" w:name="_Toc53417603"/>
      <w:bookmarkStart w:id="2205" w:name="_Toc53419838"/>
      <w:bookmarkStart w:id="2206" w:name="_Toc53434941"/>
      <w:bookmarkStart w:id="2207" w:name="_Toc53437081"/>
      <w:bookmarkStart w:id="2208" w:name="_Toc57291487"/>
      <w:r>
        <w:rPr>
          <w:noProof/>
        </w:rPr>
        <w:t>Clean ports and airports</w:t>
      </w:r>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p>
    <w:p>
      <w:pPr>
        <w:rPr>
          <w:noProof/>
          <w:lang w:eastAsia="en-US"/>
        </w:rPr>
      </w:pP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Ports and airports play an essential role for our international connectivity, for the European economy, and for their regions. There are many best practices already in place by the most sustainable airports and ports</w:t>
      </w:r>
      <w:r>
        <w:rPr>
          <w:noProof/>
          <w:vertAlign w:val="superscript"/>
          <w:lang w:eastAsia="en-US"/>
        </w:rPr>
        <w:footnoteReference w:id="266"/>
      </w:r>
      <w:r>
        <w:rPr>
          <w:noProof/>
          <w:lang w:eastAsia="en-US"/>
        </w:rPr>
        <w:t xml:space="preserve">. </w:t>
      </w:r>
      <w:r>
        <w:rPr>
          <w:noProof/>
        </w:rPr>
        <w:t xml:space="preserve">Our airports and ports can be made clean by deploying sustainable alternative fuels, and feeding stationed vessels and aircraft with green power instead of fossil energy; incentivising the development and use of new, cleaner and quieter aircraft and vessels; modulating airport charges; greening ground movements at </w:t>
      </w:r>
      <w:r>
        <w:rPr>
          <w:noProof/>
          <w:lang w:eastAsia="en-US"/>
        </w:rPr>
        <w:t>airports</w:t>
      </w:r>
      <w:r>
        <w:rPr>
          <w:noProof/>
        </w:rPr>
        <w:t xml:space="preserve"> as well as port services and operations; and through a wider use of smart traffic management. Public and private investment in aviation and waterborne transport in research for cutting edge technologies, in fleet renewals, in local renewable energy production, and in more sustainable multimodal access increase. </w:t>
      </w:r>
    </w:p>
    <w:p>
      <w:pPr>
        <w:pStyle w:val="Heading4"/>
        <w:rPr>
          <w:noProof/>
        </w:rPr>
      </w:pPr>
      <w:bookmarkStart w:id="2209" w:name="_Toc46312109"/>
      <w:bookmarkStart w:id="2210" w:name="_Toc50044815"/>
      <w:bookmarkStart w:id="2211" w:name="_Toc50048930"/>
      <w:bookmarkStart w:id="2212" w:name="_Toc50415262"/>
      <w:bookmarkStart w:id="2213" w:name="_Toc50416544"/>
      <w:bookmarkStart w:id="2214" w:name="_Toc50417676"/>
      <w:bookmarkStart w:id="2215" w:name="_Toc50418319"/>
      <w:bookmarkStart w:id="2216" w:name="_Toc50459899"/>
      <w:bookmarkStart w:id="2217" w:name="_Toc50466106"/>
      <w:bookmarkStart w:id="2218" w:name="_Toc50473667"/>
      <w:bookmarkStart w:id="2219" w:name="_Toc50474718"/>
      <w:bookmarkStart w:id="2220" w:name="_Toc50565068"/>
      <w:bookmarkStart w:id="2221" w:name="_Toc50568676"/>
      <w:bookmarkStart w:id="2222" w:name="_Toc50629415"/>
      <w:bookmarkStart w:id="2223" w:name="_Toc50630247"/>
      <w:bookmarkStart w:id="2224" w:name="_Toc50630972"/>
      <w:bookmarkStart w:id="2225" w:name="_Toc50633816"/>
      <w:bookmarkStart w:id="2226" w:name="_Toc50634058"/>
      <w:bookmarkStart w:id="2227" w:name="_Toc50646506"/>
      <w:bookmarkStart w:id="2228" w:name="_Toc50646641"/>
      <w:bookmarkStart w:id="2229" w:name="_Toc50649460"/>
      <w:bookmarkStart w:id="2230" w:name="_Toc50650767"/>
      <w:bookmarkStart w:id="2231" w:name="_Toc51574801"/>
      <w:bookmarkStart w:id="2232" w:name="_Toc51575649"/>
      <w:bookmarkStart w:id="2233" w:name="_Toc51578036"/>
      <w:bookmarkStart w:id="2234" w:name="_Toc51578504"/>
      <w:bookmarkStart w:id="2235" w:name="_Toc51582920"/>
      <w:bookmarkStart w:id="2236" w:name="_Toc51583395"/>
      <w:bookmarkStart w:id="2237" w:name="_Toc51583485"/>
      <w:bookmarkStart w:id="2238" w:name="_Toc51583770"/>
      <w:bookmarkStart w:id="2239" w:name="_Toc51583960"/>
      <w:bookmarkStart w:id="2240" w:name="_Toc51583884"/>
      <w:bookmarkStart w:id="2241" w:name="_Toc51586202"/>
      <w:bookmarkStart w:id="2242" w:name="_Toc51594005"/>
      <w:bookmarkStart w:id="2243" w:name="_Toc51594331"/>
      <w:bookmarkStart w:id="2244" w:name="_Toc51595309"/>
      <w:bookmarkStart w:id="2245" w:name="_Toc51595559"/>
      <w:bookmarkStart w:id="2246" w:name="_Toc51595885"/>
      <w:bookmarkStart w:id="2247" w:name="_Toc51596048"/>
      <w:bookmarkStart w:id="2248" w:name="_Toc51596401"/>
      <w:bookmarkStart w:id="2249" w:name="_Toc52121535"/>
      <w:bookmarkStart w:id="2250" w:name="_Toc52122766"/>
      <w:bookmarkStart w:id="2251" w:name="_Toc52123883"/>
      <w:bookmarkStart w:id="2252" w:name="_Toc53405341"/>
      <w:bookmarkStart w:id="2253" w:name="_Toc53406129"/>
      <w:bookmarkStart w:id="2254" w:name="_Toc53407497"/>
      <w:bookmarkStart w:id="2255" w:name="_Toc53410942"/>
      <w:bookmarkStart w:id="2256" w:name="_Toc53412005"/>
      <w:bookmarkStart w:id="2257" w:name="_Toc53417252"/>
      <w:bookmarkStart w:id="2258" w:name="_Toc53417604"/>
      <w:bookmarkStart w:id="2259" w:name="_Toc53419839"/>
      <w:bookmarkStart w:id="2260" w:name="_Toc53434942"/>
      <w:bookmarkStart w:id="2261" w:name="_Toc53437082"/>
      <w:bookmarkStart w:id="2262" w:name="_Toc57291488"/>
      <w:r>
        <w:rPr>
          <w:noProof/>
        </w:rPr>
        <w:t>Ports</w:t>
      </w:r>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The EU has more than 1,400 inland and seaports, including 329 sea ports and 103 inland ports which are part of the trans-European transport network. Together, they accommodate the safe passage of 75% of the EU’s external trade, one-third of intra-European trade and 400 million passengers annually. Beyond the traffic generated in terms of shipping (freight and cruise/passenger), ports are economic and industrial hubs of their own, and therefore host other major sources of GHG emissions and pollution (air, noise and water): energy production facilities and refineries, landside operations in terminals, and hinterland connections (rail, road, inland waterways). European ports are therefore at the same time critical nodes of transport, energy and industry that constitute a key ecosystem contributing to building European strategic value chains. In this respect ports also have an important role to play in the implementation of the Green Deal.</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As ports are often located close to heavily populated urban areas, pollution bears direct impact on liveability and quality of life around those areas, be it for ports’ workers or citizens living nearby. Ongoing air quality infringements are a concern for a number of EU coastal cities. Prior to the COVID-19 pandemic, coastal cities were also particularly affected by the growing popularity of the cruise industry, which relies heavily on highly fuel-intensive ‘mega-vessels’.</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 xml:space="preserve">Exhaust gases from ships are a significant source of air pollution, in particular through sulphur oxide emissions resulting from the burning of fuel oil. Sulphur oxides are harmful to the human respiratory system and make breathing difficult. Ships traditionally used fuel oils for propulsion, which contained a sulphur content of up to 3.50 %, however, since 1 January 2020 a global sulphur cap with a limit of 0.5% applies. For comparison, the sulphur content of fuels used in lorries or passenger cars must not exceed 0.001%. </w:t>
      </w:r>
    </w:p>
    <w:p>
      <w:pPr>
        <w:pStyle w:val="LegalNumPar"/>
        <w:pBdr>
          <w:top w:val="nil"/>
          <w:left w:val="nil"/>
          <w:bottom w:val="nil"/>
          <w:right w:val="nil"/>
          <w:between w:val="nil"/>
          <w:bar w:val="nil"/>
        </w:pBdr>
        <w:tabs>
          <w:tab w:val="left" w:pos="476"/>
        </w:tabs>
        <w:spacing w:line="240" w:lineRule="auto"/>
        <w:ind w:left="476"/>
        <w:jc w:val="center"/>
        <w:rPr>
          <w:noProof/>
          <w:szCs w:val="24"/>
          <w:lang w:eastAsia="en-US"/>
        </w:rPr>
      </w:pPr>
    </w:p>
    <w:p>
      <w:pPr>
        <w:pStyle w:val="Caption"/>
        <w:keepNext/>
        <w:keepLines/>
        <w:jc w:val="center"/>
        <w:rPr>
          <w:i w:val="0"/>
          <w:noProof/>
        </w:rPr>
      </w:pPr>
      <w:bookmarkStart w:id="2263" w:name="_Toc50417630"/>
      <w:bookmarkStart w:id="2264" w:name="_Toc50418273"/>
      <w:bookmarkStart w:id="2265" w:name="_Toc50473621"/>
      <w:bookmarkStart w:id="2266" w:name="_Toc50474672"/>
      <w:bookmarkStart w:id="2267" w:name="_Toc50630201"/>
      <w:bookmarkStart w:id="2268" w:name="_Toc50630925"/>
      <w:bookmarkStart w:id="2269" w:name="_Toc50633769"/>
      <w:bookmarkStart w:id="2270" w:name="_Toc50634011"/>
      <w:bookmarkStart w:id="2271" w:name="_Toc50646457"/>
      <w:bookmarkStart w:id="2272" w:name="_Toc50646592"/>
      <w:bookmarkStart w:id="2273" w:name="_Toc50649411"/>
      <w:bookmarkStart w:id="2274" w:name="_Toc50650718"/>
      <w:bookmarkStart w:id="2275" w:name="_Toc51593774"/>
      <w:bookmarkStart w:id="2276" w:name="_Toc51595241"/>
      <w:bookmarkStart w:id="2277" w:name="_Toc51595491"/>
      <w:bookmarkStart w:id="2278" w:name="_Toc51595817"/>
      <w:bookmarkStart w:id="2279" w:name="_Toc51595980"/>
      <w:bookmarkStart w:id="2280" w:name="_Toc52121467"/>
      <w:bookmarkStart w:id="2281" w:name="_Toc52122698"/>
      <w:bookmarkStart w:id="2282" w:name="_Toc53405262"/>
      <w:bookmarkStart w:id="2283" w:name="_Toc53406052"/>
      <w:bookmarkStart w:id="2284" w:name="_Toc53407418"/>
      <w:bookmarkStart w:id="2285" w:name="_Toc53410865"/>
      <w:bookmarkStart w:id="2286" w:name="_Toc53411928"/>
      <w:bookmarkStart w:id="2287" w:name="_Toc53417175"/>
      <w:bookmarkStart w:id="2288" w:name="_Toc53417527"/>
      <w:bookmarkStart w:id="2289" w:name="_Toc53419560"/>
      <w:bookmarkStart w:id="2290" w:name="_Toc53434865"/>
      <w:bookmarkStart w:id="2291" w:name="_Toc53437005"/>
      <w:bookmarkStart w:id="2292" w:name="_Toc57291667"/>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23</w:t>
      </w:r>
      <w:r>
        <w:rPr>
          <w:noProof/>
        </w:rPr>
        <w:fldChar w:fldCharType="end"/>
      </w:r>
      <w:r>
        <w:rPr>
          <w:i w:val="0"/>
          <w:noProof/>
        </w:rPr>
        <w:t xml:space="preserve"> Cruise ships docking in Barcelona emit 5 times more sulphur than the city’s 560,000 cars every year</w:t>
      </w:r>
      <w:r>
        <w:rPr>
          <w:i w:val="0"/>
          <w:noProof/>
          <w:vertAlign w:val="superscript"/>
        </w:rPr>
        <w:footnoteReference w:id="267"/>
      </w:r>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p>
    <w:p>
      <w:pPr>
        <w:pStyle w:val="LegalNumPar"/>
        <w:pBdr>
          <w:top w:val="nil"/>
          <w:left w:val="nil"/>
          <w:bottom w:val="nil"/>
          <w:right w:val="nil"/>
          <w:between w:val="nil"/>
          <w:bar w:val="nil"/>
        </w:pBdr>
        <w:tabs>
          <w:tab w:val="left" w:pos="476"/>
        </w:tabs>
        <w:spacing w:line="240" w:lineRule="auto"/>
        <w:ind w:left="476"/>
        <w:rPr>
          <w:noProof/>
          <w:szCs w:val="24"/>
          <w:lang w:eastAsia="en-US"/>
        </w:rPr>
      </w:pPr>
      <w:r>
        <w:rPr>
          <w:noProof/>
          <w:szCs w:val="24"/>
          <w:lang w:eastAsia="en-US"/>
        </w:rPr>
        <w:tab/>
      </w:r>
      <w:r>
        <w:rPr>
          <w:noProof/>
          <w:szCs w:val="24"/>
          <w:lang w:eastAsia="en-US"/>
        </w:rPr>
        <w:tab/>
      </w:r>
      <w:r>
        <w:rPr>
          <w:noProof/>
          <w:szCs w:val="24"/>
        </w:rPr>
        <w:drawing>
          <wp:inline distT="0" distB="0" distL="0" distR="0">
            <wp:extent cx="3667125" cy="2530475"/>
            <wp:effectExtent l="0" t="0" r="9525" b="3175"/>
            <wp:docPr id="1657890239" name="Picture 1657890239" descr="C:\Users\sulyoge\Documents\Pictur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ulyoge\Documents\Picture22.jpg"/>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3667125" cy="2530475"/>
                    </a:xfrm>
                    <a:prstGeom prst="rect">
                      <a:avLst/>
                    </a:prstGeom>
                    <a:noFill/>
                    <a:ln>
                      <a:noFill/>
                    </a:ln>
                  </pic:spPr>
                </pic:pic>
              </a:graphicData>
            </a:graphic>
          </wp:inline>
        </w:drawing>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Since 2012, the EU has taken firm action to reduce the sulphur content of marine fuels through the Sulphur Directive. In some very fragile ecosystems such as the Baltic Sea, the North Sea and the English Channel – designated as ‘Sulphur Oxides Emissions Control Areas' (SECAs) – the maximum sulphur content was reduced to 0.1%, in 2015. Also, passenger ships spending more than two hours at berth are already subject to the 0.1% sulphur standard. Such stricter sulphur limits have more than halved sulphur dioxide concentrations around SECAs, bringing health benefits to people in coastal regions and ports, while the overall economic impacts on the sector remained minimal. However, the stricter limit has prompted some ship owners to install exhaust gas cleaning systems whose operation, in particular in open-loop mode, has the consequence of transferring pollutants, including polyaromatic hydrocarbons and heavy metals, from the air to the sea water, with potentially negative consequences, especially for port and coastal waters.</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The designation of the North Sea and the Baltic Sea as NO</w:t>
      </w:r>
      <w:r>
        <w:rPr>
          <w:noProof/>
          <w:vertAlign w:val="subscript"/>
          <w:lang w:eastAsia="en-US"/>
        </w:rPr>
        <w:t>x</w:t>
      </w:r>
      <w:r>
        <w:rPr>
          <w:noProof/>
          <w:lang w:eastAsia="en-US"/>
        </w:rPr>
        <w:t xml:space="preserve"> Emission Control Area (NECA) starting from 1 January 2021 is expected to further accelerate the uptake of cleaner vessels in Europe. In practice, all new vessels built as of 2021 will be required to reduce their NO</w:t>
      </w:r>
      <w:r>
        <w:rPr>
          <w:noProof/>
          <w:vertAlign w:val="subscript"/>
          <w:lang w:eastAsia="en-US"/>
        </w:rPr>
        <w:t>x</w:t>
      </w:r>
      <w:r>
        <w:rPr>
          <w:noProof/>
          <w:lang w:eastAsia="en-US"/>
        </w:rPr>
        <w:t xml:space="preserve"> emissions by 80% compared to the present emission levels when sailing in these areas. This target can be achieved through the use of engine technologies and after-treatment with catalysts or by using Liquefied Natural Gas (LNG) as fuel.</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 xml:space="preserve">In addition, on-shore power supply represents an attractive solution to reduce local pollution generated by vessels at berth in EU ports. This potential has already fully been recognised by Article 4(5) of Directive (EU) 2014/94 on </w:t>
      </w:r>
      <w:r>
        <w:rPr>
          <w:noProof/>
        </w:rPr>
        <w:t>Alternative Fuels Infrastructure, according to which shore-side electricity supply shall be installed</w:t>
      </w:r>
      <w:r>
        <w:rPr>
          <w:noProof/>
          <w:lang w:eastAsia="en-US"/>
        </w:rPr>
        <w:t xml:space="preserve"> as a priority in ports of the Trans-European Transport Network (TEN-T) Core Network, and in other ports, by 31 December 2025, unless there is no demand and the costs are disproportionate to the benefits, including environmental benefits. The preparatory work for the evaluation of Directive 2014/94 was launched in 2019 and should identify, inter alia, how effective these provisions have been to deploy on-shore power supply in European ports.</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Ports have an important role to fulfil to enable the roll-out and uptake of alternative fuels in waterborne transport, including for alternative fuels corridors for inland waterways transport. Ports thus have a clear potential to become alternative energy hubs and to ensure the development of alternative fuels infrastructure through the cooperation and coordinated action of all the relevant ports to guarantee comprehensive and sufficient supply of alternative fuels.</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In addition to the regulatory approach, the Commission has also identified the promotion of shore-side electricity as a priority for transport investment. It is highlighted in the TEN-T Guidelines and through the Connecting Europe Facility that the Commission has been supporting several projects since 2014, such as ELEMED and TWIN PORT III, for the deployment of onshore power supply in EU ports. Moreover, alternative fuel infrastructure, such as onshore power supply, is eligible under the General Block Exemption Regulation and can thus be funded with public support.</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To further incentivise the deployment and use of shore-side electricity, Member States can also ask for an authorisation to apply a reduced rate of taxation on electricity directly provided to vessels at berth in a port in accordance with Article 19 of the Energy Taxation Directive. Denmark, Germany, Spain and Sweden, have applied for and been granted such authorisations. France and Italy have recently been granted the derogation.</w:t>
      </w:r>
      <w:bookmarkStart w:id="2293" w:name="ref5"/>
      <w:bookmarkEnd w:id="2293"/>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Furthermore, the Communication on the European Green Deal announced action to oblige docked ships to use shore-side electricity, which could provide further impulse to the rollout. Alternative solutions, based on different technology, such as hybrid-ships with batteries charging while at sea, which can then be used when the ship is at berth should also be considered. T</w:t>
      </w:r>
      <w:r>
        <w:rPr>
          <w:noProof/>
        </w:rPr>
        <w:t>he Commission is following up on the European Green Deal announcement in the context of the “FuelEU Maritime” initiative for a legislative proposal in 2021</w:t>
      </w:r>
    </w:p>
    <w:p>
      <w:pPr>
        <w:pStyle w:val="LegalNumPar"/>
        <w:pBdr>
          <w:top w:val="nil"/>
          <w:left w:val="nil"/>
          <w:bottom w:val="nil"/>
          <w:right w:val="nil"/>
          <w:between w:val="nil"/>
          <w:bar w:val="nil"/>
        </w:pBdr>
        <w:tabs>
          <w:tab w:val="left" w:pos="476"/>
        </w:tabs>
        <w:spacing w:line="240" w:lineRule="auto"/>
        <w:ind w:left="476"/>
        <w:rPr>
          <w:noProof/>
          <w:szCs w:val="24"/>
          <w:lang w:eastAsia="en-US"/>
        </w:rPr>
      </w:pPr>
    </w:p>
    <w:p>
      <w:pPr>
        <w:pStyle w:val="LegalNumPar"/>
        <w:pBdr>
          <w:top w:val="nil"/>
          <w:left w:val="nil"/>
          <w:bottom w:val="nil"/>
          <w:right w:val="nil"/>
          <w:between w:val="nil"/>
          <w:bar w:val="nil"/>
        </w:pBdr>
        <w:tabs>
          <w:tab w:val="left" w:pos="476"/>
        </w:tabs>
        <w:spacing w:line="240" w:lineRule="auto"/>
        <w:rPr>
          <w:i/>
          <w:noProof/>
          <w:lang w:eastAsia="en-US"/>
        </w:rPr>
      </w:pPr>
      <w:r>
        <w:rPr>
          <w:i/>
          <w:iCs/>
          <w:noProof/>
          <w:lang w:eastAsia="en-US"/>
        </w:rPr>
        <w:t>Electrification of port infrastructure and ‘ground handling’ equipment to reduce emissions</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In addition to the need for reductions of environmental impact of the sea side of the maritime transport chain, there is an important potential for such reductions in the ports themselves, e.g. through the use of alternative fuels in cargo handling equipment or in vessels used for technical-nautical services (pilotage, towage or mooring), the monitoring of the environmental performance of port operations and the replacement of diesel-powered machinery with either electric or gas-powered port machinery (e.g. rubber tyred gantry cranes, mobile harbour cranes, reach stackers, shunting locomotives). Train feeder lines to ports and their electrification support ease of access to sustainable distribution channels for maritime cargo.</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Digitalisation of port processes and data sharing among port stakeholders could bring further optimisations in logistics operations and thus reduce unnecessary freight movements. Further automation of container management and port operations as well as the adaptation of ports and port infrastructure to automated transport modes could contribute to further enhancing the efficiency of operations. Such measures would contribute reducing pollution and thus to improved air quality in port areas and cities, as well as mitigate health risks for port workers exposed to the combustion exhaust fumes of cargo handling equipment used in ports.</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EcoPorts under the European Sea Ports Organisation is the main environmental initiative of the European port sector and aims to raise awareness on environmental protections through cooperation and sharing of knowledge between ports and improve their environmental management</w:t>
      </w:r>
      <w:r>
        <w:rPr>
          <w:rStyle w:val="FootnoteReference"/>
          <w:noProof/>
          <w:lang w:eastAsia="en-US"/>
        </w:rPr>
        <w:footnoteReference w:id="268"/>
      </w:r>
      <w:r>
        <w:rPr>
          <w:noProof/>
          <w:lang w:eastAsia="en-US"/>
        </w:rPr>
        <w:t>. It has developed a self-diagnosis method (SDM) to assess the environmental management programme of ports in relation to the performance of the sector and international standards as well as a port environmental review system (PERS) with an independently reviewed certification valid for a period of 2 years.</w:t>
      </w:r>
    </w:p>
    <w:p>
      <w:pPr>
        <w:pStyle w:val="LegalNumPar"/>
        <w:pBdr>
          <w:top w:val="nil"/>
          <w:left w:val="nil"/>
          <w:bottom w:val="nil"/>
          <w:right w:val="nil"/>
          <w:between w:val="nil"/>
          <w:bar w:val="nil"/>
        </w:pBdr>
        <w:tabs>
          <w:tab w:val="left" w:pos="476"/>
        </w:tabs>
        <w:spacing w:line="240" w:lineRule="auto"/>
        <w:ind w:left="476"/>
        <w:rPr>
          <w:noProof/>
          <w:szCs w:val="24"/>
          <w:lang w:eastAsia="en-US"/>
        </w:rPr>
      </w:pPr>
    </w:p>
    <w:p>
      <w:pPr>
        <w:pStyle w:val="LegalNumPar"/>
        <w:pBdr>
          <w:top w:val="nil"/>
          <w:left w:val="nil"/>
          <w:bottom w:val="nil"/>
          <w:right w:val="nil"/>
          <w:between w:val="nil"/>
          <w:bar w:val="nil"/>
        </w:pBdr>
        <w:tabs>
          <w:tab w:val="left" w:pos="476"/>
        </w:tabs>
        <w:spacing w:line="240" w:lineRule="auto"/>
        <w:rPr>
          <w:i/>
          <w:noProof/>
          <w:lang w:eastAsia="en-US"/>
        </w:rPr>
      </w:pPr>
      <w:r>
        <w:rPr>
          <w:i/>
          <w:iCs/>
          <w:noProof/>
          <w:lang w:eastAsia="en-US"/>
        </w:rPr>
        <w:t>Promoting the use of environmentally differentiated port fees</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As regards environmental charging, the 2013 Ports Policy Communication, encouraged a more consistent application of environmentally differentiated port infrastructure charges. According to the Port Services Regulation 2017/352, port infrastructure charges may vary, in accordance with the port’s own commercial strategy and its spatial planning policy, in order to promote a more efficient use of the port infrastructure, short sea shipping or a high environmental performance, energy efficiency or carbon intensity of transport operations. It also called for the Commission, together with Member States, to elaborate guidelines on common classification criteria for vessels for the purpose of voluntary environmental charging. Subsequently, there are around 30 ports in Europe that apply differentiated charges</w:t>
      </w:r>
      <w:r>
        <w:rPr>
          <w:rStyle w:val="FootnoteReference"/>
          <w:noProof/>
          <w:lang w:eastAsia="en-US"/>
        </w:rPr>
        <w:footnoteReference w:id="269"/>
      </w:r>
      <w:r>
        <w:rPr>
          <w:noProof/>
          <w:lang w:eastAsia="en-US"/>
        </w:rPr>
        <w:t xml:space="preserve"> (in the form of rebates) for vessels that have a better environmental performance than legally required. This is a market incentive that can stimulate fleet greening.</w:t>
      </w:r>
    </w:p>
    <w:p>
      <w:pPr>
        <w:pStyle w:val="LegalNumPar"/>
        <w:pBdr>
          <w:top w:val="nil"/>
          <w:left w:val="nil"/>
          <w:bottom w:val="nil"/>
          <w:right w:val="nil"/>
          <w:between w:val="nil"/>
          <w:bar w:val="nil"/>
        </w:pBdr>
        <w:tabs>
          <w:tab w:val="left" w:pos="476"/>
        </w:tabs>
        <w:spacing w:line="240" w:lineRule="auto"/>
        <w:ind w:left="476"/>
        <w:rPr>
          <w:noProof/>
          <w:szCs w:val="24"/>
          <w:lang w:eastAsia="en-US"/>
        </w:rPr>
      </w:pPr>
    </w:p>
    <w:p>
      <w:pPr>
        <w:pStyle w:val="LegalNumPar"/>
        <w:pBdr>
          <w:top w:val="nil"/>
          <w:left w:val="nil"/>
          <w:bottom w:val="nil"/>
          <w:right w:val="nil"/>
          <w:between w:val="nil"/>
          <w:bar w:val="nil"/>
        </w:pBdr>
        <w:tabs>
          <w:tab w:val="left" w:pos="476"/>
        </w:tabs>
        <w:spacing w:line="240" w:lineRule="auto"/>
        <w:rPr>
          <w:i/>
          <w:noProof/>
          <w:lang w:eastAsia="en-US"/>
        </w:rPr>
      </w:pPr>
      <w:r>
        <w:rPr>
          <w:i/>
          <w:iCs/>
          <w:noProof/>
          <w:lang w:eastAsia="en-US"/>
        </w:rPr>
        <w:t>Optimisation of port calls to reduce emissions from maritime transport</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A port call is a particularly important event in the whole maritime transport chain and a potential bottleneck in the entire logistic chain. The benefits of just-in-time arrival in terms of emission savings would potentially be significant if smart routing / steaming was implemented.</w:t>
      </w:r>
    </w:p>
    <w:p>
      <w:pPr>
        <w:pStyle w:val="LegalNumPar"/>
        <w:numPr>
          <w:ilvl w:val="0"/>
          <w:numId w:val="89"/>
        </w:numPr>
        <w:pBdr>
          <w:top w:val="nil"/>
          <w:left w:val="nil"/>
          <w:bottom w:val="nil"/>
          <w:right w:val="nil"/>
          <w:between w:val="nil"/>
          <w:bar w:val="nil"/>
        </w:pBdr>
        <w:tabs>
          <w:tab w:val="left" w:pos="476"/>
        </w:tabs>
        <w:spacing w:after="0" w:line="240" w:lineRule="auto"/>
        <w:rPr>
          <w:noProof/>
        </w:rPr>
      </w:pPr>
      <w:r>
        <w:rPr>
          <w:noProof/>
          <w:lang w:eastAsia="en-US"/>
        </w:rPr>
        <w:t>An international task force on port call optimisation</w:t>
      </w:r>
      <w:r>
        <w:rPr>
          <w:rStyle w:val="FootnoteReference"/>
          <w:noProof/>
          <w:lang w:eastAsia="en-US"/>
        </w:rPr>
        <w:footnoteReference w:id="270"/>
      </w:r>
      <w:r>
        <w:rPr>
          <w:noProof/>
          <w:lang w:eastAsia="en-US"/>
        </w:rPr>
        <w:t xml:space="preserve"> is working to establish standards for the exchange of information and data between all stakeholders, such as the ports and the vessels. The aim would be to have agreed standards recognised at the level of the International Maritime Organisation (IMO). The challenges related to port call optimisation has also been retained as one of the discussion topics of the Sustainable Ports Subgroup under the European Ports Forum.</w:t>
      </w:r>
    </w:p>
    <w:p>
      <w:pPr>
        <w:pStyle w:val="LegalNumPar"/>
        <w:pBdr>
          <w:top w:val="nil"/>
          <w:left w:val="nil"/>
          <w:bottom w:val="nil"/>
          <w:right w:val="nil"/>
          <w:between w:val="nil"/>
          <w:bar w:val="nil"/>
        </w:pBdr>
        <w:tabs>
          <w:tab w:val="left" w:pos="476"/>
        </w:tabs>
        <w:spacing w:line="240" w:lineRule="auto"/>
        <w:rPr>
          <w:noProof/>
          <w:szCs w:val="24"/>
          <w:lang w:eastAsia="en-US"/>
        </w:rPr>
      </w:pPr>
    </w:p>
    <w:p>
      <w:pPr>
        <w:pStyle w:val="LegalNumPar"/>
        <w:pBdr>
          <w:top w:val="nil"/>
          <w:left w:val="nil"/>
          <w:bottom w:val="nil"/>
          <w:right w:val="nil"/>
          <w:between w:val="nil"/>
          <w:bar w:val="nil"/>
        </w:pBdr>
        <w:tabs>
          <w:tab w:val="left" w:pos="476"/>
        </w:tabs>
        <w:spacing w:line="240" w:lineRule="auto"/>
        <w:rPr>
          <w:i/>
          <w:noProof/>
          <w:lang w:eastAsia="en-US"/>
        </w:rPr>
      </w:pPr>
      <w:r>
        <w:rPr>
          <w:i/>
          <w:iCs/>
          <w:noProof/>
          <w:lang w:eastAsia="en-US"/>
        </w:rPr>
        <w:t>Implementation of the new Directive on Port Reception Facilities (PRF)</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Although most marine litter originates from land, a significant amount – an estimated 300,000 tonnes – of waste is discharged from ships into our seas, which poses an increasing threat to the marine environment. In this context the Directive (EU) 2019/883 on port reception facilities now also covers all plastic household and operational waste from ships, as well as fishing gear and other waste. It also applies to ‘passively fished waste’ – waste picked up by fishermen at sea. All ship types must comply, from small recreational vessels to large container and passenger ships, as well as the whole range of ports visited by those ships. It has introduced 100% indirect fee for garbage (MARPOL Annex V), meaning that fishing vessels can now dispose of passively fished waste and old/derelict fishing gear without paying extra charges.</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 xml:space="preserve">This new Directive on Port Reception Facilities entered into force in June 2019 and has a two-fold objective: (1) reduce discharges of waste from ships at sea, and (2) ensure the efficiency of maritime operations in port. Currently work is ongoing to ensure implementation of the Directive (transposition deadline mid-2021). Four Implementing Acts are foreseen: </w:t>
      </w:r>
    </w:p>
    <w:p>
      <w:pPr>
        <w:pStyle w:val="ListParagraph"/>
        <w:numPr>
          <w:ilvl w:val="0"/>
          <w:numId w:val="24"/>
        </w:numPr>
        <w:spacing w:after="0" w:line="240" w:lineRule="auto"/>
        <w:rPr>
          <w:noProof/>
          <w:sz w:val="24"/>
          <w:szCs w:val="24"/>
        </w:rPr>
      </w:pPr>
      <w:r>
        <w:rPr>
          <w:noProof/>
          <w:sz w:val="24"/>
          <w:szCs w:val="24"/>
        </w:rPr>
        <w:t>On methods for calculation of sufficient waste storage capacity;</w:t>
      </w:r>
    </w:p>
    <w:p>
      <w:pPr>
        <w:pStyle w:val="ListParagraph"/>
        <w:numPr>
          <w:ilvl w:val="0"/>
          <w:numId w:val="24"/>
        </w:numPr>
        <w:spacing w:after="0" w:line="240" w:lineRule="auto"/>
        <w:rPr>
          <w:noProof/>
          <w:sz w:val="24"/>
          <w:szCs w:val="24"/>
        </w:rPr>
      </w:pPr>
      <w:r>
        <w:rPr>
          <w:noProof/>
          <w:sz w:val="24"/>
          <w:szCs w:val="24"/>
        </w:rPr>
        <w:t>On criteria to determine that ships meet the requirements in relation to the ship’s on-board waste management (including discharge waters and sludge from exhaust gas cleaning systems), with a view to qualifying for a reduced delivery fee;</w:t>
      </w:r>
    </w:p>
    <w:p>
      <w:pPr>
        <w:pStyle w:val="ListParagraph"/>
        <w:numPr>
          <w:ilvl w:val="0"/>
          <w:numId w:val="24"/>
        </w:numPr>
        <w:spacing w:after="0" w:line="240" w:lineRule="auto"/>
        <w:rPr>
          <w:noProof/>
          <w:sz w:val="24"/>
          <w:szCs w:val="24"/>
        </w:rPr>
      </w:pPr>
      <w:r>
        <w:rPr>
          <w:noProof/>
          <w:sz w:val="24"/>
          <w:szCs w:val="24"/>
        </w:rPr>
        <w:t>On monitoring data methodology and format for reporting of passively fished waste; and</w:t>
      </w:r>
    </w:p>
    <w:p>
      <w:pPr>
        <w:pStyle w:val="ListParagraph"/>
        <w:numPr>
          <w:ilvl w:val="0"/>
          <w:numId w:val="24"/>
        </w:numPr>
        <w:spacing w:after="0" w:line="240" w:lineRule="auto"/>
        <w:rPr>
          <w:noProof/>
          <w:sz w:val="24"/>
          <w:szCs w:val="24"/>
        </w:rPr>
      </w:pPr>
      <w:r>
        <w:rPr>
          <w:noProof/>
          <w:sz w:val="24"/>
          <w:szCs w:val="24"/>
        </w:rPr>
        <w:t>On a risk-based targeting mechanism to provide for uniform conditions for selecting ships for inspection.</w:t>
      </w:r>
    </w:p>
    <w:p>
      <w:pPr>
        <w:pStyle w:val="ListParagraph"/>
        <w:numPr>
          <w:ilvl w:val="0"/>
          <w:numId w:val="89"/>
        </w:numPr>
        <w:spacing w:after="0" w:line="240" w:lineRule="auto"/>
        <w:rPr>
          <w:noProof/>
          <w:sz w:val="24"/>
          <w:szCs w:val="24"/>
        </w:rPr>
      </w:pPr>
      <w:r>
        <w:rPr>
          <w:noProof/>
          <w:sz w:val="24"/>
          <w:szCs w:val="24"/>
        </w:rPr>
        <w:t>A new Sub-Group on waste from ships under the European Sustainable Shipping Forum advises the European Commission on issues related to the implementation and operation of the Directive.</w:t>
      </w:r>
    </w:p>
    <w:p>
      <w:pPr>
        <w:pStyle w:val="ListParagraph"/>
        <w:spacing w:after="0" w:line="240" w:lineRule="auto"/>
        <w:ind w:left="476"/>
        <w:rPr>
          <w:noProof/>
          <w:sz w:val="24"/>
          <w:szCs w:val="24"/>
        </w:rPr>
      </w:pPr>
    </w:p>
    <w:p>
      <w:pPr>
        <w:spacing w:after="0" w:line="240" w:lineRule="auto"/>
        <w:rPr>
          <w:i/>
          <w:noProof/>
          <w:sz w:val="24"/>
          <w:szCs w:val="24"/>
        </w:rPr>
      </w:pPr>
      <w:r>
        <w:rPr>
          <w:i/>
          <w:iCs/>
          <w:noProof/>
          <w:sz w:val="24"/>
          <w:szCs w:val="24"/>
        </w:rPr>
        <w:t>Preventing ship-source oil pollution</w:t>
      </w:r>
    </w:p>
    <w:p>
      <w:pPr>
        <w:spacing w:after="0" w:line="240" w:lineRule="auto"/>
        <w:rPr>
          <w:noProof/>
          <w:sz w:val="24"/>
          <w:szCs w:val="24"/>
        </w:rPr>
      </w:pP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While the number of possible oil spills detected in European waters has dropped by half, from an average of 11 possible spills per 1000 km</w:t>
      </w:r>
      <w:r>
        <w:rPr>
          <w:noProof/>
          <w:vertAlign w:val="superscript"/>
          <w:lang w:eastAsia="en-US"/>
        </w:rPr>
        <w:t>2</w:t>
      </w:r>
      <w:r>
        <w:rPr>
          <w:noProof/>
          <w:lang w:eastAsia="en-US"/>
        </w:rPr>
        <w:t xml:space="preserve"> monitored in 2007 to five possible spills per 1000 km</w:t>
      </w:r>
      <w:r>
        <w:rPr>
          <w:noProof/>
          <w:vertAlign w:val="superscript"/>
          <w:lang w:eastAsia="en-US"/>
        </w:rPr>
        <w:t>2</w:t>
      </w:r>
      <w:r>
        <w:rPr>
          <w:noProof/>
          <w:lang w:eastAsia="en-US"/>
        </w:rPr>
        <w:t xml:space="preserve"> monitored in 2017, also thanks to the satellite monitoring services provided by the European Maritime Safety Agency, other types of marine pollution are increasing.</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 xml:space="preserve">The new Directive on Port Reception Facilities (Directive (EU) 2019/883) calls on the Commission to assess the desirability of a review of Directive 2005/35/EC, in particular a possible extension of its scope, in order to align Directive 2005/35/EC to the relevant MARPOL Convention provisions prohibiting the discharges of waste from ships (recital 13). Directive 2005/35/EC regulates enforcement and sanctions with respect to illegal discharges of substances covered by MARPOL Annex I and II only (oily substances and noxious liquid substances). </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However, Member States as contracting parties to the MARPOL Convention, also have to ensure that no illegal discharges take place involving packaged harmful substances (Annex III), sewage (Annex IV), garbage (Annex V), and if such discharges occur, that they are properly sanctioned. To strengthen the implementation and enforcement of the MARPOL discharge prohibitions included in these Annexes, through EU law, the scope of Directive 2005/35/EC needs to be widened. This would be in line with Member State obligations as MARPOL contracting parties, and also reflect existing regional cooperation in the framework of the regional sea conventions; in particular HELCOM, OSPAR and Barcelona Convention have established regional compliance networks to improve cooperation on the enforcement of the MARPOL norms, including operational detection/response actions, and the application of sanctions</w:t>
      </w:r>
    </w:p>
    <w:p>
      <w:pPr>
        <w:pStyle w:val="ListParagraph"/>
        <w:spacing w:after="0" w:line="240" w:lineRule="auto"/>
        <w:ind w:left="476"/>
        <w:rPr>
          <w:noProof/>
          <w:sz w:val="24"/>
          <w:szCs w:val="24"/>
        </w:rPr>
      </w:pPr>
    </w:p>
    <w:p>
      <w:pPr>
        <w:spacing w:after="0" w:line="240" w:lineRule="auto"/>
        <w:rPr>
          <w:i/>
          <w:noProof/>
          <w:sz w:val="24"/>
          <w:szCs w:val="24"/>
        </w:rPr>
      </w:pPr>
      <w:bookmarkStart w:id="2294" w:name="_Toc14258327"/>
      <w:bookmarkStart w:id="2295" w:name="_Toc14259052"/>
      <w:bookmarkStart w:id="2296" w:name="_Toc14260169"/>
      <w:bookmarkStart w:id="2297" w:name="_Toc19171091"/>
      <w:bookmarkStart w:id="2298" w:name="_Toc19171321"/>
      <w:bookmarkStart w:id="2299" w:name="_Toc19171662"/>
      <w:bookmarkStart w:id="2300" w:name="_Toc19171865"/>
      <w:bookmarkStart w:id="2301" w:name="_Toc19172281"/>
      <w:bookmarkStart w:id="2302" w:name="_Toc19172484"/>
      <w:bookmarkStart w:id="2303" w:name="_Toc19172695"/>
      <w:bookmarkStart w:id="2304" w:name="_Toc19172900"/>
      <w:r>
        <w:rPr>
          <w:i/>
          <w:iCs/>
          <w:noProof/>
          <w:sz w:val="24"/>
          <w:szCs w:val="24"/>
        </w:rPr>
        <w:t>Issues related to enforcement of rules for ships calling at EU ports to ensure the same level of environmental performance</w:t>
      </w:r>
      <w:bookmarkEnd w:id="2294"/>
      <w:bookmarkEnd w:id="2295"/>
      <w:bookmarkEnd w:id="2296"/>
      <w:bookmarkEnd w:id="2297"/>
      <w:bookmarkEnd w:id="2298"/>
      <w:bookmarkEnd w:id="2299"/>
      <w:bookmarkEnd w:id="2300"/>
      <w:bookmarkEnd w:id="2301"/>
      <w:bookmarkEnd w:id="2302"/>
      <w:bookmarkEnd w:id="2303"/>
      <w:bookmarkEnd w:id="2304"/>
    </w:p>
    <w:p>
      <w:pPr>
        <w:pStyle w:val="LegalNumPar"/>
        <w:pBdr>
          <w:top w:val="nil"/>
          <w:left w:val="nil"/>
          <w:bottom w:val="nil"/>
          <w:right w:val="nil"/>
          <w:between w:val="nil"/>
          <w:bar w:val="nil"/>
        </w:pBdr>
        <w:tabs>
          <w:tab w:val="left" w:pos="476"/>
        </w:tabs>
        <w:spacing w:line="240" w:lineRule="auto"/>
        <w:ind w:left="476"/>
        <w:rPr>
          <w:noProof/>
          <w:szCs w:val="24"/>
          <w:lang w:eastAsia="en-US"/>
        </w:rPr>
      </w:pP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Some difficulties in enforcing environmental rules for ships calling at EU ports arise from the international nature of shipping. Many non-EU flag states do not actively enforce environmental rules and thereby obtain a cost advantage over compliant flags, while putting the environmental burden on those states and areas where their ships trade.</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Today, the Paris Memorandum of Understanding on Port State Control aims at eliminating the operation of sub-standard ships through a harmonized system of Port State control. Annually more than 18,000 inspections take place on board foreign ships in the Paris Memorandum of Understanding ports</w:t>
      </w:r>
      <w:r>
        <w:rPr>
          <w:rStyle w:val="FootnoteReference"/>
          <w:noProof/>
          <w:lang w:eastAsia="en-US"/>
        </w:rPr>
        <w:footnoteReference w:id="271"/>
      </w:r>
      <w:r>
        <w:rPr>
          <w:noProof/>
          <w:lang w:eastAsia="en-US"/>
        </w:rPr>
        <w:t xml:space="preserve">, ensuring </w:t>
      </w:r>
      <w:r>
        <w:rPr>
          <w:i/>
          <w:iCs/>
          <w:noProof/>
          <w:lang w:eastAsia="en-US"/>
        </w:rPr>
        <w:t>inter alia</w:t>
      </w:r>
      <w:r>
        <w:rPr>
          <w:noProof/>
          <w:lang w:eastAsia="en-US"/>
        </w:rPr>
        <w:t xml:space="preserve"> that these ships meet the international environmental standards (MARPOL). In order to support the Port State Control inspections, the European Maritime Safety Agency (EMSA) has developed the THETIS database</w:t>
      </w:r>
      <w:r>
        <w:rPr>
          <w:rStyle w:val="FootnoteReference"/>
          <w:noProof/>
          <w:lang w:eastAsia="en-US"/>
        </w:rPr>
        <w:footnoteReference w:id="272"/>
      </w:r>
      <w:r>
        <w:rPr>
          <w:noProof/>
          <w:lang w:eastAsia="en-US"/>
        </w:rPr>
        <w:t xml:space="preserve">. </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For ships visiting EU ports, certain additional requirements apply due to specific EU legislation (e.g. Sulphur Directive, Port Reception Facilities Directive, MRV Regulation, Ship Recycling). In order to enable users to be able to record and exchange data on inspections and verifications foreseen by this specific EU legislation, EMSA has developed an extension to THETIS, THETIS-EU, which facilitates targeting and alerts on the basis of predefined requirements.</w:t>
      </w:r>
    </w:p>
    <w:p>
      <w:pPr>
        <w:pStyle w:val="ListParagraph"/>
        <w:spacing w:after="0" w:line="240" w:lineRule="auto"/>
        <w:ind w:left="476"/>
        <w:rPr>
          <w:noProof/>
          <w:sz w:val="24"/>
          <w:szCs w:val="24"/>
        </w:rPr>
      </w:pPr>
    </w:p>
    <w:p>
      <w:pPr>
        <w:pStyle w:val="Heading4"/>
        <w:rPr>
          <w:noProof/>
        </w:rPr>
      </w:pPr>
      <w:bookmarkStart w:id="2305" w:name="_Toc46312110"/>
      <w:bookmarkStart w:id="2306" w:name="_Toc50044816"/>
      <w:bookmarkStart w:id="2307" w:name="_Toc50048931"/>
      <w:bookmarkStart w:id="2308" w:name="_Toc50415263"/>
      <w:bookmarkStart w:id="2309" w:name="_Toc50416545"/>
      <w:bookmarkStart w:id="2310" w:name="_Toc50417677"/>
      <w:bookmarkStart w:id="2311" w:name="_Toc50418320"/>
      <w:bookmarkStart w:id="2312" w:name="_Toc50459900"/>
      <w:bookmarkStart w:id="2313" w:name="_Toc50466107"/>
      <w:bookmarkStart w:id="2314" w:name="_Toc50473668"/>
      <w:bookmarkStart w:id="2315" w:name="_Toc50474719"/>
      <w:bookmarkStart w:id="2316" w:name="_Toc50565069"/>
      <w:bookmarkStart w:id="2317" w:name="_Toc50568677"/>
      <w:bookmarkStart w:id="2318" w:name="_Toc50629416"/>
      <w:bookmarkStart w:id="2319" w:name="_Toc50630248"/>
      <w:bookmarkStart w:id="2320" w:name="_Toc50630973"/>
      <w:bookmarkStart w:id="2321" w:name="_Toc50633817"/>
      <w:bookmarkStart w:id="2322" w:name="_Toc50634059"/>
      <w:bookmarkStart w:id="2323" w:name="_Toc50646507"/>
      <w:bookmarkStart w:id="2324" w:name="_Toc50646642"/>
      <w:bookmarkStart w:id="2325" w:name="_Toc50649461"/>
      <w:bookmarkStart w:id="2326" w:name="_Toc50650768"/>
      <w:bookmarkStart w:id="2327" w:name="_Toc51574802"/>
      <w:bookmarkStart w:id="2328" w:name="_Toc51575650"/>
      <w:bookmarkStart w:id="2329" w:name="_Toc51578037"/>
      <w:bookmarkStart w:id="2330" w:name="_Toc51578600"/>
      <w:bookmarkStart w:id="2331" w:name="_Toc51582921"/>
      <w:bookmarkStart w:id="2332" w:name="_Toc51583396"/>
      <w:bookmarkStart w:id="2333" w:name="_Toc51583486"/>
      <w:bookmarkStart w:id="2334" w:name="_Toc51583771"/>
      <w:bookmarkStart w:id="2335" w:name="_Toc51583961"/>
      <w:bookmarkStart w:id="2336" w:name="_Toc51583885"/>
      <w:bookmarkStart w:id="2337" w:name="_Toc51586203"/>
      <w:bookmarkStart w:id="2338" w:name="_Toc51594006"/>
      <w:bookmarkStart w:id="2339" w:name="_Toc51594332"/>
      <w:bookmarkStart w:id="2340" w:name="_Toc51595310"/>
      <w:bookmarkStart w:id="2341" w:name="_Toc51595560"/>
      <w:bookmarkStart w:id="2342" w:name="_Toc51595886"/>
      <w:bookmarkStart w:id="2343" w:name="_Toc51596049"/>
      <w:bookmarkStart w:id="2344" w:name="_Toc51596402"/>
      <w:bookmarkStart w:id="2345" w:name="_Toc52121536"/>
      <w:bookmarkStart w:id="2346" w:name="_Toc52122767"/>
      <w:bookmarkStart w:id="2347" w:name="_Toc52123884"/>
      <w:bookmarkStart w:id="2348" w:name="_Toc53405342"/>
      <w:bookmarkStart w:id="2349" w:name="_Toc53406130"/>
      <w:bookmarkStart w:id="2350" w:name="_Toc53407498"/>
      <w:bookmarkStart w:id="2351" w:name="_Toc53410943"/>
      <w:bookmarkStart w:id="2352" w:name="_Toc53412006"/>
      <w:bookmarkStart w:id="2353" w:name="_Toc53417253"/>
      <w:bookmarkStart w:id="2354" w:name="_Toc53417605"/>
      <w:bookmarkStart w:id="2355" w:name="_Toc53419840"/>
      <w:bookmarkStart w:id="2356" w:name="_Toc53434943"/>
      <w:bookmarkStart w:id="2357" w:name="_Toc53437083"/>
      <w:bookmarkStart w:id="2358" w:name="_Toc57291489"/>
      <w:r>
        <w:rPr>
          <w:noProof/>
        </w:rPr>
        <w:t>Airports</w:t>
      </w:r>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p>
    <w:p>
      <w:pPr>
        <w:pStyle w:val="ListParagraph"/>
        <w:spacing w:after="0" w:line="240" w:lineRule="auto"/>
        <w:ind w:left="476"/>
        <w:rPr>
          <w:noProof/>
          <w:sz w:val="24"/>
          <w:szCs w:val="24"/>
        </w:rPr>
      </w:pP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rPr>
        <w:t>Air transport provides air connectivity which is a key enabler for the free movement of people, goods and services underpinning the EU internal market as well as EU cohesion, economic integration and inclusive growth. By connecting EU to the rest of the world and remote areas, such as the outermost regions, aviation also supports tourism, export-focused industries and inward investment, supporting jobs and economic growth.</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 xml:space="preserve">Airports are generally built in the vicinity of dense residential area or very close to major cities. While air connectivity brings significant socio-economic benefits, it also comes with climate, environmental and health challenges related to aircraft greenhouse, pollutant and noise emissions. Airports are hence subject to a range of cross-cutting environmental rules including on air quality, noise, and planning permissions (e.g. nature protection areas). Some airports are covered under ETS due to local power generation. The environmental impact of each airport varies greatly depending on the size of the airport, its activities and the type of aircraft operating at it. </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rPr>
        <w:t xml:space="preserve">Decarbonising air transport sector, next to addressing the challenges related to aircraft emissions reductions (including air and noise pollution) (see section 4.1.1, 4.1.4 and 4.1.5), would also require investments into airport infrastructure and operations to optimise air traffic management and strengthen the integration of airports into a genuinely multimodal network. It would necessitate improving airports' energy efficiency, ensuring the supply and infrastructure for sustainable aviation fuels, </w:t>
      </w:r>
      <w:r>
        <w:rPr>
          <w:noProof/>
          <w:lang w:val="en-US"/>
        </w:rPr>
        <w:t>and hydrogen for hydrogen-powered airport operations and related services</w:t>
      </w:r>
      <w:r>
        <w:rPr>
          <w:noProof/>
        </w:rPr>
        <w:t xml:space="preserve"> as well as renewable energy generation on-site, together with electrification and greening measures of airside activities such as groundhandling, ground traffic operations and aircraft on the ground, and other measures reducing environmental impacts.</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In June 2019, as part of the aviation industry ambition, vision and roadmap, ACI EUROPE and its members (203 airports) committed to net zero carbon emissions from airport operations fully within their own control by 2050 at the latest, reducing absolute emissions to the furthest extent possible and addressing any remaining emissions through investment in carbon removal and storage. Three airports have already reached this target, while several others have announced to reach it before 2030.</w:t>
      </w:r>
    </w:p>
    <w:p>
      <w:pPr>
        <w:pStyle w:val="LegalNumPar"/>
        <w:numPr>
          <w:ilvl w:val="0"/>
          <w:numId w:val="89"/>
        </w:numPr>
        <w:pBdr>
          <w:top w:val="nil"/>
          <w:left w:val="nil"/>
          <w:bottom w:val="nil"/>
          <w:right w:val="nil"/>
          <w:between w:val="nil"/>
          <w:bar w:val="nil"/>
        </w:pBdr>
        <w:tabs>
          <w:tab w:val="left" w:pos="476"/>
        </w:tabs>
        <w:spacing w:line="240" w:lineRule="auto"/>
        <w:rPr>
          <w:rFonts w:eastAsiaTheme="minorEastAsia"/>
          <w:noProof/>
          <w:lang w:eastAsia="en-US"/>
        </w:rPr>
      </w:pPr>
      <w:r>
        <w:rPr>
          <w:noProof/>
          <w:lang w:eastAsia="en-US"/>
        </w:rPr>
        <w:t>So far, 162 European airports (representing 67.2% of European air passenger traffic) have volunteered to join the Airport Carbon Accreditation programme, which provides a common framework for carbon management with the primary objective to encourage and enable airports to implement best practices. 51 airports are carbon neutral suggesting good progress towards the ACI EUROPE target of 100 carbon neutral airports by 2030 and confirming the importance airports place on carbon neutrality.</w:t>
      </w:r>
      <w:r>
        <w:rPr>
          <w:rStyle w:val="FootnoteReference"/>
          <w:noProof/>
          <w:lang w:eastAsia="en-US"/>
        </w:rPr>
        <w:footnoteReference w:id="273"/>
      </w:r>
      <w:r>
        <w:rPr>
          <w:noProof/>
          <w:lang w:eastAsia="en-US"/>
        </w:rPr>
        <w:t xml:space="preserve"> In November 2020, the programme added further obligations, namely alignment with the Paris Agreement, extended carbon footprint covering all significant operational emissions from third parties, including airlines, and enhanced stakeholder engagement.</w:t>
      </w:r>
      <w:r>
        <w:rPr>
          <w:rStyle w:val="FootnoteReference"/>
          <w:noProof/>
          <w:lang w:eastAsia="en-US"/>
        </w:rPr>
        <w:footnoteReference w:id="274"/>
      </w:r>
      <w:r>
        <w:rPr>
          <w:noProof/>
          <w:lang w:eastAsia="en-US"/>
        </w:rPr>
        <w:t xml:space="preserve">  </w:t>
      </w:r>
    </w:p>
    <w:p>
      <w:pPr>
        <w:pStyle w:val="LegalNumPar"/>
        <w:pBdr>
          <w:top w:val="nil"/>
          <w:left w:val="nil"/>
          <w:bottom w:val="nil"/>
          <w:right w:val="nil"/>
          <w:between w:val="nil"/>
          <w:bar w:val="nil"/>
        </w:pBdr>
        <w:tabs>
          <w:tab w:val="left" w:pos="476"/>
        </w:tabs>
        <w:spacing w:line="240" w:lineRule="auto"/>
        <w:rPr>
          <w:i/>
          <w:noProof/>
        </w:rPr>
      </w:pPr>
      <w:r>
        <w:rPr>
          <w:rFonts w:eastAsiaTheme="minorEastAsia"/>
          <w:i/>
          <w:iCs/>
          <w:noProof/>
          <w:lang w:eastAsia="ja-JP"/>
        </w:rPr>
        <w:t xml:space="preserve">Airport charges, slot allocation and groundhandling services </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 xml:space="preserve">The existing framework on airport charges, airport slots allocation and groundhandling services can also play an important role in making the sector more sustainable.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rFonts w:eastAsiaTheme="minorEastAsia"/>
          <w:b/>
          <w:bCs/>
          <w:noProof/>
          <w:lang w:eastAsia="ja-JP"/>
        </w:rPr>
        <w:t>Airport charges</w:t>
      </w:r>
      <w:r>
        <w:rPr>
          <w:rFonts w:eastAsiaTheme="minorEastAsia"/>
          <w:noProof/>
          <w:lang w:eastAsia="ja-JP"/>
        </w:rPr>
        <w:t xml:space="preserve"> are paid by airlines to airports for the use of facilities and services, which are exclusively provided by the airport managing body and which are related to landing, take-off, lighting and parking of aircraft and processing of passengers and freight. While the Directive requires that airport charges are non-discriminatory, it permits modulations for environmental issues provided that they are relevant, objective and transparent.</w:t>
      </w:r>
      <w:r>
        <w:rPr>
          <w:noProof/>
        </w:rPr>
        <w:t xml:space="preserve"> </w:t>
      </w:r>
      <w:r>
        <w:rPr>
          <w:rFonts w:eastAsiaTheme="minorEastAsia"/>
          <w:noProof/>
          <w:lang w:eastAsia="ja-JP"/>
        </w:rPr>
        <w:t>The 2019 evaluation of the Directive showed that only 61% of airports modulate charges on account of noise and only 20% of airports do so on account of NO</w:t>
      </w:r>
      <w:r>
        <w:rPr>
          <w:rFonts w:eastAsiaTheme="minorEastAsia"/>
          <w:noProof/>
          <w:vertAlign w:val="subscript"/>
          <w:lang w:eastAsia="ja-JP"/>
        </w:rPr>
        <w:t>x</w:t>
      </w:r>
      <w:r>
        <w:rPr>
          <w:rFonts w:eastAsiaTheme="minorEastAsia"/>
          <w:noProof/>
          <w:lang w:eastAsia="ja-JP"/>
        </w:rPr>
        <w:t xml:space="preserve"> emissions. The 2019 evaluation did not find any airports that would modulate airport charges on account of CO</w:t>
      </w:r>
      <w:r>
        <w:rPr>
          <w:rFonts w:eastAsiaTheme="minorEastAsia"/>
          <w:noProof/>
          <w:vertAlign w:val="subscript"/>
          <w:lang w:eastAsia="ja-JP"/>
        </w:rPr>
        <w:t>2</w:t>
      </w:r>
      <w:r>
        <w:rPr>
          <w:rFonts w:eastAsiaTheme="minorEastAsia"/>
          <w:noProof/>
          <w:lang w:eastAsia="ja-JP"/>
        </w:rPr>
        <w:t xml:space="preserve"> emissions. The planned revision of the Airport Charges Directive could aim to ensure the setting of airport charges is strategically aligned with the Green Deal Communication and environmental ambitions of the EU.</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Current rules concerning the allocation of </w:t>
      </w:r>
      <w:r>
        <w:rPr>
          <w:b/>
          <w:bCs/>
          <w:noProof/>
        </w:rPr>
        <w:t>slots</w:t>
      </w:r>
      <w:r>
        <w:rPr>
          <w:noProof/>
        </w:rPr>
        <w:t xml:space="preserve"> do not contain measures that would align slot allocation with environmental objectives. However, the Slot Regulation states that slot-coordinators shall take into account industry rules, such as the Worldwide Slot Guidelines in the slot allocation process. In their 11</w:t>
      </w:r>
      <w:r>
        <w:rPr>
          <w:noProof/>
          <w:vertAlign w:val="superscript"/>
        </w:rPr>
        <w:t>th</w:t>
      </w:r>
      <w:r>
        <w:rPr>
          <w:noProof/>
        </w:rPr>
        <w:t xml:space="preserve"> version, published June 2020 the guidelines state that slot coordinators should try to ensure that due account is taken of </w:t>
      </w:r>
      <w:r>
        <w:rPr>
          <w:rFonts w:eastAsiaTheme="minorEastAsia"/>
          <w:noProof/>
          <w:lang w:eastAsia="ja-JP"/>
        </w:rPr>
        <w:t>environmental</w:t>
      </w:r>
      <w:r>
        <w:rPr>
          <w:noProof/>
        </w:rPr>
        <w:t xml:space="preserve"> factors in the allocation of available slots. Environmental concerns could also be considered in local rules which apply to specific airports. However, their scope is quite limited with only a local impact.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b/>
          <w:bCs/>
          <w:noProof/>
        </w:rPr>
        <w:t>Groundhandling</w:t>
      </w:r>
      <w:r>
        <w:rPr>
          <w:noProof/>
        </w:rPr>
        <w:t xml:space="preserve"> is an essential service provided for airport users and often represent important costs for them. It involves ground administration and supervision, handling of passengers, baggage, mail, freight, and ramps, aircraft services, fuel and oil handling, aircraft maintenance, flight operations and crew administration, surface transport and catering services. </w:t>
      </w:r>
      <w:r>
        <w:rPr>
          <w:rFonts w:eastAsiaTheme="minorEastAsia"/>
          <w:noProof/>
          <w:lang w:eastAsia="ja-JP"/>
        </w:rPr>
        <w:t>Groundhandling services generate GHG and air pollutant emissions at airports. These are caused by usage of diesel fuel for airport vehicles and ground support equipment (GSE), fossil fuel for electricity and heating, jet fuel for auxiliary power units (APUs) that power aircraft at airport gates, and other sources. Airport operators can implement several measures to reduce the environmental impact of groundhandling services, including provision of electric buses for passenger transport, pre-conditioned air fixed power units to avoid GPU/APU (which run on diesel or kerosene), centralised de-icing pads to avoid contamination of groundwater, and alternative fuels for ground support equipment. Ground support equipment could also be pooled for use by all groundhandling service providers. Under this approach, either by agreement or as mandated by the airport, groundhandling equipment at the airport is owned centrally by the airport itself or by a leasing company on behalf of the airport. Such equipment can consist of for example electric lower deck loaders, electric conveyor belt loaders, electric passenger steps, main deck loaders, electric baggage tractors, power tractors and cool container dollies. The groundhandlers are then required to use the (modern and environmentally friendly) equipment to serve the aircraft, which they are contracted to handle.</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Groundhandling Directive</w:t>
      </w:r>
      <w:r>
        <w:rPr>
          <w:rStyle w:val="FootnoteReference"/>
          <w:noProof/>
        </w:rPr>
        <w:footnoteReference w:id="275"/>
      </w:r>
      <w:r>
        <w:rPr>
          <w:noProof/>
        </w:rPr>
        <w:t xml:space="preserve"> leaves it to the Member States to ensure the adequate level of environmental protection. Member States may make the groundhandling activity conditional upon obtaining the approval of a public authority independent of the managing body of the airport. The criteria for such approval can include environmental protection. The Directive allows the limitation of the number of groundhandling service providers in case of four categories of groundhandling services: baggage handling, ramp handling, fuel and oil handling and freight and mail handling. In case such a limitation is applied, the providers need to be selected in a public tender and the Member States may establish standard conditions or technical specifications covering also environmental aspects.</w:t>
      </w:r>
    </w:p>
    <w:p>
      <w:pPr>
        <w:pStyle w:val="LegalNumPar"/>
        <w:numPr>
          <w:ilvl w:val="0"/>
          <w:numId w:val="89"/>
        </w:numPr>
        <w:pBdr>
          <w:top w:val="nil"/>
          <w:left w:val="nil"/>
          <w:bottom w:val="nil"/>
          <w:right w:val="nil"/>
          <w:between w:val="nil"/>
          <w:bar w:val="nil"/>
        </w:pBdr>
        <w:tabs>
          <w:tab w:val="left" w:pos="476"/>
        </w:tabs>
        <w:spacing w:line="240" w:lineRule="auto"/>
        <w:rPr>
          <w:rFonts w:eastAsiaTheme="minorEastAsia"/>
          <w:noProof/>
          <w:lang w:eastAsia="ja-JP"/>
        </w:rPr>
      </w:pPr>
      <w:r>
        <w:rPr>
          <w:rFonts w:eastAsiaTheme="minorEastAsia"/>
          <w:noProof/>
          <w:lang w:eastAsia="ja-JP"/>
        </w:rPr>
        <w:t>The Groundhandling Directive is currently being evaluated. This evaluation will closely examine issues related to the environmental and climate impact of groundhandling activities (particularly noise and emissions) and to climate change mitigation/adaptation policies employed by and/or incumbent (and enforced) upon groundhandling service providers and airports.</w:t>
      </w:r>
    </w:p>
    <w:p>
      <w:pPr>
        <w:pStyle w:val="LegalNumPar"/>
        <w:pBdr>
          <w:top w:val="nil"/>
          <w:left w:val="nil"/>
          <w:bottom w:val="nil"/>
          <w:right w:val="nil"/>
          <w:between w:val="nil"/>
          <w:bar w:val="nil"/>
        </w:pBdr>
        <w:tabs>
          <w:tab w:val="left" w:pos="476"/>
        </w:tabs>
        <w:spacing w:line="240" w:lineRule="auto"/>
        <w:rPr>
          <w:noProof/>
          <w:szCs w:val="24"/>
          <w:lang w:eastAsia="en-US"/>
        </w:rPr>
      </w:pPr>
    </w:p>
    <w:p>
      <w:pPr>
        <w:pStyle w:val="LegalNumPar"/>
        <w:pBdr>
          <w:top w:val="nil"/>
          <w:left w:val="nil"/>
          <w:bottom w:val="nil"/>
          <w:right w:val="nil"/>
          <w:between w:val="nil"/>
          <w:bar w:val="nil"/>
        </w:pBdr>
        <w:tabs>
          <w:tab w:val="left" w:pos="476"/>
        </w:tabs>
        <w:spacing w:line="240" w:lineRule="auto"/>
        <w:rPr>
          <w:i/>
          <w:noProof/>
          <w:lang w:eastAsia="en-US"/>
        </w:rPr>
      </w:pPr>
      <w:r>
        <w:rPr>
          <w:i/>
          <w:iCs/>
          <w:noProof/>
          <w:lang w:eastAsia="en-US"/>
        </w:rPr>
        <w:t>Addressing “airside” ground vehicle movements</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 xml:space="preserve">Aircraft ground movements at airports have an impact on the local air quality as well as on the local noise emissions. Aircraft ground movements include taxiing from the aircraft stand to the start of the runway and vice-versa. </w:t>
      </w:r>
      <w:r>
        <w:rPr>
          <w:noProof/>
        </w:rPr>
        <w:fldChar w:fldCharType="begin"/>
      </w:r>
      <w:r>
        <w:rPr>
          <w:noProof/>
          <w:lang w:eastAsia="en-US"/>
        </w:rPr>
        <w:instrText xml:space="preserve"> REF _Ref50323747 \h  \* MERGEFORMAT </w:instrText>
      </w:r>
      <w:r>
        <w:rPr>
          <w:noProof/>
        </w:rPr>
      </w:r>
      <w:r>
        <w:rPr>
          <w:noProof/>
          <w:lang w:eastAsia="en-US"/>
        </w:rPr>
        <w:fldChar w:fldCharType="separate"/>
      </w:r>
      <w:r>
        <w:rPr>
          <w:noProof/>
        </w:rPr>
        <w:t>Figure 24</w:t>
      </w:r>
      <w:r>
        <w:rPr>
          <w:noProof/>
        </w:rPr>
        <w:fldChar w:fldCharType="end"/>
      </w:r>
      <w:r>
        <w:rPr>
          <w:noProof/>
          <w:lang w:eastAsia="en-US"/>
        </w:rPr>
        <w:t xml:space="preserve"> shows the total aviation CO</w:t>
      </w:r>
      <w:r>
        <w:rPr>
          <w:noProof/>
          <w:vertAlign w:val="subscript"/>
          <w:lang w:eastAsia="en-US"/>
        </w:rPr>
        <w:t xml:space="preserve">2 </w:t>
      </w:r>
      <w:r>
        <w:rPr>
          <w:noProof/>
          <w:lang w:eastAsia="en-US"/>
        </w:rPr>
        <w:t>emissions per flight phases for flights in the ECAC region in 2019. It indicates that 4% of CO</w:t>
      </w:r>
      <w:r>
        <w:rPr>
          <w:noProof/>
          <w:vertAlign w:val="subscript"/>
          <w:lang w:eastAsia="en-US"/>
        </w:rPr>
        <w:t>2</w:t>
      </w:r>
      <w:r>
        <w:rPr>
          <w:noProof/>
          <w:lang w:eastAsia="en-US"/>
        </w:rPr>
        <w:t xml:space="preserve"> emissions, i.e. 8.6 million tonnes of CO</w:t>
      </w:r>
      <w:r>
        <w:rPr>
          <w:noProof/>
          <w:vertAlign w:val="subscript"/>
          <w:lang w:eastAsia="en-US"/>
        </w:rPr>
        <w:t>2</w:t>
      </w:r>
      <w:r>
        <w:rPr>
          <w:noProof/>
          <w:lang w:eastAsia="en-US"/>
        </w:rPr>
        <w:t xml:space="preserve"> came from aircraft ground movements, including the take-off run. </w:t>
      </w:r>
    </w:p>
    <w:p>
      <w:pPr>
        <w:pStyle w:val="LegalNumPar"/>
        <w:pBdr>
          <w:top w:val="nil"/>
          <w:left w:val="nil"/>
          <w:bottom w:val="nil"/>
          <w:right w:val="nil"/>
          <w:between w:val="nil"/>
          <w:bar w:val="nil"/>
        </w:pBdr>
        <w:tabs>
          <w:tab w:val="left" w:pos="476"/>
        </w:tabs>
        <w:spacing w:line="240" w:lineRule="auto"/>
        <w:jc w:val="center"/>
        <w:rPr>
          <w:noProof/>
          <w:lang w:eastAsia="ja-JP"/>
        </w:rPr>
      </w:pPr>
    </w:p>
    <w:p>
      <w:pPr>
        <w:pStyle w:val="Caption"/>
        <w:keepNext/>
        <w:keepLines/>
        <w:jc w:val="center"/>
        <w:rPr>
          <w:i w:val="0"/>
          <w:noProof/>
        </w:rPr>
      </w:pPr>
      <w:bookmarkStart w:id="2359" w:name="_Ref50323747"/>
      <w:bookmarkStart w:id="2360" w:name="_Ref50323739"/>
      <w:bookmarkStart w:id="2361" w:name="_Toc50417631"/>
      <w:bookmarkStart w:id="2362" w:name="_Toc50418274"/>
      <w:bookmarkStart w:id="2363" w:name="_Toc50473622"/>
      <w:bookmarkStart w:id="2364" w:name="_Toc50474673"/>
      <w:bookmarkStart w:id="2365" w:name="_Toc50630202"/>
      <w:bookmarkStart w:id="2366" w:name="_Toc50630926"/>
      <w:bookmarkStart w:id="2367" w:name="_Toc50633770"/>
      <w:bookmarkStart w:id="2368" w:name="_Toc50634012"/>
      <w:bookmarkStart w:id="2369" w:name="_Toc50646458"/>
      <w:bookmarkStart w:id="2370" w:name="_Toc50646593"/>
      <w:bookmarkStart w:id="2371" w:name="_Toc50649412"/>
      <w:bookmarkStart w:id="2372" w:name="_Toc50650719"/>
      <w:bookmarkStart w:id="2373" w:name="_Toc51593775"/>
      <w:bookmarkStart w:id="2374" w:name="_Toc51595242"/>
      <w:bookmarkStart w:id="2375" w:name="_Toc51595492"/>
      <w:bookmarkStart w:id="2376" w:name="_Toc51595818"/>
      <w:bookmarkStart w:id="2377" w:name="_Toc51595981"/>
      <w:bookmarkStart w:id="2378" w:name="_Toc52121468"/>
      <w:bookmarkStart w:id="2379" w:name="_Toc52122699"/>
      <w:bookmarkStart w:id="2380" w:name="_Toc53405263"/>
      <w:bookmarkStart w:id="2381" w:name="_Toc53406053"/>
      <w:bookmarkStart w:id="2382" w:name="_Toc53407419"/>
      <w:bookmarkStart w:id="2383" w:name="_Toc53410866"/>
      <w:bookmarkStart w:id="2384" w:name="_Toc53411929"/>
      <w:bookmarkStart w:id="2385" w:name="_Toc53417176"/>
      <w:bookmarkStart w:id="2386" w:name="_Toc53417528"/>
      <w:bookmarkStart w:id="2387" w:name="_Toc53419561"/>
      <w:bookmarkStart w:id="2388" w:name="_Toc53434866"/>
      <w:bookmarkStart w:id="2389" w:name="_Toc53437006"/>
      <w:bookmarkStart w:id="2390" w:name="_Toc57291668"/>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24</w:t>
      </w:r>
      <w:r>
        <w:rPr>
          <w:noProof/>
        </w:rPr>
        <w:fldChar w:fldCharType="end"/>
      </w:r>
      <w:bookmarkEnd w:id="2359"/>
      <w:r>
        <w:rPr>
          <w:i w:val="0"/>
          <w:noProof/>
        </w:rPr>
        <w:t xml:space="preserve"> CO</w:t>
      </w:r>
      <w:r>
        <w:rPr>
          <w:i w:val="0"/>
          <w:noProof/>
          <w:vertAlign w:val="subscript"/>
        </w:rPr>
        <w:t xml:space="preserve">2 </w:t>
      </w:r>
      <w:r>
        <w:rPr>
          <w:i w:val="0"/>
          <w:noProof/>
        </w:rPr>
        <w:t>emissions per flight phases</w:t>
      </w:r>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p>
    <w:p>
      <w:pPr>
        <w:pStyle w:val="LegalNumPar"/>
        <w:pBdr>
          <w:top w:val="nil"/>
          <w:left w:val="nil"/>
          <w:bottom w:val="nil"/>
          <w:right w:val="nil"/>
          <w:between w:val="nil"/>
          <w:bar w:val="nil"/>
        </w:pBdr>
        <w:tabs>
          <w:tab w:val="left" w:pos="476"/>
        </w:tabs>
        <w:spacing w:line="240" w:lineRule="auto"/>
        <w:jc w:val="center"/>
        <w:rPr>
          <w:noProof/>
          <w:lang w:eastAsia="en-US"/>
        </w:rPr>
      </w:pPr>
      <w:r>
        <w:rPr>
          <w:noProof/>
        </w:rPr>
        <w:drawing>
          <wp:inline distT="0" distB="0" distL="0" distR="0">
            <wp:extent cx="2988945" cy="2590800"/>
            <wp:effectExtent l="0" t="0" r="1905" b="0"/>
            <wp:docPr id="25" name="Picture 25" descr="C:\Users\sulyoge\Documents\Pictur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ulyoge\Documents\Picture44.jpg"/>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2988945" cy="2590800"/>
                    </a:xfrm>
                    <a:prstGeom prst="rect">
                      <a:avLst/>
                    </a:prstGeom>
                    <a:noFill/>
                    <a:ln>
                      <a:noFill/>
                    </a:ln>
                  </pic:spPr>
                </pic:pic>
              </a:graphicData>
            </a:graphic>
          </wp:inline>
        </w:drawing>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Overall, it is estimated that around 6% of CO</w:t>
      </w:r>
      <w:r>
        <w:rPr>
          <w:noProof/>
          <w:vertAlign w:val="subscript"/>
          <w:lang w:eastAsia="en-US"/>
        </w:rPr>
        <w:t>2</w:t>
      </w:r>
      <w:r>
        <w:rPr>
          <w:noProof/>
          <w:lang w:eastAsia="en-US"/>
        </w:rPr>
        <w:t xml:space="preserve"> emissions in aviation, i.e. 11.6 million tonnes of CO</w:t>
      </w:r>
      <w:r>
        <w:rPr>
          <w:noProof/>
          <w:vertAlign w:val="subscript"/>
          <w:lang w:eastAsia="en-US"/>
        </w:rPr>
        <w:t>2</w:t>
      </w:r>
      <w:r>
        <w:rPr>
          <w:noProof/>
          <w:lang w:eastAsia="en-US"/>
        </w:rPr>
        <w:t xml:space="preserve"> are generated by ATM routing inefficiencies</w:t>
      </w:r>
      <w:r>
        <w:rPr>
          <w:rStyle w:val="FootnoteReference"/>
          <w:noProof/>
          <w:lang w:eastAsia="en-US"/>
        </w:rPr>
        <w:footnoteReference w:id="276"/>
      </w:r>
      <w:r>
        <w:rPr>
          <w:noProof/>
          <w:lang w:eastAsia="en-US"/>
        </w:rPr>
        <w:t xml:space="preserve">. As illustrated in </w:t>
      </w:r>
      <w:r>
        <w:rPr>
          <w:noProof/>
        </w:rPr>
        <w:fldChar w:fldCharType="begin"/>
      </w:r>
      <w:r>
        <w:rPr>
          <w:noProof/>
          <w:lang w:eastAsia="en-US"/>
        </w:rPr>
        <w:instrText xml:space="preserve"> REF _Ref50323824 \h  \* MERGEFORMAT </w:instrText>
      </w:r>
      <w:r>
        <w:rPr>
          <w:noProof/>
        </w:rPr>
      </w:r>
      <w:r>
        <w:rPr>
          <w:noProof/>
          <w:lang w:eastAsia="en-US"/>
        </w:rPr>
        <w:fldChar w:fldCharType="separate"/>
      </w:r>
      <w:r>
        <w:rPr>
          <w:noProof/>
        </w:rPr>
        <w:t>Figure 25</w:t>
      </w:r>
      <w:r>
        <w:rPr>
          <w:noProof/>
        </w:rPr>
        <w:fldChar w:fldCharType="end"/>
      </w:r>
      <w:r>
        <w:rPr>
          <w:noProof/>
          <w:lang w:eastAsia="en-US"/>
        </w:rPr>
        <w:t>, of these, around 13% are estimated to be due to inefficiencies in aircraft ground movement, i.e. taxi-out for 9% and taxi-in for 4%. However, these estimated ATM inefficiencies are not based on actual fuel burn, and it is the view of some experts - including Eurocontrol - that actual inefficiencies could be higher and up to 10%. This can be explained by the fact that there are likely further inefficiencies, which until now are unaccounted for, for instance, related to the flight level and aircraft speed.</w:t>
      </w:r>
    </w:p>
    <w:p>
      <w:pPr>
        <w:pStyle w:val="LegalNumPar"/>
        <w:pBdr>
          <w:top w:val="nil"/>
          <w:left w:val="nil"/>
          <w:bottom w:val="nil"/>
          <w:right w:val="nil"/>
          <w:between w:val="nil"/>
          <w:bar w:val="nil"/>
        </w:pBdr>
        <w:tabs>
          <w:tab w:val="left" w:pos="476"/>
        </w:tabs>
        <w:spacing w:line="240" w:lineRule="auto"/>
        <w:ind w:left="476"/>
        <w:rPr>
          <w:noProof/>
          <w:lang w:eastAsia="en-US"/>
        </w:rPr>
      </w:pPr>
    </w:p>
    <w:p>
      <w:pPr>
        <w:pStyle w:val="Caption"/>
        <w:keepNext/>
        <w:keepLines/>
        <w:jc w:val="center"/>
        <w:rPr>
          <w:i w:val="0"/>
          <w:noProof/>
        </w:rPr>
      </w:pPr>
      <w:bookmarkStart w:id="2391" w:name="_Ref50323824"/>
      <w:bookmarkStart w:id="2392" w:name="_Toc50417632"/>
      <w:bookmarkStart w:id="2393" w:name="_Toc50418275"/>
      <w:bookmarkStart w:id="2394" w:name="_Toc50473623"/>
      <w:bookmarkStart w:id="2395" w:name="_Toc50474674"/>
      <w:bookmarkStart w:id="2396" w:name="_Toc50630203"/>
      <w:bookmarkStart w:id="2397" w:name="_Toc50630927"/>
      <w:bookmarkStart w:id="2398" w:name="_Toc50633771"/>
      <w:bookmarkStart w:id="2399" w:name="_Toc50634013"/>
      <w:bookmarkStart w:id="2400" w:name="_Toc50646459"/>
      <w:bookmarkStart w:id="2401" w:name="_Toc50646594"/>
      <w:bookmarkStart w:id="2402" w:name="_Toc50649413"/>
      <w:bookmarkStart w:id="2403" w:name="_Toc50650720"/>
      <w:bookmarkStart w:id="2404" w:name="_Toc51593776"/>
      <w:bookmarkStart w:id="2405" w:name="_Toc51595243"/>
      <w:bookmarkStart w:id="2406" w:name="_Toc51595493"/>
      <w:bookmarkStart w:id="2407" w:name="_Toc51595819"/>
      <w:bookmarkStart w:id="2408" w:name="_Toc51595982"/>
      <w:bookmarkStart w:id="2409" w:name="_Toc52121469"/>
      <w:bookmarkStart w:id="2410" w:name="_Toc52122700"/>
      <w:bookmarkStart w:id="2411" w:name="_Toc53405264"/>
      <w:bookmarkStart w:id="2412" w:name="_Toc53406054"/>
      <w:bookmarkStart w:id="2413" w:name="_Toc53407420"/>
      <w:bookmarkStart w:id="2414" w:name="_Toc53410867"/>
      <w:bookmarkStart w:id="2415" w:name="_Toc53411930"/>
      <w:bookmarkStart w:id="2416" w:name="_Toc53417177"/>
      <w:bookmarkStart w:id="2417" w:name="_Toc53417529"/>
      <w:bookmarkStart w:id="2418" w:name="_Toc53419562"/>
      <w:bookmarkStart w:id="2419" w:name="_Toc53434867"/>
      <w:bookmarkStart w:id="2420" w:name="_Toc53437007"/>
      <w:bookmarkStart w:id="2421" w:name="_Toc57291669"/>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25</w:t>
      </w:r>
      <w:r>
        <w:rPr>
          <w:noProof/>
        </w:rPr>
        <w:fldChar w:fldCharType="end"/>
      </w:r>
      <w:bookmarkEnd w:id="2391"/>
      <w:r>
        <w:rPr>
          <w:i w:val="0"/>
          <w:noProof/>
        </w:rPr>
        <w:t xml:space="preserve"> ATM inefficiencies</w:t>
      </w:r>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p>
    <w:p>
      <w:pPr>
        <w:pStyle w:val="LegalNumPar"/>
        <w:pBdr>
          <w:top w:val="nil"/>
          <w:left w:val="nil"/>
          <w:bottom w:val="nil"/>
          <w:right w:val="nil"/>
          <w:between w:val="nil"/>
          <w:bar w:val="nil"/>
        </w:pBdr>
        <w:tabs>
          <w:tab w:val="left" w:pos="476"/>
        </w:tabs>
        <w:spacing w:line="240" w:lineRule="auto"/>
        <w:ind w:left="476"/>
        <w:jc w:val="center"/>
        <w:rPr>
          <w:noProof/>
          <w:lang w:eastAsia="en-US"/>
        </w:rPr>
      </w:pPr>
      <w:r>
        <w:rPr>
          <w:noProof/>
        </w:rPr>
        <w:drawing>
          <wp:inline distT="0" distB="0" distL="0" distR="0">
            <wp:extent cx="3564255" cy="3217545"/>
            <wp:effectExtent l="0" t="0" r="0" b="1905"/>
            <wp:docPr id="27" name="Picture 27" descr="C:\Users\sulyoge\Documents\Pictur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ulyoge\Documents\Picture45.jpg"/>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3564255" cy="3217545"/>
                    </a:xfrm>
                    <a:prstGeom prst="rect">
                      <a:avLst/>
                    </a:prstGeom>
                    <a:noFill/>
                    <a:ln>
                      <a:noFill/>
                    </a:ln>
                  </pic:spPr>
                </pic:pic>
              </a:graphicData>
            </a:graphic>
          </wp:inline>
        </w:drawing>
      </w:r>
    </w:p>
    <w:p>
      <w:pPr>
        <w:pStyle w:val="LegalNumPar"/>
        <w:pBdr>
          <w:top w:val="nil"/>
          <w:left w:val="nil"/>
          <w:bottom w:val="nil"/>
          <w:right w:val="nil"/>
          <w:between w:val="nil"/>
          <w:bar w:val="nil"/>
        </w:pBdr>
        <w:tabs>
          <w:tab w:val="left" w:pos="476"/>
        </w:tabs>
        <w:spacing w:line="240" w:lineRule="auto"/>
        <w:ind w:left="476"/>
        <w:jc w:val="center"/>
        <w:rPr>
          <w:noProof/>
          <w:lang w:eastAsia="en-US"/>
        </w:rPr>
      </w:pP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Solutions provided through the SESAR project are available for airports, airspace users and air navigation service providers to optimise usage of the airspace and the sequencing of ground traffic operations of aircraft before take-off and after landing. Large deployment of such solutions would allow engine running time reductions thus less emission for local residents. Examples of SESAR solutions include taxi route displays for pilots, pre-departure sequencing supported by route planning, wake turbulence separation optimisation, traffic optimisation on single and multiple runway airports, enhanced guidance assistance to aircraft and vehicles on the airport surface combined with routing, time-based separation, and others.</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The Directive on the deployment of alternative fuels infrastructure</w:t>
      </w:r>
      <w:r>
        <w:rPr>
          <w:rStyle w:val="FootnoteReference"/>
          <w:noProof/>
          <w:lang w:eastAsia="en-US"/>
        </w:rPr>
        <w:footnoteReference w:id="277"/>
      </w:r>
      <w:r>
        <w:rPr>
          <w:noProof/>
          <w:lang w:eastAsia="en-US"/>
        </w:rPr>
        <w:t xml:space="preserve"> does currently not contain any specific obligations for Member States to decarbonise ground movements. However, it stipulates that the national policy framework, to be adopted by Member States, must consider the need to install electricity supply at airports for stationary aircraft. </w:t>
      </w:r>
      <w:r>
        <w:rPr>
          <w:noProof/>
        </w:rPr>
        <w:t xml:space="preserve">Moreover, hydrogen-powered airport operations and related services will also require adequate refuelling infrastructure at airports.  </w:t>
      </w:r>
    </w:p>
    <w:p>
      <w:pPr>
        <w:pStyle w:val="LegalNumPar"/>
        <w:pBdr>
          <w:top w:val="nil"/>
          <w:left w:val="nil"/>
          <w:bottom w:val="nil"/>
          <w:right w:val="nil"/>
          <w:between w:val="nil"/>
          <w:bar w:val="nil"/>
        </w:pBdr>
        <w:tabs>
          <w:tab w:val="left" w:pos="476"/>
        </w:tabs>
        <w:spacing w:line="240" w:lineRule="auto"/>
        <w:rPr>
          <w:i/>
          <w:noProof/>
          <w:szCs w:val="24"/>
          <w:lang w:eastAsia="en-US"/>
        </w:rPr>
      </w:pPr>
    </w:p>
    <w:p>
      <w:pPr>
        <w:pStyle w:val="LegalNumPar"/>
        <w:pBdr>
          <w:top w:val="nil"/>
          <w:left w:val="nil"/>
          <w:bottom w:val="nil"/>
          <w:right w:val="nil"/>
          <w:between w:val="nil"/>
          <w:bar w:val="nil"/>
        </w:pBdr>
        <w:tabs>
          <w:tab w:val="left" w:pos="476"/>
        </w:tabs>
        <w:spacing w:line="240" w:lineRule="auto"/>
        <w:rPr>
          <w:i/>
          <w:noProof/>
          <w:lang w:eastAsia="en-US"/>
        </w:rPr>
      </w:pPr>
      <w:r>
        <w:rPr>
          <w:i/>
          <w:iCs/>
          <w:noProof/>
          <w:lang w:eastAsia="en-US"/>
        </w:rPr>
        <w:t>Impact of noise on local residents</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Long-term exposure to aircraft noise is linked with a variety of health impacts, including ischaemic heart disease, sleep disturbance, annoyance and cognitive impairment. The legislative instruments in place, notably the “Balanced Approach” Regulation</w:t>
      </w:r>
      <w:r>
        <w:rPr>
          <w:noProof/>
          <w:vertAlign w:val="superscript"/>
          <w:lang w:eastAsia="en-US"/>
        </w:rPr>
        <w:footnoteReference w:id="278"/>
      </w:r>
      <w:r>
        <w:rPr>
          <w:noProof/>
          <w:lang w:eastAsia="en-US"/>
        </w:rPr>
        <w:t>, shall be applied by Member States in order to meet specific noise abatement objectives at the level of individual airports, where clear objectives of reduction in population exposure to noise should be set through the Environmental Noise Directive</w:t>
      </w:r>
      <w:r>
        <w:rPr>
          <w:noProof/>
          <w:vertAlign w:val="superscript"/>
          <w:lang w:eastAsia="en-US"/>
        </w:rPr>
        <w:footnoteReference w:id="279"/>
      </w:r>
      <w:r>
        <w:rPr>
          <w:noProof/>
          <w:lang w:eastAsia="en-US"/>
        </w:rPr>
        <w:t>. The Regulation compels Member States to ensure that the Balanced Approach is adopted in respect of aircraft noise management at those airports where a noise problem has been identified. The “Balanced Approach” refers to the process developed by the International Civil Aviation Organization under which the range of available measures, namely the reduction of aircraft noise at source, land-use planning and management, noise abatement operational procedures and operating restrictions, is considered in a consistent way with a view to addressing the noise problem in the most cost-effective way on an airport-by-airport basis.</w:t>
      </w:r>
    </w:p>
    <w:p>
      <w:pPr>
        <w:pStyle w:val="ListParagraph"/>
        <w:spacing w:after="0" w:line="240" w:lineRule="auto"/>
        <w:ind w:left="928"/>
        <w:rPr>
          <w:i/>
          <w:noProof/>
          <w:sz w:val="24"/>
          <w:szCs w:val="24"/>
        </w:rPr>
      </w:pPr>
    </w:p>
    <w:p>
      <w:pPr>
        <w:pStyle w:val="LegalNumPar"/>
        <w:pBdr>
          <w:top w:val="nil"/>
          <w:left w:val="nil"/>
          <w:bottom w:val="nil"/>
          <w:right w:val="nil"/>
          <w:between w:val="nil"/>
          <w:bar w:val="nil"/>
        </w:pBdr>
        <w:tabs>
          <w:tab w:val="left" w:pos="476"/>
        </w:tabs>
        <w:spacing w:line="240" w:lineRule="auto"/>
        <w:rPr>
          <w:i/>
          <w:noProof/>
          <w:lang w:eastAsia="en-US"/>
        </w:rPr>
      </w:pPr>
      <w:r>
        <w:rPr>
          <w:i/>
          <w:iCs/>
          <w:noProof/>
          <w:lang w:eastAsia="en-US"/>
        </w:rPr>
        <w:t>Greener access to the airport</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Today, an important share of passengers still use their car to access European airports. Although greener alternatives exist (rail, bus shuttles), these may not always be deemed the most practical or economical by passengers and not always seamlessly integrated into urban transport. In addition, car parks are still a significant source of revenue for airports. On average, 36% of passengers travelled to airports by public transport in 2018, compared to 43% in 2016</w:t>
      </w:r>
      <w:r>
        <w:rPr>
          <w:noProof/>
          <w:vertAlign w:val="superscript"/>
          <w:lang w:eastAsia="en-US"/>
        </w:rPr>
        <w:footnoteReference w:id="280"/>
      </w:r>
      <w:r>
        <w:rPr>
          <w:noProof/>
          <w:lang w:eastAsia="en-US"/>
        </w:rPr>
        <w:t xml:space="preserve">. </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The Connecting Europe Facility (CEF) is financing multimodal connections to airports, such as the “Genoa Erzelli” in Italy or the connection of the Budapest-Arad railway line to the multimodal hub at Budapest Airport. The TEN-T Regulation requires that for airports on the network, both core and comprehensive, the improvement of multimodal interconnections with other transport modes is given priority</w:t>
      </w:r>
      <w:r>
        <w:rPr>
          <w:rStyle w:val="FootnoteReference"/>
          <w:noProof/>
          <w:lang w:eastAsia="en-US"/>
        </w:rPr>
        <w:footnoteReference w:id="281"/>
      </w:r>
      <w:r>
        <w:rPr>
          <w:noProof/>
          <w:lang w:eastAsia="en-US"/>
        </w:rPr>
        <w:t>. In practice, this is very much focused on rail and light rail i.e. sustainable passenger connections.</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Generally speaking, airports and the companies operating at airports are self-financing from user charges and commercial revenues, and the possibility to grant compatible State aid is limited under the current State aid rules, including under the 2014 EU Guidelines on State aid to airports and airlines. The Commission is conducting a Fitness check of State aid rules, including those for airports. Should this process conclude on the need to revise the rules for airports, current limitation could be revisited in respect of green investment. This would be particularly welcomed by smaller regional airports, many of which are essential to regional connectivity but are loss-making (71% of “small airports” are reportedly loss-making).</w:t>
      </w:r>
    </w:p>
    <w:p>
      <w:pPr>
        <w:pStyle w:val="Heading3"/>
        <w:rPr>
          <w:noProof/>
        </w:rPr>
      </w:pPr>
      <w:bookmarkStart w:id="2422" w:name="_Toc57291490"/>
      <w:bookmarkStart w:id="2423" w:name="_Toc51574803"/>
      <w:bookmarkStart w:id="2424" w:name="_Toc51575651"/>
      <w:bookmarkStart w:id="2425" w:name="_Toc51578038"/>
      <w:bookmarkStart w:id="2426" w:name="_Toc51578601"/>
      <w:bookmarkStart w:id="2427" w:name="_Toc51582922"/>
      <w:bookmarkStart w:id="2428" w:name="_Toc51583397"/>
      <w:bookmarkStart w:id="2429" w:name="_Toc51583487"/>
      <w:bookmarkStart w:id="2430" w:name="_Toc51583772"/>
      <w:bookmarkStart w:id="2431" w:name="_Toc51583962"/>
      <w:bookmarkStart w:id="2432" w:name="_Toc51583886"/>
      <w:bookmarkStart w:id="2433" w:name="_Toc51586204"/>
      <w:bookmarkStart w:id="2434" w:name="_Toc51594007"/>
      <w:bookmarkStart w:id="2435" w:name="_Toc51594333"/>
      <w:bookmarkStart w:id="2436" w:name="_Toc51595311"/>
      <w:bookmarkStart w:id="2437" w:name="_Toc51595561"/>
      <w:bookmarkStart w:id="2438" w:name="_Toc51595887"/>
      <w:bookmarkStart w:id="2439" w:name="_Toc51596050"/>
      <w:bookmarkStart w:id="2440" w:name="_Toc51596403"/>
      <w:bookmarkStart w:id="2441" w:name="_Toc52121537"/>
      <w:bookmarkStart w:id="2442" w:name="_Toc52122768"/>
      <w:bookmarkStart w:id="2443" w:name="_Toc52123885"/>
      <w:bookmarkStart w:id="2444" w:name="_Toc53405343"/>
      <w:bookmarkStart w:id="2445" w:name="_Toc53406131"/>
      <w:bookmarkStart w:id="2446" w:name="_Toc53407499"/>
      <w:bookmarkStart w:id="2447" w:name="_Toc53410944"/>
      <w:bookmarkStart w:id="2448" w:name="_Toc53412007"/>
      <w:bookmarkStart w:id="2449" w:name="_Toc53417254"/>
      <w:bookmarkStart w:id="2450" w:name="_Toc53417606"/>
      <w:bookmarkStart w:id="2451" w:name="_Toc53419841"/>
      <w:bookmarkStart w:id="2452" w:name="_Toc53434944"/>
      <w:bookmarkStart w:id="2453" w:name="_Toc53437084"/>
      <w:bookmarkStart w:id="2454" w:name="_Toc46312111"/>
      <w:bookmarkStart w:id="2455" w:name="_Toc50044817"/>
      <w:bookmarkStart w:id="2456" w:name="_Toc50048932"/>
      <w:bookmarkStart w:id="2457" w:name="_Toc50415264"/>
      <w:bookmarkStart w:id="2458" w:name="_Toc50416546"/>
      <w:bookmarkStart w:id="2459" w:name="_Toc50417678"/>
      <w:bookmarkStart w:id="2460" w:name="_Toc50418321"/>
      <w:bookmarkStart w:id="2461" w:name="_Toc50459901"/>
      <w:bookmarkStart w:id="2462" w:name="_Toc50466108"/>
      <w:bookmarkStart w:id="2463" w:name="_Toc50473669"/>
      <w:bookmarkStart w:id="2464" w:name="_Toc50474720"/>
      <w:bookmarkStart w:id="2465" w:name="_Toc50565070"/>
      <w:bookmarkStart w:id="2466" w:name="_Toc50568678"/>
      <w:bookmarkStart w:id="2467" w:name="_Toc50629417"/>
      <w:bookmarkStart w:id="2468" w:name="_Toc50630249"/>
      <w:bookmarkStart w:id="2469" w:name="_Toc50630974"/>
      <w:bookmarkStart w:id="2470" w:name="_Toc50633818"/>
      <w:bookmarkStart w:id="2471" w:name="_Toc50634060"/>
      <w:bookmarkStart w:id="2472" w:name="_Toc50646508"/>
      <w:bookmarkStart w:id="2473" w:name="_Toc50646643"/>
      <w:bookmarkStart w:id="2474" w:name="_Toc50649462"/>
      <w:bookmarkStart w:id="2475" w:name="_Toc50650769"/>
      <w:r>
        <w:rPr>
          <w:noProof/>
        </w:rPr>
        <w:t>Sustainable urban mobility</w:t>
      </w:r>
      <w:bookmarkEnd w:id="2422"/>
      <w:r>
        <w:rPr>
          <w:noProof/>
        </w:rPr>
        <w:t xml:space="preserve"> </w:t>
      </w:r>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p>
    <w:p>
      <w:pPr>
        <w:pStyle w:val="LegalNumPar"/>
        <w:numPr>
          <w:ilvl w:val="0"/>
          <w:numId w:val="89"/>
        </w:numPr>
        <w:tabs>
          <w:tab w:val="left" w:pos="476"/>
        </w:tabs>
        <w:spacing w:line="240" w:lineRule="auto"/>
        <w:rPr>
          <w:noProof/>
          <w:lang w:eastAsia="en-US"/>
        </w:rPr>
      </w:pPr>
      <w:r>
        <w:rPr>
          <w:noProof/>
        </w:rPr>
        <w:t>The EU cannot rely only on technological solutions delivering in the future: immediate action to adapt our mobility and transport system is needed today to tackle climate change and reduce pollution, and a number of solutions already exist. In addition to making each and every transport mode more sustainable, sustainable alternatives need to be made widely available.</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 xml:space="preserve">Urbanisation has been increasing in the past decades and this trend is likely to continue. So our mobility is an equally increasingly urban question, and poses challenges both for those who live in cities and those who travel into them, often every day. </w:t>
      </w:r>
      <w:r>
        <w:rPr>
          <w:noProof/>
        </w:rPr>
        <w:t>Urban congestion costs, for example, are estimated to account for EUR 180 billion per year in terms of delay costs and about EUR 32 billion per year in terms of deadweight loss at EU-27 level.</w:t>
      </w:r>
      <w:r>
        <w:rPr>
          <w:rStyle w:val="FootnoteReference"/>
          <w:noProof/>
        </w:rPr>
        <w:footnoteReference w:id="282"/>
      </w:r>
      <w:r>
        <w:rPr>
          <w:noProof/>
        </w:rPr>
        <w:t xml:space="preserve"> In addition, model estimates indicate that urban transport is responsible for about 22% of EU's CO</w:t>
      </w:r>
      <w:r>
        <w:rPr>
          <w:noProof/>
          <w:vertAlign w:val="subscript"/>
        </w:rPr>
        <w:t>2</w:t>
      </w:r>
      <w:r>
        <w:rPr>
          <w:noProof/>
        </w:rPr>
        <w:t xml:space="preserve"> emissions from transport.</w:t>
      </w:r>
      <w:r>
        <w:rPr>
          <w:rStyle w:val="FootnoteReference"/>
          <w:noProof/>
        </w:rPr>
        <w:footnoteReference w:id="283"/>
      </w:r>
    </w:p>
    <w:p>
      <w:pPr>
        <w:pStyle w:val="LegalNumPar"/>
        <w:numPr>
          <w:ilvl w:val="0"/>
          <w:numId w:val="89"/>
        </w:numPr>
        <w:tabs>
          <w:tab w:val="left" w:pos="476"/>
        </w:tabs>
        <w:spacing w:line="240" w:lineRule="auto"/>
        <w:rPr>
          <w:noProof/>
          <w:lang w:eastAsia="en-US"/>
        </w:rPr>
      </w:pPr>
      <w:r>
        <w:rPr>
          <w:noProof/>
          <w:lang w:eastAsia="en-US"/>
        </w:rPr>
        <w:t>The ability of a city to host infrastructure for public transport, cycling, walking and other mobility systems, depends primarily on its spatial setup and economic standing. In cities of high urban density, more people can be served by shorter networks (pedestrian pavements, cycling lanes, bus routes etc.). On the contrary, cities with urban sprawl need to construct and maintain much more infrastructure per inhabitant. The way various activities (work, residence, leisure, culture, commerce, etc.) are located within a city also plays an important role on proximity and transport needs.</w:t>
      </w:r>
      <w:r>
        <w:rPr>
          <w:rStyle w:val="FootnoteReference"/>
          <w:noProof/>
          <w:lang w:eastAsia="en-US"/>
        </w:rPr>
        <w:footnoteReference w:id="284"/>
      </w:r>
      <w:r>
        <w:rPr>
          <w:noProof/>
          <w:lang w:eastAsia="en-US"/>
        </w:rPr>
        <w:t xml:space="preserve"> </w:t>
      </w:r>
      <w:r>
        <w:rPr>
          <w:noProof/>
        </w:rPr>
        <w:t>Cities and towns can facilitate safe active mobility and creation of recreational spaces allowing physical activity, parks and green zones through inclusive urban planning and design.</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The Urban Mobility Package of 2013</w:t>
      </w:r>
      <w:r>
        <w:rPr>
          <w:noProof/>
          <w:vertAlign w:val="superscript"/>
          <w:lang w:eastAsia="en-US"/>
        </w:rPr>
        <w:footnoteReference w:id="285"/>
      </w:r>
      <w:r>
        <w:rPr>
          <w:noProof/>
          <w:lang w:eastAsia="en-US"/>
        </w:rPr>
        <w:t>, the main EU policy basis, aimed to support cities to improve their urban mobility, with the concept of sustainable urban mobility plans (SUMPs) in the centre of the approach. Related EU guidelines were published to support local authorities in the process. The EU approach to urban mobility has inspired many cities within and beyond Europe, with over 1,000 SUMPs in place now</w:t>
      </w:r>
      <w:r>
        <w:rPr>
          <w:noProof/>
          <w:vertAlign w:val="superscript"/>
          <w:lang w:eastAsia="en-US"/>
        </w:rPr>
        <w:footnoteReference w:id="286"/>
      </w:r>
      <w:r>
        <w:rPr>
          <w:noProof/>
          <w:lang w:eastAsia="en-US"/>
        </w:rPr>
        <w:t>. Whilst the guidelines continue to be used extensively, major new trends in many areas of urban mobility have emerged and a wealth of practical SUMP experience has been acquired over the last few years. Therefore a major overhaul took place in October 2019: a revision of the Guidelines itself, as well as the development of a range of complementary guides on specific aspects of SUMP</w:t>
      </w:r>
      <w:r>
        <w:rPr>
          <w:noProof/>
          <w:vertAlign w:val="superscript"/>
          <w:lang w:eastAsia="en-US"/>
        </w:rPr>
        <w:footnoteReference w:id="287"/>
      </w:r>
      <w:r>
        <w:rPr>
          <w:noProof/>
          <w:lang w:eastAsia="en-US"/>
        </w:rPr>
        <w:t>.</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rPr>
        <w:t xml:space="preserve">The preliminary evaluation results </w:t>
      </w:r>
      <w:r>
        <w:rPr>
          <w:noProof/>
          <w:lang w:eastAsia="en-US"/>
        </w:rPr>
        <w:t xml:space="preserve">of the 2013 Urban Mobility Package </w:t>
      </w:r>
      <w:r>
        <w:rPr>
          <w:noProof/>
        </w:rPr>
        <w:t>indicate that the package was a relevant step towards sustainable mobility, but the problems identified in 2013 still exist, with some – such as congestion or deteriorating climate and local environment – getting worse. In addition, as indicated by the Court of Auditors in their performance audit of the EU urban mobility policy and funding, no real progress at local level is possible without stronger involvement of Member States.</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rPr>
        <w:t>Clearer guidance is needed on mobility management at local and regional level, and on connectivity with rural and suburban areas so that commuters are given sustainable mobility options. European policies and financial support should also reflect the importance of urban mobility for the overall functioning of the TEN-T, with provisions for first/last mile solutions that include multimodal mobility hubs, park-and-ride facilities, and safe, active mobility infrastructure.</w:t>
      </w:r>
      <w:r>
        <w:rPr>
          <w:noProof/>
          <w:lang w:eastAsia="en-US"/>
        </w:rPr>
        <w:t xml:space="preserve"> </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 xml:space="preserve">Under the Environmental Noise Directive, Member States have to prepare action plans to reduce noise from transport in approximately 500 European agglomerations. Nevertheless, reduction of noise in urban areas require a mix of global and local actions that result in noise reduction for instance the improvement of the vehicle fleet needs to be accompanied by the deployment of better tyres and better roads. In that sense, the Environmental Noise Directive could be enhanced to coordinate the efforts needed for this co-benefit. </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Under the Ambient Air Quality Directives</w:t>
      </w:r>
      <w:r>
        <w:rPr>
          <w:noProof/>
          <w:vertAlign w:val="superscript"/>
          <w:lang w:eastAsia="en-US"/>
        </w:rPr>
        <w:footnoteReference w:id="288"/>
      </w:r>
      <w:r>
        <w:rPr>
          <w:noProof/>
          <w:lang w:eastAsia="en-US"/>
        </w:rPr>
        <w:t xml:space="preserve">, Member States have to comply with air quality standards for a number of pollutants harmful for human health, including limit values for nitrogen dioxide and particulate matter (PM10 and PM2.5). In over 130 cities located in a majority of Member States, limit values for one or more of these pollutants have been exceeded for many years, with significant consequences for public health and the economy. Specific measures are not prescribed, although an increasing number of cities have turned to SUMPs which can contain different measures focusing on various aspects of urban mobility, with urban vehicles access regulations (UVARs) being one of them. </w:t>
      </w:r>
    </w:p>
    <w:p>
      <w:pPr>
        <w:pStyle w:val="Caption"/>
        <w:keepNext/>
        <w:keepLines/>
        <w:jc w:val="center"/>
        <w:rPr>
          <w:i w:val="0"/>
          <w:noProof/>
        </w:rPr>
      </w:pPr>
      <w:bookmarkStart w:id="2476" w:name="_Toc50417633"/>
      <w:bookmarkStart w:id="2477" w:name="_Toc50418276"/>
      <w:bookmarkStart w:id="2478" w:name="_Toc50473624"/>
      <w:bookmarkStart w:id="2479" w:name="_Toc50474675"/>
      <w:bookmarkStart w:id="2480" w:name="_Toc50630204"/>
      <w:bookmarkStart w:id="2481" w:name="_Toc50630928"/>
      <w:bookmarkStart w:id="2482" w:name="_Toc50633772"/>
      <w:bookmarkStart w:id="2483" w:name="_Toc50634014"/>
      <w:bookmarkStart w:id="2484" w:name="_Toc50646460"/>
      <w:bookmarkStart w:id="2485" w:name="_Toc50646595"/>
      <w:bookmarkStart w:id="2486" w:name="_Toc50649414"/>
      <w:bookmarkStart w:id="2487" w:name="_Toc50650721"/>
      <w:bookmarkStart w:id="2488" w:name="_Toc51593777"/>
      <w:bookmarkStart w:id="2489" w:name="_Toc51595244"/>
      <w:bookmarkStart w:id="2490" w:name="_Toc51595494"/>
      <w:bookmarkStart w:id="2491" w:name="_Toc51595820"/>
      <w:bookmarkStart w:id="2492" w:name="_Toc51595983"/>
      <w:bookmarkStart w:id="2493" w:name="_Toc52121470"/>
      <w:bookmarkStart w:id="2494" w:name="_Toc52122701"/>
      <w:bookmarkStart w:id="2495" w:name="_Toc53405265"/>
      <w:bookmarkStart w:id="2496" w:name="_Toc53406055"/>
      <w:bookmarkStart w:id="2497" w:name="_Toc53407421"/>
      <w:bookmarkStart w:id="2498" w:name="_Toc53410868"/>
      <w:bookmarkStart w:id="2499" w:name="_Toc53411931"/>
      <w:bookmarkStart w:id="2500" w:name="_Toc53417178"/>
      <w:bookmarkStart w:id="2501" w:name="_Toc53417530"/>
      <w:bookmarkStart w:id="2502" w:name="_Toc53419563"/>
      <w:bookmarkStart w:id="2503" w:name="_Toc53434868"/>
      <w:bookmarkStart w:id="2504" w:name="_Toc53437008"/>
      <w:bookmarkStart w:id="2505" w:name="_Toc57291670"/>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26</w:t>
      </w:r>
      <w:r>
        <w:rPr>
          <w:noProof/>
        </w:rPr>
        <w:fldChar w:fldCharType="end"/>
      </w:r>
      <w:r>
        <w:rPr>
          <w:i w:val="0"/>
          <w:noProof/>
        </w:rPr>
        <w:t>: Annual mean NO</w:t>
      </w:r>
      <w:r>
        <w:rPr>
          <w:i w:val="0"/>
          <w:noProof/>
          <w:vertAlign w:val="subscript"/>
        </w:rPr>
        <w:t>2</w:t>
      </w:r>
      <w:r>
        <w:rPr>
          <w:i w:val="0"/>
          <w:noProof/>
        </w:rPr>
        <w:t xml:space="preserve"> concentrations observed at traffic stations, 2017</w:t>
      </w:r>
      <w:r>
        <w:rPr>
          <w:i w:val="0"/>
          <w:noProof/>
          <w:vertAlign w:val="superscript"/>
        </w:rPr>
        <w:footnoteReference w:id="289"/>
      </w:r>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p>
    <w:p>
      <w:pPr>
        <w:pStyle w:val="LegalNumPar"/>
        <w:pBdr>
          <w:top w:val="nil"/>
          <w:left w:val="nil"/>
          <w:bottom w:val="nil"/>
          <w:right w:val="nil"/>
          <w:between w:val="nil"/>
          <w:bar w:val="nil"/>
        </w:pBdr>
        <w:tabs>
          <w:tab w:val="left" w:pos="476"/>
        </w:tabs>
        <w:spacing w:line="240" w:lineRule="auto"/>
        <w:ind w:left="476" w:hanging="476"/>
        <w:jc w:val="center"/>
        <w:rPr>
          <w:noProof/>
          <w:szCs w:val="24"/>
          <w:lang w:eastAsia="en-US"/>
        </w:rPr>
      </w:pPr>
      <w:r>
        <w:rPr>
          <w:noProof/>
          <w:szCs w:val="24"/>
        </w:rPr>
        <w:drawing>
          <wp:inline distT="0" distB="0" distL="0" distR="0">
            <wp:extent cx="3778250" cy="2971800"/>
            <wp:effectExtent l="0" t="0" r="0" b="0"/>
            <wp:docPr id="1657890222" name="Picture 1657890222" descr="\\NET1.cec.eu.int\homes\115\sulyoge\My Documents\White Paper\SWD\Figures\Pictur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T1.cec.eu.int\homes\115\sulyoge\My Documents\White Paper\SWD\Figures\Picture15.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778250" cy="2971800"/>
                    </a:xfrm>
                    <a:prstGeom prst="rect">
                      <a:avLst/>
                    </a:prstGeom>
                    <a:noFill/>
                    <a:ln>
                      <a:noFill/>
                    </a:ln>
                  </pic:spPr>
                </pic:pic>
              </a:graphicData>
            </a:graphic>
          </wp:inline>
        </w:drawing>
      </w:r>
    </w:p>
    <w:p>
      <w:pPr>
        <w:pStyle w:val="LegalNumPar"/>
        <w:pBdr>
          <w:top w:val="nil"/>
          <w:left w:val="nil"/>
          <w:bottom w:val="nil"/>
          <w:right w:val="nil"/>
          <w:between w:val="nil"/>
          <w:bar w:val="nil"/>
        </w:pBdr>
        <w:tabs>
          <w:tab w:val="left" w:pos="476"/>
        </w:tabs>
        <w:spacing w:line="240" w:lineRule="auto"/>
        <w:ind w:left="1196" w:firstLine="244"/>
        <w:jc w:val="left"/>
        <w:rPr>
          <w:i/>
          <w:noProof/>
          <w:sz w:val="16"/>
          <w:szCs w:val="16"/>
          <w:lang w:eastAsia="en-US"/>
        </w:rPr>
      </w:pPr>
      <w:r>
        <w:rPr>
          <w:i/>
          <w:iCs/>
          <w:noProof/>
          <w:sz w:val="16"/>
          <w:szCs w:val="16"/>
          <w:lang w:eastAsia="en-US"/>
        </w:rPr>
        <w:t>Source: European Environment Agency.</w:t>
      </w:r>
    </w:p>
    <w:p>
      <w:pPr>
        <w:pStyle w:val="LegalNumPar"/>
        <w:pBdr>
          <w:top w:val="nil"/>
          <w:left w:val="nil"/>
          <w:bottom w:val="nil"/>
          <w:right w:val="nil"/>
          <w:between w:val="nil"/>
          <w:bar w:val="nil"/>
        </w:pBdr>
        <w:tabs>
          <w:tab w:val="left" w:pos="476"/>
        </w:tabs>
        <w:spacing w:line="240" w:lineRule="auto"/>
        <w:ind w:left="476"/>
        <w:rPr>
          <w:noProof/>
          <w:szCs w:val="24"/>
          <w:lang w:eastAsia="en-US"/>
        </w:rPr>
      </w:pPr>
    </w:p>
    <w:p>
      <w:pPr>
        <w:pStyle w:val="Caption"/>
        <w:keepNext/>
        <w:keepLines/>
        <w:jc w:val="center"/>
        <w:rPr>
          <w:i w:val="0"/>
          <w:noProof/>
          <w:vertAlign w:val="superscript"/>
        </w:rPr>
      </w:pPr>
      <w:bookmarkStart w:id="2506" w:name="_Toc50417634"/>
      <w:bookmarkStart w:id="2507" w:name="_Toc50418277"/>
      <w:bookmarkStart w:id="2508" w:name="_Toc50473625"/>
      <w:bookmarkStart w:id="2509" w:name="_Toc50474676"/>
      <w:bookmarkStart w:id="2510" w:name="_Toc50630205"/>
      <w:bookmarkStart w:id="2511" w:name="_Toc50630929"/>
      <w:bookmarkStart w:id="2512" w:name="_Toc50633773"/>
      <w:bookmarkStart w:id="2513" w:name="_Toc50634015"/>
      <w:bookmarkStart w:id="2514" w:name="_Toc50646461"/>
      <w:bookmarkStart w:id="2515" w:name="_Toc50646596"/>
      <w:bookmarkStart w:id="2516" w:name="_Toc50649415"/>
      <w:bookmarkStart w:id="2517" w:name="_Toc50650722"/>
      <w:bookmarkStart w:id="2518" w:name="_Toc51593778"/>
      <w:bookmarkStart w:id="2519" w:name="_Toc51595245"/>
      <w:bookmarkStart w:id="2520" w:name="_Toc51595495"/>
      <w:bookmarkStart w:id="2521" w:name="_Toc51595821"/>
      <w:bookmarkStart w:id="2522" w:name="_Toc51595984"/>
      <w:bookmarkStart w:id="2523" w:name="_Toc52121471"/>
      <w:bookmarkStart w:id="2524" w:name="_Toc52122702"/>
      <w:bookmarkStart w:id="2525" w:name="_Toc53411932"/>
      <w:bookmarkStart w:id="2526" w:name="_Toc53405266"/>
      <w:bookmarkStart w:id="2527" w:name="_Toc53406056"/>
      <w:bookmarkStart w:id="2528" w:name="_Toc53407422"/>
      <w:bookmarkStart w:id="2529" w:name="_Toc53410869"/>
      <w:bookmarkStart w:id="2530" w:name="_Toc53417179"/>
      <w:bookmarkStart w:id="2531" w:name="_Toc53417531"/>
      <w:bookmarkStart w:id="2532" w:name="_Toc53419564"/>
      <w:bookmarkStart w:id="2533" w:name="_Toc53434869"/>
      <w:bookmarkStart w:id="2534" w:name="_Toc53437009"/>
      <w:bookmarkStart w:id="2535" w:name="_Toc57291671"/>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27</w:t>
      </w:r>
      <w:r>
        <w:rPr>
          <w:noProof/>
        </w:rPr>
        <w:fldChar w:fldCharType="end"/>
      </w:r>
      <w:r>
        <w:rPr>
          <w:i w:val="0"/>
          <w:noProof/>
        </w:rPr>
        <w:t>: Percentile 90.4 of daily mean PM10 concentrations observed at traffic stations, 2017</w:t>
      </w:r>
      <w:r>
        <w:rPr>
          <w:i w:val="0"/>
          <w:noProof/>
          <w:vertAlign w:val="superscript"/>
        </w:rPr>
        <w:footnoteReference w:id="290"/>
      </w:r>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p>
    <w:p>
      <w:pPr>
        <w:jc w:val="center"/>
        <w:rPr>
          <w:rFonts w:ascii="Segoe UI" w:hAnsi="Segoe UI" w:cs="Segoe UI"/>
          <w:noProof/>
          <w:color w:val="333333"/>
          <w:sz w:val="17"/>
          <w:szCs w:val="17"/>
        </w:rPr>
      </w:pPr>
      <w:r>
        <w:rPr>
          <w:rFonts w:ascii="Segoe UI" w:hAnsi="Segoe UI" w:cs="Segoe UI"/>
          <w:noProof/>
          <w:color w:val="333333"/>
          <w:sz w:val="17"/>
          <w:szCs w:val="17"/>
        </w:rPr>
        <w:drawing>
          <wp:inline distT="0" distB="0" distL="0" distR="0">
            <wp:extent cx="3854450" cy="3048000"/>
            <wp:effectExtent l="0" t="0" r="0" b="0"/>
            <wp:docPr id="1657890221" name="Picture 1657890221" descr="\\NET1.cec.eu.int\homes\115\sulyoge\My Documents\White Paper\SWD\Figures\Pictur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T1.cec.eu.int\homes\115\sulyoge\My Documents\White Paper\SWD\Figures\Picture14.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854450" cy="3048000"/>
                    </a:xfrm>
                    <a:prstGeom prst="rect">
                      <a:avLst/>
                    </a:prstGeom>
                    <a:noFill/>
                    <a:ln>
                      <a:noFill/>
                    </a:ln>
                  </pic:spPr>
                </pic:pic>
              </a:graphicData>
            </a:graphic>
          </wp:inline>
        </w:drawing>
      </w:r>
    </w:p>
    <w:p>
      <w:pPr>
        <w:pStyle w:val="LegalNumPar"/>
        <w:pBdr>
          <w:top w:val="nil"/>
          <w:left w:val="nil"/>
          <w:bottom w:val="nil"/>
          <w:right w:val="nil"/>
          <w:between w:val="nil"/>
          <w:bar w:val="nil"/>
        </w:pBdr>
        <w:tabs>
          <w:tab w:val="left" w:pos="476"/>
        </w:tabs>
        <w:spacing w:line="240" w:lineRule="auto"/>
        <w:ind w:left="1196" w:firstLine="244"/>
        <w:jc w:val="left"/>
        <w:rPr>
          <w:i/>
          <w:noProof/>
          <w:sz w:val="16"/>
          <w:szCs w:val="16"/>
          <w:lang w:eastAsia="en-US"/>
        </w:rPr>
      </w:pPr>
      <w:r>
        <w:rPr>
          <w:i/>
          <w:iCs/>
          <w:noProof/>
          <w:sz w:val="16"/>
          <w:szCs w:val="16"/>
          <w:lang w:eastAsia="en-US"/>
        </w:rPr>
        <w:t>Source: European Environment Agency.</w:t>
      </w:r>
    </w:p>
    <w:p>
      <w:pPr>
        <w:jc w:val="center"/>
        <w:rPr>
          <w:rFonts w:ascii="Segoe UI" w:hAnsi="Segoe UI" w:cs="Segoe UI"/>
          <w:noProof/>
          <w:color w:val="333333"/>
          <w:sz w:val="17"/>
          <w:szCs w:val="17"/>
        </w:rPr>
      </w:pPr>
    </w:p>
    <w:p>
      <w:pPr>
        <w:pStyle w:val="Caption"/>
        <w:keepNext/>
        <w:keepLines/>
        <w:jc w:val="center"/>
        <w:rPr>
          <w:i w:val="0"/>
          <w:noProof/>
          <w:color w:val="333333"/>
          <w:sz w:val="24"/>
          <w:szCs w:val="24"/>
        </w:rPr>
      </w:pPr>
      <w:bookmarkStart w:id="2536" w:name="_Toc50417635"/>
      <w:bookmarkStart w:id="2537" w:name="_Toc50418278"/>
      <w:bookmarkStart w:id="2538" w:name="_Toc50473626"/>
      <w:bookmarkStart w:id="2539" w:name="_Toc50474677"/>
      <w:bookmarkStart w:id="2540" w:name="_Toc50630206"/>
      <w:bookmarkStart w:id="2541" w:name="_Toc50630930"/>
      <w:bookmarkStart w:id="2542" w:name="_Toc50633774"/>
      <w:bookmarkStart w:id="2543" w:name="_Toc50634016"/>
      <w:bookmarkStart w:id="2544" w:name="_Toc50646462"/>
      <w:bookmarkStart w:id="2545" w:name="_Toc50646597"/>
      <w:bookmarkStart w:id="2546" w:name="_Toc50649416"/>
      <w:bookmarkStart w:id="2547" w:name="_Toc50650723"/>
      <w:bookmarkStart w:id="2548" w:name="_Toc51593779"/>
      <w:bookmarkStart w:id="2549" w:name="_Toc51595246"/>
      <w:bookmarkStart w:id="2550" w:name="_Toc51595496"/>
      <w:bookmarkStart w:id="2551" w:name="_Toc51595822"/>
      <w:bookmarkStart w:id="2552" w:name="_Toc51595985"/>
      <w:bookmarkStart w:id="2553" w:name="_Toc52121472"/>
      <w:bookmarkStart w:id="2554" w:name="_Toc52122703"/>
      <w:bookmarkStart w:id="2555" w:name="_Toc53405267"/>
      <w:bookmarkStart w:id="2556" w:name="_Toc53406057"/>
      <w:bookmarkStart w:id="2557" w:name="_Toc53407423"/>
      <w:bookmarkStart w:id="2558" w:name="_Toc53410870"/>
      <w:bookmarkStart w:id="2559" w:name="_Toc53411933"/>
      <w:bookmarkStart w:id="2560" w:name="_Toc53417180"/>
      <w:bookmarkStart w:id="2561" w:name="_Toc53417532"/>
      <w:bookmarkStart w:id="2562" w:name="_Toc53419565"/>
      <w:bookmarkStart w:id="2563" w:name="_Toc53434870"/>
      <w:bookmarkStart w:id="2564" w:name="_Toc53437010"/>
      <w:bookmarkStart w:id="2565" w:name="_Toc57291672"/>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28</w:t>
      </w:r>
      <w:r>
        <w:rPr>
          <w:noProof/>
        </w:rPr>
        <w:fldChar w:fldCharType="end"/>
      </w:r>
      <w:r>
        <w:rPr>
          <w:i w:val="0"/>
          <w:noProof/>
        </w:rPr>
        <w:t>: Annual mean PM2.5 concentrations observed at traffic stations, 2017</w:t>
      </w:r>
      <w:r>
        <w:rPr>
          <w:i w:val="0"/>
          <w:noProof/>
          <w:vertAlign w:val="superscript"/>
        </w:rPr>
        <w:footnoteReference w:id="291"/>
      </w:r>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p>
    <w:p>
      <w:pPr>
        <w:jc w:val="center"/>
        <w:rPr>
          <w:rFonts w:ascii="Segoe UI" w:hAnsi="Segoe UI" w:cs="Segoe UI"/>
          <w:noProof/>
          <w:color w:val="333333"/>
          <w:sz w:val="17"/>
          <w:szCs w:val="17"/>
        </w:rPr>
      </w:pPr>
      <w:r>
        <w:rPr>
          <w:rFonts w:ascii="Segoe UI" w:hAnsi="Segoe UI" w:cs="Segoe UI"/>
          <w:noProof/>
          <w:color w:val="333333"/>
          <w:sz w:val="17"/>
          <w:szCs w:val="17"/>
        </w:rPr>
        <w:drawing>
          <wp:inline distT="0" distB="0" distL="0" distR="0">
            <wp:extent cx="3836035" cy="3021965"/>
            <wp:effectExtent l="0" t="0" r="0" b="6985"/>
            <wp:docPr id="3" name="Picture 3" descr="C:\Users\sulyoge\Pictures\SWD\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lyoge\Pictures\SWD\Picture1.jpg"/>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3836035" cy="3021965"/>
                    </a:xfrm>
                    <a:prstGeom prst="rect">
                      <a:avLst/>
                    </a:prstGeom>
                    <a:noFill/>
                    <a:ln>
                      <a:noFill/>
                    </a:ln>
                  </pic:spPr>
                </pic:pic>
              </a:graphicData>
            </a:graphic>
          </wp:inline>
        </w:drawing>
      </w:r>
    </w:p>
    <w:p>
      <w:pPr>
        <w:pStyle w:val="LegalNumPar"/>
        <w:pBdr>
          <w:top w:val="nil"/>
          <w:left w:val="nil"/>
          <w:bottom w:val="nil"/>
          <w:right w:val="nil"/>
          <w:between w:val="nil"/>
          <w:bar w:val="nil"/>
        </w:pBdr>
        <w:tabs>
          <w:tab w:val="left" w:pos="476"/>
        </w:tabs>
        <w:spacing w:line="240" w:lineRule="auto"/>
        <w:ind w:left="1196" w:firstLine="244"/>
        <w:jc w:val="left"/>
        <w:rPr>
          <w:i/>
          <w:noProof/>
          <w:sz w:val="16"/>
          <w:szCs w:val="16"/>
          <w:lang w:eastAsia="en-US"/>
        </w:rPr>
      </w:pPr>
      <w:r>
        <w:rPr>
          <w:i/>
          <w:iCs/>
          <w:noProof/>
          <w:sz w:val="16"/>
          <w:szCs w:val="16"/>
          <w:lang w:eastAsia="en-US"/>
        </w:rPr>
        <w:t>Source: European Environment Agency.</w:t>
      </w:r>
    </w:p>
    <w:p>
      <w:pPr>
        <w:pStyle w:val="LegalNumPar"/>
        <w:pBdr>
          <w:top w:val="nil"/>
          <w:left w:val="nil"/>
          <w:bottom w:val="nil"/>
          <w:right w:val="nil"/>
          <w:between w:val="nil"/>
          <w:bar w:val="nil"/>
        </w:pBdr>
        <w:tabs>
          <w:tab w:val="left" w:pos="476"/>
        </w:tabs>
        <w:spacing w:line="240" w:lineRule="auto"/>
        <w:ind w:left="476"/>
        <w:rPr>
          <w:noProof/>
          <w:szCs w:val="24"/>
          <w:lang w:eastAsia="en-US"/>
        </w:rPr>
      </w:pPr>
    </w:p>
    <w:p>
      <w:pPr>
        <w:pStyle w:val="Heading4"/>
        <w:rPr>
          <w:noProof/>
        </w:rPr>
      </w:pPr>
      <w:bookmarkStart w:id="2566" w:name="_Toc50227134"/>
      <w:bookmarkStart w:id="2567" w:name="_Toc50413766"/>
      <w:bookmarkStart w:id="2568" w:name="_Toc50413884"/>
      <w:bookmarkStart w:id="2569" w:name="_Toc50414095"/>
      <w:bookmarkStart w:id="2570" w:name="_Toc50414684"/>
      <w:bookmarkStart w:id="2571" w:name="_Toc50415265"/>
      <w:bookmarkStart w:id="2572" w:name="_Toc50417137"/>
      <w:bookmarkStart w:id="2573" w:name="_Toc50417679"/>
      <w:bookmarkStart w:id="2574" w:name="_Toc50418322"/>
      <w:bookmarkStart w:id="2575" w:name="_Toc50453174"/>
      <w:bookmarkStart w:id="2576" w:name="_Toc50455991"/>
      <w:bookmarkStart w:id="2577" w:name="_Toc50457524"/>
      <w:bookmarkStart w:id="2578" w:name="_Toc50457807"/>
      <w:bookmarkStart w:id="2579" w:name="_Toc50457922"/>
      <w:bookmarkStart w:id="2580" w:name="_Toc50458859"/>
      <w:bookmarkStart w:id="2581" w:name="_Toc50459173"/>
      <w:bookmarkStart w:id="2582" w:name="_Toc50459310"/>
      <w:bookmarkStart w:id="2583" w:name="_Toc50459393"/>
      <w:bookmarkStart w:id="2584" w:name="_Toc50459680"/>
      <w:bookmarkStart w:id="2585" w:name="_Toc50459763"/>
      <w:bookmarkStart w:id="2586" w:name="_Toc50459902"/>
      <w:bookmarkStart w:id="2587" w:name="_Toc50459983"/>
      <w:bookmarkStart w:id="2588" w:name="_Toc50465188"/>
      <w:bookmarkStart w:id="2589" w:name="_Toc50465277"/>
      <w:bookmarkStart w:id="2590" w:name="_Toc50465358"/>
      <w:bookmarkStart w:id="2591" w:name="_Toc50465594"/>
      <w:bookmarkStart w:id="2592" w:name="_Toc50465795"/>
      <w:bookmarkStart w:id="2593" w:name="_Toc50465876"/>
      <w:bookmarkStart w:id="2594" w:name="_Toc50465957"/>
      <w:bookmarkStart w:id="2595" w:name="_Toc50466109"/>
      <w:bookmarkStart w:id="2596" w:name="_Toc50466244"/>
      <w:bookmarkStart w:id="2597" w:name="_Toc50466325"/>
      <w:bookmarkStart w:id="2598" w:name="_Toc50466520"/>
      <w:bookmarkStart w:id="2599" w:name="_Toc50466760"/>
      <w:bookmarkStart w:id="2600" w:name="_Toc50466861"/>
      <w:bookmarkStart w:id="2601" w:name="_Toc50468068"/>
      <w:bookmarkStart w:id="2602" w:name="_Toc50468149"/>
      <w:bookmarkStart w:id="2603" w:name="_Toc50468230"/>
      <w:bookmarkStart w:id="2604" w:name="_Toc50468311"/>
      <w:bookmarkStart w:id="2605" w:name="_Toc50468392"/>
      <w:bookmarkStart w:id="2606" w:name="_Toc50468631"/>
      <w:bookmarkStart w:id="2607" w:name="_Toc50468712"/>
      <w:bookmarkStart w:id="2608" w:name="_Toc50468793"/>
      <w:bookmarkStart w:id="2609" w:name="_Toc50468874"/>
      <w:bookmarkStart w:id="2610" w:name="_Toc50469117"/>
      <w:bookmarkStart w:id="2611" w:name="_Toc50469072"/>
      <w:bookmarkStart w:id="2612" w:name="_Toc50469235"/>
      <w:bookmarkStart w:id="2613" w:name="_Toc50469198"/>
      <w:bookmarkStart w:id="2614" w:name="_Toc50469361"/>
      <w:bookmarkStart w:id="2615" w:name="_Toc50469073"/>
      <w:bookmarkStart w:id="2616" w:name="_Toc50469442"/>
      <w:bookmarkStart w:id="2617" w:name="_Toc50469523"/>
      <w:bookmarkStart w:id="2618" w:name="_Toc50469155"/>
      <w:bookmarkStart w:id="2619" w:name="_Toc50469273"/>
      <w:bookmarkStart w:id="2620" w:name="_Toc50469947"/>
      <w:bookmarkStart w:id="2621" w:name="_Toc50470028"/>
      <w:bookmarkStart w:id="2622" w:name="_Toc50470203"/>
      <w:bookmarkStart w:id="2623" w:name="_Toc50470484"/>
      <w:bookmarkStart w:id="2624" w:name="_Toc50470565"/>
      <w:bookmarkStart w:id="2625" w:name="_Toc50471391"/>
      <w:bookmarkStart w:id="2626" w:name="_Toc50471624"/>
      <w:bookmarkStart w:id="2627" w:name="_Toc50471776"/>
      <w:bookmarkStart w:id="2628" w:name="_Toc50471857"/>
      <w:bookmarkStart w:id="2629" w:name="_Toc50471938"/>
      <w:bookmarkStart w:id="2630" w:name="_Toc50471858"/>
      <w:bookmarkStart w:id="2631" w:name="_Toc50472020"/>
      <w:bookmarkStart w:id="2632" w:name="_Toc50472182"/>
      <w:bookmarkStart w:id="2633" w:name="_Toc50472262"/>
      <w:bookmarkStart w:id="2634" w:name="_Toc50472343"/>
      <w:bookmarkStart w:id="2635" w:name="_Toc50472059"/>
      <w:bookmarkStart w:id="2636" w:name="_Toc50472424"/>
      <w:bookmarkStart w:id="2637" w:name="_Toc50472505"/>
      <w:bookmarkStart w:id="2638" w:name="_Toc50472586"/>
      <w:bookmarkStart w:id="2639" w:name="_Toc50472506"/>
      <w:bookmarkStart w:id="2640" w:name="_Toc50472668"/>
      <w:bookmarkStart w:id="2641" w:name="_Toc50472749"/>
      <w:bookmarkStart w:id="2642" w:name="_Toc50472830"/>
      <w:bookmarkStart w:id="2643" w:name="_Toc50472911"/>
      <w:bookmarkStart w:id="2644" w:name="_Toc50472992"/>
      <w:bookmarkStart w:id="2645" w:name="_Toc50044818"/>
      <w:bookmarkStart w:id="2646" w:name="_Toc50048933"/>
      <w:bookmarkStart w:id="2647" w:name="_Toc50415266"/>
      <w:bookmarkStart w:id="2648" w:name="_Toc50416547"/>
      <w:bookmarkStart w:id="2649" w:name="_Toc50417680"/>
      <w:bookmarkStart w:id="2650" w:name="_Toc50418323"/>
      <w:bookmarkStart w:id="2651" w:name="_Toc50459903"/>
      <w:bookmarkStart w:id="2652" w:name="_Toc50466110"/>
      <w:bookmarkStart w:id="2653" w:name="_Toc50473670"/>
      <w:bookmarkStart w:id="2654" w:name="_Toc50474721"/>
      <w:bookmarkStart w:id="2655" w:name="_Toc50565071"/>
      <w:bookmarkStart w:id="2656" w:name="_Toc50568679"/>
      <w:bookmarkStart w:id="2657" w:name="_Toc50629418"/>
      <w:bookmarkStart w:id="2658" w:name="_Toc50630250"/>
      <w:bookmarkStart w:id="2659" w:name="_Toc50630975"/>
      <w:bookmarkStart w:id="2660" w:name="_Toc50633819"/>
      <w:bookmarkStart w:id="2661" w:name="_Toc50634061"/>
      <w:bookmarkStart w:id="2662" w:name="_Toc50646509"/>
      <w:bookmarkStart w:id="2663" w:name="_Toc50646644"/>
      <w:bookmarkStart w:id="2664" w:name="_Toc50649463"/>
      <w:bookmarkStart w:id="2665" w:name="_Toc50650770"/>
      <w:bookmarkStart w:id="2666" w:name="_Toc51578602"/>
      <w:bookmarkStart w:id="2667" w:name="_Toc51574804"/>
      <w:bookmarkStart w:id="2668" w:name="_Toc51575652"/>
      <w:bookmarkStart w:id="2669" w:name="_Toc51582923"/>
      <w:bookmarkStart w:id="2670" w:name="_Toc51583398"/>
      <w:bookmarkStart w:id="2671" w:name="_Toc51583488"/>
      <w:bookmarkStart w:id="2672" w:name="_Toc51583773"/>
      <w:bookmarkStart w:id="2673" w:name="_Toc51583963"/>
      <w:bookmarkStart w:id="2674" w:name="_Toc51583887"/>
      <w:bookmarkStart w:id="2675" w:name="_Toc51586205"/>
      <w:bookmarkStart w:id="2676" w:name="_Toc51594008"/>
      <w:bookmarkStart w:id="2677" w:name="_Toc51594334"/>
      <w:bookmarkStart w:id="2678" w:name="_Toc51595312"/>
      <w:bookmarkStart w:id="2679" w:name="_Toc51595562"/>
      <w:bookmarkStart w:id="2680" w:name="_Toc51595888"/>
      <w:bookmarkStart w:id="2681" w:name="_Toc51596051"/>
      <w:bookmarkStart w:id="2682" w:name="_Toc51596404"/>
      <w:bookmarkStart w:id="2683" w:name="_Toc52121538"/>
      <w:bookmarkStart w:id="2684" w:name="_Toc52122769"/>
      <w:bookmarkStart w:id="2685" w:name="_Toc52123886"/>
      <w:bookmarkStart w:id="2686" w:name="_Toc53405344"/>
      <w:bookmarkStart w:id="2687" w:name="_Toc53406132"/>
      <w:bookmarkStart w:id="2688" w:name="_Toc53407500"/>
      <w:bookmarkStart w:id="2689" w:name="_Toc53410945"/>
      <w:bookmarkStart w:id="2690" w:name="_Toc53412008"/>
      <w:bookmarkStart w:id="2691" w:name="_Toc53417255"/>
      <w:bookmarkStart w:id="2692" w:name="_Toc53417607"/>
      <w:bookmarkStart w:id="2693" w:name="_Toc53419842"/>
      <w:bookmarkStart w:id="2694" w:name="_Toc53434945"/>
      <w:bookmarkStart w:id="2695" w:name="_Toc53437085"/>
      <w:bookmarkStart w:id="2696" w:name="_Toc57291491"/>
      <w:bookmarkStart w:id="2697" w:name="_Toc51578039"/>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r>
        <w:rPr>
          <w:noProof/>
        </w:rPr>
        <w:t>Urban vehicle access regulations</w:t>
      </w:r>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p>
    <w:bookmarkEnd w:id="2697"/>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 xml:space="preserve">In recent years, more and more European cities have started to introduce different kinds of Urban Vehicle Access Regulations (UVARs) to pursue a variety of policy objectives ranging from air quality to liveability and infrastructure optimisation. </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Regulating vehicle access to cities should be part of integrated mobility policies: Sustainable Urban Mobility Plans (SUMPs) should, whenever applicable, cover also the question of UVAR. In order to support cities in better grasping this aspect, a dedicated guide on UVARs was published in October 2019 within the revised guidelines on SUMPs.</w:t>
      </w:r>
      <w:r>
        <w:rPr>
          <w:noProof/>
          <w:vertAlign w:val="superscript"/>
          <w:lang w:eastAsia="en-US"/>
        </w:rPr>
        <w:footnoteReference w:id="292"/>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While urban mobility is largely a matter of national and local competence, the diversity of UVARs, in particular low-emission zones (LEZs), has posed new challenges for passenger and freight transport by creating obstacles to the seamless mobility of vehicles across the EU. If access of private cars to cities is to be restricted, doing it on a more harmonised or coordinated basis seems to be necessary, given that at present more than one quarter of the overnight trips carried out by EU residents in 2017 were abroad (the vast majority of which were in another EU Member State), and in two-thirds of the cases by car. It is clear that there is a need for better coordination across Member States despite the different EU policy initiatives and as shown by studies</w:t>
      </w:r>
      <w:r>
        <w:rPr>
          <w:noProof/>
          <w:vertAlign w:val="superscript"/>
          <w:lang w:eastAsia="en-US"/>
        </w:rPr>
        <w:footnoteReference w:id="293"/>
      </w:r>
      <w:r>
        <w:rPr>
          <w:noProof/>
          <w:lang w:eastAsia="en-US"/>
        </w:rPr>
        <w:t xml:space="preserve"> that have addressed UVARs at EU level over the past years. </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 xml:space="preserve">The lack of harmonisation or transparency has been the basis of concerns expressed by some stakeholders for example in relation to the availability of information online and in foreign languages, the difficulties for foreign drivers in particular to comply with the rules and issues related to enforcement, the level of fines, or the lack of provision of sustainable alternatives such as public transport. There are also concerns relating to different rules for access of domestic and foreign vehicles. On the other side of the argument, some cities report that existing UVARs are often not fully respected, sometimes also noting problems in enforcing fines. At the same time, it should be possible to use a comparable methodology for vehicles from all EU countries, which could remove the need for registration of vehicles that comply with the LEZ-criteria, and thus reduce the administrative burden for foreign vehicle owners and city administrations. </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There are different types of UVAR. Low Emission Zones restrict access by the most polluting vehicles to a specific area within a city. The Commission is currently aware of over 300 low-emission areas.</w:t>
      </w:r>
      <w:r>
        <w:rPr>
          <w:noProof/>
          <w:vertAlign w:val="superscript"/>
          <w:lang w:eastAsia="en-US"/>
        </w:rPr>
        <w:footnoteReference w:id="294"/>
      </w:r>
      <w:r>
        <w:rPr>
          <w:noProof/>
          <w:lang w:eastAsia="en-US"/>
        </w:rPr>
        <w:t xml:space="preserve"> Designating a certain area as a LEZ or environmental zone can result in a substantial decrease of emissions within the LEZ and therefore are a tool to reduce air pollution in cities. Often LEZs are implemented where and when EU air quality standards are breached</w:t>
      </w:r>
      <w:r>
        <w:rPr>
          <w:noProof/>
          <w:vertAlign w:val="superscript"/>
          <w:lang w:eastAsia="en-US"/>
        </w:rPr>
        <w:footnoteReference w:id="295"/>
      </w:r>
      <w:r>
        <w:rPr>
          <w:noProof/>
          <w:lang w:eastAsia="en-US"/>
        </w:rPr>
        <w:t>.</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 xml:space="preserve">There are also congestion charging schemes, different types of parking regulations, and a growing trend towards other traffic restriction schemes, such as Low Traffic Neighbourhoods, roads which offer priority to cyclists or pedestrians, or pedestrian only zones. The Commission has received fewer concerns about such schemes.    </w:t>
      </w:r>
    </w:p>
    <w:p>
      <w:pPr>
        <w:pStyle w:val="Heading4"/>
        <w:rPr>
          <w:noProof/>
        </w:rPr>
      </w:pPr>
      <w:bookmarkStart w:id="2698" w:name="_Toc51450106"/>
      <w:bookmarkStart w:id="2699" w:name="_Toc51574805"/>
      <w:bookmarkStart w:id="2700" w:name="_Toc51575653"/>
      <w:bookmarkStart w:id="2701" w:name="_Toc51578051"/>
      <w:bookmarkStart w:id="2702" w:name="_Toc51578603"/>
      <w:bookmarkStart w:id="2703" w:name="_Toc51582924"/>
      <w:bookmarkStart w:id="2704" w:name="_Toc51583399"/>
      <w:bookmarkStart w:id="2705" w:name="_Toc51583489"/>
      <w:bookmarkStart w:id="2706" w:name="_Toc51583774"/>
      <w:bookmarkStart w:id="2707" w:name="_Toc51583964"/>
      <w:bookmarkStart w:id="2708" w:name="_Toc51583888"/>
      <w:bookmarkStart w:id="2709" w:name="_Toc51586206"/>
      <w:bookmarkStart w:id="2710" w:name="_Toc51594009"/>
      <w:bookmarkStart w:id="2711" w:name="_Toc51594335"/>
      <w:bookmarkStart w:id="2712" w:name="_Toc51595313"/>
      <w:bookmarkStart w:id="2713" w:name="_Toc51595563"/>
      <w:bookmarkStart w:id="2714" w:name="_Toc51595889"/>
      <w:bookmarkStart w:id="2715" w:name="_Toc51596052"/>
      <w:bookmarkStart w:id="2716" w:name="_Toc51596405"/>
      <w:bookmarkStart w:id="2717" w:name="_Toc52121539"/>
      <w:bookmarkStart w:id="2718" w:name="_Toc52122770"/>
      <w:bookmarkStart w:id="2719" w:name="_Toc52123887"/>
      <w:bookmarkStart w:id="2720" w:name="_Toc53405345"/>
      <w:bookmarkStart w:id="2721" w:name="_Toc53406133"/>
      <w:bookmarkStart w:id="2722" w:name="_Toc53407501"/>
      <w:bookmarkStart w:id="2723" w:name="_Toc53410946"/>
      <w:bookmarkStart w:id="2724" w:name="_Toc53412009"/>
      <w:bookmarkStart w:id="2725" w:name="_Toc53417256"/>
      <w:bookmarkStart w:id="2726" w:name="_Toc53417608"/>
      <w:bookmarkStart w:id="2727" w:name="_Toc53419843"/>
      <w:bookmarkStart w:id="2728" w:name="_Toc53434946"/>
      <w:bookmarkStart w:id="2729" w:name="_Toc53437086"/>
      <w:bookmarkStart w:id="2730" w:name="_Toc57291492"/>
      <w:bookmarkStart w:id="2731" w:name="_Toc46312113"/>
      <w:bookmarkStart w:id="2732" w:name="_Toc50044819"/>
      <w:bookmarkStart w:id="2733" w:name="_Toc50048934"/>
      <w:bookmarkStart w:id="2734" w:name="_Toc50415267"/>
      <w:bookmarkStart w:id="2735" w:name="_Toc50416548"/>
      <w:bookmarkStart w:id="2736" w:name="_Toc50417681"/>
      <w:bookmarkStart w:id="2737" w:name="_Toc50418324"/>
      <w:bookmarkStart w:id="2738" w:name="_Toc50459904"/>
      <w:bookmarkStart w:id="2739" w:name="_Toc50466111"/>
      <w:bookmarkStart w:id="2740" w:name="_Toc50473671"/>
      <w:bookmarkStart w:id="2741" w:name="_Toc50474722"/>
      <w:bookmarkStart w:id="2742" w:name="_Toc50565072"/>
      <w:bookmarkStart w:id="2743" w:name="_Toc50568680"/>
      <w:bookmarkStart w:id="2744" w:name="_Toc50629419"/>
      <w:bookmarkStart w:id="2745" w:name="_Toc50630251"/>
      <w:bookmarkStart w:id="2746" w:name="_Toc50630976"/>
      <w:bookmarkStart w:id="2747" w:name="_Toc50633820"/>
      <w:bookmarkStart w:id="2748" w:name="_Toc50634062"/>
      <w:bookmarkStart w:id="2749" w:name="_Toc50649464"/>
      <w:bookmarkStart w:id="2750" w:name="_Toc50650771"/>
      <w:bookmarkStart w:id="2751" w:name="_Toc50646510"/>
      <w:bookmarkStart w:id="2752" w:name="_Toc50646645"/>
      <w:r>
        <w:rPr>
          <w:noProof/>
        </w:rPr>
        <w:t>Walking, cycling and micromobility</w:t>
      </w:r>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p>
    <w:p>
      <w:pPr>
        <w:pStyle w:val="LegalNumPar"/>
        <w:numPr>
          <w:ilvl w:val="0"/>
          <w:numId w:val="89"/>
        </w:numPr>
        <w:tabs>
          <w:tab w:val="left" w:pos="476"/>
        </w:tabs>
        <w:spacing w:line="240" w:lineRule="auto"/>
        <w:rPr>
          <w:noProof/>
          <w:lang w:eastAsia="en-US"/>
        </w:rPr>
      </w:pPr>
      <w:r>
        <w:rPr>
          <w:noProof/>
          <w:lang w:eastAsia="en-US"/>
        </w:rPr>
        <w:t>Active mobility modes such as walking and cycling are low-cost and emission-free forms of mobility, and thus the most sustainable ones. Together with public transport, new shared mobility and micromobility solutions they have a great potential to reduce local CO</w:t>
      </w:r>
      <w:r>
        <w:rPr>
          <w:noProof/>
          <w:vertAlign w:val="subscript"/>
          <w:lang w:eastAsia="en-US"/>
        </w:rPr>
        <w:t>2</w:t>
      </w:r>
      <w:r>
        <w:rPr>
          <w:noProof/>
          <w:lang w:eastAsia="en-US"/>
        </w:rPr>
        <w:t>, air and noise emissions, improve human health, as well as congestion and pressure on valuable urban space and infrastructure</w:t>
      </w:r>
      <w:r>
        <w:rPr>
          <w:rStyle w:val="FootnoteReference"/>
          <w:noProof/>
          <w:lang w:eastAsia="en-US"/>
        </w:rPr>
        <w:footnoteReference w:id="296"/>
      </w:r>
      <w:r>
        <w:rPr>
          <w:noProof/>
          <w:lang w:eastAsia="en-US"/>
        </w:rPr>
        <w:t>. However, as with other forms of mobility, attention always needs to be paid to those persons with disabilities or reduced mobility that cannot always participate on those active mobility modes on an equal basis with others.</w:t>
      </w:r>
    </w:p>
    <w:p>
      <w:pPr>
        <w:pStyle w:val="LegalNumPar"/>
        <w:numPr>
          <w:ilvl w:val="0"/>
          <w:numId w:val="89"/>
        </w:numPr>
        <w:tabs>
          <w:tab w:val="left" w:pos="476"/>
        </w:tabs>
        <w:spacing w:line="240" w:lineRule="auto"/>
        <w:rPr>
          <w:noProof/>
          <w:lang w:eastAsia="en-US"/>
        </w:rPr>
      </w:pPr>
      <w:bookmarkStart w:id="2753" w:name="_Toc51450041"/>
      <w:bookmarkStart w:id="2754" w:name="_Toc51593780"/>
      <w:bookmarkStart w:id="2755" w:name="_Toc51595247"/>
      <w:bookmarkStart w:id="2756" w:name="_Toc51595497"/>
      <w:bookmarkStart w:id="2757" w:name="_Toc51595823"/>
      <w:bookmarkStart w:id="2758" w:name="_Toc51595986"/>
      <w:bookmarkStart w:id="2759" w:name="_Toc52121473"/>
      <w:bookmarkStart w:id="2760" w:name="_Toc52122704"/>
      <w:bookmarkStart w:id="2761" w:name="_Toc53405268"/>
      <w:bookmarkStart w:id="2762" w:name="_Toc53406058"/>
      <w:bookmarkStart w:id="2763" w:name="_Toc53407424"/>
      <w:bookmarkStart w:id="2764" w:name="_Toc53410871"/>
      <w:bookmarkStart w:id="2765" w:name="_Toc53411934"/>
      <w:bookmarkStart w:id="2766" w:name="_Toc53417181"/>
      <w:bookmarkStart w:id="2767" w:name="_Toc53417533"/>
      <w:bookmarkStart w:id="2768" w:name="_Toc53419566"/>
      <w:bookmarkStart w:id="2769" w:name="_Toc53434871"/>
      <w:bookmarkStart w:id="2770" w:name="_Toc53437011"/>
      <w:r>
        <w:rPr>
          <w:noProof/>
          <w:lang w:eastAsia="en-US"/>
        </w:rPr>
        <w:t>Ensuring that walking and cycling are safe, accessible and attractive encourages a reduction in the number of unnecessary car trips, especially in cities.  Regular walking and cycling can also help to reduce the incidence of major non-communicable diseases (such as cardiovascular diseases, diabetes, overweight/obesity, cancer</w:t>
      </w:r>
      <w:r>
        <w:rPr>
          <w:rStyle w:val="FootnoteReference"/>
          <w:noProof/>
          <w:lang w:eastAsia="en-US"/>
        </w:rPr>
        <w:footnoteReference w:id="297"/>
      </w:r>
      <w:r>
        <w:rPr>
          <w:noProof/>
          <w:lang w:eastAsia="en-US"/>
        </w:rPr>
        <w:t>) due to more physical activity. Physical inactivity and sedentary lifestyles are one of the main driving causes of the rise in these diseases. Walking and cycling therefore contribute to reducing the significant pressure on health care and social protection systems and have also direct economic gains with effects on commercial activity and shifts local expenditure towards more local business</w:t>
      </w:r>
      <w:r>
        <w:rPr>
          <w:rStyle w:val="FootnoteReference"/>
          <w:noProof/>
          <w:lang w:eastAsia="en-US"/>
        </w:rPr>
        <w:footnoteReference w:id="298"/>
      </w:r>
      <w:r>
        <w:rPr>
          <w:noProof/>
          <w:lang w:eastAsia="en-US"/>
        </w:rPr>
        <w:t>. Nevertheless active mobility also needs to be made safe – 70% of road fatalities in urban areas are to walkers, cyclists (as well as motorcyclists and other vulnerable road users) and many more are seriously injured.  So the allocation of the public space for mobility in cities needs to be addressed. Segregated walking and cycling infrastructure is effective in encouraging active mobility and ensuring its safety, and where active mobility mixes with motorised traffic in cities, reducing speeds e.g. to 30 km/h, has been recommended in the Stockholm Declaration of the Third Global Ministerial Conference on Road Safety in February 2020</w:t>
      </w:r>
      <w:r>
        <w:rPr>
          <w:rStyle w:val="FootnoteReference"/>
          <w:noProof/>
          <w:lang w:eastAsia="en-US"/>
        </w:rPr>
        <w:footnoteReference w:id="299"/>
      </w:r>
      <w:r>
        <w:rPr>
          <w:noProof/>
          <w:lang w:eastAsia="en-US"/>
        </w:rPr>
        <w:t xml:space="preserve">.  Returns to investment from building safe footpaths and road crossings, bike lanes and bike parking are in any case substantial.  </w:t>
      </w:r>
    </w:p>
    <w:p>
      <w:pPr>
        <w:pStyle w:val="LegalNumPar"/>
        <w:numPr>
          <w:ilvl w:val="0"/>
          <w:numId w:val="89"/>
        </w:numPr>
        <w:tabs>
          <w:tab w:val="left" w:pos="476"/>
        </w:tabs>
        <w:spacing w:line="240" w:lineRule="auto"/>
        <w:rPr>
          <w:noProof/>
          <w:lang w:eastAsia="en-US"/>
        </w:rPr>
      </w:pPr>
      <w:r>
        <w:rPr>
          <w:noProof/>
          <w:lang w:eastAsia="en-US"/>
        </w:rPr>
        <w:t>Congestion in urban areas is one of the biggest issues, with huge negative social, environmental and economic impacts. Measures improving walking and cycling conditions can reduce congestion in cities. For example, pedestrianisation improves mobility and accommodates more people during rush hours (Dublin), cycling improvements lead to 45% less car traffic and faster public transport (Copenhagen) or cycle highway network reduces the need for 50 000 car trips daily (Ruhr area)</w:t>
      </w:r>
      <w:r>
        <w:rPr>
          <w:rStyle w:val="FootnoteReference"/>
          <w:noProof/>
          <w:lang w:eastAsia="en-US"/>
        </w:rPr>
        <w:footnoteReference w:id="300"/>
      </w:r>
      <w:r>
        <w:rPr>
          <w:noProof/>
          <w:lang w:eastAsia="en-US"/>
        </w:rPr>
        <w:t>. The EU-funded CIVITAS FLOW</w:t>
      </w:r>
      <w:r>
        <w:rPr>
          <w:rStyle w:val="FootnoteReference"/>
          <w:noProof/>
          <w:lang w:eastAsia="en-US"/>
        </w:rPr>
        <w:footnoteReference w:id="301"/>
      </w:r>
      <w:r>
        <w:rPr>
          <w:noProof/>
          <w:lang w:eastAsia="en-US"/>
        </w:rPr>
        <w:t xml:space="preserve"> project identified a broad set of benefits from more walking and cycling. </w:t>
      </w:r>
    </w:p>
    <w:p>
      <w:pPr>
        <w:pStyle w:val="LegalNumPar"/>
        <w:numPr>
          <w:ilvl w:val="0"/>
          <w:numId w:val="89"/>
        </w:numPr>
        <w:tabs>
          <w:tab w:val="left" w:pos="476"/>
        </w:tabs>
        <w:spacing w:line="240" w:lineRule="auto"/>
        <w:rPr>
          <w:noProof/>
          <w:lang w:eastAsia="en-US"/>
        </w:rPr>
      </w:pPr>
      <w:r>
        <w:rPr>
          <w:noProof/>
          <w:lang w:eastAsia="en-US"/>
        </w:rPr>
        <w:t xml:space="preserve">So due to the range of co-benefits that can be generated, cycling and walking therefore contribute to fulfilling objectives in a number of EU policy areas, in particular: reducing congestion in transport and mobility; low carbon development; innovation and technology; air pollution; industrial competitiveness and economic growth; environment and climate change; human health; local development and cohesion; equity and accessibility; and sustainable tourism.  </w:t>
      </w:r>
    </w:p>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p>
      <w:pPr>
        <w:pStyle w:val="LegalNumPar"/>
        <w:numPr>
          <w:ilvl w:val="0"/>
          <w:numId w:val="89"/>
        </w:numPr>
        <w:tabs>
          <w:tab w:val="left" w:pos="476"/>
        </w:tabs>
        <w:spacing w:line="240" w:lineRule="auto"/>
        <w:rPr>
          <w:noProof/>
          <w:lang w:eastAsia="en-US"/>
        </w:rPr>
      </w:pPr>
      <w:r>
        <w:rPr>
          <w:b/>
          <w:bCs/>
          <w:noProof/>
          <w:lang w:eastAsia="en-US"/>
        </w:rPr>
        <w:t>Walking</w:t>
      </w:r>
      <w:r>
        <w:rPr>
          <w:noProof/>
          <w:lang w:eastAsia="en-US"/>
        </w:rPr>
        <w:t xml:space="preserve"> is the most inexpensive mode of transport. Consequently, ensuring that there are safe accessible and attractive conditions for walking is key. Almost every public transport trip starts or ends with at least a short walk. Research indicates that the reach of the existing public transport system can be extended significantly simply by making walking to and from hubs and stops easier, less prone to barriers and more pleasant by creating attractive urban spaces that are well connected to public transport infrastructure</w:t>
      </w:r>
      <w:r>
        <w:rPr>
          <w:rStyle w:val="FootnoteReference"/>
          <w:noProof/>
          <w:lang w:eastAsia="en-US"/>
        </w:rPr>
        <w:footnoteReference w:id="302"/>
      </w:r>
      <w:r>
        <w:rPr>
          <w:noProof/>
          <w:lang w:eastAsia="en-US"/>
        </w:rPr>
        <w:t>. According to a recent Eurobarometer survey, just over four in ten (42%) use walking as their mode of transport or in combination with the main mode.</w:t>
      </w:r>
      <w:r>
        <w:rPr>
          <w:rStyle w:val="FootnoteReference"/>
          <w:noProof/>
          <w:lang w:eastAsia="en-US"/>
        </w:rPr>
        <w:footnoteReference w:id="303"/>
      </w:r>
      <w:r>
        <w:rPr>
          <w:noProof/>
          <w:lang w:eastAsia="en-US"/>
        </w:rPr>
        <w:t xml:space="preserve">  According to the estimates of Walk21 Foundation, the economic benefits of walking amount to more than EUR 250 billion – 40% of it due to improved mental and physical health. Research at a city level points to regular walking leading to a 14% reduction in the risk of mortality compared to those who do not regularly walk, with substantial economic benefits as well</w:t>
      </w:r>
      <w:r>
        <w:rPr>
          <w:rStyle w:val="FootnoteReference"/>
          <w:noProof/>
          <w:lang w:eastAsia="en-US"/>
        </w:rPr>
        <w:footnoteReference w:id="304"/>
      </w:r>
      <w:r>
        <w:rPr>
          <w:noProof/>
          <w:lang w:eastAsia="en-US"/>
        </w:rPr>
        <w:t xml:space="preserve">. </w:t>
      </w:r>
    </w:p>
    <w:p>
      <w:pPr>
        <w:pStyle w:val="LegalNumPar"/>
        <w:numPr>
          <w:ilvl w:val="0"/>
          <w:numId w:val="89"/>
        </w:numPr>
        <w:tabs>
          <w:tab w:val="left" w:pos="476"/>
        </w:tabs>
        <w:spacing w:line="240" w:lineRule="auto"/>
        <w:rPr>
          <w:noProof/>
          <w:lang w:eastAsia="en-US"/>
        </w:rPr>
      </w:pPr>
      <w:r>
        <w:rPr>
          <w:noProof/>
          <w:lang w:eastAsia="en-US"/>
        </w:rPr>
        <w:t xml:space="preserve">According to the estimates of the European Cyclists’ Federation, the economic benefits of </w:t>
      </w:r>
      <w:r>
        <w:rPr>
          <w:b/>
          <w:bCs/>
          <w:noProof/>
          <w:lang w:eastAsia="en-US"/>
        </w:rPr>
        <w:t>cycling</w:t>
      </w:r>
      <w:r>
        <w:rPr>
          <w:noProof/>
          <w:lang w:eastAsia="en-US"/>
        </w:rPr>
        <w:t xml:space="preserve"> in the EU are very substantial and amount to more than EUR 150 billion per year</w:t>
      </w:r>
      <w:r>
        <w:rPr>
          <w:rStyle w:val="FootnoteReference"/>
          <w:noProof/>
          <w:lang w:eastAsia="en-US"/>
        </w:rPr>
        <w:footnoteReference w:id="305"/>
      </w:r>
      <w:r>
        <w:rPr>
          <w:noProof/>
          <w:lang w:eastAsia="en-US"/>
        </w:rPr>
        <w:t xml:space="preserve">, including EUR 6.5 billion environmental benefits, with health benefits providing the lion’s share of the rest. </w:t>
      </w:r>
    </w:p>
    <w:p>
      <w:pPr>
        <w:pStyle w:val="LegalNumPar"/>
        <w:numPr>
          <w:ilvl w:val="0"/>
          <w:numId w:val="89"/>
        </w:numPr>
        <w:tabs>
          <w:tab w:val="left" w:pos="476"/>
        </w:tabs>
        <w:spacing w:line="240" w:lineRule="auto"/>
        <w:rPr>
          <w:noProof/>
          <w:lang w:eastAsia="en-US"/>
        </w:rPr>
      </w:pPr>
      <w:r>
        <w:rPr>
          <w:noProof/>
          <w:lang w:eastAsia="en-US"/>
        </w:rPr>
        <w:t>When it comes to EU policy, the 2011 Transport White Paper acknowledged the importance of promoting cycling as an alternative to car use. The White Paper also acknowledged the importance of cycling in delivering clean and sustainable urban mobility and of cycling as an integral part of the urban transport system. In the Commission’s 2016 Strategy for Low Emission Mobility, active travel, i.e., walking and cycling was promoted as a local action by cities to be encouraged, enabled and embedded into Sustainable Urban Mobility Plans (SUMP) in enabling and encouraging cycling. Support for the development of SUMPs was one of the main elements of the Commission’s 2013 Urban Mobility package, with urban logistics, access restrictions, urban road user charging and the deployment of Intelligent Transport Systems (ITS) also interacting with cycling. Beyond urban areas, EuroVelo</w:t>
      </w:r>
      <w:r>
        <w:rPr>
          <w:rStyle w:val="FootnoteReference"/>
          <w:noProof/>
          <w:lang w:eastAsia="en-US"/>
        </w:rPr>
        <w:footnoteReference w:id="306"/>
      </w:r>
      <w:r>
        <w:rPr>
          <w:noProof/>
          <w:lang w:eastAsia="en-US"/>
        </w:rPr>
        <w:t>, the network of 17 long-distance cycle routes is an important contributor to the cycle tourism industry in Europe</w:t>
      </w:r>
      <w:r>
        <w:rPr>
          <w:rStyle w:val="FootnoteReference"/>
          <w:noProof/>
          <w:lang w:eastAsia="en-US"/>
        </w:rPr>
        <w:footnoteReference w:id="307"/>
      </w:r>
      <w:r>
        <w:rPr>
          <w:noProof/>
          <w:lang w:eastAsia="en-US"/>
        </w:rPr>
        <w:t>, and in parallel, EPaths has the potential to make a similar contribution to the walking tourism industry. The overall contribution of cycling and walking to tourism revenues is valued at more than EUR 176 billion.</w:t>
      </w:r>
    </w:p>
    <w:p>
      <w:pPr>
        <w:pStyle w:val="LegalNumPar"/>
        <w:numPr>
          <w:ilvl w:val="0"/>
          <w:numId w:val="89"/>
        </w:numPr>
        <w:tabs>
          <w:tab w:val="left" w:pos="476"/>
        </w:tabs>
        <w:spacing w:line="240" w:lineRule="auto"/>
        <w:rPr>
          <w:noProof/>
          <w:lang w:eastAsia="en-US"/>
        </w:rPr>
      </w:pPr>
      <w:r>
        <w:rPr>
          <w:noProof/>
          <w:lang w:eastAsia="en-US"/>
        </w:rPr>
        <w:t>The importance of cycling has been recognised by Member States</w:t>
      </w:r>
      <w:r>
        <w:rPr>
          <w:rStyle w:val="FootnoteReference"/>
          <w:noProof/>
          <w:lang w:eastAsia="en-US"/>
        </w:rPr>
        <w:footnoteReference w:id="308"/>
      </w:r>
      <w:r>
        <w:rPr>
          <w:noProof/>
          <w:lang w:eastAsia="en-US"/>
        </w:rPr>
        <w:t xml:space="preserve"> as well: in 2018, the EU’s Transport and Environment Ministers met in Graz, Austria, to discuss pathways leading to clean mobility. They adopted the “Graz declaration”</w:t>
      </w:r>
      <w:r>
        <w:rPr>
          <w:rStyle w:val="FootnoteReference"/>
          <w:noProof/>
          <w:lang w:eastAsia="en-US"/>
        </w:rPr>
        <w:footnoteReference w:id="309"/>
      </w:r>
      <w:r>
        <w:rPr>
          <w:noProof/>
          <w:lang w:eastAsia="en-US"/>
        </w:rPr>
        <w:t>, which includes acknowledging cycling as an equal mode of transport, developing a European strategic and supportive framework to promote active mobility, and integrating active mobility in the current and future European funding and financing schemes. A recent joint statement by the Benelux countries stressed the importance of cycling and the urgent need for stimulating bicycle use as a necessary, safe and healthy alternative in (urban) mobility. Many stakeholders see a need for a more strategic, EU-level approach to be taken to enable and promote cycling in the EU</w:t>
      </w:r>
      <w:r>
        <w:rPr>
          <w:rStyle w:val="FootnoteReference"/>
          <w:noProof/>
          <w:lang w:eastAsia="en-US"/>
        </w:rPr>
        <w:footnoteReference w:id="310"/>
      </w:r>
      <w:r>
        <w:rPr>
          <w:noProof/>
          <w:lang w:eastAsia="en-US"/>
        </w:rPr>
        <w:t xml:space="preserve">. </w:t>
      </w:r>
    </w:p>
    <w:p>
      <w:pPr>
        <w:pStyle w:val="LegalNumPar"/>
        <w:numPr>
          <w:ilvl w:val="0"/>
          <w:numId w:val="89"/>
        </w:numPr>
        <w:tabs>
          <w:tab w:val="left" w:pos="476"/>
        </w:tabs>
        <w:spacing w:line="240" w:lineRule="auto"/>
        <w:rPr>
          <w:noProof/>
          <w:lang w:eastAsia="en-US"/>
        </w:rPr>
      </w:pPr>
      <w:r>
        <w:rPr>
          <w:noProof/>
          <w:lang w:eastAsia="en-US"/>
        </w:rPr>
        <w:t>In order to develop the full potential of the active modes of transport, cycling and walking have to be taken seriously in urban mobility policies, including in transport planning, allocation of space and budgets. According to a 2020 Commission working paper, walking and cycling perform well in cities with dense road networks, higher densities and fewer steep slopes</w:t>
      </w:r>
      <w:r>
        <w:rPr>
          <w:rStyle w:val="FootnoteReference"/>
          <w:noProof/>
          <w:lang w:eastAsia="en-US"/>
        </w:rPr>
        <w:footnoteReference w:id="311"/>
      </w:r>
      <w:r>
        <w:rPr>
          <w:noProof/>
          <w:lang w:eastAsia="en-US"/>
        </w:rPr>
        <w:t>. While many cities have been rediscovering them as the ideal urban mode of transportation and have gone a long way in promoting their use in recent years and months, their full potential is still untapped in many places. While about 17    %    of    the    EU    population    stated    in    a    2019    Eurobarometer survey</w:t>
      </w:r>
      <w:r>
        <w:rPr>
          <w:rStyle w:val="FootnoteReference"/>
          <w:noProof/>
          <w:lang w:eastAsia="en-US"/>
        </w:rPr>
        <w:footnoteReference w:id="312"/>
      </w:r>
      <w:r>
        <w:rPr>
          <w:noProof/>
          <w:lang w:eastAsia="en-US"/>
        </w:rPr>
        <w:t xml:space="preserve"> that they use bicycle or scooter    as their primary mode of transportation, there are huge differences in cycle use across the continent. </w:t>
      </w:r>
    </w:p>
    <w:p>
      <w:pPr>
        <w:pStyle w:val="LegalNumPar"/>
        <w:numPr>
          <w:ilvl w:val="0"/>
          <w:numId w:val="89"/>
        </w:numPr>
        <w:tabs>
          <w:tab w:val="left" w:pos="476"/>
        </w:tabs>
        <w:spacing w:line="240" w:lineRule="auto"/>
        <w:rPr>
          <w:noProof/>
          <w:lang w:eastAsia="en-US"/>
        </w:rPr>
      </w:pPr>
      <w:r>
        <w:rPr>
          <w:noProof/>
          <w:color w:val="000000" w:themeColor="text1"/>
        </w:rPr>
        <w:t>The full potential of cycling and walking in delivering a more sustainable and resilient urban mobility needs to be recognised and supported by key trip destinations including public transport operators, schools and universities, retailers, hospitals, and leisure centres. Employers in general can encourage better employee health through active mobility. Promotion campaigns and workplace schemes, supported by the necessary infrastructure investment, to make walking and cycling easier and more attractive have been shown to enable healthier communities, reduce absenteeism and improve overall employee wellbeing and increased productivity.</w:t>
      </w:r>
    </w:p>
    <w:p>
      <w:pPr>
        <w:pStyle w:val="LegalNumPar"/>
        <w:tabs>
          <w:tab w:val="left" w:pos="476"/>
        </w:tabs>
        <w:spacing w:line="240" w:lineRule="auto"/>
        <w:ind w:left="476"/>
        <w:rPr>
          <w:noProof/>
          <w:lang w:eastAsia="en-US"/>
        </w:rPr>
      </w:pPr>
    </w:p>
    <w:p>
      <w:pPr>
        <w:pStyle w:val="Caption"/>
        <w:keepNext/>
        <w:keepLines/>
        <w:jc w:val="center"/>
        <w:rPr>
          <w:b w:val="0"/>
          <w:noProof/>
        </w:rPr>
      </w:pPr>
      <w:bookmarkStart w:id="2771" w:name="_Toc51593781"/>
      <w:bookmarkStart w:id="2772" w:name="_Toc51595248"/>
      <w:bookmarkStart w:id="2773" w:name="_Toc51595498"/>
      <w:bookmarkStart w:id="2774" w:name="_Toc51595824"/>
      <w:bookmarkStart w:id="2775" w:name="_Toc51595987"/>
      <w:bookmarkStart w:id="2776" w:name="_Toc52121474"/>
      <w:bookmarkStart w:id="2777" w:name="_Toc52122705"/>
      <w:bookmarkStart w:id="2778" w:name="_Toc53405269"/>
      <w:bookmarkStart w:id="2779" w:name="_Toc53406059"/>
      <w:bookmarkStart w:id="2780" w:name="_Toc53407425"/>
      <w:bookmarkStart w:id="2781" w:name="_Toc53410872"/>
      <w:bookmarkStart w:id="2782" w:name="_Toc53411935"/>
      <w:bookmarkStart w:id="2783" w:name="_Toc53417182"/>
      <w:bookmarkStart w:id="2784" w:name="_Toc53417534"/>
      <w:bookmarkStart w:id="2785" w:name="_Toc53419567"/>
      <w:bookmarkStart w:id="2786" w:name="_Toc53434872"/>
      <w:bookmarkStart w:id="2787" w:name="_Toc53437012"/>
      <w:bookmarkStart w:id="2788" w:name="_Toc57291673"/>
      <w:r>
        <w:rPr>
          <w:i w:val="0"/>
          <w:noProof/>
        </w:rPr>
        <w:t xml:space="preserve">Figure </w:t>
      </w:r>
      <w:r>
        <w:rPr>
          <w:noProof/>
        </w:rPr>
        <w:fldChar w:fldCharType="begin"/>
      </w:r>
      <w:r>
        <w:rPr>
          <w:b w:val="0"/>
          <w:noProof/>
        </w:rPr>
        <w:instrText xml:space="preserve"> SEQ Figure \* ARABIC </w:instrText>
      </w:r>
      <w:r>
        <w:rPr>
          <w:b w:val="0"/>
          <w:noProof/>
        </w:rPr>
        <w:fldChar w:fldCharType="separate"/>
      </w:r>
      <w:r>
        <w:rPr>
          <w:b w:val="0"/>
          <w:noProof/>
        </w:rPr>
        <w:t>29</w:t>
      </w:r>
      <w:r>
        <w:rPr>
          <w:noProof/>
        </w:rPr>
        <w:fldChar w:fldCharType="end"/>
      </w:r>
      <w:r>
        <w:rPr>
          <w:b w:val="0"/>
          <w:noProof/>
        </w:rPr>
        <w:t>: Main mode of transport on a typical day</w:t>
      </w:r>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p>
    <w:p>
      <w:pPr>
        <w:pStyle w:val="LegalNumPar"/>
        <w:tabs>
          <w:tab w:val="left" w:pos="476"/>
        </w:tabs>
        <w:spacing w:line="240" w:lineRule="auto"/>
        <w:ind w:left="476" w:hanging="476"/>
        <w:jc w:val="center"/>
        <w:rPr>
          <w:noProof/>
          <w:lang w:eastAsia="en-US"/>
        </w:rPr>
      </w:pPr>
      <w:r>
        <w:rPr>
          <w:noProof/>
        </w:rPr>
        <w:drawing>
          <wp:inline distT="0" distB="0" distL="0" distR="0">
            <wp:extent cx="5394960" cy="7852410"/>
            <wp:effectExtent l="0" t="0" r="0" b="0"/>
            <wp:docPr id="12" name="Picture 12" descr="C:\Users\sulyoge\Documents\Picture39-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lyoge\Documents\Picture39-min.jpg"/>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5394960" cy="7852410"/>
                    </a:xfrm>
                    <a:prstGeom prst="rect">
                      <a:avLst/>
                    </a:prstGeom>
                    <a:noFill/>
                    <a:ln>
                      <a:noFill/>
                    </a:ln>
                  </pic:spPr>
                </pic:pic>
              </a:graphicData>
            </a:graphic>
          </wp:inline>
        </w:drawing>
      </w:r>
    </w:p>
    <w:p>
      <w:pPr>
        <w:pStyle w:val="LegalNumPar"/>
        <w:tabs>
          <w:tab w:val="left" w:pos="476"/>
        </w:tabs>
        <w:spacing w:line="240" w:lineRule="auto"/>
        <w:ind w:left="476" w:firstLine="244"/>
        <w:rPr>
          <w:i/>
          <w:noProof/>
          <w:sz w:val="16"/>
          <w:szCs w:val="16"/>
          <w:lang w:eastAsia="en-US"/>
        </w:rPr>
      </w:pPr>
      <w:r>
        <w:rPr>
          <w:i/>
          <w:iCs/>
          <w:noProof/>
          <w:sz w:val="16"/>
          <w:szCs w:val="16"/>
          <w:lang w:eastAsia="en-US"/>
        </w:rPr>
        <w:t xml:space="preserve">Source: </w:t>
      </w:r>
      <w:r>
        <w:rPr>
          <w:i/>
          <w:iCs/>
          <w:noProof/>
          <w:sz w:val="16"/>
          <w:szCs w:val="16"/>
          <w:lang w:val="es-ES"/>
        </w:rPr>
        <w:t>Special Eurobarometer 495</w:t>
      </w:r>
      <w:r>
        <w:rPr>
          <w:rStyle w:val="FootnoteReference"/>
          <w:b/>
          <w:bCs/>
          <w:i/>
          <w:iCs/>
          <w:noProof/>
          <w:sz w:val="16"/>
          <w:szCs w:val="16"/>
        </w:rPr>
        <w:footnoteReference w:id="313"/>
      </w:r>
    </w:p>
    <w:p>
      <w:pPr>
        <w:pStyle w:val="LegalNumPar"/>
        <w:numPr>
          <w:ilvl w:val="0"/>
          <w:numId w:val="89"/>
        </w:numPr>
        <w:tabs>
          <w:tab w:val="left" w:pos="476"/>
        </w:tabs>
        <w:spacing w:line="240" w:lineRule="auto"/>
        <w:rPr>
          <w:noProof/>
          <w:lang w:eastAsia="en-US"/>
        </w:rPr>
      </w:pPr>
      <w:r>
        <w:rPr>
          <w:noProof/>
          <w:lang w:eastAsia="en-US"/>
        </w:rPr>
        <w:t>Many observers are calling for cycling and walking policies to be embedded within a wider SUMP framework that aims at the overall improvement of the mobility system of a town or city. In order to support towns and cities in this task, the Commission issued in 2019 Guidance on cycling projects in the EU</w:t>
      </w:r>
      <w:r>
        <w:rPr>
          <w:noProof/>
          <w:vertAlign w:val="superscript"/>
        </w:rPr>
        <w:footnoteReference w:id="314"/>
      </w:r>
      <w:r>
        <w:rPr>
          <w:noProof/>
          <w:lang w:eastAsia="en-US"/>
        </w:rPr>
        <w:t>, a resource that enables users to identify the most relevant information for their situation. In addition, the SUMP guidelines revised in 2019 include, for the first time, dedicated annexes on supporting and encouraging walking</w:t>
      </w:r>
      <w:r>
        <w:rPr>
          <w:noProof/>
          <w:vertAlign w:val="superscript"/>
          <w:lang w:eastAsia="en-US"/>
        </w:rPr>
        <w:footnoteReference w:id="315"/>
      </w:r>
      <w:r>
        <w:rPr>
          <w:noProof/>
          <w:lang w:eastAsia="en-US"/>
        </w:rPr>
        <w:t xml:space="preserve"> and cycling</w:t>
      </w:r>
      <w:r>
        <w:rPr>
          <w:noProof/>
          <w:vertAlign w:val="superscript"/>
          <w:lang w:eastAsia="en-US"/>
        </w:rPr>
        <w:footnoteReference w:id="316"/>
      </w:r>
      <w:r>
        <w:rPr>
          <w:noProof/>
          <w:vertAlign w:val="superscript"/>
          <w:lang w:eastAsia="en-US"/>
        </w:rPr>
        <w:t xml:space="preserve"> </w:t>
      </w:r>
      <w:r>
        <w:rPr>
          <w:noProof/>
          <w:lang w:eastAsia="en-US"/>
        </w:rPr>
        <w:t xml:space="preserve">in sustainable urban mobility planning.    </w:t>
      </w:r>
    </w:p>
    <w:p>
      <w:pPr>
        <w:pStyle w:val="LegalNumPar"/>
        <w:numPr>
          <w:ilvl w:val="0"/>
          <w:numId w:val="89"/>
        </w:numPr>
        <w:tabs>
          <w:tab w:val="left" w:pos="476"/>
        </w:tabs>
        <w:spacing w:line="240" w:lineRule="auto"/>
        <w:rPr>
          <w:noProof/>
          <w:lang w:eastAsia="en-US"/>
        </w:rPr>
      </w:pPr>
      <w:r>
        <w:rPr>
          <w:noProof/>
          <w:lang w:eastAsia="en-US"/>
        </w:rPr>
        <w:t xml:space="preserve">The sharing of limited space for mobility in cities can lead to conflicts between transport users, in particular where the use of sustainable modes of transport like cycling and walking and new forms of micromobility are being promoted. Currently, 38% of road fatalities in the EU occur in urban areas, 70% of which are vulnerable road users (pedestrians, cyclists and motorcyclists). To avoid such tensions, the objectives of sustainability and safety need to be brought together from the outset. It is important that urban mobility planning in cities that aims to make transport cleaner and more sustainable seeks at the same time to make it safer. Among the key measures to address this concern is investment in safe cycling and walking infrastructure in cities while at the same time managing car use and introducing lower default speed limits. </w:t>
      </w:r>
    </w:p>
    <w:p>
      <w:pPr>
        <w:pStyle w:val="LegalNumPar"/>
        <w:numPr>
          <w:ilvl w:val="0"/>
          <w:numId w:val="89"/>
        </w:numPr>
        <w:tabs>
          <w:tab w:val="left" w:pos="476"/>
        </w:tabs>
        <w:spacing w:line="240" w:lineRule="auto"/>
        <w:rPr>
          <w:noProof/>
          <w:lang w:eastAsia="en-US"/>
        </w:rPr>
      </w:pPr>
      <w:r>
        <w:rPr>
          <w:noProof/>
          <w:lang w:eastAsia="en-US"/>
        </w:rPr>
        <w:t xml:space="preserve"> It is only if actual and perceived safety is high that more people will choose to walk and cycle. Fear of sharing the road with dense motorised traffic is a primary reason that puts people off from cycling (and to lesser extent walking). To support local authorities and stakeholders in that regard, the revised SUMP guidelines include also a dedicated guide on urban road safety and active travel in sustainable urban mobility planning</w:t>
      </w:r>
      <w:r>
        <w:rPr>
          <w:noProof/>
          <w:vertAlign w:val="superscript"/>
          <w:lang w:eastAsia="en-US"/>
        </w:rPr>
        <w:footnoteReference w:id="317"/>
      </w:r>
      <w:r>
        <w:rPr>
          <w:noProof/>
          <w:lang w:eastAsia="en-US"/>
        </w:rPr>
        <w:t>.</w:t>
      </w:r>
    </w:p>
    <w:p>
      <w:pPr>
        <w:pStyle w:val="LegalNumPar"/>
        <w:tabs>
          <w:tab w:val="left" w:pos="476"/>
        </w:tabs>
        <w:spacing w:line="240" w:lineRule="auto"/>
        <w:ind w:left="476"/>
        <w:rPr>
          <w:noProof/>
          <w:lang w:eastAsia="en-US"/>
        </w:rPr>
      </w:pPr>
    </w:p>
    <w:p>
      <w:pPr>
        <w:pStyle w:val="Caption"/>
        <w:keepNext/>
        <w:keepLines/>
        <w:jc w:val="center"/>
        <w:rPr>
          <w:i w:val="0"/>
          <w:noProof/>
        </w:rPr>
      </w:pPr>
      <w:bookmarkStart w:id="2789" w:name="_Toc51450042"/>
      <w:bookmarkStart w:id="2790" w:name="_Toc51593782"/>
      <w:bookmarkStart w:id="2791" w:name="_Toc51595249"/>
      <w:bookmarkStart w:id="2792" w:name="_Toc51595499"/>
      <w:bookmarkStart w:id="2793" w:name="_Toc51595825"/>
      <w:bookmarkStart w:id="2794" w:name="_Toc51595988"/>
      <w:bookmarkStart w:id="2795" w:name="_Toc52121475"/>
      <w:bookmarkStart w:id="2796" w:name="_Toc52122706"/>
      <w:bookmarkStart w:id="2797" w:name="_Toc53405270"/>
      <w:bookmarkStart w:id="2798" w:name="_Toc53406060"/>
      <w:bookmarkStart w:id="2799" w:name="_Toc53407426"/>
      <w:bookmarkStart w:id="2800" w:name="_Toc53410873"/>
      <w:bookmarkStart w:id="2801" w:name="_Toc53411936"/>
      <w:bookmarkStart w:id="2802" w:name="_Toc53417183"/>
      <w:bookmarkStart w:id="2803" w:name="_Toc53417535"/>
      <w:bookmarkStart w:id="2804" w:name="_Toc53419568"/>
      <w:bookmarkStart w:id="2805" w:name="_Toc53434873"/>
      <w:bookmarkStart w:id="2806" w:name="_Toc53437013"/>
      <w:bookmarkStart w:id="2807" w:name="_Toc57291674"/>
      <w:r>
        <w:rPr>
          <w:i w:val="0"/>
          <w:noProof/>
        </w:rPr>
        <w:t xml:space="preserve">Figure </w:t>
      </w:r>
      <w:r>
        <w:rPr>
          <w:noProof/>
        </w:rPr>
        <w:fldChar w:fldCharType="begin"/>
      </w:r>
      <w:r>
        <w:rPr>
          <w:i w:val="0"/>
          <w:noProof/>
        </w:rPr>
        <w:instrText xml:space="preserve"> SEQ Figure \* ARABIC </w:instrText>
      </w:r>
      <w:r>
        <w:rPr>
          <w:noProof/>
        </w:rPr>
        <w:fldChar w:fldCharType="separate"/>
      </w:r>
      <w:r>
        <w:rPr>
          <w:i w:val="0"/>
          <w:noProof/>
        </w:rPr>
        <w:t>30</w:t>
      </w:r>
      <w:r>
        <w:rPr>
          <w:noProof/>
        </w:rPr>
        <w:fldChar w:fldCharType="end"/>
      </w:r>
      <w:r>
        <w:rPr>
          <w:i w:val="0"/>
          <w:noProof/>
        </w:rPr>
        <w:t>: Percentage of road fatalities on urban roads in the EU by transport mode, 2018</w:t>
      </w:r>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p>
    <w:p>
      <w:pPr>
        <w:pStyle w:val="LegalNumPar"/>
        <w:tabs>
          <w:tab w:val="left" w:pos="476"/>
        </w:tabs>
        <w:spacing w:line="240" w:lineRule="auto"/>
        <w:ind w:left="476" w:hanging="476"/>
        <w:jc w:val="center"/>
        <w:rPr>
          <w:noProof/>
          <w:lang w:eastAsia="en-US"/>
        </w:rPr>
      </w:pPr>
      <w:r>
        <w:rPr>
          <w:noProof/>
        </w:rPr>
        <w:drawing>
          <wp:inline distT="0" distB="0" distL="0" distR="0">
            <wp:extent cx="5393690" cy="2820670"/>
            <wp:effectExtent l="0" t="0" r="0" b="0"/>
            <wp:docPr id="1657890225" name="Picture 1657890225" descr="C:\Users\sulyoge\Documents\Pictu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ulyoge\Documents\Picture11.jpg"/>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5393690" cy="2820670"/>
                    </a:xfrm>
                    <a:prstGeom prst="rect">
                      <a:avLst/>
                    </a:prstGeom>
                    <a:noFill/>
                    <a:ln>
                      <a:noFill/>
                    </a:ln>
                  </pic:spPr>
                </pic:pic>
              </a:graphicData>
            </a:graphic>
          </wp:inline>
        </w:drawing>
      </w:r>
    </w:p>
    <w:p>
      <w:pPr>
        <w:pStyle w:val="LegalNumPar"/>
        <w:tabs>
          <w:tab w:val="left" w:pos="476"/>
        </w:tabs>
        <w:spacing w:line="240" w:lineRule="auto"/>
        <w:ind w:left="476"/>
        <w:jc w:val="left"/>
        <w:rPr>
          <w:i/>
          <w:noProof/>
          <w:sz w:val="16"/>
          <w:szCs w:val="16"/>
          <w:lang w:eastAsia="en-US"/>
        </w:rPr>
      </w:pPr>
      <w:r>
        <w:rPr>
          <w:i/>
          <w:iCs/>
          <w:noProof/>
          <w:sz w:val="16"/>
          <w:szCs w:val="16"/>
          <w:lang w:eastAsia="en-US"/>
        </w:rPr>
        <w:t xml:space="preserve">Source: </w:t>
      </w:r>
      <w:r>
        <w:rPr>
          <w:i/>
          <w:iCs/>
          <w:noProof/>
          <w:sz w:val="16"/>
          <w:szCs w:val="16"/>
        </w:rPr>
        <w:t>CARE database</w:t>
      </w:r>
      <w:r>
        <w:rPr>
          <w:rStyle w:val="FootnoteReference"/>
          <w:i/>
          <w:iCs/>
          <w:noProof/>
          <w:sz w:val="16"/>
          <w:szCs w:val="16"/>
        </w:rPr>
        <w:footnoteReference w:id="318"/>
      </w:r>
    </w:p>
    <w:p>
      <w:pPr>
        <w:pStyle w:val="LegalNumPar"/>
        <w:numPr>
          <w:ilvl w:val="0"/>
          <w:numId w:val="89"/>
        </w:numPr>
        <w:tabs>
          <w:tab w:val="left" w:pos="476"/>
        </w:tabs>
        <w:spacing w:line="240" w:lineRule="auto"/>
        <w:rPr>
          <w:noProof/>
          <w:lang w:eastAsia="en-US"/>
        </w:rPr>
      </w:pPr>
      <w:r>
        <w:rPr>
          <w:b/>
          <w:bCs/>
          <w:noProof/>
        </w:rPr>
        <w:t>Micromobility</w:t>
      </w:r>
      <w:r>
        <w:rPr>
          <w:noProof/>
        </w:rPr>
        <w:t xml:space="preserve"> represents a potentially huge global market and key players (regulators, industry, consumers) need to work closely together to make it a success. Micromobility is also widely praised for its potential to reduce congestion, yet the jury is out whether it replaces or complements public transport by covering primarily first/last mile trips. Cities – and other regulators – play a key role in authorising or banning operators and in defining conditions under which the service can be provided. They also play a role, together with public transport companies, to enable synergies with shared micro-mobility options.</w:t>
      </w:r>
    </w:p>
    <w:p>
      <w:pPr>
        <w:pStyle w:val="LegalNumPar"/>
        <w:numPr>
          <w:ilvl w:val="0"/>
          <w:numId w:val="89"/>
        </w:numPr>
        <w:tabs>
          <w:tab w:val="left" w:pos="476"/>
        </w:tabs>
        <w:spacing w:line="240" w:lineRule="auto"/>
        <w:rPr>
          <w:noProof/>
          <w:lang w:eastAsia="en-US"/>
        </w:rPr>
      </w:pPr>
      <w:r>
        <w:rPr>
          <w:noProof/>
          <w:lang w:eastAsia="en-US"/>
        </w:rPr>
        <w:t xml:space="preserve">These new personal mobility devices, in particular shared e-scooters, which were deployed in large numbers in cities all over Europe, also raise a number of safety concerns – some related to the safety of the devices themselves (e.g. their centre of gravity, brakes, lights), some to their safe use (e.g. use on pavements and cycle paths, helmets). </w:t>
      </w:r>
    </w:p>
    <w:p>
      <w:pPr>
        <w:pStyle w:val="LegalNumPar"/>
        <w:numPr>
          <w:ilvl w:val="0"/>
          <w:numId w:val="89"/>
        </w:numPr>
        <w:tabs>
          <w:tab w:val="left" w:pos="476"/>
        </w:tabs>
        <w:spacing w:line="240" w:lineRule="auto"/>
        <w:rPr>
          <w:noProof/>
          <w:lang w:eastAsia="en-US"/>
        </w:rPr>
      </w:pPr>
      <w:r>
        <w:rPr>
          <w:noProof/>
          <w:lang w:eastAsia="en-US"/>
        </w:rPr>
        <w:t xml:space="preserve">Differences between the rules that apply, often even within a Member State, make it difficult for visitors to follow local rules correctly, and hamper the business of sharing scheme operators that wish to operate in more than one country. </w:t>
      </w:r>
      <w:r>
        <w:rPr>
          <w:noProof/>
        </w:rPr>
        <w:t>Shared or not, micro-mobility vehicles need to operate in a regulatory framework that defines where they can be used (e.g. roads, bike lanes, pavements, pedestrian areas, 30 kph areas), at what speed, after which training, as of what age and in compliance with which safety rules (e.g. protective equipment, lights, turn signals, etc.).</w:t>
      </w:r>
    </w:p>
    <w:p>
      <w:pPr>
        <w:pStyle w:val="Heading4"/>
        <w:rPr>
          <w:noProof/>
        </w:rPr>
      </w:pPr>
      <w:bookmarkStart w:id="2808" w:name="_Toc51450107"/>
      <w:bookmarkStart w:id="2809" w:name="_Toc51574806"/>
      <w:bookmarkStart w:id="2810" w:name="_Toc51575654"/>
      <w:bookmarkStart w:id="2811" w:name="_Toc51578052"/>
      <w:bookmarkStart w:id="2812" w:name="_Toc51578604"/>
      <w:bookmarkStart w:id="2813" w:name="_Toc51582925"/>
      <w:bookmarkStart w:id="2814" w:name="_Toc51583400"/>
      <w:bookmarkStart w:id="2815" w:name="_Toc51583490"/>
      <w:bookmarkStart w:id="2816" w:name="_Toc51583775"/>
      <w:bookmarkStart w:id="2817" w:name="_Toc51583965"/>
      <w:bookmarkStart w:id="2818" w:name="_Toc51583889"/>
      <w:bookmarkStart w:id="2819" w:name="_Toc51586207"/>
      <w:bookmarkStart w:id="2820" w:name="_Toc51594010"/>
      <w:bookmarkStart w:id="2821" w:name="_Toc51594336"/>
      <w:bookmarkStart w:id="2822" w:name="_Toc51595314"/>
      <w:bookmarkStart w:id="2823" w:name="_Toc51595564"/>
      <w:bookmarkStart w:id="2824" w:name="_Toc51595890"/>
      <w:bookmarkStart w:id="2825" w:name="_Toc51596053"/>
      <w:bookmarkStart w:id="2826" w:name="_Toc51596406"/>
      <w:bookmarkStart w:id="2827" w:name="_Toc52121540"/>
      <w:bookmarkStart w:id="2828" w:name="_Toc52122771"/>
      <w:bookmarkStart w:id="2829" w:name="_Toc52123888"/>
      <w:bookmarkStart w:id="2830" w:name="_Toc53405346"/>
      <w:bookmarkStart w:id="2831" w:name="_Toc53406134"/>
      <w:bookmarkStart w:id="2832" w:name="_Toc53407502"/>
      <w:bookmarkStart w:id="2833" w:name="_Toc53410947"/>
      <w:bookmarkStart w:id="2834" w:name="_Toc53412010"/>
      <w:bookmarkStart w:id="2835" w:name="_Toc53417257"/>
      <w:bookmarkStart w:id="2836" w:name="_Toc53417609"/>
      <w:bookmarkStart w:id="2837" w:name="_Toc53419844"/>
      <w:bookmarkStart w:id="2838" w:name="_Toc53434947"/>
      <w:bookmarkStart w:id="2839" w:name="_Toc53437087"/>
      <w:bookmarkStart w:id="2840" w:name="_Toc57291493"/>
      <w:r>
        <w:rPr>
          <w:noProof/>
        </w:rPr>
        <w:t>Public transport, shared mobility and transport on demand</w:t>
      </w:r>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p>
    <w:p>
      <w:pPr>
        <w:pStyle w:val="LegalNumPar"/>
        <w:numPr>
          <w:ilvl w:val="0"/>
          <w:numId w:val="89"/>
        </w:numPr>
        <w:tabs>
          <w:tab w:val="left" w:pos="476"/>
        </w:tabs>
        <w:spacing w:line="240" w:lineRule="auto"/>
        <w:rPr>
          <w:noProof/>
          <w:lang w:eastAsia="en-US"/>
        </w:rPr>
      </w:pPr>
      <w:r>
        <w:rPr>
          <w:noProof/>
          <w:lang w:eastAsia="en-US"/>
        </w:rPr>
        <w:t>Urban transportation is a dynamic system where one component impacts on the other. Users, through their modal choices, are influencing the development of the urban transport system. One of the main challenges that cities face is mitigating the vicious cycle triggering an increased reliance on the private conventionally fuelled car in particular. There is a positive correlation between cities that have achieved a high share of public transport usage and reduced congestion. However, continuous investments backed by a long term strategy and density to stabilize demand are needed. It is equally needed to create the right conditions for public transport to flourish, such as, for example congestion charging or parking management.</w:t>
      </w:r>
      <w:r>
        <w:rPr>
          <w:rStyle w:val="FootnoteReference"/>
          <w:noProof/>
          <w:lang w:eastAsia="en-US"/>
        </w:rPr>
        <w:footnoteReference w:id="319"/>
      </w:r>
    </w:p>
    <w:p>
      <w:pPr>
        <w:pStyle w:val="ListParagraph"/>
        <w:numPr>
          <w:ilvl w:val="0"/>
          <w:numId w:val="89"/>
        </w:numPr>
        <w:spacing w:line="240" w:lineRule="auto"/>
        <w:contextualSpacing w:val="0"/>
        <w:rPr>
          <w:noProof/>
          <w:sz w:val="24"/>
          <w:szCs w:val="24"/>
          <w:lang w:val="en-IE"/>
        </w:rPr>
      </w:pPr>
      <w:r>
        <w:rPr>
          <w:noProof/>
          <w:sz w:val="24"/>
          <w:szCs w:val="24"/>
          <w:lang w:val="en-IE"/>
        </w:rPr>
        <w:t>According to a 2020 working paper by DG REGIO</w:t>
      </w:r>
      <w:r>
        <w:rPr>
          <w:rStyle w:val="FootnoteReference"/>
          <w:noProof/>
          <w:sz w:val="24"/>
          <w:szCs w:val="24"/>
          <w:lang w:val="en-IE"/>
        </w:rPr>
        <w:footnoteReference w:id="320"/>
      </w:r>
      <w:r>
        <w:rPr>
          <w:noProof/>
          <w:sz w:val="24"/>
          <w:szCs w:val="24"/>
          <w:lang w:val="en-IE"/>
        </w:rPr>
        <w:t xml:space="preserve">, in virtually all European cities analysed, at least 80 % of the population has easy access to public transport. In addition, 56 % of an average city’s population has access to at least 10 departures an hour. Access to high-frequency departures is generally higher in cities with at least 1 million inhabitants and considerably lower in cities with fewer than 250 000 inhabitants, although there are some exceptions. </w:t>
      </w:r>
    </w:p>
    <w:p>
      <w:pPr>
        <w:pStyle w:val="ListParagraph"/>
        <w:numPr>
          <w:ilvl w:val="0"/>
          <w:numId w:val="89"/>
        </w:numPr>
        <w:spacing w:line="240" w:lineRule="auto"/>
        <w:contextualSpacing w:val="0"/>
        <w:rPr>
          <w:noProof/>
          <w:sz w:val="24"/>
          <w:szCs w:val="24"/>
          <w:lang w:val="en-IE"/>
        </w:rPr>
      </w:pPr>
      <w:r>
        <w:rPr>
          <w:noProof/>
          <w:sz w:val="24"/>
          <w:szCs w:val="24"/>
          <w:lang w:val="en-IE"/>
        </w:rPr>
        <w:t>There is room for improvement of accessibility of public transport. A comparison between the population accessible by public transport with the nearby population in 42 European cities shows that within 30 minutes people can only reach 24 % of the population living within a distance of 7.5 kilometres.</w:t>
      </w:r>
      <w:r>
        <w:rPr>
          <w:rStyle w:val="FootnoteReference"/>
          <w:noProof/>
          <w:sz w:val="24"/>
          <w:szCs w:val="24"/>
          <w:lang w:val="en-IE"/>
        </w:rPr>
        <w:footnoteReference w:id="321"/>
      </w:r>
      <w:r>
        <w:rPr>
          <w:noProof/>
          <w:sz w:val="24"/>
          <w:szCs w:val="24"/>
          <w:lang w:val="en-IE"/>
        </w:rPr>
        <w:t xml:space="preserve"> </w:t>
      </w:r>
    </w:p>
    <w:p>
      <w:pPr>
        <w:pStyle w:val="ListParagraph"/>
        <w:numPr>
          <w:ilvl w:val="0"/>
          <w:numId w:val="89"/>
        </w:numPr>
        <w:spacing w:line="240" w:lineRule="auto"/>
        <w:contextualSpacing w:val="0"/>
        <w:rPr>
          <w:noProof/>
          <w:sz w:val="24"/>
          <w:szCs w:val="24"/>
          <w:lang w:val="en-IE"/>
        </w:rPr>
      </w:pPr>
      <w:r>
        <w:rPr>
          <w:noProof/>
          <w:sz w:val="24"/>
          <w:szCs w:val="24"/>
          <w:lang w:val="en-IE"/>
        </w:rPr>
        <w:t>According to the latest EC survey on Quality of Life in European Cities</w:t>
      </w:r>
      <w:r>
        <w:rPr>
          <w:rStyle w:val="FootnoteReference"/>
          <w:noProof/>
          <w:sz w:val="24"/>
          <w:szCs w:val="24"/>
          <w:lang w:val="en-IE"/>
        </w:rPr>
        <w:footnoteReference w:id="322"/>
      </w:r>
      <w:r>
        <w:rPr>
          <w:noProof/>
          <w:sz w:val="24"/>
          <w:szCs w:val="24"/>
          <w:lang w:val="en-IE"/>
        </w:rPr>
        <w:t>, across the surveyed cities, the share of public transport users varies from less than 30 % to slightly more than 60 % and this share increases with city size. In most countries, the share of public transport use is highest in capital cities, in part because these cities tend to have an extensive public transport network with frequent services.</w:t>
      </w:r>
    </w:p>
    <w:p>
      <w:pPr>
        <w:pStyle w:val="LegalNumPar"/>
        <w:numPr>
          <w:ilvl w:val="0"/>
          <w:numId w:val="89"/>
        </w:numPr>
        <w:tabs>
          <w:tab w:val="left" w:pos="476"/>
        </w:tabs>
        <w:spacing w:line="240" w:lineRule="auto"/>
        <w:rPr>
          <w:noProof/>
          <w:lang w:eastAsia="en-US"/>
        </w:rPr>
      </w:pPr>
      <w:r>
        <w:rPr>
          <w:noProof/>
          <w:lang w:val="en-IE"/>
        </w:rPr>
        <w:t>A high use of public transport and satisfaction with public transport go hand in hand, as on average three out of four city residents are satisfied with public transport, and a positive relation is seen between public transport satisfaction and satisfaction about living in a city. Out of key aspects of public transport: affordability, safety, accessibility, frequency, and reliability of service, public transport frequency is found to be the largest driver for users’ satisfaction</w:t>
      </w:r>
      <w:r>
        <w:rPr>
          <w:rStyle w:val="FootnoteReference"/>
          <w:noProof/>
          <w:lang w:val="en-IE"/>
        </w:rPr>
        <w:footnoteReference w:id="323"/>
      </w:r>
      <w:r>
        <w:rPr>
          <w:noProof/>
          <w:lang w:val="en-IE"/>
        </w:rPr>
        <w:t xml:space="preserve">. </w:t>
      </w:r>
      <w:r>
        <w:rPr>
          <w:rFonts w:cstheme="minorBidi"/>
          <w:noProof/>
        </w:rPr>
        <w:t>Public transport plays a key role in connectivity and provides ample economic opportunities, with many quality local jobs that are impossible or hard to delocalise. Urban and suburban public transport services carry approximately 185 million passengers on an average working day across the EU, providing the backbone of urban mobility in many EU cities. The public transport sector alone employs around 2 million people in the EU, being a very important employer in almost every city, and the economic value of public transport services are estimated at EUR 130 - 150 billion per year</w:t>
      </w:r>
      <w:r>
        <w:rPr>
          <w:rStyle w:val="FootnoteReference"/>
          <w:rFonts w:cstheme="minorBidi"/>
          <w:noProof/>
        </w:rPr>
        <w:footnoteReference w:id="324"/>
      </w:r>
      <w:r>
        <w:rPr>
          <w:rFonts w:cstheme="minorBidi"/>
          <w:noProof/>
        </w:rPr>
        <w:t xml:space="preserve">.   </w:t>
      </w:r>
      <w:r>
        <w:rPr>
          <w:noProof/>
          <w:lang w:eastAsia="en-US"/>
        </w:rPr>
        <w:t xml:space="preserve"> </w:t>
      </w:r>
    </w:p>
    <w:p>
      <w:pPr>
        <w:pStyle w:val="LegalNumPar"/>
        <w:numPr>
          <w:ilvl w:val="0"/>
          <w:numId w:val="89"/>
        </w:numPr>
        <w:tabs>
          <w:tab w:val="left" w:pos="476"/>
        </w:tabs>
        <w:spacing w:line="240" w:lineRule="auto"/>
        <w:rPr>
          <w:noProof/>
          <w:lang w:eastAsia="en-US"/>
        </w:rPr>
      </w:pPr>
      <w:r>
        <w:rPr>
          <w:noProof/>
          <w:lang w:eastAsia="en-US"/>
        </w:rPr>
        <w:t xml:space="preserve">Public transport is one of the most cost-efficient way to decarbonise people’s daily mobility. It is also one of the safest ways to move people around, and in a sustainable manner. Its social aspects should not be underestimated, neither: it provides a relatively affordable mobility option for a large part of the population contributing to enhancing connectivity. As it brings people together, it plays important role in social cohesion and local development, too. </w:t>
      </w:r>
    </w:p>
    <w:p>
      <w:pPr>
        <w:pStyle w:val="LegalNumPar"/>
        <w:numPr>
          <w:ilvl w:val="0"/>
          <w:numId w:val="89"/>
        </w:numPr>
        <w:tabs>
          <w:tab w:val="left" w:pos="476"/>
        </w:tabs>
        <w:spacing w:line="240" w:lineRule="auto"/>
        <w:rPr>
          <w:noProof/>
          <w:lang w:eastAsia="en-US"/>
        </w:rPr>
      </w:pPr>
      <w:r>
        <w:rPr>
          <w:noProof/>
          <w:lang w:eastAsia="en-US"/>
        </w:rPr>
        <w:t>When it comes to reducing congestion, a full standard bus carries the same number of people as 40 cars while a full metro set carries the equivalent of 600 (assuming current average occupancy rates for cars). In addition to traffic reduction, it frees up space otherwise used for parking in dense urban areas.</w:t>
      </w:r>
    </w:p>
    <w:p>
      <w:pPr>
        <w:pStyle w:val="LegalNumPar"/>
        <w:numPr>
          <w:ilvl w:val="0"/>
          <w:numId w:val="89"/>
        </w:numPr>
        <w:tabs>
          <w:tab w:val="left" w:pos="476"/>
        </w:tabs>
        <w:spacing w:line="240" w:lineRule="auto"/>
        <w:rPr>
          <w:noProof/>
          <w:lang w:eastAsia="en-US"/>
        </w:rPr>
      </w:pPr>
      <w:r>
        <w:rPr>
          <w:noProof/>
          <w:lang w:eastAsia="en-US"/>
        </w:rPr>
        <w:t xml:space="preserve">Public transport, being normally linked with active mobility, contributes positively to public health policies by improving health of individuals, in particular in urban areas. According to a recent research study, </w:t>
      </w:r>
      <w:r>
        <w:rPr>
          <w:noProof/>
        </w:rPr>
        <w:t>compared with commuting by private motorised vehicle, rail commuters had a 10% lower rate of all-cause mortality and a 21% decreased rate of cardiovascular disease mortality, in addition to a 12% reduced rate of incident cancer</w:t>
      </w:r>
      <w:r>
        <w:rPr>
          <w:rStyle w:val="FootnoteReference"/>
          <w:noProof/>
        </w:rPr>
        <w:footnoteReference w:id="325"/>
      </w:r>
      <w:r>
        <w:rPr>
          <w:noProof/>
        </w:rPr>
        <w:t>.</w:t>
      </w:r>
      <w:r>
        <w:rPr>
          <w:noProof/>
          <w:lang w:eastAsia="en-US"/>
        </w:rPr>
        <w:t xml:space="preserve">        </w:t>
      </w:r>
    </w:p>
    <w:p>
      <w:pPr>
        <w:pStyle w:val="LegalNumPar"/>
        <w:numPr>
          <w:ilvl w:val="0"/>
          <w:numId w:val="89"/>
        </w:numPr>
        <w:tabs>
          <w:tab w:val="left" w:pos="476"/>
        </w:tabs>
        <w:spacing w:line="240" w:lineRule="auto"/>
        <w:rPr>
          <w:noProof/>
          <w:lang w:eastAsia="en-US"/>
        </w:rPr>
      </w:pPr>
      <w:r>
        <w:rPr>
          <w:noProof/>
          <w:lang w:eastAsia="en-US"/>
        </w:rPr>
        <w:t>Public transport and especially light rail provides low-emission affordable mobility with limited need for public space. However, procurement of light rail, like tram and metro, remains extremely costly due to the very high customisation and the absence of EU interoperability standards. More ‘off the shelf’ products and joint procurement would lead to costs reductions and thereby more attractive mass transport market.</w:t>
      </w:r>
    </w:p>
    <w:p>
      <w:pPr>
        <w:pStyle w:val="LegalNumPar"/>
        <w:numPr>
          <w:ilvl w:val="0"/>
          <w:numId w:val="89"/>
        </w:numPr>
        <w:tabs>
          <w:tab w:val="left" w:pos="476"/>
        </w:tabs>
        <w:spacing w:line="240" w:lineRule="auto"/>
        <w:rPr>
          <w:noProof/>
          <w:lang w:eastAsia="en-US"/>
        </w:rPr>
      </w:pPr>
      <w:r>
        <w:rPr>
          <w:noProof/>
          <w:lang w:eastAsia="en-US"/>
        </w:rPr>
        <w:t>A dynamic, sustainable and safe local passenger transport on demand is also part of the solution to the challenges cities face today. Things have changed in recent years, mainly thanks to digital technology and the emergence of intermediation platforms. The right solutions to ensure that passenger transport on demand can deliver efficient services to citizens, while taking into account environmental and social concerns including working conditions of drivers. In 2016, the Commission adopted its communication “A European agenda for the collaborative economy</w:t>
      </w:r>
      <w:r>
        <w:rPr>
          <w:rStyle w:val="FootnoteReference"/>
          <w:noProof/>
          <w:lang w:eastAsia="en-US"/>
        </w:rPr>
        <w:footnoteReference w:id="326"/>
      </w:r>
      <w:r>
        <w:rPr>
          <w:noProof/>
          <w:lang w:eastAsia="en-US"/>
        </w:rPr>
        <w:t>”, has already provided some useful guidance in this regard, but there is clearly need for further clarity. The related issues are further discussed in section 4.3.5.</w:t>
      </w:r>
    </w:p>
    <w:p>
      <w:pPr>
        <w:pStyle w:val="Heading4"/>
        <w:rPr>
          <w:noProof/>
        </w:rPr>
      </w:pPr>
      <w:bookmarkStart w:id="2841" w:name="_Toc51450108"/>
      <w:bookmarkStart w:id="2842" w:name="_Toc51574807"/>
      <w:bookmarkStart w:id="2843" w:name="_Toc51575655"/>
      <w:bookmarkStart w:id="2844" w:name="_Toc51578053"/>
      <w:bookmarkStart w:id="2845" w:name="_Toc51578605"/>
      <w:bookmarkStart w:id="2846" w:name="_Toc51582926"/>
      <w:bookmarkStart w:id="2847" w:name="_Toc51583401"/>
      <w:bookmarkStart w:id="2848" w:name="_Toc51583491"/>
      <w:bookmarkStart w:id="2849" w:name="_Toc51583776"/>
      <w:bookmarkStart w:id="2850" w:name="_Toc51583966"/>
      <w:bookmarkStart w:id="2851" w:name="_Toc51583890"/>
      <w:bookmarkStart w:id="2852" w:name="_Toc51586208"/>
      <w:bookmarkStart w:id="2853" w:name="_Toc51594011"/>
      <w:bookmarkStart w:id="2854" w:name="_Toc51594337"/>
      <w:bookmarkStart w:id="2855" w:name="_Toc51595315"/>
      <w:bookmarkStart w:id="2856" w:name="_Toc51595565"/>
      <w:bookmarkStart w:id="2857" w:name="_Toc51595891"/>
      <w:bookmarkStart w:id="2858" w:name="_Toc51596054"/>
      <w:bookmarkStart w:id="2859" w:name="_Toc51596407"/>
      <w:bookmarkStart w:id="2860" w:name="_Toc52121541"/>
      <w:bookmarkStart w:id="2861" w:name="_Toc52122772"/>
      <w:bookmarkStart w:id="2862" w:name="_Toc52123889"/>
      <w:bookmarkStart w:id="2863" w:name="_Toc53405347"/>
      <w:bookmarkStart w:id="2864" w:name="_Toc53406135"/>
      <w:bookmarkStart w:id="2865" w:name="_Toc53407503"/>
      <w:bookmarkStart w:id="2866" w:name="_Toc53410948"/>
      <w:bookmarkStart w:id="2867" w:name="_Toc53412011"/>
      <w:bookmarkStart w:id="2868" w:name="_Toc53417258"/>
      <w:bookmarkStart w:id="2869" w:name="_Toc53417610"/>
      <w:bookmarkStart w:id="2870" w:name="_Toc53419845"/>
      <w:bookmarkStart w:id="2871" w:name="_Toc53434948"/>
      <w:bookmarkStart w:id="2872" w:name="_Toc53437088"/>
      <w:bookmarkStart w:id="2873" w:name="_Toc57291494"/>
      <w:r>
        <w:rPr>
          <w:noProof/>
        </w:rPr>
        <w:t>Urban logistics</w:t>
      </w:r>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p>
    <w:p>
      <w:pPr>
        <w:pStyle w:val="LegalNumPar"/>
        <w:numPr>
          <w:ilvl w:val="0"/>
          <w:numId w:val="89"/>
        </w:numPr>
        <w:tabs>
          <w:tab w:val="left" w:pos="476"/>
        </w:tabs>
        <w:spacing w:line="240" w:lineRule="auto"/>
        <w:rPr>
          <w:noProof/>
          <w:lang w:eastAsia="en-US"/>
        </w:rPr>
      </w:pPr>
      <w:r>
        <w:rPr>
          <w:noProof/>
          <w:lang w:eastAsia="en-US"/>
        </w:rPr>
        <w:t>Urban logistics is an integral part of urban mobility. It is a fast-developing industry paramount for the growth of the cities’ economic activities, but it is a significant contributor to congestion, pollution as well as to road accidents. For instance, in Europe it is responsible for 25 % of urban transport related CO</w:t>
      </w:r>
      <w:r>
        <w:rPr>
          <w:noProof/>
          <w:vertAlign w:val="subscript"/>
          <w:lang w:eastAsia="en-US"/>
        </w:rPr>
        <w:t>2</w:t>
      </w:r>
      <w:r>
        <w:rPr>
          <w:noProof/>
          <w:lang w:eastAsia="en-US"/>
        </w:rPr>
        <w:t xml:space="preserve"> emissions and 30-50 % of other transport related pollutants. In addition a growing urban population combined with other trends such as e-commerce and home delivery together with an ageing population will lead to an increase in demand for goods and services with a consequent increase in urban freight demand.</w:t>
      </w:r>
    </w:p>
    <w:p>
      <w:pPr>
        <w:pStyle w:val="LegalNumPar"/>
        <w:numPr>
          <w:ilvl w:val="0"/>
          <w:numId w:val="89"/>
        </w:numPr>
        <w:tabs>
          <w:tab w:val="left" w:pos="476"/>
        </w:tabs>
        <w:spacing w:line="240" w:lineRule="auto"/>
        <w:rPr>
          <w:noProof/>
          <w:lang w:eastAsia="en-US"/>
        </w:rPr>
      </w:pPr>
      <w:r>
        <w:rPr>
          <w:noProof/>
          <w:lang w:eastAsia="en-US"/>
        </w:rPr>
        <w:t>Hence a special consideration to Sustainable Urban Logistics Planning (SULP) is needed</w:t>
      </w:r>
      <w:r>
        <w:rPr>
          <w:noProof/>
          <w:vertAlign w:val="superscript"/>
          <w:lang w:eastAsia="en-US"/>
        </w:rPr>
        <w:footnoteReference w:id="327"/>
      </w:r>
      <w:r>
        <w:rPr>
          <w:noProof/>
          <w:lang w:eastAsia="en-US"/>
        </w:rPr>
        <w:t xml:space="preserve">. This is of high relevance for cities as urban logistics planning is a complex process. There is significant potential to improve operations and services, and captive fleets, such as mail delivery vehicles and refuse collection vehicles, can be well suited for the early introduction of new types of vehicles, alternative fuels and safety technology to reduce emissions and safety risks. </w:t>
      </w:r>
    </w:p>
    <w:p>
      <w:pPr>
        <w:pStyle w:val="LegalNumPar"/>
        <w:numPr>
          <w:ilvl w:val="0"/>
          <w:numId w:val="89"/>
        </w:numPr>
        <w:tabs>
          <w:tab w:val="left" w:pos="476"/>
        </w:tabs>
        <w:spacing w:line="240" w:lineRule="auto"/>
        <w:rPr>
          <w:noProof/>
          <w:lang w:eastAsia="en-US"/>
        </w:rPr>
      </w:pPr>
      <w:r>
        <w:rPr>
          <w:noProof/>
          <w:lang w:eastAsia="en-US"/>
        </w:rPr>
        <w:t>Thanks to the Directive on the deployment of alternative fuels infrastructure</w:t>
      </w:r>
      <w:r>
        <w:rPr>
          <w:rStyle w:val="FootnoteReference"/>
          <w:noProof/>
          <w:lang w:eastAsia="en-US"/>
        </w:rPr>
        <w:footnoteReference w:id="328"/>
      </w:r>
      <w:r>
        <w:rPr>
          <w:noProof/>
          <w:lang w:eastAsia="en-US"/>
        </w:rPr>
        <w:t>, to CO</w:t>
      </w:r>
      <w:r>
        <w:rPr>
          <w:noProof/>
          <w:vertAlign w:val="subscript"/>
          <w:lang w:eastAsia="en-US"/>
        </w:rPr>
        <w:t xml:space="preserve">2 </w:t>
      </w:r>
      <w:r>
        <w:rPr>
          <w:noProof/>
          <w:lang w:eastAsia="en-US"/>
        </w:rPr>
        <w:t>emission performance standards for cars and light- and heavy-duty vehicles</w:t>
      </w:r>
      <w:r>
        <w:rPr>
          <w:rStyle w:val="FootnoteReference"/>
          <w:noProof/>
          <w:lang w:eastAsia="en-US"/>
        </w:rPr>
        <w:footnoteReference w:id="329"/>
      </w:r>
      <w:r>
        <w:rPr>
          <w:noProof/>
          <w:lang w:eastAsia="en-US"/>
        </w:rPr>
        <w:t xml:space="preserve"> and to the Clean Vehicles Directive</w:t>
      </w:r>
      <w:r>
        <w:rPr>
          <w:rStyle w:val="FootnoteReference"/>
          <w:noProof/>
          <w:lang w:eastAsia="en-US"/>
        </w:rPr>
        <w:footnoteReference w:id="330"/>
      </w:r>
      <w:r>
        <w:rPr>
          <w:noProof/>
          <w:lang w:eastAsia="en-US"/>
        </w:rPr>
        <w:t>, the key elements of the regulatory framework to promote sustainable alternative fuels and zero- and low-emission vehicles are now in place. This framework is complemented by platforms for exchange of best practice like CIVITAS and ELTIS as well as EU financial support.</w:t>
      </w:r>
    </w:p>
    <w:p>
      <w:pPr>
        <w:pStyle w:val="LegalNumPar"/>
        <w:numPr>
          <w:ilvl w:val="0"/>
          <w:numId w:val="89"/>
        </w:numPr>
        <w:tabs>
          <w:tab w:val="left" w:pos="476"/>
        </w:tabs>
        <w:spacing w:line="240" w:lineRule="auto"/>
        <w:rPr>
          <w:noProof/>
          <w:lang w:eastAsia="en-US"/>
        </w:rPr>
      </w:pPr>
      <w:r>
        <w:rPr>
          <w:noProof/>
          <w:lang w:eastAsia="en-US"/>
        </w:rPr>
        <w:t>Multimodal integration of urban logistics, including the use of zero and low emission vehicles, urban rail and inland navigation is important. It can create a reliable and safe alternative to road only solutions, making better use of the available infrastructure and services, thus contributing to a strong, resilient and integrated transport system. Smaller suburban hubs or depots can avoid operations of several delivery services on the same routes by an effective use of common package stations. The last mile delivery in the city centres can then be transformed into cleaner modes such as electric vehicles, cargo bikes</w:t>
      </w:r>
      <w:r>
        <w:rPr>
          <w:rStyle w:val="FootnoteReference"/>
          <w:noProof/>
          <w:lang w:eastAsia="en-US"/>
        </w:rPr>
        <w:footnoteReference w:id="331"/>
      </w:r>
      <w:r>
        <w:rPr>
          <w:noProof/>
          <w:lang w:eastAsia="en-US"/>
        </w:rPr>
        <w:t xml:space="preserve"> or zero emission inland vessels. </w:t>
      </w:r>
    </w:p>
    <w:p>
      <w:pPr>
        <w:pStyle w:val="LegalNumPar"/>
        <w:numPr>
          <w:ilvl w:val="0"/>
          <w:numId w:val="89"/>
        </w:numPr>
        <w:tabs>
          <w:tab w:val="left" w:pos="476"/>
        </w:tabs>
        <w:spacing w:line="240" w:lineRule="auto"/>
        <w:rPr>
          <w:noProof/>
        </w:rPr>
      </w:pPr>
      <w:r>
        <w:rPr>
          <w:noProof/>
          <w:color w:val="000000" w:themeColor="text1"/>
        </w:rPr>
        <w:t xml:space="preserve">Urban and regional freight services have seen significant innovation through the deployment of real-time smart logistics information and tracking networks, warehouse automation, a </w:t>
      </w:r>
      <w:r>
        <w:rPr>
          <w:noProof/>
        </w:rPr>
        <w:t>growing</w:t>
      </w:r>
      <w:r>
        <w:rPr>
          <w:noProof/>
          <w:color w:val="000000" w:themeColor="text1"/>
        </w:rPr>
        <w:t xml:space="preserve"> fleet of electric delivery vehicles and the emergence of sustainable micro-distribution by cargo bikes or other micro-vehicles, including, potentially, drones. While digital solutions have already been in use for some time, next steps include the sharing of data and information to consumers, retailers and distributors to squeeze efficiency from the system. Furthermore data collection and sharing of data are pivotal areas for reinforced cooperation as well as that of working on common indicators for urban logistics. </w:t>
      </w:r>
    </w:p>
    <w:p>
      <w:pPr>
        <w:pStyle w:val="Heading3"/>
        <w:rPr>
          <w:noProof/>
        </w:rPr>
      </w:pPr>
      <w:bookmarkStart w:id="2874" w:name="_Toc53434949"/>
      <w:bookmarkStart w:id="2875" w:name="_Toc51450109"/>
      <w:bookmarkStart w:id="2876" w:name="_Toc51574808"/>
      <w:bookmarkStart w:id="2877" w:name="_Toc51575656"/>
      <w:bookmarkStart w:id="2878" w:name="_Toc51578054"/>
      <w:bookmarkStart w:id="2879" w:name="_Toc51578606"/>
      <w:bookmarkStart w:id="2880" w:name="_Toc51582927"/>
      <w:bookmarkStart w:id="2881" w:name="_Toc51583402"/>
      <w:bookmarkStart w:id="2882" w:name="_Toc51583492"/>
      <w:bookmarkStart w:id="2883" w:name="_Toc51583777"/>
      <w:bookmarkStart w:id="2884" w:name="_Toc51583967"/>
      <w:bookmarkStart w:id="2885" w:name="_Toc51583891"/>
      <w:bookmarkStart w:id="2886" w:name="_Toc51586209"/>
      <w:bookmarkStart w:id="2887" w:name="_Toc51594012"/>
      <w:bookmarkStart w:id="2888" w:name="_Toc51594338"/>
      <w:bookmarkStart w:id="2889" w:name="_Toc51595316"/>
      <w:bookmarkStart w:id="2890" w:name="_Toc51595566"/>
      <w:bookmarkStart w:id="2891" w:name="_Toc51595892"/>
      <w:bookmarkStart w:id="2892" w:name="_Toc51596055"/>
      <w:bookmarkStart w:id="2893" w:name="_Toc51596408"/>
      <w:bookmarkStart w:id="2894" w:name="_Toc52121542"/>
      <w:bookmarkStart w:id="2895" w:name="_Toc52122773"/>
      <w:bookmarkStart w:id="2896" w:name="_Toc52123890"/>
      <w:bookmarkStart w:id="2897" w:name="_Toc53405349"/>
      <w:bookmarkStart w:id="2898" w:name="_Toc53406137"/>
      <w:bookmarkStart w:id="2899" w:name="_Toc53407505"/>
      <w:bookmarkStart w:id="2900" w:name="_Toc53410950"/>
      <w:bookmarkStart w:id="2901" w:name="_Toc53412013"/>
      <w:bookmarkStart w:id="2902" w:name="_Toc53417260"/>
      <w:bookmarkStart w:id="2903" w:name="_Toc53417612"/>
      <w:bookmarkStart w:id="2904" w:name="_Toc53419847"/>
      <w:bookmarkStart w:id="2905" w:name="_Toc53434950"/>
      <w:bookmarkStart w:id="2906" w:name="_Toc53437089"/>
      <w:bookmarkStart w:id="2907" w:name="_Toc57291495"/>
      <w:r>
        <w:rPr>
          <w:noProof/>
        </w:rPr>
        <w:t xml:space="preserve">Multimodality </w:t>
      </w:r>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r>
        <w:rPr>
          <w:noProof/>
        </w:rPr>
        <w:t>and modal shift</w:t>
      </w:r>
      <w:bookmarkEnd w:id="2907"/>
    </w:p>
    <w:p>
      <w:pPr>
        <w:pStyle w:val="LegalNumPar"/>
        <w:numPr>
          <w:ilvl w:val="0"/>
          <w:numId w:val="89"/>
        </w:numPr>
        <w:tabs>
          <w:tab w:val="left" w:pos="476"/>
        </w:tabs>
        <w:spacing w:line="240" w:lineRule="auto"/>
        <w:rPr>
          <w:noProof/>
          <w:szCs w:val="24"/>
          <w:lang w:eastAsia="en-US"/>
        </w:rPr>
      </w:pPr>
      <w:r>
        <w:rPr>
          <w:noProof/>
          <w:szCs w:val="24"/>
        </w:rPr>
        <w:t>The European Green Deal states that: “</w:t>
      </w:r>
      <w:r>
        <w:rPr>
          <w:bCs/>
          <w:i/>
          <w:noProof/>
          <w:szCs w:val="24"/>
        </w:rPr>
        <w:t xml:space="preserve">Multimodal transport needs a strong boost. </w:t>
      </w:r>
      <w:r>
        <w:rPr>
          <w:i/>
          <w:noProof/>
          <w:szCs w:val="24"/>
        </w:rPr>
        <w:t>This will increase the efficiency of the transport system. As a matter of priority, a substantial part of the 75% of inland freight carried today by road should shift onto rail and inland waterways</w:t>
      </w:r>
      <w:r>
        <w:rPr>
          <w:noProof/>
          <w:szCs w:val="24"/>
        </w:rPr>
        <w:t>”.</w:t>
      </w:r>
    </w:p>
    <w:p>
      <w:pPr>
        <w:pStyle w:val="LegalNumPar"/>
        <w:numPr>
          <w:ilvl w:val="0"/>
          <w:numId w:val="89"/>
        </w:numPr>
        <w:tabs>
          <w:tab w:val="left" w:pos="476"/>
        </w:tabs>
        <w:spacing w:line="240" w:lineRule="auto"/>
        <w:rPr>
          <w:noProof/>
          <w:lang w:eastAsia="en-US"/>
        </w:rPr>
      </w:pPr>
      <w:r>
        <w:rPr>
          <w:noProof/>
          <w:szCs w:val="24"/>
        </w:rPr>
        <w:t xml:space="preserve"> ‘Multimodality’ in the transport sector, or "multimodal transport" refers to the use of different modes (or means</w:t>
      </w:r>
      <w:r>
        <w:rPr>
          <w:noProof/>
        </w:rPr>
        <w:t>) of transport on the same journey. The concept applies to both freight and passenger transport and in both cases can now be driven on by the growing trend towards digitalisation. Multimodality takes advantage of the strengths of the different modes, such as convenience, speed, cost, reliability, predictability, and in combination, can offer more efficient transport solutions for people and goods which will help ease the pressure on our congested transport infrastructure, and make the whole sector more environmentally friendly, safer, and cost efficient.</w:t>
      </w:r>
    </w:p>
    <w:p>
      <w:pPr>
        <w:pStyle w:val="LegalNumPar"/>
        <w:numPr>
          <w:ilvl w:val="0"/>
          <w:numId w:val="89"/>
        </w:numPr>
        <w:tabs>
          <w:tab w:val="left" w:pos="476"/>
        </w:tabs>
        <w:spacing w:line="240" w:lineRule="auto"/>
        <w:rPr>
          <w:noProof/>
          <w:lang w:eastAsia="en-US"/>
        </w:rPr>
      </w:pPr>
      <w:r>
        <w:rPr>
          <w:noProof/>
        </w:rPr>
        <w:t xml:space="preserve">The whole EU would benefit from a more resource-efficient transport system, in particular one that better optimises the combined use of soft modes, individual road, collective road and rail as well as longer-distance air transport for passengers, and rail, waterborne and road transport for freight. </w:t>
      </w:r>
      <w:r>
        <w:rPr>
          <w:noProof/>
          <w:lang w:eastAsia="en-US"/>
        </w:rPr>
        <w:t>Multimodality can provide an attractive and efficient alternative to private car ownership and transport by lorries. However infrastructure, tools and incentives for multi-modal connectivity are still limited and vary widely between Member States and regions. Multimodal transport is hindered also by administrative barriers and excessive complexity due to differences in sectoral and modal legislations at both the EU and national levels.</w:t>
      </w:r>
    </w:p>
    <w:p>
      <w:pPr>
        <w:pStyle w:val="LegalNumPar"/>
        <w:numPr>
          <w:ilvl w:val="0"/>
          <w:numId w:val="89"/>
        </w:numPr>
        <w:tabs>
          <w:tab w:val="left" w:pos="476"/>
        </w:tabs>
        <w:spacing w:line="240" w:lineRule="auto"/>
        <w:rPr>
          <w:noProof/>
        </w:rPr>
      </w:pPr>
      <w:r>
        <w:rPr>
          <w:noProof/>
          <w:lang w:eastAsia="en-US"/>
        </w:rPr>
        <w:t>To understand the current role each transport mode plays in the EU-27 for freight, it is worth noting that the modal split has not significantly changed since 2008. For the external trade of the EU in 2018, maritime transport was the predominant mode, representing 46.7% of the value of exports and imports, followed by air transport (20.6 % and road transport (20.4%). For intra-EU trade, maritime transport counted for 29.2 % of the modal split in 2018 (2008: 25.9 %), whereas road transport represented half of the modal split for freight in 2018 (51%, slightly less than in 2008). The modal share of rail freight transport has decreased marginally from 13.2% in 2008 to 12.6% in 2018. The (low) share of inland navigation in the modal split for freight slightly decreased from 4.6% to 3.9 % during the same period.</w:t>
      </w:r>
      <w:r>
        <w:rPr>
          <w:rStyle w:val="FootnoteReference"/>
          <w:noProof/>
          <w:lang w:eastAsia="en-US"/>
        </w:rPr>
        <w:footnoteReference w:id="332"/>
      </w:r>
    </w:p>
    <w:p>
      <w:pPr>
        <w:pStyle w:val="LegalNumPar"/>
        <w:numPr>
          <w:ilvl w:val="0"/>
          <w:numId w:val="89"/>
        </w:numPr>
        <w:tabs>
          <w:tab w:val="left" w:pos="476"/>
        </w:tabs>
        <w:spacing w:line="240" w:lineRule="auto"/>
        <w:rPr>
          <w:noProof/>
        </w:rPr>
      </w:pPr>
      <w:r>
        <w:rPr>
          <w:noProof/>
          <w:lang w:eastAsia="en-US"/>
        </w:rPr>
        <w:t>For passenger transport in the EU-27, cars remain the dominant mode of transport, with a share of 71.7 % in 2018 (2008: 72.6%). Intra-EU aviation has expanded its modal share from 7.1 % in 2008 to 9.6 % in 2018 and is thus ahead of buses and coaches (8 % in 2018) and railways (6.9% in 20178.</w:t>
      </w:r>
      <w:r>
        <w:rPr>
          <w:noProof/>
          <w:vertAlign w:val="superscript"/>
        </w:rPr>
        <w:footnoteReference w:id="333"/>
      </w:r>
    </w:p>
    <w:p>
      <w:pPr>
        <w:pStyle w:val="LegalNumPar"/>
        <w:numPr>
          <w:ilvl w:val="0"/>
          <w:numId w:val="89"/>
        </w:numPr>
        <w:tabs>
          <w:tab w:val="left" w:pos="476"/>
        </w:tabs>
        <w:spacing w:line="240" w:lineRule="auto"/>
        <w:rPr>
          <w:noProof/>
          <w:lang w:eastAsia="en-US"/>
        </w:rPr>
      </w:pPr>
      <w:r>
        <w:rPr>
          <w:noProof/>
          <w:lang w:eastAsia="en-US"/>
        </w:rPr>
        <w:t xml:space="preserve">Looking at land transport only, the passenger car dominates within the EU-27, with a share of 78 % in 2008 and 80 % in 2018. Throughout the same period, the rail mode share rose from 7.3% to 7.7 % and tram and metro mode share rose from 1.6% to 1.7%. Bus and coach share instead fell from 10.3% to 9 %. Looking at each country, </w:t>
      </w:r>
      <w:r>
        <w:rPr>
          <w:noProof/>
        </w:rPr>
        <w:t>the figure below</w:t>
      </w:r>
      <w:r>
        <w:rPr>
          <w:noProof/>
          <w:lang w:eastAsia="en-US"/>
        </w:rPr>
        <w:t xml:space="preserve"> shows that in 2018 Austria, the Netherlands and France were the only countries where rail had a share of more than 10%. Between 2015 and 2018, the rail modal share increased</w:t>
      </w:r>
      <w:r>
        <w:rPr>
          <w:rStyle w:val="FootnoteReference"/>
          <w:noProof/>
          <w:lang w:eastAsia="en-US"/>
        </w:rPr>
        <w:footnoteReference w:id="334"/>
      </w:r>
      <w:r>
        <w:rPr>
          <w:noProof/>
          <w:lang w:eastAsia="en-US"/>
        </w:rPr>
        <w:t xml:space="preserve"> the most in Poland, Czechia, Austria and Estonia and decreased the most in Denmark, Hungary and Croatia (change in percentage points). </w:t>
      </w:r>
    </w:p>
    <w:p>
      <w:pPr>
        <w:pStyle w:val="Caption"/>
        <w:keepNext/>
        <w:keepLines/>
        <w:jc w:val="center"/>
        <w:rPr>
          <w:i w:val="0"/>
          <w:noProof/>
        </w:rPr>
      </w:pPr>
      <w:bookmarkStart w:id="2908" w:name="_Toc51593784"/>
      <w:bookmarkStart w:id="2909" w:name="_Toc51595251"/>
      <w:bookmarkStart w:id="2910" w:name="_Toc51595501"/>
      <w:bookmarkStart w:id="2911" w:name="_Toc51595827"/>
      <w:bookmarkStart w:id="2912" w:name="_Toc51595990"/>
      <w:bookmarkStart w:id="2913" w:name="_Toc52121477"/>
      <w:bookmarkStart w:id="2914" w:name="_Toc52122708"/>
      <w:bookmarkStart w:id="2915" w:name="_Toc53405272"/>
      <w:bookmarkStart w:id="2916" w:name="_Toc53406062"/>
      <w:bookmarkStart w:id="2917" w:name="_Toc53407428"/>
      <w:bookmarkStart w:id="2918" w:name="_Toc53410875"/>
      <w:bookmarkStart w:id="2919" w:name="_Toc53411938"/>
      <w:bookmarkStart w:id="2920" w:name="_Toc53417185"/>
      <w:bookmarkStart w:id="2921" w:name="_Toc53417537"/>
      <w:bookmarkStart w:id="2922" w:name="_Toc53419570"/>
      <w:bookmarkStart w:id="2923" w:name="_Toc53434875"/>
      <w:bookmarkStart w:id="2924" w:name="_Toc53437015"/>
      <w:bookmarkStart w:id="2925" w:name="_Toc51450044"/>
      <w:bookmarkStart w:id="2926" w:name="_Toc57291675"/>
      <w:r>
        <w:rPr>
          <w:i w:val="0"/>
          <w:noProof/>
        </w:rPr>
        <w:t xml:space="preserve">Figure </w:t>
      </w:r>
      <w:r>
        <w:rPr>
          <w:noProof/>
        </w:rPr>
        <w:fldChar w:fldCharType="begin"/>
      </w:r>
      <w:r>
        <w:rPr>
          <w:i w:val="0"/>
          <w:noProof/>
        </w:rPr>
        <w:instrText xml:space="preserve"> SEQ Figure \* ARABIC </w:instrText>
      </w:r>
      <w:r>
        <w:rPr>
          <w:noProof/>
        </w:rPr>
        <w:fldChar w:fldCharType="separate"/>
      </w:r>
      <w:r>
        <w:rPr>
          <w:i w:val="0"/>
          <w:noProof/>
        </w:rPr>
        <w:t>31</w:t>
      </w:r>
      <w:r>
        <w:rPr>
          <w:noProof/>
        </w:rPr>
        <w:fldChar w:fldCharType="end"/>
      </w:r>
      <w:r>
        <w:rPr>
          <w:i w:val="0"/>
          <w:noProof/>
        </w:rPr>
        <w:t>: Passenger land transport modal split by country (%, 2018) and change in percentage points for rail (2015-2018)</w:t>
      </w:r>
      <w:r>
        <w:rPr>
          <w:noProof/>
          <w:vertAlign w:val="superscript"/>
        </w:rPr>
        <w:footnoteReference w:id="335"/>
      </w:r>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p>
    <w:p>
      <w:pPr>
        <w:rPr>
          <w:noProof/>
        </w:rPr>
      </w:pPr>
      <w:r>
        <w:rPr>
          <w:noProof/>
        </w:rPr>
        <w:drawing>
          <wp:inline distT="0" distB="0" distL="0" distR="0">
            <wp:extent cx="5400040" cy="2928191"/>
            <wp:effectExtent l="0" t="0" r="0" b="5715"/>
            <wp:docPr id="1657890226" name="Picture 1657890226" descr="\\NET1.cec.eu.int\homes\115\sulyoge\My Documents\White Paper\SWD\Figures\Pictur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T1.cec.eu.int\homes\115\sulyoge\My Documents\White Paper\SWD\Figures\Picture19.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00040" cy="2928191"/>
                    </a:xfrm>
                    <a:prstGeom prst="rect">
                      <a:avLst/>
                    </a:prstGeom>
                    <a:noFill/>
                    <a:ln>
                      <a:noFill/>
                    </a:ln>
                  </pic:spPr>
                </pic:pic>
              </a:graphicData>
            </a:graphic>
          </wp:inline>
        </w:drawing>
      </w:r>
    </w:p>
    <w:p>
      <w:pPr>
        <w:pStyle w:val="LegalNumPar"/>
        <w:tabs>
          <w:tab w:val="left" w:pos="476"/>
        </w:tabs>
        <w:spacing w:line="240" w:lineRule="auto"/>
        <w:rPr>
          <w:i/>
          <w:noProof/>
          <w:sz w:val="16"/>
          <w:szCs w:val="16"/>
          <w:lang w:val="en-US"/>
        </w:rPr>
      </w:pPr>
      <w:r>
        <w:rPr>
          <w:i/>
          <w:iCs/>
          <w:noProof/>
          <w:sz w:val="16"/>
          <w:szCs w:val="16"/>
          <w:lang w:val="en-US"/>
        </w:rPr>
        <w:t>Source: Eurostat and statistical pocketbook 2020.</w:t>
      </w:r>
    </w:p>
    <w:p>
      <w:pPr>
        <w:pStyle w:val="LegalNumPar"/>
        <w:tabs>
          <w:tab w:val="left" w:pos="476"/>
        </w:tabs>
        <w:spacing w:line="240" w:lineRule="auto"/>
        <w:rPr>
          <w:i/>
          <w:noProof/>
          <w:sz w:val="16"/>
          <w:szCs w:val="16"/>
          <w:lang w:eastAsia="en-US"/>
        </w:rPr>
      </w:pPr>
    </w:p>
    <w:p>
      <w:pPr>
        <w:pStyle w:val="LegalNumPar"/>
        <w:numPr>
          <w:ilvl w:val="0"/>
          <w:numId w:val="89"/>
        </w:numPr>
        <w:tabs>
          <w:tab w:val="left" w:pos="476"/>
        </w:tabs>
        <w:spacing w:line="240" w:lineRule="auto"/>
        <w:rPr>
          <w:noProof/>
        </w:rPr>
      </w:pPr>
      <w:r>
        <w:rPr>
          <w:noProof/>
        </w:rPr>
        <w:t>According to a detailed analysis of rail passenger services by DG REGIO, rail transport performance is widely disparate across the European Union</w:t>
      </w:r>
      <w:r>
        <w:rPr>
          <w:rStyle w:val="FootnoteReference"/>
          <w:noProof/>
        </w:rPr>
        <w:footnoteReference w:id="336"/>
      </w:r>
      <w:r>
        <w:rPr>
          <w:noProof/>
        </w:rPr>
        <w:t xml:space="preserve">. While cities consistently perform better than towns, suburbs and rural areas in all countries, there are also cities with no rail services during peak travelling hours. </w:t>
      </w:r>
    </w:p>
    <w:p>
      <w:pPr>
        <w:pStyle w:val="LegalNumPar"/>
        <w:numPr>
          <w:ilvl w:val="0"/>
          <w:numId w:val="89"/>
        </w:numPr>
        <w:tabs>
          <w:tab w:val="left" w:pos="476"/>
        </w:tabs>
        <w:spacing w:line="240" w:lineRule="auto"/>
        <w:rPr>
          <w:noProof/>
          <w:lang w:eastAsia="en-US"/>
        </w:rPr>
      </w:pPr>
      <w:bookmarkStart w:id="2927" w:name="_Toc51450045"/>
      <w:bookmarkStart w:id="2928" w:name="_Toc51593785"/>
      <w:bookmarkStart w:id="2929" w:name="_Toc51595252"/>
      <w:bookmarkStart w:id="2930" w:name="_Toc51595502"/>
      <w:bookmarkStart w:id="2931" w:name="_Toc51595828"/>
      <w:bookmarkStart w:id="2932" w:name="_Toc51595991"/>
      <w:bookmarkStart w:id="2933" w:name="_Toc52121478"/>
      <w:bookmarkStart w:id="2934" w:name="_Toc52122709"/>
      <w:bookmarkStart w:id="2935" w:name="_Toc53405273"/>
      <w:bookmarkStart w:id="2936" w:name="_Toc53406063"/>
      <w:bookmarkStart w:id="2937" w:name="_Toc53407429"/>
      <w:bookmarkStart w:id="2938" w:name="_Toc53410876"/>
      <w:bookmarkStart w:id="2939" w:name="_Toc53411939"/>
      <w:bookmarkStart w:id="2940" w:name="_Toc53417186"/>
      <w:bookmarkStart w:id="2941" w:name="_Toc53417538"/>
      <w:bookmarkStart w:id="2942" w:name="_Toc53419571"/>
      <w:bookmarkStart w:id="2943" w:name="_Toc53434876"/>
      <w:bookmarkStart w:id="2944" w:name="_Toc53437016"/>
      <w:r>
        <w:rPr>
          <w:noProof/>
          <w:lang w:eastAsia="en-US"/>
        </w:rPr>
        <w:t>Analysis shows that improving the offer of high-speed rail services would provide passengers with an alternative to short-haul flights. In particular where high-speed rail services can be linked to form an attractive offer with long distance flights (e.g. Paris, Frankfurt, Amsterdam), this could not only reduce CO</w:t>
      </w:r>
      <w:r>
        <w:rPr>
          <w:noProof/>
          <w:vertAlign w:val="subscript"/>
          <w:lang w:eastAsia="en-US"/>
        </w:rPr>
        <w:t>2</w:t>
      </w:r>
      <w:r>
        <w:rPr>
          <w:noProof/>
          <w:lang w:eastAsia="en-US"/>
        </w:rPr>
        <w:t xml:space="preserve"> emissions compared to short-haul feeder flights, but also free up scarce airport capacity and avoid maintaining unprofitable air routes. This would however require investments into improving the access of high-speed rail to airports.  </w:t>
      </w:r>
    </w:p>
    <w:p>
      <w:pPr>
        <w:pStyle w:val="Caption"/>
        <w:keepNext/>
        <w:keepLines/>
        <w:jc w:val="center"/>
        <w:rPr>
          <w:b w:val="0"/>
          <w:i w:val="0"/>
          <w:noProof/>
          <w:vertAlign w:val="superscript"/>
        </w:rPr>
      </w:pPr>
      <w:bookmarkStart w:id="2945" w:name="_Toc57291676"/>
      <w:r>
        <w:rPr>
          <w:i w:val="0"/>
          <w:noProof/>
        </w:rPr>
        <w:t xml:space="preserve">Figure </w:t>
      </w:r>
      <w:r>
        <w:rPr>
          <w:noProof/>
        </w:rPr>
        <w:fldChar w:fldCharType="begin"/>
      </w:r>
      <w:r>
        <w:rPr>
          <w:i w:val="0"/>
          <w:noProof/>
        </w:rPr>
        <w:instrText xml:space="preserve"> SEQ Figure \* ARABIC </w:instrText>
      </w:r>
      <w:r>
        <w:rPr>
          <w:noProof/>
        </w:rPr>
        <w:fldChar w:fldCharType="separate"/>
      </w:r>
      <w:r>
        <w:rPr>
          <w:i w:val="0"/>
          <w:noProof/>
        </w:rPr>
        <w:t>32</w:t>
      </w:r>
      <w:r>
        <w:rPr>
          <w:noProof/>
        </w:rPr>
        <w:fldChar w:fldCharType="end"/>
      </w:r>
      <w:r>
        <w:rPr>
          <w:i w:val="0"/>
          <w:noProof/>
        </w:rPr>
        <w:t>: Air routes between metropolitan regions where rail travel times are below 2.5 hours by train</w:t>
      </w:r>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p>
    <w:p>
      <w:pPr>
        <w:pStyle w:val="LegalNumPar"/>
        <w:tabs>
          <w:tab w:val="left" w:pos="0"/>
        </w:tabs>
        <w:spacing w:line="240" w:lineRule="auto"/>
        <w:jc w:val="center"/>
        <w:rPr>
          <w:noProof/>
          <w:lang w:eastAsia="en-US"/>
        </w:rPr>
      </w:pPr>
      <w:r>
        <w:rPr>
          <w:noProof/>
        </w:rPr>
        <w:drawing>
          <wp:inline distT="0" distB="0" distL="0" distR="0">
            <wp:extent cx="5393055" cy="5334000"/>
            <wp:effectExtent l="0" t="0" r="0" b="0"/>
            <wp:docPr id="14" name="Picture 14" descr="C:\Users\sulyoge\Documents\Picture4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lyoge\Documents\Picture41-min.jpg"/>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393055" cy="5334000"/>
                    </a:xfrm>
                    <a:prstGeom prst="rect">
                      <a:avLst/>
                    </a:prstGeom>
                    <a:noFill/>
                    <a:ln>
                      <a:noFill/>
                    </a:ln>
                  </pic:spPr>
                </pic:pic>
              </a:graphicData>
            </a:graphic>
          </wp:inline>
        </w:drawing>
      </w:r>
    </w:p>
    <w:p>
      <w:pPr>
        <w:pStyle w:val="LegalNumPar"/>
        <w:tabs>
          <w:tab w:val="left" w:pos="476"/>
        </w:tabs>
        <w:spacing w:line="240" w:lineRule="auto"/>
        <w:ind w:left="476"/>
        <w:rPr>
          <w:i/>
          <w:noProof/>
          <w:sz w:val="16"/>
          <w:szCs w:val="16"/>
          <w:lang w:eastAsia="en-US"/>
        </w:rPr>
      </w:pPr>
      <w:r>
        <w:rPr>
          <w:i/>
          <w:iCs/>
          <w:noProof/>
          <w:sz w:val="16"/>
          <w:szCs w:val="16"/>
          <w:lang w:val="en-US"/>
        </w:rPr>
        <w:t>Source: EBP work for the European Commission</w:t>
      </w:r>
    </w:p>
    <w:p>
      <w:pPr>
        <w:pStyle w:val="Caption"/>
        <w:keepNext/>
        <w:keepLines/>
        <w:jc w:val="center"/>
        <w:rPr>
          <w:b w:val="0"/>
          <w:i w:val="0"/>
          <w:noProof/>
          <w:vertAlign w:val="superscript"/>
        </w:rPr>
      </w:pPr>
      <w:bookmarkStart w:id="2946" w:name="_Toc51450046"/>
      <w:bookmarkStart w:id="2947" w:name="_Toc51593786"/>
      <w:bookmarkStart w:id="2948" w:name="_Toc51595253"/>
      <w:bookmarkStart w:id="2949" w:name="_Toc51595503"/>
      <w:bookmarkStart w:id="2950" w:name="_Toc51595829"/>
      <w:bookmarkStart w:id="2951" w:name="_Toc51595992"/>
      <w:bookmarkStart w:id="2952" w:name="_Toc52121479"/>
      <w:bookmarkStart w:id="2953" w:name="_Toc52122710"/>
      <w:bookmarkStart w:id="2954" w:name="_Toc53405274"/>
      <w:bookmarkStart w:id="2955" w:name="_Toc53406064"/>
      <w:bookmarkStart w:id="2956" w:name="_Toc53407430"/>
      <w:bookmarkStart w:id="2957" w:name="_Toc53410877"/>
      <w:bookmarkStart w:id="2958" w:name="_Toc53411940"/>
      <w:bookmarkStart w:id="2959" w:name="_Toc53417187"/>
      <w:bookmarkStart w:id="2960" w:name="_Toc53417539"/>
      <w:bookmarkStart w:id="2961" w:name="_Toc53419572"/>
      <w:bookmarkStart w:id="2962" w:name="_Toc53434877"/>
      <w:bookmarkStart w:id="2963" w:name="_Toc53437017"/>
      <w:bookmarkStart w:id="2964" w:name="_Toc57291677"/>
      <w:r>
        <w:rPr>
          <w:i w:val="0"/>
          <w:noProof/>
        </w:rPr>
        <w:t xml:space="preserve">Figure </w:t>
      </w:r>
      <w:r>
        <w:rPr>
          <w:noProof/>
        </w:rPr>
        <w:fldChar w:fldCharType="begin"/>
      </w:r>
      <w:r>
        <w:rPr>
          <w:i w:val="0"/>
          <w:noProof/>
        </w:rPr>
        <w:instrText xml:space="preserve"> SEQ Figure \* ARABIC </w:instrText>
      </w:r>
      <w:r>
        <w:rPr>
          <w:noProof/>
        </w:rPr>
        <w:fldChar w:fldCharType="separate"/>
      </w:r>
      <w:r>
        <w:rPr>
          <w:i w:val="0"/>
          <w:noProof/>
        </w:rPr>
        <w:t>33</w:t>
      </w:r>
      <w:r>
        <w:rPr>
          <w:noProof/>
        </w:rPr>
        <w:fldChar w:fldCharType="end"/>
      </w:r>
      <w:r>
        <w:rPr>
          <w:i w:val="0"/>
          <w:noProof/>
        </w:rPr>
        <w:t>: Air routes between metropolitan regions where rail travel times are below 4 hours by train</w:t>
      </w:r>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p>
    <w:p>
      <w:pPr>
        <w:pStyle w:val="Caption"/>
        <w:keepNext/>
        <w:keepLines/>
        <w:jc w:val="center"/>
        <w:rPr>
          <w:noProof/>
          <w:lang w:eastAsia="en-US"/>
        </w:rPr>
      </w:pPr>
      <w:r>
        <w:rPr>
          <w:noProof/>
        </w:rPr>
        <w:drawing>
          <wp:inline distT="0" distB="0" distL="0" distR="0">
            <wp:extent cx="5376545" cy="5410200"/>
            <wp:effectExtent l="0" t="0" r="0" b="0"/>
            <wp:docPr id="15" name="Picture 15" descr="C:\Users\sulyoge\Documents\Picture42-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lyoge\Documents\Picture42-min.jpg"/>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5376545" cy="5410200"/>
                    </a:xfrm>
                    <a:prstGeom prst="rect">
                      <a:avLst/>
                    </a:prstGeom>
                    <a:noFill/>
                    <a:ln>
                      <a:noFill/>
                    </a:ln>
                  </pic:spPr>
                </pic:pic>
              </a:graphicData>
            </a:graphic>
          </wp:inline>
        </w:drawing>
      </w:r>
    </w:p>
    <w:p>
      <w:pPr>
        <w:pStyle w:val="LegalNumPar"/>
        <w:tabs>
          <w:tab w:val="left" w:pos="476"/>
        </w:tabs>
        <w:spacing w:line="240" w:lineRule="auto"/>
        <w:ind w:left="476"/>
        <w:rPr>
          <w:i/>
          <w:noProof/>
          <w:sz w:val="16"/>
          <w:szCs w:val="16"/>
          <w:lang w:eastAsia="en-US"/>
        </w:rPr>
      </w:pPr>
      <w:r>
        <w:rPr>
          <w:i/>
          <w:iCs/>
          <w:noProof/>
          <w:sz w:val="16"/>
          <w:szCs w:val="16"/>
          <w:lang w:val="en-US"/>
        </w:rPr>
        <w:t>Source: EBP work for the European Commission</w:t>
      </w:r>
    </w:p>
    <w:p>
      <w:pPr>
        <w:pStyle w:val="LegalNumPar"/>
        <w:tabs>
          <w:tab w:val="left" w:pos="476"/>
        </w:tabs>
        <w:spacing w:line="240" w:lineRule="auto"/>
        <w:ind w:left="476"/>
        <w:rPr>
          <w:noProof/>
        </w:rPr>
      </w:pPr>
    </w:p>
    <w:p>
      <w:pPr>
        <w:pStyle w:val="LegalNumPar"/>
        <w:numPr>
          <w:ilvl w:val="0"/>
          <w:numId w:val="89"/>
        </w:numPr>
        <w:tabs>
          <w:tab w:val="left" w:pos="476"/>
        </w:tabs>
        <w:spacing w:line="240" w:lineRule="auto"/>
        <w:rPr>
          <w:noProof/>
          <w:lang w:eastAsia="en-US"/>
        </w:rPr>
      </w:pPr>
      <w:r>
        <w:rPr>
          <w:noProof/>
          <w:lang w:eastAsia="en-US"/>
        </w:rPr>
        <w:t>Improving the offer in high-speed services is not only a question of providing adequate infrastructure but also of offering cheaper and more flexible and reliable rail services: market opening under the Fourth Railway Package will allow railway undertakings other than the national incumbent to offer services on any line in the EU (with exceptions to protect the viability of public service operations) from December 2020. However, international passenger services, including long-distance services and night trains, face the following problems</w:t>
      </w:r>
      <w:r>
        <w:rPr>
          <w:rStyle w:val="FootnoteReference"/>
          <w:noProof/>
          <w:lang w:eastAsia="en-US"/>
        </w:rPr>
        <w:footnoteReference w:id="337"/>
      </w:r>
      <w:r>
        <w:rPr>
          <w:noProof/>
          <w:lang w:eastAsia="en-US"/>
        </w:rPr>
        <w:t xml:space="preserve">: </w:t>
      </w:r>
    </w:p>
    <w:p>
      <w:pPr>
        <w:pStyle w:val="LegalNumPar"/>
        <w:numPr>
          <w:ilvl w:val="0"/>
          <w:numId w:val="99"/>
        </w:numPr>
        <w:tabs>
          <w:tab w:val="left" w:pos="476"/>
        </w:tabs>
        <w:spacing w:line="240" w:lineRule="auto"/>
        <w:rPr>
          <w:noProof/>
          <w:lang w:eastAsia="en-US"/>
        </w:rPr>
      </w:pPr>
      <w:r>
        <w:rPr>
          <w:noProof/>
          <w:lang w:eastAsia="en-US"/>
        </w:rPr>
        <w:t xml:space="preserve">Traffic planning and management is often insufficiently coordinated by infrastructure managers and authorities across borders; </w:t>
      </w:r>
    </w:p>
    <w:p>
      <w:pPr>
        <w:pStyle w:val="LegalNumPar"/>
        <w:numPr>
          <w:ilvl w:val="0"/>
          <w:numId w:val="99"/>
        </w:numPr>
        <w:tabs>
          <w:tab w:val="left" w:pos="476"/>
        </w:tabs>
        <w:spacing w:line="240" w:lineRule="auto"/>
        <w:rPr>
          <w:noProof/>
          <w:lang w:eastAsia="en-US"/>
        </w:rPr>
      </w:pPr>
      <w:r>
        <w:rPr>
          <w:noProof/>
          <w:lang w:eastAsia="en-US"/>
        </w:rPr>
        <w:t xml:space="preserve">Access to rail service facilities, ticket sale and real-time travel information during the journey can be difficult because not ensured seamlessly and across service providers; </w:t>
      </w:r>
    </w:p>
    <w:p>
      <w:pPr>
        <w:pStyle w:val="LegalNumPar"/>
        <w:numPr>
          <w:ilvl w:val="0"/>
          <w:numId w:val="99"/>
        </w:numPr>
        <w:tabs>
          <w:tab w:val="left" w:pos="476"/>
        </w:tabs>
        <w:spacing w:line="240" w:lineRule="auto"/>
        <w:rPr>
          <w:noProof/>
          <w:lang w:eastAsia="en-US"/>
        </w:rPr>
      </w:pPr>
      <w:r>
        <w:rPr>
          <w:noProof/>
          <w:lang w:eastAsia="en-US"/>
        </w:rPr>
        <w:t>Technical interoperability, in particular the use of different power systems and legacy signalling systems remains a challenge to cross-border service provision. Unjustified differences in national safety and operating rules cause obstacles to seamless transport.</w:t>
      </w:r>
    </w:p>
    <w:p>
      <w:pPr>
        <w:pStyle w:val="LegalNumPar"/>
        <w:numPr>
          <w:ilvl w:val="0"/>
          <w:numId w:val="99"/>
        </w:numPr>
        <w:tabs>
          <w:tab w:val="left" w:pos="476"/>
        </w:tabs>
        <w:spacing w:line="240" w:lineRule="auto"/>
        <w:rPr>
          <w:noProof/>
          <w:lang w:eastAsia="en-US"/>
        </w:rPr>
      </w:pPr>
      <w:r>
        <w:rPr>
          <w:noProof/>
          <w:lang w:eastAsia="en-US"/>
        </w:rPr>
        <w:t>Acquisition of rolling stock is challenging for new entrants due to the absence of a well-functioning second had rolling stock market.</w:t>
      </w:r>
    </w:p>
    <w:p>
      <w:pPr>
        <w:pStyle w:val="LegalNumPar"/>
        <w:numPr>
          <w:ilvl w:val="0"/>
          <w:numId w:val="99"/>
        </w:numPr>
        <w:tabs>
          <w:tab w:val="left" w:pos="476"/>
        </w:tabs>
        <w:spacing w:line="240" w:lineRule="auto"/>
        <w:rPr>
          <w:noProof/>
          <w:lang w:eastAsia="en-US"/>
        </w:rPr>
      </w:pPr>
      <w:r>
        <w:rPr>
          <w:noProof/>
          <w:lang w:eastAsia="en-US"/>
        </w:rPr>
        <w:t>Different approaches to charging and taxation across modes result in comparatively high prices for long distance passenger rail (rail infrastructure use is charged per km and mark-ups tend to focus on longer distance passenger rail as other market segments, such as, for instance, freight transport are less able to bear mark-ups).</w:t>
      </w:r>
    </w:p>
    <w:p>
      <w:pPr>
        <w:pStyle w:val="LegalNumPar"/>
        <w:numPr>
          <w:ilvl w:val="0"/>
          <w:numId w:val="99"/>
        </w:numPr>
        <w:tabs>
          <w:tab w:val="left" w:pos="476"/>
        </w:tabs>
        <w:spacing w:line="240" w:lineRule="auto"/>
        <w:rPr>
          <w:noProof/>
          <w:lang w:eastAsia="en-US"/>
        </w:rPr>
      </w:pPr>
      <w:r>
        <w:rPr>
          <w:noProof/>
          <w:lang w:eastAsia="en-US"/>
        </w:rPr>
        <w:t>Market opening will turn high-speed services that complied with certain publicly imposed requirements into hybrid services (partly open access, partly PSO based), which may raise legal and financial challenges for competent authorities and infrastructure manager.</w:t>
      </w:r>
    </w:p>
    <w:p>
      <w:pPr>
        <w:pStyle w:val="LegalNumPar"/>
        <w:numPr>
          <w:ilvl w:val="0"/>
          <w:numId w:val="89"/>
        </w:numPr>
        <w:tabs>
          <w:tab w:val="left" w:pos="476"/>
        </w:tabs>
        <w:spacing w:line="240" w:lineRule="auto"/>
        <w:rPr>
          <w:noProof/>
          <w:lang w:eastAsia="en-US"/>
        </w:rPr>
      </w:pPr>
      <w:r>
        <w:rPr>
          <w:noProof/>
          <w:lang w:eastAsia="en-US"/>
        </w:rPr>
        <w:t xml:space="preserve">Night trains could offer an interesting and more environmentally friendly alternative to car and air travel and the political interest for the promotion of night train services in Europe has gained traction. This market segment could be further developed, either on a commercial basis (open access) or through tendered PSOs, within the framework established in the Fourth Railway Package. </w:t>
      </w:r>
    </w:p>
    <w:p>
      <w:pPr>
        <w:pStyle w:val="LegalNumPar"/>
        <w:numPr>
          <w:ilvl w:val="0"/>
          <w:numId w:val="89"/>
        </w:numPr>
        <w:tabs>
          <w:tab w:val="left" w:pos="476"/>
        </w:tabs>
        <w:spacing w:line="240" w:lineRule="auto"/>
        <w:rPr>
          <w:noProof/>
          <w:lang w:eastAsia="en-US"/>
        </w:rPr>
      </w:pPr>
      <w:r>
        <w:rPr>
          <w:noProof/>
          <w:lang w:eastAsia="en-US"/>
        </w:rPr>
        <w:t>Bus and coach transport is a very efficient and affordable mode of transport, which is able to complement rail transport in areas not benefitting from rail infrastructure and for bringing passengers from and to multi-modal hubs. Moreover, it has the potential of becoming zero emissions with the same technologies used for lorries. However, despite these benefits, the modal share of bus and coach transport has remained unchanged, while the use of passenger cars has kept increasing. The Commission made a proposal</w:t>
      </w:r>
      <w:r>
        <w:rPr>
          <w:rStyle w:val="FootnoteReference"/>
          <w:noProof/>
          <w:lang w:eastAsia="en-US"/>
        </w:rPr>
        <w:footnoteReference w:id="338"/>
      </w:r>
      <w:r>
        <w:rPr>
          <w:noProof/>
          <w:lang w:eastAsia="en-US"/>
        </w:rPr>
        <w:t xml:space="preserve"> to address this situation, through amendments to Regulation (EC) No 1073/2009, but the proposal has not made progress in the Council. </w:t>
      </w:r>
    </w:p>
    <w:p>
      <w:pPr>
        <w:pStyle w:val="LegalNumPar"/>
        <w:numPr>
          <w:ilvl w:val="0"/>
          <w:numId w:val="89"/>
        </w:numPr>
        <w:tabs>
          <w:tab w:val="left" w:pos="476"/>
        </w:tabs>
        <w:spacing w:line="240" w:lineRule="auto"/>
        <w:rPr>
          <w:noProof/>
        </w:rPr>
      </w:pPr>
      <w:r>
        <w:rPr>
          <w:noProof/>
        </w:rPr>
        <w:t xml:space="preserve">Article 20 of Regulation 1008/2008 allows Member States to limit or ban flights when serious </w:t>
      </w:r>
      <w:r>
        <w:rPr>
          <w:noProof/>
          <w:lang w:eastAsia="en-US"/>
        </w:rPr>
        <w:t>environmental</w:t>
      </w:r>
      <w:r>
        <w:rPr>
          <w:noProof/>
        </w:rPr>
        <w:t xml:space="preserve"> problems exist, in particular when more sustainable modes of transport provide appropriate levels of service. Several Member States are considering such measures to contribute to the goal of climate neutrality. In doing so, they will have to make sure that any such measures is non-discriminatory, does not distort competition between air carriers and is not more restrictive than necessary to relieve the problem. Such a measure cannot exceed three years, after that it will have to be reviewed.</w:t>
      </w:r>
    </w:p>
    <w:p>
      <w:pPr>
        <w:pStyle w:val="LegalNumPar"/>
        <w:numPr>
          <w:ilvl w:val="0"/>
          <w:numId w:val="89"/>
        </w:numPr>
        <w:tabs>
          <w:tab w:val="left" w:pos="476"/>
        </w:tabs>
        <w:spacing w:line="240" w:lineRule="auto"/>
        <w:rPr>
          <w:noProof/>
        </w:rPr>
      </w:pPr>
      <w:r>
        <w:rPr>
          <w:noProof/>
        </w:rPr>
        <w:t xml:space="preserve"> Key barriers to increased multimodality, in particular for passengers, can be overcome by the solutions offered by digitalisation. These issues will be discussed further in </w:t>
      </w:r>
      <w:r>
        <w:rPr>
          <w:noProof/>
          <w:lang w:eastAsia="en-US"/>
        </w:rPr>
        <w:t xml:space="preserve">section </w:t>
      </w:r>
      <w:r>
        <w:rPr>
          <w:noProof/>
        </w:rPr>
        <w:t>4.2.1</w:t>
      </w:r>
      <w:r>
        <w:rPr>
          <w:noProof/>
          <w:lang w:eastAsia="en-US"/>
        </w:rPr>
        <w:t>.</w:t>
      </w:r>
    </w:p>
    <w:p>
      <w:pPr>
        <w:pStyle w:val="LegalNumPar"/>
        <w:numPr>
          <w:ilvl w:val="0"/>
          <w:numId w:val="89"/>
        </w:numPr>
        <w:tabs>
          <w:tab w:val="left" w:pos="476"/>
        </w:tabs>
        <w:spacing w:line="240" w:lineRule="auto"/>
        <w:rPr>
          <w:b/>
          <w:bCs/>
          <w:noProof/>
        </w:rPr>
      </w:pPr>
      <w:r>
        <w:rPr>
          <w:noProof/>
        </w:rPr>
        <w:t>Research and innovation will play a vital role to develop and validate new solutions for an integrated transport system with seamless transfer between modes and traffic management across sectors to ensure availability of efficient door-to-door mobility solutions also in times of local disruptions (weather events, traffic incidents etc.). Large scale demonstrations could help to validate better solutions.</w:t>
      </w:r>
    </w:p>
    <w:p>
      <w:pPr>
        <w:pStyle w:val="Heading4"/>
        <w:numPr>
          <w:ilvl w:val="3"/>
          <w:numId w:val="98"/>
        </w:numPr>
        <w:rPr>
          <w:noProof/>
        </w:rPr>
      </w:pPr>
      <w:bookmarkStart w:id="2965" w:name="_Toc51450110"/>
      <w:bookmarkStart w:id="2966" w:name="_Toc51574809"/>
      <w:bookmarkStart w:id="2967" w:name="_Toc51575657"/>
      <w:bookmarkStart w:id="2968" w:name="_Toc51578055"/>
      <w:bookmarkStart w:id="2969" w:name="_Toc51578607"/>
      <w:bookmarkStart w:id="2970" w:name="_Toc51582928"/>
      <w:bookmarkStart w:id="2971" w:name="_Toc51583403"/>
      <w:bookmarkStart w:id="2972" w:name="_Toc51583493"/>
      <w:bookmarkStart w:id="2973" w:name="_Toc51583778"/>
      <w:bookmarkStart w:id="2974" w:name="_Toc51583968"/>
      <w:bookmarkStart w:id="2975" w:name="_Toc51583892"/>
      <w:bookmarkStart w:id="2976" w:name="_Toc51586210"/>
      <w:bookmarkStart w:id="2977" w:name="_Toc51594013"/>
      <w:bookmarkStart w:id="2978" w:name="_Toc51594339"/>
      <w:bookmarkStart w:id="2979" w:name="_Toc51595317"/>
      <w:bookmarkStart w:id="2980" w:name="_Toc51595567"/>
      <w:bookmarkStart w:id="2981" w:name="_Toc51595893"/>
      <w:bookmarkStart w:id="2982" w:name="_Toc51596056"/>
      <w:bookmarkStart w:id="2983" w:name="_Toc51596409"/>
      <w:bookmarkStart w:id="2984" w:name="_Toc52121543"/>
      <w:bookmarkStart w:id="2985" w:name="_Toc52122774"/>
      <w:bookmarkStart w:id="2986" w:name="_Toc52123891"/>
      <w:bookmarkStart w:id="2987" w:name="_Toc53405350"/>
      <w:bookmarkStart w:id="2988" w:name="_Toc53406138"/>
      <w:bookmarkStart w:id="2989" w:name="_Toc53407506"/>
      <w:bookmarkStart w:id="2990" w:name="_Toc53410951"/>
      <w:bookmarkStart w:id="2991" w:name="_Toc53412014"/>
      <w:bookmarkStart w:id="2992" w:name="_Toc53417261"/>
      <w:bookmarkStart w:id="2993" w:name="_Toc53417613"/>
      <w:bookmarkStart w:id="2994" w:name="_Toc53419848"/>
      <w:bookmarkStart w:id="2995" w:name="_Toc53434951"/>
      <w:bookmarkStart w:id="2996" w:name="_Toc53437090"/>
      <w:bookmarkStart w:id="2997" w:name="_Toc57291496"/>
      <w:r>
        <w:rPr>
          <w:noProof/>
        </w:rPr>
        <w:t>Improving multimodal freight operations</w:t>
      </w:r>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p>
    <w:p>
      <w:pPr>
        <w:pStyle w:val="LegalNumPar"/>
        <w:numPr>
          <w:ilvl w:val="0"/>
          <w:numId w:val="89"/>
        </w:numPr>
        <w:tabs>
          <w:tab w:val="left" w:pos="476"/>
        </w:tabs>
        <w:spacing w:line="240" w:lineRule="auto"/>
        <w:rPr>
          <w:noProof/>
          <w:lang w:eastAsia="en-US"/>
        </w:rPr>
      </w:pPr>
      <w:r>
        <w:rPr>
          <w:noProof/>
          <w:lang w:eastAsia="en-US"/>
        </w:rPr>
        <w:t xml:space="preserve">Effective management of freight transport and logistics chains is a precondition for EU industrial competitiveness and a more sustainable transport sector. Industry depends on high-quality, efficient and multimodal logistics chains to organise the transport of raw materials and goods across the EU and beyond. </w:t>
      </w:r>
    </w:p>
    <w:p>
      <w:pPr>
        <w:pStyle w:val="LegalNumPar"/>
        <w:numPr>
          <w:ilvl w:val="0"/>
          <w:numId w:val="89"/>
        </w:numPr>
        <w:tabs>
          <w:tab w:val="left" w:pos="476"/>
        </w:tabs>
        <w:spacing w:line="240" w:lineRule="auto"/>
        <w:rPr>
          <w:noProof/>
          <w:lang w:eastAsia="en-US"/>
        </w:rPr>
      </w:pPr>
      <w:r>
        <w:rPr>
          <w:noProof/>
          <w:lang w:eastAsia="en-US"/>
        </w:rPr>
        <w:t xml:space="preserve">While logistics is primarily a business-related activity, fragmented and incompatible rules and standards can create considerable red tape and inefficiencies to the logistics industry and affect also the competitiveness of multimodal transport vis-à-vis road-only transport. Therefore, suboptimal functioning of supply chains also results in higher transport emissions. The industry is asking for a coherent EU approach to logistics and multimodal transport that demands co-operation and co-ordination between different dimensions of transport policy and beyond. </w:t>
      </w:r>
    </w:p>
    <w:p>
      <w:pPr>
        <w:pStyle w:val="LegalNumPar"/>
        <w:numPr>
          <w:ilvl w:val="0"/>
          <w:numId w:val="89"/>
        </w:numPr>
        <w:tabs>
          <w:tab w:val="left" w:pos="476"/>
        </w:tabs>
        <w:spacing w:line="240" w:lineRule="auto"/>
        <w:rPr>
          <w:noProof/>
          <w:lang w:eastAsia="en-US"/>
        </w:rPr>
      </w:pPr>
      <w:r>
        <w:rPr>
          <w:noProof/>
          <w:lang w:eastAsia="en-US"/>
        </w:rPr>
        <w:t xml:space="preserve">One key aspect of the efficient use of transport is a high load factor. For example, road transport is known for having a share of empty runs of about 20%, which obviously reduces the overall load factor. Part of these empty runs can be explained by the use of dedicated equipment (e.g. lorries designed for milk transport), which typically cannot carry return loads as well as by the necessary empty driving when going to </w:t>
      </w:r>
      <w:r>
        <w:rPr>
          <w:noProof/>
          <w:szCs w:val="24"/>
          <w:lang w:eastAsia="en-US"/>
        </w:rPr>
        <w:t>load</w:t>
      </w:r>
      <w:r>
        <w:rPr>
          <w:noProof/>
          <w:lang w:eastAsia="en-US"/>
        </w:rPr>
        <w:t xml:space="preserve"> cargo. But more often the reason is fragmented markets where loads cannot be arranged for return journeys. For rail freight transport, the share of empty wagons in single wagonload transport reported by three major operators is in the range of 30 to 65 %</w:t>
      </w:r>
      <w:r>
        <w:rPr>
          <w:rStyle w:val="FootnoteReference"/>
          <w:noProof/>
          <w:lang w:eastAsia="en-US"/>
        </w:rPr>
        <w:footnoteReference w:id="339"/>
      </w:r>
      <w:r>
        <w:rPr>
          <w:noProof/>
          <w:lang w:eastAsia="en-US"/>
        </w:rPr>
        <w:t>, which is particularity striking given increasing capacity constraints and expensive infrastructure. Consequently, there is ample room to improve the load factors and it would provide an immediate relief in congestion and decrease in CO</w:t>
      </w:r>
      <w:r>
        <w:rPr>
          <w:noProof/>
          <w:vertAlign w:val="subscript"/>
          <w:lang w:eastAsia="en-US"/>
        </w:rPr>
        <w:t>2</w:t>
      </w:r>
      <w:r>
        <w:rPr>
          <w:noProof/>
          <w:lang w:eastAsia="en-US"/>
        </w:rPr>
        <w:t xml:space="preserve"> emissions for each tonne transported. Digitalisation of and transparency on available wagon load may play a key role.</w:t>
      </w:r>
    </w:p>
    <w:p>
      <w:pPr>
        <w:pStyle w:val="LegalNumPar"/>
        <w:numPr>
          <w:ilvl w:val="0"/>
          <w:numId w:val="89"/>
        </w:numPr>
        <w:tabs>
          <w:tab w:val="left" w:pos="476"/>
        </w:tabs>
        <w:spacing w:line="240" w:lineRule="auto"/>
        <w:rPr>
          <w:noProof/>
          <w:szCs w:val="24"/>
          <w:lang w:eastAsia="en-US"/>
        </w:rPr>
      </w:pPr>
      <w:r>
        <w:rPr>
          <w:noProof/>
          <w:szCs w:val="24"/>
          <w:lang w:eastAsia="en-US"/>
        </w:rPr>
        <w:t>The modal share of non-road hinterland freight was around 28% in 2018</w:t>
      </w:r>
      <w:r>
        <w:rPr>
          <w:rStyle w:val="FootnoteReference"/>
          <w:noProof/>
          <w:szCs w:val="24"/>
          <w:lang w:eastAsia="en-US"/>
        </w:rPr>
        <w:footnoteReference w:id="340"/>
      </w:r>
      <w:r>
        <w:rPr>
          <w:noProof/>
          <w:szCs w:val="24"/>
          <w:lang w:eastAsia="en-US"/>
        </w:rPr>
        <w:t>. (~6% for IWT; 18.7% rail</w:t>
      </w:r>
      <w:r>
        <w:rPr>
          <w:rStyle w:val="FootnoteReference"/>
          <w:noProof/>
          <w:szCs w:val="24"/>
          <w:lang w:eastAsia="en-US"/>
        </w:rPr>
        <w:footnoteReference w:id="341"/>
      </w:r>
      <w:r>
        <w:rPr>
          <w:noProof/>
          <w:szCs w:val="24"/>
          <w:lang w:eastAsia="en-US"/>
        </w:rPr>
        <w:t xml:space="preserve">). The competitiveness of rail freight transport increases proportionally to the distance. Consequently, around 50% of volumes are moved across borders (compared to 6% of passenger traffic), giving the rail freight market an obvious European dimension. </w:t>
      </w:r>
    </w:p>
    <w:p>
      <w:pPr>
        <w:pStyle w:val="LegalNumPar"/>
        <w:numPr>
          <w:ilvl w:val="0"/>
          <w:numId w:val="89"/>
        </w:numPr>
        <w:tabs>
          <w:tab w:val="left" w:pos="476"/>
        </w:tabs>
        <w:spacing w:line="240" w:lineRule="auto"/>
        <w:rPr>
          <w:noProof/>
          <w:lang w:eastAsia="en-US"/>
        </w:rPr>
      </w:pPr>
      <w:r>
        <w:rPr>
          <w:noProof/>
          <w:lang w:eastAsia="en-US"/>
        </w:rPr>
        <w:t>There are several factors inherent to intermodal transport that generate additional costs for the operators and users (related to transhipment and additional transaction costs) and other disadvantages such as longer delivery times, complexity, higher risks and lower reliability. The figure below illustrates, based on cost data from the 2017 Survey study</w:t>
      </w:r>
      <w:r>
        <w:rPr>
          <w:noProof/>
          <w:vertAlign w:val="superscript"/>
          <w:lang w:eastAsia="en-US"/>
        </w:rPr>
        <w:footnoteReference w:id="342"/>
      </w:r>
      <w:r>
        <w:rPr>
          <w:noProof/>
          <w:lang w:eastAsia="en-US"/>
        </w:rPr>
        <w:t>, the costs incurred by shippers when choosing intermodal (rail-road) transport compared to road transport only. In addition, the rail freight, short sea shipping and inland waterways sectors need to continue to adjust to the changing characteristics of the market, where supply chain management is expected to become more flexible and faster.</w:t>
      </w:r>
    </w:p>
    <w:p>
      <w:pPr>
        <w:pStyle w:val="LegalNumPar"/>
        <w:tabs>
          <w:tab w:val="left" w:pos="476"/>
        </w:tabs>
        <w:spacing w:line="240" w:lineRule="auto"/>
        <w:ind w:left="476"/>
        <w:rPr>
          <w:noProof/>
          <w:szCs w:val="24"/>
          <w:lang w:eastAsia="en-US"/>
        </w:rPr>
      </w:pPr>
    </w:p>
    <w:p>
      <w:pPr>
        <w:pStyle w:val="Caption"/>
        <w:keepNext/>
        <w:keepLines/>
        <w:spacing w:before="0"/>
        <w:jc w:val="center"/>
        <w:rPr>
          <w:i w:val="0"/>
          <w:noProof/>
        </w:rPr>
      </w:pPr>
      <w:bookmarkStart w:id="2998" w:name="_Toc51593787"/>
      <w:bookmarkStart w:id="2999" w:name="_Toc51595254"/>
      <w:bookmarkStart w:id="3000" w:name="_Toc51595504"/>
      <w:bookmarkStart w:id="3001" w:name="_Toc51595830"/>
      <w:bookmarkStart w:id="3002" w:name="_Toc51595993"/>
      <w:bookmarkStart w:id="3003" w:name="_Toc52121480"/>
      <w:bookmarkStart w:id="3004" w:name="_Toc52122711"/>
      <w:bookmarkStart w:id="3005" w:name="_Toc53405275"/>
      <w:bookmarkStart w:id="3006" w:name="_Toc53406065"/>
      <w:bookmarkStart w:id="3007" w:name="_Toc53407431"/>
      <w:bookmarkStart w:id="3008" w:name="_Toc53410878"/>
      <w:bookmarkStart w:id="3009" w:name="_Toc53411941"/>
      <w:bookmarkStart w:id="3010" w:name="_Toc53417188"/>
      <w:bookmarkStart w:id="3011" w:name="_Toc53417540"/>
      <w:bookmarkStart w:id="3012" w:name="_Toc53419573"/>
      <w:bookmarkStart w:id="3013" w:name="_Toc53434878"/>
      <w:bookmarkStart w:id="3014" w:name="_Toc53437018"/>
      <w:bookmarkStart w:id="3015" w:name="_Toc51450047"/>
      <w:bookmarkStart w:id="3016" w:name="_Toc57291678"/>
      <w:r>
        <w:rPr>
          <w:i w:val="0"/>
          <w:noProof/>
        </w:rPr>
        <w:t xml:space="preserve">Figure </w:t>
      </w:r>
      <w:r>
        <w:rPr>
          <w:noProof/>
        </w:rPr>
        <w:fldChar w:fldCharType="begin"/>
      </w:r>
      <w:r>
        <w:rPr>
          <w:i w:val="0"/>
          <w:noProof/>
        </w:rPr>
        <w:instrText xml:space="preserve"> SEQ Figure \* ARABIC </w:instrText>
      </w:r>
      <w:r>
        <w:rPr>
          <w:noProof/>
        </w:rPr>
        <w:fldChar w:fldCharType="separate"/>
      </w:r>
      <w:r>
        <w:rPr>
          <w:i w:val="0"/>
          <w:noProof/>
        </w:rPr>
        <w:t>34</w:t>
      </w:r>
      <w:r>
        <w:rPr>
          <w:noProof/>
        </w:rPr>
        <w:fldChar w:fldCharType="end"/>
      </w:r>
      <w:r>
        <w:rPr>
          <w:i w:val="0"/>
          <w:noProof/>
        </w:rPr>
        <w:t xml:space="preserve"> Cost level and composition of intermodal transport compared to road-only transport</w:t>
      </w:r>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p>
    <w:p>
      <w:pPr>
        <w:rPr>
          <w:noProof/>
          <w:lang w:eastAsia="ja-JP"/>
        </w:rPr>
      </w:pPr>
      <w:r>
        <w:rPr>
          <w:noProof/>
        </w:rPr>
        <w:drawing>
          <wp:inline distT="0" distB="0" distL="0" distR="0">
            <wp:extent cx="5393690" cy="1751330"/>
            <wp:effectExtent l="0" t="0" r="0" b="1270"/>
            <wp:docPr id="1657890211" name="Picture 1657890211" descr="C:\Users\sulyoge\Documents\Pict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ulyoge\Documents\Picture7.jpg"/>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5393690" cy="1751330"/>
                    </a:xfrm>
                    <a:prstGeom prst="rect">
                      <a:avLst/>
                    </a:prstGeom>
                    <a:noFill/>
                    <a:ln>
                      <a:noFill/>
                    </a:ln>
                  </pic:spPr>
                </pic:pic>
              </a:graphicData>
            </a:graphic>
          </wp:inline>
        </w:drawing>
      </w:r>
    </w:p>
    <w:p>
      <w:pPr>
        <w:rPr>
          <w:i/>
          <w:noProof/>
          <w:sz w:val="16"/>
          <w:szCs w:val="16"/>
        </w:rPr>
      </w:pPr>
      <w:r>
        <w:rPr>
          <w:i/>
          <w:iCs/>
          <w:noProof/>
          <w:sz w:val="16"/>
          <w:szCs w:val="16"/>
        </w:rPr>
        <w:t>Source: European Commission</w:t>
      </w:r>
      <w:r>
        <w:rPr>
          <w:rStyle w:val="FootnoteReference"/>
          <w:i/>
          <w:iCs/>
          <w:noProof/>
          <w:sz w:val="16"/>
          <w:szCs w:val="16"/>
        </w:rPr>
        <w:footnoteReference w:id="343"/>
      </w:r>
    </w:p>
    <w:p>
      <w:pPr>
        <w:rPr>
          <w:noProof/>
        </w:rPr>
      </w:pPr>
    </w:p>
    <w:p>
      <w:pPr>
        <w:pStyle w:val="LegalNumPar"/>
        <w:numPr>
          <w:ilvl w:val="0"/>
          <w:numId w:val="89"/>
        </w:numPr>
        <w:tabs>
          <w:tab w:val="left" w:pos="476"/>
        </w:tabs>
        <w:spacing w:line="240" w:lineRule="auto"/>
        <w:rPr>
          <w:noProof/>
          <w:lang w:eastAsia="en-US"/>
        </w:rPr>
      </w:pPr>
      <w:r>
        <w:rPr>
          <w:noProof/>
          <w:lang w:eastAsia="en-US"/>
        </w:rPr>
        <w:t>Adequate conditions need to be created incentivising the industry to use intermodal transport instead of road-only transport. The amendment of the only dedicated instrument, the Combined Transport Directive, was proposed in 2017. However, the positions of three institutions were far apart and, given a risk of ending up in a situation in which the incentives for combined transport could be further weakened, the Commission decided to withdraw the proposal. This means that the support measures in force for combined transport remain insufficient and are out of date.</w:t>
      </w:r>
    </w:p>
    <w:p>
      <w:pPr>
        <w:pStyle w:val="LegalNumPar"/>
        <w:numPr>
          <w:ilvl w:val="0"/>
          <w:numId w:val="89"/>
        </w:numPr>
        <w:tabs>
          <w:tab w:val="left" w:pos="476"/>
        </w:tabs>
        <w:spacing w:line="240" w:lineRule="auto"/>
        <w:rPr>
          <w:noProof/>
          <w:lang w:eastAsia="en-US"/>
        </w:rPr>
      </w:pPr>
      <w:r>
        <w:rPr>
          <w:noProof/>
          <w:lang w:eastAsia="en-US"/>
        </w:rPr>
        <w:t xml:space="preserve">The internal market for intermodal transport is poorly developed also due to lack of transhipment infrastructure (terminals), inefficiencies due to variations in sectoral legislation and the differences in technical norms and standards used by Member States and between the modes. </w:t>
      </w:r>
    </w:p>
    <w:p>
      <w:pPr>
        <w:pStyle w:val="LegalNumPar"/>
        <w:numPr>
          <w:ilvl w:val="0"/>
          <w:numId w:val="89"/>
        </w:numPr>
        <w:tabs>
          <w:tab w:val="left" w:pos="476"/>
        </w:tabs>
        <w:spacing w:line="240" w:lineRule="auto"/>
        <w:rPr>
          <w:noProof/>
          <w:lang w:eastAsia="en-US"/>
        </w:rPr>
      </w:pPr>
      <w:r>
        <w:rPr>
          <w:noProof/>
          <w:lang w:eastAsia="en-US"/>
        </w:rPr>
        <w:t>First of all, infrastructure bottlenecks still exist and further work is needed both at EU and Member States level as regards investments in cross-border infrastructure, in particular the main corridors. The density and choice of type of multimodal terminals and logistics hubs needs to take into account new trends and developing needs of the industry, in particular in urban areas. The distances between rail/road terminals on the TEN-T Core and Comprehensive networks are still well above 300 km in many regions; limiting the possibility of short (&gt; 150km) road legs. While the availability of terminals is mostly sufficient in Benelux, Germany, Austria, Czechia and Slovakia, their density in Finland and in many Eastern-European countries, as well as in some regions of Sweden, Italy, France and Hungary is such that it is not possible to use intermodal transport. Improved statistical data on combined transport flows would help to prioritise such investments.</w:t>
      </w:r>
    </w:p>
    <w:p>
      <w:pPr>
        <w:pStyle w:val="LegalNumPar"/>
        <w:tabs>
          <w:tab w:val="left" w:pos="476"/>
        </w:tabs>
        <w:spacing w:line="240" w:lineRule="auto"/>
        <w:rPr>
          <w:noProof/>
          <w:lang w:eastAsia="en-US"/>
        </w:rPr>
      </w:pPr>
    </w:p>
    <w:p>
      <w:pPr>
        <w:pStyle w:val="Caption"/>
        <w:keepNext/>
        <w:keepLines/>
        <w:jc w:val="center"/>
        <w:rPr>
          <w:i w:val="0"/>
          <w:noProof/>
        </w:rPr>
      </w:pPr>
      <w:bookmarkStart w:id="3017" w:name="_Toc51450048"/>
      <w:bookmarkStart w:id="3018" w:name="_Toc51593788"/>
      <w:bookmarkStart w:id="3019" w:name="_Toc51595255"/>
      <w:bookmarkStart w:id="3020" w:name="_Toc51595505"/>
      <w:bookmarkStart w:id="3021" w:name="_Toc51595831"/>
      <w:bookmarkStart w:id="3022" w:name="_Toc51595994"/>
      <w:bookmarkStart w:id="3023" w:name="_Toc52121481"/>
      <w:bookmarkStart w:id="3024" w:name="_Toc52122712"/>
      <w:bookmarkStart w:id="3025" w:name="_Toc53405276"/>
      <w:bookmarkStart w:id="3026" w:name="_Toc53406066"/>
      <w:bookmarkStart w:id="3027" w:name="_Toc53407432"/>
      <w:bookmarkStart w:id="3028" w:name="_Toc53410879"/>
      <w:bookmarkStart w:id="3029" w:name="_Toc53411942"/>
      <w:bookmarkStart w:id="3030" w:name="_Toc53417189"/>
      <w:bookmarkStart w:id="3031" w:name="_Toc53417541"/>
      <w:bookmarkStart w:id="3032" w:name="_Toc53419574"/>
      <w:bookmarkStart w:id="3033" w:name="_Toc53434879"/>
      <w:bookmarkStart w:id="3034" w:name="_Toc53437019"/>
      <w:bookmarkStart w:id="3035" w:name="_Toc57291679"/>
      <w:r>
        <w:rPr>
          <w:i w:val="0"/>
          <w:noProof/>
        </w:rPr>
        <w:t xml:space="preserve">Figure </w:t>
      </w:r>
      <w:r>
        <w:rPr>
          <w:noProof/>
        </w:rPr>
        <w:fldChar w:fldCharType="begin"/>
      </w:r>
      <w:r>
        <w:rPr>
          <w:i w:val="0"/>
          <w:noProof/>
        </w:rPr>
        <w:instrText xml:space="preserve"> SEQ Figure \* ARABIC </w:instrText>
      </w:r>
      <w:r>
        <w:rPr>
          <w:noProof/>
        </w:rPr>
        <w:fldChar w:fldCharType="separate"/>
      </w:r>
      <w:r>
        <w:rPr>
          <w:i w:val="0"/>
          <w:noProof/>
        </w:rPr>
        <w:t>35</w:t>
      </w:r>
      <w:r>
        <w:rPr>
          <w:noProof/>
        </w:rPr>
        <w:fldChar w:fldCharType="end"/>
      </w:r>
      <w:r>
        <w:rPr>
          <w:i w:val="0"/>
          <w:noProof/>
        </w:rPr>
        <w:t xml:space="preserve"> Intermodal terminals with rail access occurrence in Europe</w:t>
      </w:r>
      <w:r>
        <w:rPr>
          <w:b w:val="0"/>
          <w:i w:val="0"/>
          <w:noProof/>
          <w:vertAlign w:val="superscript"/>
        </w:rPr>
        <w:footnoteReference w:id="344"/>
      </w:r>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p>
    <w:p>
      <w:pPr>
        <w:pStyle w:val="LegalNumPar"/>
        <w:tabs>
          <w:tab w:val="left" w:pos="476"/>
        </w:tabs>
        <w:spacing w:line="240" w:lineRule="auto"/>
        <w:rPr>
          <w:noProof/>
          <w:lang w:eastAsia="en-US"/>
        </w:rPr>
      </w:pPr>
      <w:r>
        <w:rPr>
          <w:noProof/>
        </w:rPr>
        <w:drawing>
          <wp:inline distT="0" distB="0" distL="0" distR="0">
            <wp:extent cx="5400040" cy="3496903"/>
            <wp:effectExtent l="0" t="0" r="0" b="8890"/>
            <wp:docPr id="9" name="Picture 9" descr="C:\Users\sulyoge\Pictures\SWD\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lyoge\Pictures\SWD\Picture2.jpg"/>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5400040" cy="3496903"/>
                    </a:xfrm>
                    <a:prstGeom prst="rect">
                      <a:avLst/>
                    </a:prstGeom>
                    <a:noFill/>
                    <a:ln>
                      <a:noFill/>
                    </a:ln>
                  </pic:spPr>
                </pic:pic>
              </a:graphicData>
            </a:graphic>
          </wp:inline>
        </w:drawing>
      </w:r>
    </w:p>
    <w:p>
      <w:pPr>
        <w:pStyle w:val="LegalNumPar"/>
        <w:tabs>
          <w:tab w:val="left" w:pos="476"/>
        </w:tabs>
        <w:spacing w:line="240" w:lineRule="auto"/>
        <w:rPr>
          <w:noProof/>
          <w:lang w:eastAsia="en-US"/>
        </w:rPr>
      </w:pPr>
    </w:p>
    <w:p>
      <w:pPr>
        <w:pStyle w:val="LegalNumPar"/>
        <w:numPr>
          <w:ilvl w:val="0"/>
          <w:numId w:val="89"/>
        </w:numPr>
        <w:tabs>
          <w:tab w:val="left" w:pos="476"/>
        </w:tabs>
        <w:spacing w:line="240" w:lineRule="auto"/>
        <w:rPr>
          <w:noProof/>
          <w:lang w:eastAsia="en-US"/>
        </w:rPr>
      </w:pPr>
      <w:r>
        <w:rPr>
          <w:noProof/>
          <w:lang w:eastAsia="en-US"/>
        </w:rPr>
        <w:t xml:space="preserve">Second, multimodal freight transport activities are subject to various sectoral rules. The range of legal instruments concerned is very broad, including the rules applicable to vehicles (technical, safety, environmental norms and standards), to personnel (e.g. professional qualifications, working time, posting of workers), to services (market access) and goods (e.g. customs, provisions for dangerous goods). At the same time, the prevalence of sectoral and modal approach has led to gaps where e.g. no tailored approach exist at EU level for multimodal investment projects either as regards state aid or for project assessment. </w:t>
      </w:r>
    </w:p>
    <w:p>
      <w:pPr>
        <w:pStyle w:val="LegalNumPar"/>
        <w:numPr>
          <w:ilvl w:val="0"/>
          <w:numId w:val="89"/>
        </w:numPr>
        <w:tabs>
          <w:tab w:val="left" w:pos="476"/>
        </w:tabs>
        <w:spacing w:line="240" w:lineRule="auto"/>
        <w:rPr>
          <w:noProof/>
          <w:lang w:eastAsia="en-US"/>
        </w:rPr>
      </w:pPr>
      <w:r>
        <w:rPr>
          <w:noProof/>
          <w:lang w:eastAsia="en-US"/>
        </w:rPr>
        <w:t>Quick implementation of comprehensive digital solutions would cut red tape and lower the administrative burden deriving from different sectoral and national requirements. Further digitalisation and solutions to data sharing are needed to support efficient functioning of transport corridors. These are further discussed in section 4.2.</w:t>
      </w:r>
    </w:p>
    <w:p>
      <w:pPr>
        <w:pStyle w:val="LegalNumPar"/>
        <w:numPr>
          <w:ilvl w:val="0"/>
          <w:numId w:val="89"/>
        </w:numPr>
        <w:tabs>
          <w:tab w:val="left" w:pos="476"/>
        </w:tabs>
        <w:spacing w:line="240" w:lineRule="auto"/>
        <w:rPr>
          <w:noProof/>
          <w:lang w:eastAsia="en-US"/>
        </w:rPr>
      </w:pPr>
      <w:r>
        <w:rPr>
          <w:noProof/>
          <w:lang w:eastAsia="en-US"/>
        </w:rPr>
        <w:t>EU transport policy aims to overcome barriers arising from a lack of coordination of technical norms and standards between Member States and transport modes. For example, the TEN-T Guidelines set common parameters for the length of trains. EU legislation on rail interoperability and safety allows trains to operate under a harmonised set of rules and the Commission is working with the EU Railway Agency and Member States to ensure superfluous national rules are withdrawn. A continued effort to ensure harmonised framework conditions is important to avoid unnecessary costs for multimodal transport.</w:t>
      </w:r>
    </w:p>
    <w:p>
      <w:pPr>
        <w:pStyle w:val="LegalNumPar"/>
        <w:numPr>
          <w:ilvl w:val="0"/>
          <w:numId w:val="89"/>
        </w:numPr>
        <w:tabs>
          <w:tab w:val="left" w:pos="476"/>
        </w:tabs>
        <w:spacing w:line="240" w:lineRule="auto"/>
        <w:rPr>
          <w:noProof/>
          <w:lang w:eastAsia="en-US"/>
        </w:rPr>
      </w:pPr>
      <w:r>
        <w:rPr>
          <w:noProof/>
          <w:lang w:eastAsia="en-US"/>
        </w:rPr>
        <w:t>Finally, the lack of internalisation of the external costs of all modes continues to penalise the competitiveness of intermodal transport vis-à-vis road-only transport. In the absence of</w:t>
      </w:r>
      <w:r>
        <w:rPr>
          <w:noProof/>
        </w:rPr>
        <w:t xml:space="preserve"> pricing mechanisms fully reflecting the ‘polluter pays’ principle, intermodal transport remains financially disadvantaged except on very long distances of the order of magnitude of 600 km, unless public support is provided to compensate for the uncovered external costs of competing modes. </w:t>
      </w:r>
    </w:p>
    <w:p>
      <w:pPr>
        <w:pStyle w:val="Heading4"/>
        <w:numPr>
          <w:ilvl w:val="3"/>
          <w:numId w:val="98"/>
        </w:numPr>
        <w:rPr>
          <w:noProof/>
        </w:rPr>
      </w:pPr>
      <w:bookmarkStart w:id="3036" w:name="_Toc51450111"/>
      <w:bookmarkStart w:id="3037" w:name="_Toc51574810"/>
      <w:bookmarkStart w:id="3038" w:name="_Toc51575658"/>
      <w:bookmarkStart w:id="3039" w:name="_Toc51578056"/>
      <w:bookmarkStart w:id="3040" w:name="_Toc51578608"/>
      <w:bookmarkStart w:id="3041" w:name="_Toc51582929"/>
      <w:bookmarkStart w:id="3042" w:name="_Toc51583404"/>
      <w:bookmarkStart w:id="3043" w:name="_Toc51583494"/>
      <w:bookmarkStart w:id="3044" w:name="_Toc51583779"/>
      <w:bookmarkStart w:id="3045" w:name="_Toc51583969"/>
      <w:bookmarkStart w:id="3046" w:name="_Toc51583893"/>
      <w:bookmarkStart w:id="3047" w:name="_Toc51586211"/>
      <w:bookmarkStart w:id="3048" w:name="_Toc51594014"/>
      <w:bookmarkStart w:id="3049" w:name="_Toc51594340"/>
      <w:bookmarkStart w:id="3050" w:name="_Toc51595318"/>
      <w:bookmarkStart w:id="3051" w:name="_Toc51595568"/>
      <w:bookmarkStart w:id="3052" w:name="_Toc51595894"/>
      <w:bookmarkStart w:id="3053" w:name="_Toc51596057"/>
      <w:bookmarkStart w:id="3054" w:name="_Toc51596410"/>
      <w:bookmarkStart w:id="3055" w:name="_Toc52121544"/>
      <w:bookmarkStart w:id="3056" w:name="_Toc52122775"/>
      <w:bookmarkStart w:id="3057" w:name="_Toc52123892"/>
      <w:bookmarkStart w:id="3058" w:name="_Toc53405351"/>
      <w:bookmarkStart w:id="3059" w:name="_Toc53406139"/>
      <w:bookmarkStart w:id="3060" w:name="_Toc53407507"/>
      <w:bookmarkStart w:id="3061" w:name="_Toc53410952"/>
      <w:bookmarkStart w:id="3062" w:name="_Toc53412015"/>
      <w:bookmarkStart w:id="3063" w:name="_Toc53417262"/>
      <w:bookmarkStart w:id="3064" w:name="_Toc53417614"/>
      <w:bookmarkStart w:id="3065" w:name="_Toc53419849"/>
      <w:bookmarkStart w:id="3066" w:name="_Toc53437091"/>
      <w:bookmarkStart w:id="3067" w:name="_Toc57291497"/>
      <w:bookmarkStart w:id="3068" w:name="_Toc53434952"/>
      <w:r>
        <w:rPr>
          <w:noProof/>
        </w:rPr>
        <w:t>Rail freight</w:t>
      </w:r>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p>
    <w:bookmarkEnd w:id="3068"/>
    <w:p>
      <w:pPr>
        <w:pStyle w:val="LegalNumPar"/>
        <w:numPr>
          <w:ilvl w:val="0"/>
          <w:numId w:val="89"/>
        </w:numPr>
        <w:tabs>
          <w:tab w:val="left" w:pos="476"/>
        </w:tabs>
        <w:spacing w:line="240" w:lineRule="auto"/>
        <w:rPr>
          <w:noProof/>
          <w:lang w:eastAsia="en-US"/>
        </w:rPr>
      </w:pPr>
      <w:r>
        <w:rPr>
          <w:noProof/>
          <w:lang w:eastAsia="en-US"/>
        </w:rPr>
        <w:t>Given the potential role of rail freight in the internal market, the EU adopted legislation</w:t>
      </w:r>
      <w:r>
        <w:rPr>
          <w:rStyle w:val="FootnoteReference"/>
          <w:noProof/>
          <w:lang w:eastAsia="en-US"/>
        </w:rPr>
        <w:footnoteReference w:id="345"/>
      </w:r>
      <w:r>
        <w:rPr>
          <w:noProof/>
          <w:lang w:eastAsia="en-US"/>
        </w:rPr>
        <w:t xml:space="preserve"> to open competition between rail freight service providers from 1 January 2007. In addition, eleven rail freight corridors have been established by Regulation (EU) No 913/2010 to specifically support international rail freight transport. The focus of the legislation was on fair and non-discriminatory conditions for the provision and use of railway infrastructure. </w:t>
      </w:r>
    </w:p>
    <w:p>
      <w:pPr>
        <w:pStyle w:val="LegalNumPar"/>
        <w:numPr>
          <w:ilvl w:val="0"/>
          <w:numId w:val="89"/>
        </w:numPr>
        <w:tabs>
          <w:tab w:val="left" w:pos="476"/>
        </w:tabs>
        <w:spacing w:line="240" w:lineRule="auto"/>
        <w:rPr>
          <w:noProof/>
          <w:lang w:eastAsia="en-US"/>
        </w:rPr>
      </w:pPr>
      <w:r>
        <w:rPr>
          <w:noProof/>
          <w:lang w:eastAsia="en-US"/>
        </w:rPr>
        <w:t xml:space="preserve">In parallel to opening the rail freight market, the EU developed legislation on railway interoperability with a view to reduce the technical, and operational barriers to cross-border rail traffic, while reducing the impact on human health, notably by setting noise limits. The technical pillar of the Fourth Railway Package includes substantial elements both harmonising EU requirements for rail vehicles and operations, and facilitating the clean-up and elimination of obstacles to seamless rail services caused by redundant national rules. Taken together these will reduce the cost of rail equipment and operations.    </w:t>
      </w:r>
    </w:p>
    <w:p>
      <w:pPr>
        <w:pStyle w:val="LegalNumPar"/>
        <w:numPr>
          <w:ilvl w:val="0"/>
          <w:numId w:val="89"/>
        </w:numPr>
        <w:tabs>
          <w:tab w:val="left" w:pos="476"/>
        </w:tabs>
        <w:spacing w:line="240" w:lineRule="auto"/>
        <w:rPr>
          <w:noProof/>
          <w:lang w:eastAsia="en-US"/>
        </w:rPr>
      </w:pPr>
      <w:r>
        <w:rPr>
          <w:noProof/>
          <w:lang w:eastAsia="en-US"/>
        </w:rPr>
        <w:t xml:space="preserve">On the infrastructure side, diverging parameters, for example with respect to train length and loading gauge, continue to pose a significant barrier to more efficient freight operations.    </w:t>
      </w:r>
    </w:p>
    <w:p>
      <w:pPr>
        <w:pStyle w:val="LegalNumPar"/>
        <w:numPr>
          <w:ilvl w:val="0"/>
          <w:numId w:val="89"/>
        </w:numPr>
        <w:tabs>
          <w:tab w:val="left" w:pos="476"/>
        </w:tabs>
        <w:spacing w:line="240" w:lineRule="auto"/>
        <w:rPr>
          <w:noProof/>
          <w:lang w:eastAsia="en-US"/>
        </w:rPr>
      </w:pPr>
      <w:r>
        <w:rPr>
          <w:noProof/>
          <w:lang w:eastAsia="en-US"/>
        </w:rPr>
        <w:t>Full deployment of ERTMS (the European Rail Traffic Management System) and the harmonisation of respective operating rules at EU level will further reduce costs and complexity for rail operators (since they will no longer need different safety systems for each Member State), and in the medium term will allow substantial cost savings to rail infrastructure managers and potentially major capacity increases. In the short term however, it imposes locomotive upgrade costs (hardware, training, testing and certification) on operators with already small profit margins.</w:t>
      </w:r>
    </w:p>
    <w:p>
      <w:pPr>
        <w:pStyle w:val="LegalNumPar"/>
        <w:numPr>
          <w:ilvl w:val="0"/>
          <w:numId w:val="89"/>
        </w:numPr>
        <w:tabs>
          <w:tab w:val="left" w:pos="476"/>
        </w:tabs>
        <w:spacing w:line="240" w:lineRule="auto"/>
        <w:rPr>
          <w:noProof/>
          <w:lang w:eastAsia="en-US"/>
        </w:rPr>
      </w:pPr>
      <w:r>
        <w:rPr>
          <w:noProof/>
          <w:lang w:eastAsia="en-US"/>
        </w:rPr>
        <w:t>Despite the above mentioned measures, a number of issues continue to affect the performance of rail freight:</w:t>
      </w:r>
    </w:p>
    <w:p>
      <w:pPr>
        <w:pStyle w:val="LegalNumPar"/>
        <w:numPr>
          <w:ilvl w:val="0"/>
          <w:numId w:val="89"/>
        </w:numPr>
        <w:tabs>
          <w:tab w:val="left" w:pos="476"/>
        </w:tabs>
        <w:spacing w:line="240" w:lineRule="auto"/>
        <w:rPr>
          <w:noProof/>
          <w:lang w:eastAsia="en-US"/>
        </w:rPr>
      </w:pPr>
      <w:r>
        <w:rPr>
          <w:noProof/>
          <w:lang w:eastAsia="en-US"/>
        </w:rPr>
        <w:t>Due to structural economic change, notably the declining importance of heavy industry in the EU, the goods being transported have undergone profound change, greatly reducing the freight flows where rail had a clear competitive advantage, e.g. in the transport of mass commodities such as coal and iron ore. Rail freight is less competitive for the increasing share of goods that require flexibility and more reliability, such as high-value components moved between manufacturers as part of complex supply chains and consumer goods.</w:t>
      </w:r>
    </w:p>
    <w:p>
      <w:pPr>
        <w:pStyle w:val="LegalNumPar"/>
        <w:numPr>
          <w:ilvl w:val="0"/>
          <w:numId w:val="89"/>
        </w:numPr>
        <w:tabs>
          <w:tab w:val="left" w:pos="476"/>
        </w:tabs>
        <w:spacing w:line="240" w:lineRule="auto"/>
        <w:rPr>
          <w:noProof/>
          <w:highlight w:val="red"/>
          <w:lang w:eastAsia="en-US"/>
        </w:rPr>
      </w:pPr>
      <w:r>
        <w:rPr>
          <w:noProof/>
          <w:lang w:eastAsia="en-US"/>
        </w:rPr>
        <w:t>For customers, rail freight’s attractiveness suffers from lack of punctuality, reliability, predictability and flexibility. In the first quarter of 2018, the percentage of freight trains delayed more than 3 hours reached 50% along the Alpine corridor. In this context fits reference to efforts to reduce delays such as the agreement by corridors, to reduce the maximum border crossing time to 2 hours, which passenger trains manage mostly without dedicated border stops. In the Green Lanes upgrade communication</w:t>
      </w:r>
      <w:r>
        <w:rPr>
          <w:rStyle w:val="FootnoteReference"/>
          <w:noProof/>
          <w:lang w:eastAsia="en-US"/>
        </w:rPr>
        <w:footnoteReference w:id="346"/>
      </w:r>
      <w:r>
        <w:rPr>
          <w:noProof/>
          <w:lang w:eastAsia="en-US"/>
        </w:rPr>
        <w:t xml:space="preserve"> adopted on 28 October 2020, the Commission announced continuous monitoring of schedule adherence and on time performance of rail freight trains at border stations, including dwelling times.</w:t>
      </w:r>
    </w:p>
    <w:p>
      <w:pPr>
        <w:pStyle w:val="LegalNumPar"/>
        <w:numPr>
          <w:ilvl w:val="0"/>
          <w:numId w:val="89"/>
        </w:numPr>
        <w:tabs>
          <w:tab w:val="left" w:pos="476"/>
        </w:tabs>
        <w:spacing w:line="240" w:lineRule="auto"/>
        <w:rPr>
          <w:noProof/>
          <w:lang w:eastAsia="en-US"/>
        </w:rPr>
      </w:pPr>
      <w:r>
        <w:rPr>
          <w:noProof/>
          <w:lang w:eastAsia="en-US"/>
        </w:rPr>
        <w:t>Information on the composition of trains, location and expected time of arrival (ETA), type of cargo and load factors etc. is scarce. Digital systems to plan, deliver and monitor rail services are often national. A European digital layer is in preparation, to a large extent on the basis of the technical specifications for telematics applications for freight and passenger services (TAF and TAP TSI), but it is not yet fully in place and use. In addition, capacity and traffic management is generally not coordinated between rail infrastructure and service facilities such as intermodal terminals. This hinders the ability to optimise the infrastructure, traffic and fleet management from an end-to-end perspective.</w:t>
      </w:r>
    </w:p>
    <w:p>
      <w:pPr>
        <w:pStyle w:val="LegalNumPar"/>
        <w:numPr>
          <w:ilvl w:val="0"/>
          <w:numId w:val="89"/>
        </w:numPr>
        <w:tabs>
          <w:tab w:val="left" w:pos="476"/>
        </w:tabs>
        <w:spacing w:line="240" w:lineRule="auto"/>
        <w:rPr>
          <w:noProof/>
          <w:lang w:eastAsia="en-US"/>
        </w:rPr>
      </w:pPr>
      <w:r>
        <w:rPr>
          <w:noProof/>
          <w:lang w:eastAsia="en-US"/>
        </w:rPr>
        <w:t>The performance of single wagon freight is hindered by the need for wagons to be manually coupled each time they are shunted – in spite of the fact that automated couplers are in widespread use in the rest of the world (since the late 19</w:t>
      </w:r>
      <w:r>
        <w:rPr>
          <w:noProof/>
          <w:vertAlign w:val="superscript"/>
          <w:lang w:eastAsia="en-US"/>
        </w:rPr>
        <w:t>th</w:t>
      </w:r>
      <w:r>
        <w:rPr>
          <w:noProof/>
          <w:lang w:eastAsia="en-US"/>
        </w:rPr>
        <w:t xml:space="preserve"> century in North America). To date the cost of transforming the EU wagon fleet and the need to arrange a rapid migration at European level have prevented use of this in the EU, but the potential of modern coupling systems (which would also permit power and data transmission) means this issue needs to be urgently addressed. Work on specifications for Digital Automatic Couplers is being carried out in Shift2Rail Joint Undertaking with a view of incorporating it into the TSI.</w:t>
      </w:r>
    </w:p>
    <w:p>
      <w:pPr>
        <w:pStyle w:val="LegalNumPar"/>
        <w:numPr>
          <w:ilvl w:val="0"/>
          <w:numId w:val="89"/>
        </w:numPr>
        <w:tabs>
          <w:tab w:val="left" w:pos="476"/>
        </w:tabs>
        <w:spacing w:line="240" w:lineRule="auto"/>
        <w:rPr>
          <w:noProof/>
          <w:lang w:eastAsia="en-US"/>
        </w:rPr>
      </w:pPr>
      <w:r>
        <w:rPr>
          <w:noProof/>
          <w:lang w:eastAsia="en-US"/>
        </w:rPr>
        <w:t>Freight has usually a low priority both in capacity planning, i.e. when preparing rail timetables, and in operational traffic management, i.e. during operations, in case of delays. In addition, cross-border freight services often remain “trapped” between different priorities set at national level, reducing their speed and reliability for customers and resource productivity for operators.</w:t>
      </w:r>
    </w:p>
    <w:p>
      <w:pPr>
        <w:pStyle w:val="LegalNumPar"/>
        <w:numPr>
          <w:ilvl w:val="0"/>
          <w:numId w:val="89"/>
        </w:numPr>
        <w:tabs>
          <w:tab w:val="left" w:pos="476"/>
        </w:tabs>
        <w:spacing w:line="240" w:lineRule="auto"/>
        <w:rPr>
          <w:noProof/>
          <w:lang w:eastAsia="en-US"/>
        </w:rPr>
      </w:pPr>
      <w:r>
        <w:rPr>
          <w:noProof/>
          <w:lang w:eastAsia="en-US"/>
        </w:rPr>
        <w:t>Traditional rules for capacity allocation and management based on the definition of a yearly timetable for individual train paths also hinder more market driven business models. Rail is often unable to respond to short-notice requests for services from freight customers, with new services requiring months of pre-planning.  Due to historical reasons and the prevalence of domestic traffic, such as commuter and regional traffic, there is still a lack of capacity of adequate quality available for cross-border freight traffic. This can be aggravated by lack of cross-border coordination of traffic management but also works on neighbouring networks, fragmentation and national orientation of IT tools used for capacity planning and traffic management, or poor cooperation on issues such as charging and performance. All of these issues have a clear network dimension and the current lack of coordination hinders the achievement of a truly Single European Railways Area.</w:t>
      </w:r>
    </w:p>
    <w:p>
      <w:pPr>
        <w:pStyle w:val="LegalNumPar"/>
        <w:numPr>
          <w:ilvl w:val="0"/>
          <w:numId w:val="89"/>
        </w:numPr>
        <w:tabs>
          <w:tab w:val="left" w:pos="476"/>
        </w:tabs>
        <w:spacing w:line="240" w:lineRule="auto"/>
        <w:rPr>
          <w:noProof/>
          <w:lang w:eastAsia="en-US"/>
        </w:rPr>
      </w:pPr>
      <w:r>
        <w:rPr>
          <w:noProof/>
          <w:lang w:eastAsia="en-US"/>
        </w:rPr>
        <w:t>Infrastructure managers seem to underemphasize their role as ‘traffic managers’ as opposed to managing the rail infrastructure assets. In some Member States, sophisticated schemes are in place to monitor and improve the state of the network but the impact of infrastructure works for maintenance and renewal on traffic is often not sufficiently taken into account. This is often caused by a lack of uptake of digital tools and automation of infrastructure managers business processes.</w:t>
      </w:r>
    </w:p>
    <w:p>
      <w:pPr>
        <w:pStyle w:val="LegalNumPar"/>
        <w:numPr>
          <w:ilvl w:val="0"/>
          <w:numId w:val="89"/>
        </w:numPr>
        <w:tabs>
          <w:tab w:val="left" w:pos="476"/>
        </w:tabs>
        <w:spacing w:line="240" w:lineRule="auto"/>
        <w:rPr>
          <w:noProof/>
          <w:lang w:eastAsia="en-US"/>
        </w:rPr>
      </w:pPr>
      <w:r>
        <w:rPr>
          <w:noProof/>
          <w:lang w:eastAsia="en-US"/>
        </w:rPr>
        <w:t xml:space="preserve">Profitability in the rail freight sector remains low, limiting the motivation for investment in new technologies and innovation or diversification of business areas to support growth strategies. New operators have entered the market but operate mostly in niches, serving specific corridors or industries. Many incumbent rail freight operators are in chronic loss and rely on regular recapitalisation and/or reorganisation to survive. Some market segments, like single wagon load and combined transport, are highly subsidised – or have simply disappeared. Overall, freight operators still have a way to go to better realise market potentials and to optimise operations and business models. In addition, the absence of a level playing field with other modes and high operational costs, e.g. for intermodal transhipment and single wagon load, increase the challenge of finding a viable business model. </w:t>
      </w:r>
    </w:p>
    <w:p>
      <w:pPr>
        <w:pStyle w:val="LegalNumPar"/>
        <w:numPr>
          <w:ilvl w:val="0"/>
          <w:numId w:val="89"/>
        </w:numPr>
        <w:tabs>
          <w:tab w:val="left" w:pos="476"/>
        </w:tabs>
        <w:spacing w:line="240" w:lineRule="auto"/>
        <w:rPr>
          <w:noProof/>
          <w:lang w:eastAsia="en-US"/>
        </w:rPr>
      </w:pPr>
      <w:r>
        <w:rPr>
          <w:noProof/>
          <w:lang w:eastAsia="en-US"/>
        </w:rPr>
        <w:t>Investments into infrastructure (at EU and national level) have not always supported operational improvements and infrastructure maintenance works are not duly coordinated across borders. Furthermore, in the event of incidents or infrastructure works, it has been difficult to provide diversionary routes with suitable characteristics (train length, gauge, axle load, etc.) even along the key axes included in the Rail Freight Corridors (RFCs). This can deeply affect both rail competitiveness and EU businesses. As an example, the total losses from the Rastatt, Germany incident in August/September 2017, where a major freight line was closed for 8 weeks, have been estimated at approximately EUR 2 billion</w:t>
      </w:r>
      <w:r>
        <w:rPr>
          <w:noProof/>
          <w:vertAlign w:val="superscript"/>
          <w:lang w:eastAsia="en-US"/>
        </w:rPr>
        <w:footnoteReference w:id="347"/>
      </w:r>
      <w:r>
        <w:rPr>
          <w:noProof/>
          <w:lang w:eastAsia="en-US"/>
        </w:rPr>
        <w:t xml:space="preserve">. </w:t>
      </w:r>
    </w:p>
    <w:p>
      <w:pPr>
        <w:pStyle w:val="LegalNumPar"/>
        <w:numPr>
          <w:ilvl w:val="0"/>
          <w:numId w:val="89"/>
        </w:numPr>
        <w:tabs>
          <w:tab w:val="left" w:pos="476"/>
        </w:tabs>
        <w:spacing w:line="240" w:lineRule="auto"/>
        <w:rPr>
          <w:noProof/>
          <w:lang w:eastAsia="en-US"/>
        </w:rPr>
      </w:pPr>
      <w:r>
        <w:rPr>
          <w:noProof/>
          <w:lang w:eastAsia="en-US"/>
        </w:rPr>
        <w:t>The Regulation establishing the Rail Freight Corridors</w:t>
      </w:r>
      <w:r>
        <w:rPr>
          <w:rStyle w:val="FootnoteReference"/>
          <w:noProof/>
          <w:lang w:eastAsia="en-US"/>
        </w:rPr>
        <w:footnoteReference w:id="348"/>
      </w:r>
      <w:r>
        <w:rPr>
          <w:noProof/>
          <w:lang w:eastAsia="en-US"/>
        </w:rPr>
        <w:t xml:space="preserve"> is currently under evaluation. More efficient use of rail infrastructure capacity at the EU level would be instrumental for making rail freight transport more competitive, both in multimodal context and as a mode on its own. Stronger cross-border traffic management cooperation, coordination and smooth operations suffering less obstacles from redundant national rules remain a significant challenge for the sector, </w:t>
      </w:r>
      <w:r>
        <w:rPr>
          <w:noProof/>
        </w:rPr>
        <w:t>which should be considered</w:t>
      </w:r>
      <w:r>
        <w:rPr>
          <w:noProof/>
          <w:lang w:eastAsia="en-US"/>
        </w:rPr>
        <w:t xml:space="preserve"> with the involvement and commitment of Member States, infrastructure managers, infrastructure users and customers of freight services. </w:t>
      </w:r>
    </w:p>
    <w:p>
      <w:pPr>
        <w:pStyle w:val="LegalNumPar"/>
        <w:numPr>
          <w:ilvl w:val="0"/>
          <w:numId w:val="89"/>
        </w:numPr>
        <w:tabs>
          <w:tab w:val="left" w:pos="476"/>
        </w:tabs>
        <w:spacing w:line="240" w:lineRule="auto"/>
        <w:rPr>
          <w:noProof/>
          <w:lang w:eastAsia="en-US"/>
        </w:rPr>
      </w:pPr>
      <w:r>
        <w:rPr>
          <w:noProof/>
          <w:lang w:eastAsia="en-US"/>
        </w:rPr>
        <w:t>Effective management of EU rail infrastructure is another important subject when it comes to building a truly single European railway area. An important element is the need to redesign the governance process for managing railway capacity so that it enables rail freight operators to provide transport services in line with the needs of their customers in terms of reliability, punctuality and flexibility. This requires a management process that considers rail capacity in a continuous manner across all planning and operational phases, and which is supported by state-of-the art digital tools. Such an approach would overcome th</w:t>
      </w:r>
      <w:r>
        <w:rPr>
          <w:noProof/>
        </w:rPr>
        <w:t>e current lack of continuity and integration,</w:t>
      </w:r>
      <w:r>
        <w:rPr>
          <w:noProof/>
          <w:lang w:eastAsia="en-US"/>
        </w:rPr>
        <w:t xml:space="preserve"> creating a transparent link between the mid- to long-term capacity needs expected by operators and customers, the planning of infrastructure works restricting available capacity by infrastructure managers and the flexible, discrimination-free allocation of capacity when concrete capacity needs are known, including a short-notice allocation of train paths for spot traffic and in the event of disruptions. In addition, experience with the Rail Freight Corridors has shown that due to the prevalence of mixed-used lines in the EU railway network, a comprehensive approach to capacity management – comprising both passenger and freight traffic – is currently absent and hinders optimal utilisation of network capacity (see also section 4.3.2).</w:t>
      </w:r>
    </w:p>
    <w:p>
      <w:pPr>
        <w:pStyle w:val="LegalNumPar"/>
        <w:numPr>
          <w:ilvl w:val="0"/>
          <w:numId w:val="89"/>
        </w:numPr>
        <w:tabs>
          <w:tab w:val="left" w:pos="476"/>
        </w:tabs>
        <w:spacing w:line="240" w:lineRule="auto"/>
        <w:rPr>
          <w:noProof/>
          <w:lang w:eastAsia="en-US"/>
        </w:rPr>
      </w:pPr>
      <w:r>
        <w:rPr>
          <w:noProof/>
          <w:lang w:eastAsia="en-US"/>
        </w:rPr>
        <w:t xml:space="preserve">In order to implement such a novel governance approach in a harmonised and effective manner, it may be necessary to provide for rules whereby, to an extent, management of capacity takes place at a level beyond national borders. In some cases, the most appropriate way to do so may be to strengthen the role and competences of the existing rail freight corridors. In others, it may be more efficient to coordinate or assign certain tasks and functions at the EU level. It is necessary to thoroughly assess different options </w:t>
      </w:r>
      <w:r>
        <w:rPr>
          <w:noProof/>
        </w:rPr>
        <w:t xml:space="preserve">and </w:t>
      </w:r>
      <w:r>
        <w:rPr>
          <w:noProof/>
          <w:lang w:eastAsia="en-US"/>
        </w:rPr>
        <w:t xml:space="preserve">to consider </w:t>
      </w:r>
      <w:r>
        <w:rPr>
          <w:noProof/>
        </w:rPr>
        <w:t xml:space="preserve">a possible revision of the </w:t>
      </w:r>
      <w:r>
        <w:rPr>
          <w:noProof/>
          <w:lang w:eastAsia="en-US"/>
        </w:rPr>
        <w:t>Regulation establishing the Rail Freight Corridors</w:t>
      </w:r>
      <w:r>
        <w:rPr>
          <w:rStyle w:val="FootnoteReference"/>
          <w:noProof/>
          <w:lang w:eastAsia="en-US"/>
        </w:rPr>
        <w:footnoteReference w:id="349"/>
      </w:r>
      <w:r>
        <w:rPr>
          <w:noProof/>
          <w:lang w:eastAsia="en-US"/>
        </w:rPr>
        <w:t xml:space="preserve"> and, if necessary, corresponding provisions of Directive 2012/34/EU establishing a single European rail area.</w:t>
      </w:r>
    </w:p>
    <w:p>
      <w:pPr>
        <w:pStyle w:val="Heading4"/>
        <w:numPr>
          <w:ilvl w:val="3"/>
          <w:numId w:val="98"/>
        </w:numPr>
        <w:rPr>
          <w:noProof/>
        </w:rPr>
      </w:pPr>
      <w:bookmarkStart w:id="3069" w:name="_Toc51450112"/>
      <w:bookmarkStart w:id="3070" w:name="_Toc51574811"/>
      <w:bookmarkStart w:id="3071" w:name="_Toc51575659"/>
      <w:bookmarkStart w:id="3072" w:name="_Toc51578057"/>
      <w:bookmarkStart w:id="3073" w:name="_Toc51578609"/>
      <w:bookmarkStart w:id="3074" w:name="_Toc51582930"/>
      <w:bookmarkStart w:id="3075" w:name="_Toc51583405"/>
      <w:bookmarkStart w:id="3076" w:name="_Toc51583495"/>
      <w:bookmarkStart w:id="3077" w:name="_Toc51583780"/>
      <w:bookmarkStart w:id="3078" w:name="_Toc51583970"/>
      <w:bookmarkStart w:id="3079" w:name="_Toc51583894"/>
      <w:bookmarkStart w:id="3080" w:name="_Toc51586212"/>
      <w:bookmarkStart w:id="3081" w:name="_Toc51594015"/>
      <w:bookmarkStart w:id="3082" w:name="_Toc51594341"/>
      <w:bookmarkStart w:id="3083" w:name="_Toc51595319"/>
      <w:bookmarkStart w:id="3084" w:name="_Toc51595569"/>
      <w:bookmarkStart w:id="3085" w:name="_Toc51595895"/>
      <w:bookmarkStart w:id="3086" w:name="_Toc51596058"/>
      <w:bookmarkStart w:id="3087" w:name="_Toc51596411"/>
      <w:bookmarkStart w:id="3088" w:name="_Toc52121545"/>
      <w:bookmarkStart w:id="3089" w:name="_Toc52122776"/>
      <w:bookmarkStart w:id="3090" w:name="_Toc52123893"/>
      <w:bookmarkStart w:id="3091" w:name="_Toc53405352"/>
      <w:bookmarkStart w:id="3092" w:name="_Toc53406140"/>
      <w:bookmarkStart w:id="3093" w:name="_Toc53407508"/>
      <w:bookmarkStart w:id="3094" w:name="_Toc53410953"/>
      <w:bookmarkStart w:id="3095" w:name="_Toc53412016"/>
      <w:bookmarkStart w:id="3096" w:name="_Toc53417263"/>
      <w:bookmarkStart w:id="3097" w:name="_Toc53417615"/>
      <w:bookmarkStart w:id="3098" w:name="_Toc53419850"/>
      <w:bookmarkStart w:id="3099" w:name="_Toc53434953"/>
      <w:bookmarkStart w:id="3100" w:name="_Toc53437092"/>
      <w:bookmarkStart w:id="3101" w:name="_Toc57291498"/>
      <w:r>
        <w:rPr>
          <w:noProof/>
        </w:rPr>
        <w:t>Inland waterways</w:t>
      </w:r>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p>
    <w:p>
      <w:pPr>
        <w:pStyle w:val="LegalNumPar"/>
        <w:numPr>
          <w:ilvl w:val="0"/>
          <w:numId w:val="89"/>
        </w:numPr>
        <w:tabs>
          <w:tab w:val="left" w:pos="476"/>
        </w:tabs>
        <w:spacing w:line="240" w:lineRule="auto"/>
        <w:rPr>
          <w:noProof/>
          <w:lang w:eastAsia="en-US"/>
        </w:rPr>
      </w:pPr>
      <w:r>
        <w:rPr>
          <w:noProof/>
          <w:lang w:eastAsia="en-US"/>
        </w:rPr>
        <w:t>Inland waterway transport is particularly relevant for certain corridors, for instance, current market characteristics show that for cross-border traffic within the Rhine-Alpine Corridor, inland waterways have a share of 54%. This mode of transport is especially important for some goods segments. In particular, inland navigation is successful in conquering new market shares within the liquid cargo and container segments: its modal share for chemicals and containers show the most potential for further increase, at least since 2008. Waterways in the heart of main European cities start playing an increasing role in the transport of people and the urban distribution of consumer goods, building materials and waste which helps to reduce traffic problems and emissions.</w:t>
      </w:r>
    </w:p>
    <w:p>
      <w:pPr>
        <w:pStyle w:val="LegalNumPar"/>
        <w:numPr>
          <w:ilvl w:val="0"/>
          <w:numId w:val="89"/>
        </w:numPr>
        <w:tabs>
          <w:tab w:val="left" w:pos="476"/>
        </w:tabs>
        <w:spacing w:line="240" w:lineRule="auto"/>
        <w:rPr>
          <w:noProof/>
          <w:lang w:eastAsia="en-US"/>
        </w:rPr>
      </w:pPr>
      <w:r>
        <w:rPr>
          <w:noProof/>
          <w:lang w:eastAsia="en-US"/>
        </w:rPr>
        <w:t xml:space="preserve">The successive NAIADES action plans contributed to largely maintaining the modal share of inland waterway transport in the overall transport mix, despite an economic crisis, changing markets, an imperfect governance framework and the lack of dedicated funding. The work is not finished yet. Much remains to be done to make better use of inland waterway transport and thereby create added value for Europe. The current Naiades II programme ending in 2020 is addressing challenges to be tackled to use the untapped potential of IWT to reach a more sustainable transport system. </w:t>
      </w:r>
    </w:p>
    <w:p>
      <w:pPr>
        <w:pStyle w:val="LegalNumPar"/>
        <w:numPr>
          <w:ilvl w:val="0"/>
          <w:numId w:val="89"/>
        </w:numPr>
        <w:tabs>
          <w:tab w:val="left" w:pos="476"/>
        </w:tabs>
        <w:spacing w:line="240" w:lineRule="auto"/>
        <w:rPr>
          <w:noProof/>
          <w:lang w:eastAsia="en-US"/>
        </w:rPr>
      </w:pPr>
      <w:r>
        <w:rPr>
          <w:noProof/>
          <w:lang w:eastAsia="en-US"/>
        </w:rPr>
        <w:t>To make IWT an attractive, reliable and green mode of transport the crucial thing is close cooperation with all relevant organisation at international and regional level. A common approach is needed in relation to the future development of this sector. Without an inland waterway transport agenda for Europe, there is the risk of returning to fragmented and uncoordinated actions that hamper the EU Single Market and result in more redundancies and barriers, deteriorating cross-border traffic, widening the digital divide and jeopardising synergies. It would lead to a declining role of inland waterway transport in the transport system. It would also deprive our economy and society from the benefit of innovations resulting from cooperation with other sectors.</w:t>
      </w:r>
      <w:r>
        <w:rPr>
          <w:noProof/>
        </w:rPr>
        <w:t xml:space="preserve"> </w:t>
      </w:r>
    </w:p>
    <w:p>
      <w:pPr>
        <w:pStyle w:val="Heading4"/>
        <w:numPr>
          <w:ilvl w:val="3"/>
          <w:numId w:val="98"/>
        </w:numPr>
        <w:rPr>
          <w:noProof/>
        </w:rPr>
      </w:pPr>
      <w:bookmarkStart w:id="3102" w:name="_Toc57291499"/>
      <w:bookmarkStart w:id="3103" w:name="_Toc51450113"/>
      <w:bookmarkStart w:id="3104" w:name="_Toc51574812"/>
      <w:bookmarkStart w:id="3105" w:name="_Toc51575660"/>
      <w:bookmarkStart w:id="3106" w:name="_Toc51578058"/>
      <w:bookmarkStart w:id="3107" w:name="_Toc51578610"/>
      <w:bookmarkStart w:id="3108" w:name="_Toc51582931"/>
      <w:bookmarkStart w:id="3109" w:name="_Toc51583406"/>
      <w:bookmarkStart w:id="3110" w:name="_Toc51583496"/>
      <w:bookmarkStart w:id="3111" w:name="_Toc51583781"/>
      <w:bookmarkStart w:id="3112" w:name="_Toc51583971"/>
      <w:bookmarkStart w:id="3113" w:name="_Toc51583895"/>
      <w:bookmarkStart w:id="3114" w:name="_Toc51586213"/>
      <w:bookmarkStart w:id="3115" w:name="_Toc51594016"/>
      <w:bookmarkStart w:id="3116" w:name="_Toc51594342"/>
      <w:bookmarkStart w:id="3117" w:name="_Toc51595320"/>
      <w:bookmarkStart w:id="3118" w:name="_Toc51595570"/>
      <w:bookmarkStart w:id="3119" w:name="_Toc51595896"/>
      <w:bookmarkStart w:id="3120" w:name="_Toc51596059"/>
      <w:bookmarkStart w:id="3121" w:name="_Toc51596412"/>
      <w:bookmarkStart w:id="3122" w:name="_Toc52121546"/>
      <w:bookmarkStart w:id="3123" w:name="_Toc52122777"/>
      <w:bookmarkStart w:id="3124" w:name="_Toc52123894"/>
      <w:bookmarkStart w:id="3125" w:name="_Toc53405353"/>
      <w:bookmarkStart w:id="3126" w:name="_Toc53406141"/>
      <w:bookmarkStart w:id="3127" w:name="_Toc53407509"/>
      <w:bookmarkStart w:id="3128" w:name="_Toc53410954"/>
      <w:bookmarkStart w:id="3129" w:name="_Toc53412017"/>
      <w:bookmarkStart w:id="3130" w:name="_Toc53417264"/>
      <w:bookmarkStart w:id="3131" w:name="_Toc53417616"/>
      <w:bookmarkStart w:id="3132" w:name="_Toc53419851"/>
      <w:bookmarkStart w:id="3133" w:name="_Toc53434954"/>
      <w:bookmarkStart w:id="3134" w:name="_Toc53437093"/>
      <w:r>
        <w:rPr>
          <w:noProof/>
        </w:rPr>
        <w:t>Short sea shipping</w:t>
      </w:r>
      <w:bookmarkEnd w:id="3102"/>
      <w:r>
        <w:rPr>
          <w:noProof/>
        </w:rPr>
        <w:t xml:space="preserve"> </w:t>
      </w:r>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p>
    <w:p>
      <w:pPr>
        <w:pStyle w:val="LegalNumPar"/>
        <w:numPr>
          <w:ilvl w:val="0"/>
          <w:numId w:val="89"/>
        </w:numPr>
        <w:tabs>
          <w:tab w:val="left" w:pos="476"/>
        </w:tabs>
        <w:spacing w:line="240" w:lineRule="auto"/>
        <w:rPr>
          <w:noProof/>
          <w:lang w:eastAsia="en-US"/>
        </w:rPr>
      </w:pPr>
      <w:r>
        <w:rPr>
          <w:noProof/>
          <w:lang w:eastAsia="en-US"/>
        </w:rPr>
        <w:t>When adding air and maritime transport to the inland modes, road still keeps its leading position, followed by maritime transport. In 2018, road accounted for just over half of all tonne-kilometres performed in the EU. Maritime transport came next, with almost a third of the total transport performance, followed by rail (13.0 %) and inland waterways (4.1 %). In terms of tonne-kilometres performed, air transport plays only a marginal role in intra EU freight transport, with a share of 0.4 %.</w:t>
      </w:r>
    </w:p>
    <w:p>
      <w:pPr>
        <w:pStyle w:val="LegalNumPar"/>
        <w:numPr>
          <w:ilvl w:val="0"/>
          <w:numId w:val="89"/>
        </w:numPr>
        <w:tabs>
          <w:tab w:val="left" w:pos="476"/>
        </w:tabs>
        <w:spacing w:line="240" w:lineRule="auto"/>
        <w:rPr>
          <w:noProof/>
          <w:lang w:eastAsia="en-US"/>
        </w:rPr>
      </w:pPr>
      <w:r>
        <w:rPr>
          <w:noProof/>
          <w:lang w:eastAsia="en-US"/>
        </w:rPr>
        <w:t xml:space="preserve">However, the EU maritime industry is unable to fully benefit from internal market in short sea shipping due to diverging national measures, including burdensome </w:t>
      </w:r>
      <w:r>
        <w:rPr>
          <w:noProof/>
        </w:rPr>
        <w:t xml:space="preserve">non-harmonised </w:t>
      </w:r>
      <w:r>
        <w:rPr>
          <w:noProof/>
          <w:lang w:eastAsia="en-US"/>
        </w:rPr>
        <w:t xml:space="preserve">reporting obligations at each port call. Better integration of maritime transport in the entire logistic chain, as well as exploiting ancillary maritime sustainability measures is needed. The new Regulation (EU) 2019/1239 establishing a European Maritime Single Window environment (EMSWe), once implemented, can simplify fulfilling the reporting obligations, but considerable efforts have to be undertaken for the implementation of the new regulation. </w:t>
      </w:r>
    </w:p>
    <w:p>
      <w:pPr>
        <w:pStyle w:val="LegalNumPar"/>
        <w:numPr>
          <w:ilvl w:val="0"/>
          <w:numId w:val="89"/>
        </w:numPr>
        <w:tabs>
          <w:tab w:val="left" w:pos="476"/>
        </w:tabs>
        <w:spacing w:line="240" w:lineRule="auto"/>
        <w:rPr>
          <w:noProof/>
          <w:lang w:eastAsia="en-US"/>
        </w:rPr>
      </w:pPr>
      <w:r>
        <w:rPr>
          <w:noProof/>
          <w:lang w:eastAsia="en-US"/>
        </w:rPr>
        <w:t xml:space="preserve">However, although the EMSWe regulation does not harmonise the measures by Member States, </w:t>
      </w:r>
      <w:r>
        <w:rPr>
          <w:noProof/>
        </w:rPr>
        <w:t>it provides for the first time</w:t>
      </w:r>
      <w:r>
        <w:rPr>
          <w:noProof/>
          <w:lang w:eastAsia="en-US"/>
        </w:rPr>
        <w:t xml:space="preserve"> a complete overview of such measures </w:t>
      </w:r>
      <w:r>
        <w:rPr>
          <w:noProof/>
        </w:rPr>
        <w:t xml:space="preserve">and establishes a </w:t>
      </w:r>
      <w:r>
        <w:rPr>
          <w:noProof/>
          <w:lang w:eastAsia="en-US"/>
        </w:rPr>
        <w:t>notification obligation for new legislation for Member States</w:t>
      </w:r>
      <w:r>
        <w:rPr>
          <w:noProof/>
        </w:rPr>
        <w:t>, posing a limit to the proliferation of data requests which create</w:t>
      </w:r>
      <w:r>
        <w:rPr>
          <w:noProof/>
          <w:lang w:eastAsia="en-US"/>
        </w:rPr>
        <w:t xml:space="preserve"> barriers to internal market in short sea shipping. Furthermore, use of simplified digital procedures for internal market operations would improve the competitiveness of short sea shipping as compared to other modes of transport where no comparable obligations exist on transport of goods between Member States. </w:t>
      </w:r>
    </w:p>
    <w:p>
      <w:pPr>
        <w:pStyle w:val="LegalNumPar"/>
        <w:numPr>
          <w:ilvl w:val="0"/>
          <w:numId w:val="89"/>
        </w:numPr>
        <w:tabs>
          <w:tab w:val="left" w:pos="476"/>
        </w:tabs>
        <w:spacing w:line="240" w:lineRule="auto"/>
        <w:rPr>
          <w:noProof/>
          <w:lang w:eastAsia="en-US"/>
        </w:rPr>
      </w:pPr>
      <w:r>
        <w:rPr>
          <w:noProof/>
          <w:lang w:eastAsia="en-US"/>
        </w:rPr>
        <w:t>This includes the issue of making certain information publicly available e.g. Automatic Identification System (AIS) and actual time or arrival/departure. In</w:t>
      </w:r>
      <w:r>
        <w:rPr>
          <w:noProof/>
        </w:rPr>
        <w:t xml:space="preserve"> this regard, the EMSWe regulation provides that arrival/departure times of ships must be made public available, </w:t>
      </w:r>
      <w:r>
        <w:rPr>
          <w:noProof/>
          <w:lang w:eastAsia="en-US"/>
        </w:rPr>
        <w:t>allowing for better planning of cargo and vessel movements, and for increased integration of all modes linked to and centred around ports.</w:t>
      </w:r>
    </w:p>
    <w:p>
      <w:pPr>
        <w:pStyle w:val="Heading3"/>
        <w:numPr>
          <w:ilvl w:val="2"/>
          <w:numId w:val="98"/>
        </w:numPr>
        <w:rPr>
          <w:noProof/>
        </w:rPr>
      </w:pPr>
      <w:bookmarkStart w:id="3135" w:name="_Toc51450114"/>
      <w:bookmarkStart w:id="3136" w:name="_Toc51574813"/>
      <w:bookmarkStart w:id="3137" w:name="_Toc51575661"/>
      <w:bookmarkStart w:id="3138" w:name="_Toc51578059"/>
      <w:bookmarkStart w:id="3139" w:name="_Toc51578611"/>
      <w:bookmarkStart w:id="3140" w:name="_Toc51582932"/>
      <w:bookmarkStart w:id="3141" w:name="_Toc51583407"/>
      <w:bookmarkStart w:id="3142" w:name="_Toc51583497"/>
      <w:bookmarkStart w:id="3143" w:name="_Toc51583782"/>
      <w:bookmarkStart w:id="3144" w:name="_Toc51583972"/>
      <w:bookmarkStart w:id="3145" w:name="_Toc51583896"/>
      <w:bookmarkStart w:id="3146" w:name="_Toc51586214"/>
      <w:bookmarkStart w:id="3147" w:name="_Toc51594017"/>
      <w:bookmarkStart w:id="3148" w:name="_Toc51594343"/>
      <w:bookmarkStart w:id="3149" w:name="_Toc51595321"/>
      <w:bookmarkStart w:id="3150" w:name="_Toc51595571"/>
      <w:bookmarkStart w:id="3151" w:name="_Toc51595897"/>
      <w:bookmarkStart w:id="3152" w:name="_Toc51596060"/>
      <w:bookmarkStart w:id="3153" w:name="_Toc51596413"/>
      <w:bookmarkStart w:id="3154" w:name="_Toc52121547"/>
      <w:bookmarkStart w:id="3155" w:name="_Toc52122778"/>
      <w:bookmarkStart w:id="3156" w:name="_Toc52123895"/>
      <w:bookmarkStart w:id="3157" w:name="_Toc53405354"/>
      <w:bookmarkStart w:id="3158" w:name="_Toc53406142"/>
      <w:bookmarkStart w:id="3159" w:name="_Toc53407510"/>
      <w:bookmarkStart w:id="3160" w:name="_Toc53410955"/>
      <w:bookmarkStart w:id="3161" w:name="_Toc53412018"/>
      <w:bookmarkStart w:id="3162" w:name="_Toc53417265"/>
      <w:bookmarkStart w:id="3163" w:name="_Toc53417617"/>
      <w:bookmarkStart w:id="3164" w:name="_Toc53419852"/>
      <w:bookmarkStart w:id="3165" w:name="_Toc53434955"/>
      <w:bookmarkStart w:id="3166" w:name="_Toc53437094"/>
      <w:bookmarkStart w:id="3167" w:name="_Toc57291500"/>
      <w:r>
        <w:rPr>
          <w:noProof/>
        </w:rPr>
        <w:t>Better incentives to users</w:t>
      </w:r>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p>
    <w:p>
      <w:pPr>
        <w:pStyle w:val="LegalNumPar"/>
        <w:numPr>
          <w:ilvl w:val="0"/>
          <w:numId w:val="89"/>
        </w:numPr>
        <w:tabs>
          <w:tab w:val="left" w:pos="476"/>
        </w:tabs>
        <w:spacing w:line="240" w:lineRule="auto"/>
        <w:rPr>
          <w:noProof/>
        </w:rPr>
      </w:pPr>
      <w:r>
        <w:rPr>
          <w:noProof/>
        </w:rPr>
        <w:t xml:space="preserve">Currently, transport user do not give enough consideration to sustainability. People need to be made aware of the environmental impact of their travel, purchases and day-to-day mobility. In other words, the right incentives need to be put in place, in addition to making each and every transport mode more sustainable and making sustainable alternatives widely available. </w:t>
      </w:r>
    </w:p>
    <w:p>
      <w:pPr>
        <w:pStyle w:val="Heading4"/>
        <w:numPr>
          <w:ilvl w:val="3"/>
          <w:numId w:val="98"/>
        </w:numPr>
        <w:rPr>
          <w:noProof/>
        </w:rPr>
      </w:pPr>
      <w:bookmarkStart w:id="3168" w:name="_Toc51450115"/>
      <w:bookmarkStart w:id="3169" w:name="_Toc51574814"/>
      <w:bookmarkStart w:id="3170" w:name="_Toc51575662"/>
      <w:bookmarkStart w:id="3171" w:name="_Toc51578060"/>
      <w:bookmarkStart w:id="3172" w:name="_Toc51578612"/>
      <w:bookmarkStart w:id="3173" w:name="_Toc51582933"/>
      <w:bookmarkStart w:id="3174" w:name="_Toc51583408"/>
      <w:bookmarkStart w:id="3175" w:name="_Toc51583498"/>
      <w:bookmarkStart w:id="3176" w:name="_Toc51583783"/>
      <w:bookmarkStart w:id="3177" w:name="_Toc51583973"/>
      <w:bookmarkStart w:id="3178" w:name="_Toc51583897"/>
      <w:bookmarkStart w:id="3179" w:name="_Toc51586215"/>
      <w:bookmarkStart w:id="3180" w:name="_Toc51594018"/>
      <w:bookmarkStart w:id="3181" w:name="_Toc51594344"/>
      <w:bookmarkStart w:id="3182" w:name="_Toc51595322"/>
      <w:bookmarkStart w:id="3183" w:name="_Toc51595572"/>
      <w:bookmarkStart w:id="3184" w:name="_Toc51595898"/>
      <w:bookmarkStart w:id="3185" w:name="_Toc51596061"/>
      <w:bookmarkStart w:id="3186" w:name="_Toc51596414"/>
      <w:bookmarkStart w:id="3187" w:name="_Toc52121548"/>
      <w:bookmarkStart w:id="3188" w:name="_Toc52122779"/>
      <w:bookmarkStart w:id="3189" w:name="_Toc52123896"/>
      <w:bookmarkStart w:id="3190" w:name="_Toc53405355"/>
      <w:bookmarkStart w:id="3191" w:name="_Toc53406143"/>
      <w:bookmarkStart w:id="3192" w:name="_Toc53407511"/>
      <w:bookmarkStart w:id="3193" w:name="_Toc53410956"/>
      <w:bookmarkStart w:id="3194" w:name="_Toc53412019"/>
      <w:bookmarkStart w:id="3195" w:name="_Toc53417266"/>
      <w:bookmarkStart w:id="3196" w:name="_Toc53417618"/>
      <w:bookmarkStart w:id="3197" w:name="_Toc53419853"/>
      <w:bookmarkStart w:id="3198" w:name="_Toc53434956"/>
      <w:bookmarkStart w:id="3199" w:name="_Toc53437095"/>
      <w:bookmarkStart w:id="3200" w:name="_Toc57291501"/>
      <w:r>
        <w:rPr>
          <w:noProof/>
        </w:rPr>
        <w:t>Pricing and internalisation of external costs</w:t>
      </w:r>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p>
    <w:p>
      <w:pPr>
        <w:pStyle w:val="LegalNumPar"/>
        <w:numPr>
          <w:ilvl w:val="0"/>
          <w:numId w:val="89"/>
        </w:numPr>
        <w:tabs>
          <w:tab w:val="left" w:pos="476"/>
        </w:tabs>
        <w:spacing w:line="240" w:lineRule="auto"/>
        <w:rPr>
          <w:noProof/>
        </w:rPr>
      </w:pPr>
      <w:r>
        <w:rPr>
          <w:noProof/>
        </w:rPr>
        <w:t xml:space="preserve">As </w:t>
      </w:r>
      <w:r>
        <w:rPr>
          <w:noProof/>
          <w:lang w:eastAsia="en-US"/>
        </w:rPr>
        <w:t>regards</w:t>
      </w:r>
      <w:r>
        <w:rPr>
          <w:noProof/>
        </w:rPr>
        <w:t xml:space="preserve"> </w:t>
      </w:r>
      <w:r>
        <w:rPr>
          <w:b/>
          <w:bCs/>
          <w:noProof/>
        </w:rPr>
        <w:t>incentives</w:t>
      </w:r>
      <w:r>
        <w:rPr>
          <w:noProof/>
        </w:rPr>
        <w:t>, pricing instruments are powerful tools to green the transport sector. Even though both the “polluter-pays” and the “user-pays” principles have been on the EU agenda for a long time</w:t>
      </w:r>
      <w:r>
        <w:rPr>
          <w:noProof/>
          <w:vertAlign w:val="superscript"/>
        </w:rPr>
        <w:footnoteReference w:id="350"/>
      </w:r>
      <w:r>
        <w:rPr>
          <w:noProof/>
        </w:rPr>
        <w:t>, today in the EU no mode fully pays the external and infrastructure costs they are directly</w:t>
      </w:r>
      <w:r>
        <w:rPr>
          <w:noProof/>
          <w:vertAlign w:val="superscript"/>
        </w:rPr>
        <w:footnoteReference w:id="351"/>
      </w:r>
      <w:r>
        <w:rPr>
          <w:noProof/>
        </w:rPr>
        <w:t xml:space="preserve"> responsible for</w:t>
      </w:r>
      <w:r>
        <w:rPr>
          <w:noProof/>
          <w:vertAlign w:val="superscript"/>
        </w:rPr>
        <w:footnoteReference w:id="352"/>
      </w:r>
      <w:r>
        <w:rPr>
          <w:noProof/>
          <w:vertAlign w:val="superscript"/>
        </w:rPr>
        <w:t>;</w:t>
      </w:r>
      <w:r>
        <w:rPr>
          <w:noProof/>
          <w:vertAlign w:val="superscript"/>
        </w:rPr>
        <w:footnoteReference w:id="353"/>
      </w:r>
      <w:r>
        <w:rPr>
          <w:noProof/>
        </w:rPr>
        <w:t xml:space="preserve"> (see also above). This is a problem that the Commission has repeatedly highlighted and tried to address: the pricing of transport services often does not cater for correct price signals and thus prevents an economic effective resource allocation as well as a fair burden sharing among users, polluters and society as a whole. In turn, internalisation of external costs would result in polluters and users fully taking responsibility for the costs they generate, thereby providing them with a strong incentive to reduce those costs by opting for alternatives, better technological solutions (i.e. cleaner vehicles), changing use patterns (i.e. using vehicles in times when there is no congestion) or decreasing use.</w:t>
      </w:r>
    </w:p>
    <w:p>
      <w:pPr>
        <w:pStyle w:val="LegalNumPar"/>
        <w:numPr>
          <w:ilvl w:val="0"/>
          <w:numId w:val="89"/>
        </w:numPr>
        <w:tabs>
          <w:tab w:val="left" w:pos="476"/>
        </w:tabs>
        <w:spacing w:line="240" w:lineRule="auto"/>
        <w:rPr>
          <w:noProof/>
        </w:rPr>
      </w:pPr>
      <w:r>
        <w:rPr>
          <w:noProof/>
        </w:rPr>
        <w:t>Nonetheless, despite a Commission proposal</w:t>
      </w:r>
      <w:r>
        <w:rPr>
          <w:rStyle w:val="FootnoteReference"/>
          <w:noProof/>
        </w:rPr>
        <w:footnoteReference w:id="354"/>
      </w:r>
      <w:r>
        <w:rPr>
          <w:noProof/>
        </w:rPr>
        <w:t xml:space="preserve"> to do so, carbon pricing has been introduced only in a fragmented manner across the transport modes, either through coverage by ETS (aviation for intra-EU flights, electric rail) or via the CO</w:t>
      </w:r>
      <w:r>
        <w:rPr>
          <w:noProof/>
          <w:vertAlign w:val="subscript"/>
        </w:rPr>
        <w:t>2</w:t>
      </w:r>
      <w:r>
        <w:rPr>
          <w:noProof/>
        </w:rPr>
        <w:t xml:space="preserve"> component in fuel taxes, but only in certain Member States</w:t>
      </w:r>
      <w:r>
        <w:rPr>
          <w:rStyle w:val="FootnoteReference"/>
          <w:noProof/>
        </w:rPr>
        <w:footnoteReference w:id="355"/>
      </w:r>
      <w:r>
        <w:rPr>
          <w:noProof/>
        </w:rPr>
        <w:t>. Distance-based road charging for passenger cars and vans has been implemented only in a few countries in Europe, while the current systems of VAT and of the taxation of energy products often discourage the use of sustainable transport solutions or prevent the further incentivising of greener purchases by consumers. Taxation of vehicles in particular, which could encourage the uptake of cleaner solutions, lacks harmonisation in relation to CO</w:t>
      </w:r>
      <w:r>
        <w:rPr>
          <w:noProof/>
          <w:vertAlign w:val="subscript"/>
        </w:rPr>
        <w:t>2</w:t>
      </w:r>
      <w:r>
        <w:rPr>
          <w:noProof/>
        </w:rPr>
        <w:t xml:space="preserve">. </w:t>
      </w:r>
    </w:p>
    <w:p>
      <w:pPr>
        <w:pStyle w:val="LegalNumPar"/>
        <w:numPr>
          <w:ilvl w:val="0"/>
          <w:numId w:val="89"/>
        </w:numPr>
        <w:tabs>
          <w:tab w:val="left" w:pos="476"/>
        </w:tabs>
        <w:spacing w:line="240" w:lineRule="auto"/>
        <w:rPr>
          <w:noProof/>
        </w:rPr>
      </w:pPr>
      <w:r>
        <w:rPr>
          <w:noProof/>
        </w:rPr>
        <w:t xml:space="preserve">Other policy instruments (e.g. regulatory measures) aim more directly at reducing certain externalities (for instance, standards define the acceptable limits of pollutant emissions emitted by a new vehicle). Such measures are very effective in addressing specific market failures such as the principal agent problem or consumer myopia. Appropriate pricing measures, such as cap &amp; trade GHG emission trading system, can be complementary to such regulatory instruments: they specifically correct market failures by internalising external costs and thereby enable market forces to find the economically most advantageous solution to deliver the desired policy outcome (e.g. reduction of GHG emissions) and incentivise people to opt for the most advantageous choice. </w:t>
      </w:r>
    </w:p>
    <w:p>
      <w:pPr>
        <w:pStyle w:val="LegalNumPar"/>
        <w:numPr>
          <w:ilvl w:val="0"/>
          <w:numId w:val="89"/>
        </w:numPr>
        <w:tabs>
          <w:tab w:val="left" w:pos="476"/>
        </w:tabs>
        <w:spacing w:line="240" w:lineRule="auto"/>
        <w:rPr>
          <w:noProof/>
        </w:rPr>
      </w:pPr>
      <w:r>
        <w:rPr>
          <w:noProof/>
        </w:rPr>
        <w:t xml:space="preserve"> Several pricing instruments already exist in EU legislation but, on average, they do not allow full cost coverage. Furthermore, they are not differentiated enough according to the level of external and infrastructure costs. </w:t>
      </w:r>
    </w:p>
    <w:p>
      <w:pPr>
        <w:pStyle w:val="LegalNumPar"/>
        <w:numPr>
          <w:ilvl w:val="0"/>
          <w:numId w:val="89"/>
        </w:numPr>
        <w:tabs>
          <w:tab w:val="left" w:pos="476"/>
        </w:tabs>
        <w:spacing w:line="240" w:lineRule="auto"/>
        <w:rPr>
          <w:noProof/>
        </w:rPr>
      </w:pPr>
      <w:r>
        <w:rPr>
          <w:noProof/>
        </w:rPr>
        <w:t>Marginal social cost pricing is considered – from a theoretical economic point of view – as a first-best approach. It is defined as a situation where transport users are charged with a levy equal to marginal external (and infrastructure) costs, thereby excluding fixed infrastructure costs. It is also in line with the framework set in the 2011 White Paper for Transport for smart pricing and taxation for transport. However, implementing internalisation measures in line with such principle is technically challenging, as the level of costs can change very quickly: the external cost of congestion varies depending on the actual level of congestion. Transport users could find it difficult to understand or take into account continuously fluctuating cost. For these reasons, a certain degree of simplification is inevitable. A few examples of existing instruments are provided below, covering different modes.</w:t>
      </w:r>
    </w:p>
    <w:p>
      <w:pPr>
        <w:pStyle w:val="LegalNumPar"/>
        <w:numPr>
          <w:ilvl w:val="0"/>
          <w:numId w:val="89"/>
        </w:numPr>
        <w:tabs>
          <w:tab w:val="left" w:pos="476"/>
        </w:tabs>
        <w:spacing w:line="240" w:lineRule="auto"/>
        <w:rPr>
          <w:noProof/>
        </w:rPr>
      </w:pPr>
      <w:r>
        <w:rPr>
          <w:noProof/>
        </w:rPr>
        <w:t xml:space="preserve">The Energy Taxation Directive provides a framework for taxing motor fuels, heating fuels and electricity. Currently it essentially follows however a predominantly fiscal logic, meaning that the system of taxation often has no link to the actual damage caused by the fuel, for instance in terms of carbon emissions. In addition, the minimum rates of taxation of the same fuel are very different depending on whether it is burnt in a heater/boiler or in an engine. Differing conditions in Member States may also hamper the development of an internal market of sustainable alternative fuels at sufficient scale. </w:t>
      </w:r>
    </w:p>
    <w:p>
      <w:pPr>
        <w:pStyle w:val="LegalNumPar"/>
        <w:numPr>
          <w:ilvl w:val="0"/>
          <w:numId w:val="89"/>
        </w:numPr>
        <w:tabs>
          <w:tab w:val="left" w:pos="476"/>
        </w:tabs>
        <w:spacing w:line="240" w:lineRule="auto"/>
        <w:rPr>
          <w:noProof/>
        </w:rPr>
      </w:pPr>
      <w:r>
        <w:rPr>
          <w:noProof/>
        </w:rPr>
        <w:t>The ETD has provided for mandatory exemptions to fuels used in international aviation and maritime since 2003</w:t>
      </w:r>
      <w:r>
        <w:rPr>
          <w:rStyle w:val="FootnoteReference"/>
          <w:noProof/>
        </w:rPr>
        <w:footnoteReference w:id="356"/>
      </w:r>
      <w:r>
        <w:rPr>
          <w:noProof/>
        </w:rPr>
        <w:t>. As acknowledged in Recital 8 of the Directive, the objective of the mandatory exemptions was to respect existing international obligations while safeguarding the competitiveness of European industry vis-à-vis third countries. However, as stated in a recent Commission evaluation of the Energy Tax Directive, the presence of sector-specific energy tax exemptions or reductions such as in the aviation and maritime sectors, may weaken the incentives for investing in more energy-efficient capital stock and production processes in these sectors and may affect the level playing field with other transport modes.</w:t>
      </w:r>
    </w:p>
    <w:p>
      <w:pPr>
        <w:pStyle w:val="LegalNumPar"/>
        <w:numPr>
          <w:ilvl w:val="0"/>
          <w:numId w:val="89"/>
        </w:numPr>
        <w:tabs>
          <w:tab w:val="left" w:pos="476"/>
        </w:tabs>
        <w:spacing w:line="240" w:lineRule="auto"/>
        <w:rPr>
          <w:noProof/>
        </w:rPr>
      </w:pPr>
      <w:r>
        <w:rPr>
          <w:noProof/>
        </w:rPr>
        <w:t>In its conclusions of 5 December 2019, the Council has invited the Commission to analyse and evaluate possible options with a view to publishing in due course a proposal for the revision of the Energy Taxation Directive. In particular, the Council calls on the Commission to update provisions in the future proposal in order to ensure that they are practicable and provide greater certainty and clarity in its implementation, taking notably into consideration relevant sectors, such as aviation, considering their specificities and existing exemptions and international dimension.</w:t>
      </w:r>
    </w:p>
    <w:p>
      <w:pPr>
        <w:pStyle w:val="LegalNumPar"/>
        <w:numPr>
          <w:ilvl w:val="0"/>
          <w:numId w:val="89"/>
        </w:numPr>
        <w:tabs>
          <w:tab w:val="left" w:pos="476"/>
        </w:tabs>
        <w:spacing w:line="240" w:lineRule="auto"/>
        <w:rPr>
          <w:noProof/>
        </w:rPr>
      </w:pPr>
      <w:r>
        <w:rPr>
          <w:noProof/>
        </w:rPr>
        <w:t>These considerations include the risk of carbon leakage (e.g. vessels can take advantage of fuelling outside EU jurisdiction; intercontinental air traffic can bypass the EU and connect at non-EU hubs, and short-haul flying can be replaced by driving) which can additionally affect the competitive position of EU companies and have negative unintended consequences contradicting the EU climate objectives. A recent paper of Eurocontrol for the ECAC airspace</w:t>
      </w:r>
      <w:r>
        <w:rPr>
          <w:noProof/>
          <w:vertAlign w:val="superscript"/>
        </w:rPr>
        <w:footnoteReference w:id="357"/>
      </w:r>
      <w:r>
        <w:rPr>
          <w:noProof/>
        </w:rPr>
        <w:t xml:space="preserve"> shows that 16.5% of flights are able to perform full fuel tankering</w:t>
      </w:r>
      <w:r>
        <w:rPr>
          <w:noProof/>
          <w:vertAlign w:val="superscript"/>
        </w:rPr>
        <w:footnoteReference w:id="358"/>
      </w:r>
      <w:r>
        <w:rPr>
          <w:noProof/>
        </w:rPr>
        <w:t xml:space="preserve"> and 4.5% partial fuel tankering with additional negative impacts on CO</w:t>
      </w:r>
      <w:r>
        <w:rPr>
          <w:noProof/>
          <w:vertAlign w:val="subscript"/>
        </w:rPr>
        <w:t>2</w:t>
      </w:r>
      <w:r>
        <w:rPr>
          <w:noProof/>
        </w:rPr>
        <w:t xml:space="preserve"> emissions, because of carrying more fuel than necessary</w:t>
      </w:r>
      <w:r>
        <w:rPr>
          <w:noProof/>
          <w:vertAlign w:val="superscript"/>
        </w:rPr>
        <w:footnoteReference w:id="359"/>
      </w:r>
      <w:r>
        <w:rPr>
          <w:noProof/>
        </w:rPr>
        <w:t xml:space="preserve">. </w:t>
      </w:r>
    </w:p>
    <w:p>
      <w:pPr>
        <w:pStyle w:val="LegalNumPar"/>
        <w:numPr>
          <w:ilvl w:val="0"/>
          <w:numId w:val="89"/>
        </w:numPr>
        <w:tabs>
          <w:tab w:val="left" w:pos="476"/>
        </w:tabs>
        <w:spacing w:line="240" w:lineRule="auto"/>
        <w:rPr>
          <w:noProof/>
        </w:rPr>
      </w:pPr>
      <w:r>
        <w:rPr>
          <w:noProof/>
        </w:rPr>
        <w:t>For waterborne transport the high capacity of tanks provides even more flexibility in fuelling outside EU jurisdiction (with a particularly high risk for diverting the short sea shipping routes to neighbouring third countries). For a deep sea shipping, according to a study by Ricardo</w:t>
      </w:r>
      <w:r>
        <w:rPr>
          <w:noProof/>
          <w:vertAlign w:val="superscript"/>
        </w:rPr>
        <w:footnoteReference w:id="360"/>
      </w:r>
      <w:r>
        <w:rPr>
          <w:noProof/>
        </w:rPr>
        <w:t>, on a single bunkering a Panamax bulk carrier can stay at sea for 56 days. Fuel suppliers could also avoid incurring the duty on fuel sold by setting up offshore bunkering facilities (e.g. beyond a 12nm zone). Past experience with California’s 1991 decision to lift the fuel tax exemption shows that within a year Californian bunker sales had collapsed as ships bunkered elsewhere, especially in Panama</w:t>
      </w:r>
      <w:r>
        <w:rPr>
          <w:noProof/>
          <w:vertAlign w:val="superscript"/>
        </w:rPr>
        <w:footnoteReference w:id="361"/>
      </w:r>
      <w:r>
        <w:rPr>
          <w:noProof/>
        </w:rPr>
        <w:t xml:space="preserve">. Quantifying the above-described risk of fuelling outside EU jurisdiction and the consequences thereof from the perspective of revenue generation, negative impacts on emissions and competition would require future in-depth analysis. </w:t>
      </w:r>
    </w:p>
    <w:p>
      <w:pPr>
        <w:pStyle w:val="Caption"/>
        <w:keepNext/>
        <w:keepLines/>
        <w:jc w:val="center"/>
        <w:rPr>
          <w:i w:val="0"/>
          <w:noProof/>
        </w:rPr>
      </w:pPr>
      <w:bookmarkStart w:id="3201" w:name="_Toc51450050"/>
      <w:bookmarkStart w:id="3202" w:name="_Toc51593790"/>
      <w:bookmarkStart w:id="3203" w:name="_Toc51595257"/>
      <w:bookmarkStart w:id="3204" w:name="_Toc51595507"/>
      <w:bookmarkStart w:id="3205" w:name="_Toc51595833"/>
      <w:bookmarkStart w:id="3206" w:name="_Toc51595996"/>
      <w:bookmarkStart w:id="3207" w:name="_Toc52121483"/>
      <w:bookmarkStart w:id="3208" w:name="_Toc52122714"/>
      <w:bookmarkStart w:id="3209" w:name="_Toc53405278"/>
      <w:bookmarkStart w:id="3210" w:name="_Toc53406068"/>
      <w:bookmarkStart w:id="3211" w:name="_Toc53407434"/>
      <w:bookmarkStart w:id="3212" w:name="_Toc53410881"/>
      <w:bookmarkStart w:id="3213" w:name="_Toc53411944"/>
      <w:bookmarkStart w:id="3214" w:name="_Toc53417191"/>
      <w:bookmarkStart w:id="3215" w:name="_Toc53417543"/>
      <w:bookmarkStart w:id="3216" w:name="_Toc53419576"/>
      <w:bookmarkStart w:id="3217" w:name="_Toc53434881"/>
      <w:bookmarkStart w:id="3218" w:name="_Toc53437021"/>
      <w:bookmarkStart w:id="3219" w:name="_Toc57291680"/>
      <w:r>
        <w:rPr>
          <w:i w:val="0"/>
          <w:noProof/>
        </w:rPr>
        <w:t xml:space="preserve">Figure </w:t>
      </w:r>
      <w:r>
        <w:rPr>
          <w:noProof/>
        </w:rPr>
        <w:fldChar w:fldCharType="begin"/>
      </w:r>
      <w:r>
        <w:rPr>
          <w:i w:val="0"/>
          <w:noProof/>
        </w:rPr>
        <w:instrText xml:space="preserve"> SEQ Figure \* ARABIC </w:instrText>
      </w:r>
      <w:r>
        <w:rPr>
          <w:noProof/>
        </w:rPr>
        <w:fldChar w:fldCharType="separate"/>
      </w:r>
      <w:r>
        <w:rPr>
          <w:i w:val="0"/>
          <w:noProof/>
        </w:rPr>
        <w:t>36</w:t>
      </w:r>
      <w:r>
        <w:rPr>
          <w:noProof/>
        </w:rPr>
        <w:fldChar w:fldCharType="end"/>
      </w:r>
      <w:r>
        <w:rPr>
          <w:i w:val="0"/>
          <w:noProof/>
        </w:rPr>
        <w:t xml:space="preserve"> Minimum rates of taxation laid down in the ETD (1 Jan 2010)</w:t>
      </w:r>
      <w:r>
        <w:rPr>
          <w:noProof/>
          <w:vertAlign w:val="superscript"/>
        </w:rPr>
        <w:t xml:space="preserve"> </w:t>
      </w:r>
      <w:r>
        <w:rPr>
          <w:i w:val="0"/>
          <w:noProof/>
          <w:vertAlign w:val="superscript"/>
        </w:rPr>
        <w:footnoteReference w:id="362"/>
      </w:r>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p>
    <w:p>
      <w:pPr>
        <w:pStyle w:val="LegalNumPar"/>
        <w:tabs>
          <w:tab w:val="left" w:pos="851"/>
        </w:tabs>
        <w:spacing w:line="240" w:lineRule="auto"/>
        <w:ind w:left="851"/>
        <w:rPr>
          <w:noProof/>
        </w:rPr>
      </w:pPr>
      <w:r>
        <w:rPr>
          <w:noProof/>
        </w:rPr>
        <w:drawing>
          <wp:inline distT="0" distB="0" distL="0" distR="0">
            <wp:extent cx="4415155" cy="5198745"/>
            <wp:effectExtent l="0" t="0" r="4445" b="1905"/>
            <wp:docPr id="2" name="Picture 2" descr="C:\Users\sulyoge\Documents\Picture34-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lyoge\Documents\Picture34-min.jpg"/>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4415155" cy="5198745"/>
                    </a:xfrm>
                    <a:prstGeom prst="rect">
                      <a:avLst/>
                    </a:prstGeom>
                    <a:noFill/>
                    <a:ln>
                      <a:noFill/>
                    </a:ln>
                  </pic:spPr>
                </pic:pic>
              </a:graphicData>
            </a:graphic>
          </wp:inline>
        </w:drawing>
      </w:r>
      <w:r>
        <w:rPr>
          <w:noProof/>
        </w:rPr>
        <w:t xml:space="preserve"> </w:t>
      </w:r>
    </w:p>
    <w:p>
      <w:pPr>
        <w:pStyle w:val="LegalNumPar"/>
        <w:tabs>
          <w:tab w:val="left" w:pos="851"/>
        </w:tabs>
        <w:spacing w:line="240" w:lineRule="auto"/>
        <w:ind w:left="851"/>
        <w:rPr>
          <w:i/>
          <w:noProof/>
          <w:sz w:val="16"/>
          <w:szCs w:val="16"/>
        </w:rPr>
      </w:pPr>
      <w:r>
        <w:rPr>
          <w:i/>
          <w:iCs/>
          <w:noProof/>
          <w:sz w:val="16"/>
          <w:szCs w:val="16"/>
        </w:rPr>
        <w:t>Source: European Commission.</w:t>
      </w:r>
    </w:p>
    <w:p>
      <w:pPr>
        <w:pStyle w:val="LegalNumPar"/>
        <w:numPr>
          <w:ilvl w:val="0"/>
          <w:numId w:val="89"/>
        </w:numPr>
        <w:tabs>
          <w:tab w:val="left" w:pos="476"/>
        </w:tabs>
        <w:spacing w:line="240" w:lineRule="auto"/>
        <w:rPr>
          <w:noProof/>
        </w:rPr>
      </w:pPr>
      <w:r>
        <w:rPr>
          <w:noProof/>
        </w:rPr>
        <w:t>Revenues from fuel and electricity taxation amount to more than EUR 200 billion per year</w:t>
      </w:r>
      <w:r>
        <w:rPr>
          <w:rStyle w:val="FootnoteReference"/>
          <w:noProof/>
        </w:rPr>
        <w:footnoteReference w:id="363"/>
      </w:r>
      <w:r>
        <w:rPr>
          <w:noProof/>
        </w:rPr>
        <w:t xml:space="preserve"> which corresponds to about 1.6 % of the EU-27 GDP and to about half the total revenues of road, rail and inland waterways.</w:t>
      </w:r>
    </w:p>
    <w:p>
      <w:pPr>
        <w:pStyle w:val="LegalNumPar"/>
        <w:numPr>
          <w:ilvl w:val="0"/>
          <w:numId w:val="89"/>
        </w:numPr>
        <w:tabs>
          <w:tab w:val="left" w:pos="476"/>
        </w:tabs>
        <w:spacing w:line="240" w:lineRule="auto"/>
        <w:rPr>
          <w:noProof/>
        </w:rPr>
      </w:pPr>
      <w:r>
        <w:rPr>
          <w:noProof/>
        </w:rPr>
        <w:t>Today, the revenues from transport taxes and charges are only partly earmarked for expenditure for transport infrastructure and significant differences exist between modes. Earmarking of revenues may be used to gain public support for future initiatives to increase the extent of internalisation of external and infrastructure costs of transport. On the contrary, if no alternative mobility options are provided, increasing the taxes or charges on a specific mode might be perceived as a measure aiming simply at increasing tax revenues and its impact on greening the transport sector might be limited to a reduction in demand.</w:t>
      </w:r>
    </w:p>
    <w:p>
      <w:pPr>
        <w:pStyle w:val="LegalNumPar"/>
        <w:tabs>
          <w:tab w:val="left" w:pos="851"/>
        </w:tabs>
        <w:spacing w:line="240" w:lineRule="auto"/>
        <w:ind w:left="851"/>
        <w:rPr>
          <w:noProof/>
          <w:szCs w:val="24"/>
        </w:rPr>
      </w:pPr>
    </w:p>
    <w:p>
      <w:pPr>
        <w:pStyle w:val="LegalNumPar"/>
        <w:keepNext/>
        <w:tabs>
          <w:tab w:val="left" w:pos="851"/>
        </w:tabs>
        <w:spacing w:line="240" w:lineRule="auto"/>
        <w:rPr>
          <w:i/>
          <w:noProof/>
        </w:rPr>
      </w:pPr>
      <w:r>
        <w:rPr>
          <w:i/>
          <w:iCs/>
          <w:noProof/>
        </w:rPr>
        <w:t>Other Market-Based Measures</w:t>
      </w:r>
    </w:p>
    <w:p>
      <w:pPr>
        <w:pStyle w:val="LegalNumPar"/>
        <w:numPr>
          <w:ilvl w:val="0"/>
          <w:numId w:val="89"/>
        </w:numPr>
        <w:tabs>
          <w:tab w:val="left" w:pos="476"/>
        </w:tabs>
        <w:spacing w:line="240" w:lineRule="auto"/>
        <w:rPr>
          <w:noProof/>
        </w:rPr>
      </w:pPr>
      <w:r>
        <w:rPr>
          <w:noProof/>
        </w:rPr>
        <w:t xml:space="preserve">Intra-EU </w:t>
      </w:r>
      <w:r>
        <w:rPr>
          <w:b/>
          <w:bCs/>
          <w:noProof/>
        </w:rPr>
        <w:t xml:space="preserve">aviation </w:t>
      </w:r>
      <w:r>
        <w:rPr>
          <w:noProof/>
        </w:rPr>
        <w:t>has been included in the EU Emission Trading Scheme (ETS) since 2012 and electrified forms of transport (e.g. rail, electrified cars etc.) are indirectly included, as power generation is covered by the ETS. The purchase of allowances by aircraft operators under the EU Emissions Trading System (ETS) resulted in a net reduction of 27 million tonnes of CO</w:t>
      </w:r>
      <w:r>
        <w:rPr>
          <w:noProof/>
          <w:vertAlign w:val="subscript"/>
        </w:rPr>
        <w:t>2</w:t>
      </w:r>
      <w:r>
        <w:rPr>
          <w:noProof/>
        </w:rPr>
        <w:t xml:space="preserve"> emissions for the year 2017, reaching over 100 million tonnes over five years.</w:t>
      </w:r>
      <w:r>
        <w:rPr>
          <w:rStyle w:val="FootnoteReference"/>
          <w:noProof/>
        </w:rPr>
        <w:footnoteReference w:id="364"/>
      </w:r>
    </w:p>
    <w:p>
      <w:pPr>
        <w:pStyle w:val="LegalNumPar"/>
        <w:numPr>
          <w:ilvl w:val="0"/>
          <w:numId w:val="89"/>
        </w:numPr>
        <w:tabs>
          <w:tab w:val="left" w:pos="476"/>
        </w:tabs>
        <w:spacing w:line="240" w:lineRule="auto"/>
        <w:rPr>
          <w:noProof/>
        </w:rPr>
      </w:pPr>
      <w:r>
        <w:rPr>
          <w:noProof/>
        </w:rPr>
        <w:t xml:space="preserve">The application of the EU ETS is currently suspended in relation to flights to and from countries outside the European Economic Area to allow for the development of an international instrument in the International Civil Aviation Organization (ICAO). All European States will join the pilot phase of the new Carbon Offsetting and Reduction Scheme for International Aviation as of 2021, with the aim of offsetting emissions above 2020 levels, without prejudice to the upcoming revision of the EU ETS Directive as regards aviation. This international scheme will require airlines flying between participating countries to offset all emissions beyond 2019/2020 levels. </w:t>
      </w:r>
    </w:p>
    <w:p>
      <w:pPr>
        <w:pStyle w:val="LegalNumPar"/>
        <w:numPr>
          <w:ilvl w:val="0"/>
          <w:numId w:val="89"/>
        </w:numPr>
        <w:tabs>
          <w:tab w:val="left" w:pos="476"/>
        </w:tabs>
        <w:spacing w:line="240" w:lineRule="auto"/>
        <w:rPr>
          <w:noProof/>
        </w:rPr>
      </w:pPr>
      <w:r>
        <w:rPr>
          <w:noProof/>
        </w:rPr>
        <w:t>In the 2030 Climate Target Plan</w:t>
      </w:r>
      <w:r>
        <w:rPr>
          <w:rStyle w:val="FootnoteReference"/>
          <w:noProof/>
        </w:rPr>
        <w:footnoteReference w:id="365"/>
      </w:r>
      <w:r>
        <w:rPr>
          <w:noProof/>
        </w:rPr>
        <w:t xml:space="preserve"> it was stated that the Commission will propose to reduce the free allocation of allowances, increasing the effectiveness of the carbon price signal in this sector, while taking into account other policy measures such as revised energy taxation and the ReFuelEU initiatives.</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As regards </w:t>
      </w:r>
      <w:r>
        <w:rPr>
          <w:rFonts w:eastAsiaTheme="minorEastAsia"/>
          <w:b/>
          <w:bCs/>
          <w:noProof/>
          <w:lang w:eastAsia="ja-JP"/>
        </w:rPr>
        <w:t>maritime transport</w:t>
      </w:r>
      <w:r>
        <w:rPr>
          <w:rFonts w:eastAsiaTheme="minorEastAsia"/>
          <w:noProof/>
          <w:lang w:eastAsia="ja-JP"/>
        </w:rPr>
        <w:t xml:space="preserve">, the European Green Deal puts forward a basket of measures addressing, among other things, energy efficiency improvements and the uptake of alternative fuels. The introduction of correct pricing signals through the extension of the ETS is an important part of this basket of measures. The European Green Deal also recalls that European measures should be coordinated with action at global level, notably with the IMO. In the light of progress at global level, the Commission will give fresh political consideration to the international aspects of the EU ETS, taxation and fuel policies for maritime to ensure the gradual decarbonisation of all fuel use from transport relating to the EU with the ambition to include international emissions from navigation into the EU ETS. The Commission is currently carrying out a preparatory work to assess the impact of extending an EU ETS to maritime transport.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It is also worth noticing that the IMO identified a similar basket of candidate measures at global level, showing that all countries and the industry have aligned on the need for actions on different fronts. While short-term measures should be finalised and agreed by 2023, mid- and long-term measures are only expected after 2023. However, discussions on market-based measures are expected to start in the course of 2021 in conjunction with the industry proposal on a fuel levy to fund research activities at global level. Past discussions included a fuel levy and an ETS, though these were temporarily put aside by an agreement on mandatory energy efficiency standards for new built ships - to date the only legally binding standards that apply to an entire global industry and to all countries. </w:t>
      </w:r>
    </w:p>
    <w:p>
      <w:pPr>
        <w:pStyle w:val="LegalNumPar"/>
        <w:numPr>
          <w:ilvl w:val="0"/>
          <w:numId w:val="89"/>
        </w:numPr>
        <w:tabs>
          <w:tab w:val="left" w:pos="476"/>
        </w:tabs>
        <w:spacing w:line="240" w:lineRule="auto"/>
        <w:rPr>
          <w:noProof/>
        </w:rPr>
      </w:pPr>
      <w:r>
        <w:rPr>
          <w:b/>
          <w:bCs/>
          <w:noProof/>
        </w:rPr>
        <w:t>Road transport</w:t>
      </w:r>
      <w:r>
        <w:rPr>
          <w:noProof/>
        </w:rPr>
        <w:t xml:space="preserve"> is subject to several different measures having the same objective of reducing CO</w:t>
      </w:r>
      <w:r>
        <w:rPr>
          <w:noProof/>
          <w:vertAlign w:val="subscript"/>
        </w:rPr>
        <w:t>2</w:t>
      </w:r>
      <w:r>
        <w:rPr>
          <w:noProof/>
        </w:rPr>
        <w:t xml:space="preserve"> emissions and other external costs, including CO</w:t>
      </w:r>
      <w:r>
        <w:rPr>
          <w:noProof/>
          <w:vertAlign w:val="subscript"/>
        </w:rPr>
        <w:t>2</w:t>
      </w:r>
      <w:r>
        <w:rPr>
          <w:noProof/>
        </w:rPr>
        <w:t xml:space="preserve"> standards, fuel and vehicle taxes and road charges. In terms of available alternative technologies to replace fossil fuels, private cars, urban and short distance delivery light lorries and heavy long distance road haulage are clearly distinct. Inclusion of road transport in the EU ETS could give the sector a clear signal and capture fleet emissions under a cap. Especially with increasing electrification, a case could be made to treat all vehicles alike. A measure to this effect may be combined with the other existing measures such as CO</w:t>
      </w:r>
      <w:r>
        <w:rPr>
          <w:noProof/>
          <w:vertAlign w:val="subscript"/>
        </w:rPr>
        <w:t>2</w:t>
      </w:r>
      <w:r>
        <w:rPr>
          <w:noProof/>
        </w:rPr>
        <w:t xml:space="preserve"> standards and road charging.</w:t>
      </w:r>
    </w:p>
    <w:p>
      <w:pPr>
        <w:pStyle w:val="LegalNumPar"/>
        <w:tabs>
          <w:tab w:val="left" w:pos="851"/>
        </w:tabs>
        <w:spacing w:line="240" w:lineRule="auto"/>
        <w:rPr>
          <w:i/>
          <w:noProof/>
        </w:rPr>
      </w:pPr>
      <w:r>
        <w:rPr>
          <w:i/>
          <w:iCs/>
          <w:noProof/>
        </w:rPr>
        <w:t xml:space="preserve">Taxation of vehicles    </w:t>
      </w:r>
    </w:p>
    <w:p>
      <w:pPr>
        <w:pStyle w:val="LegalNumPar"/>
        <w:numPr>
          <w:ilvl w:val="0"/>
          <w:numId w:val="89"/>
        </w:numPr>
        <w:tabs>
          <w:tab w:val="left" w:pos="476"/>
        </w:tabs>
        <w:spacing w:line="240" w:lineRule="auto"/>
        <w:rPr>
          <w:noProof/>
        </w:rPr>
      </w:pPr>
      <w:r>
        <w:rPr>
          <w:noProof/>
        </w:rPr>
        <w:t>When it comes to low- and zero-emission vehicles an important factor to be taken into account is their still rather high initial purchase costs. While the total cost of ownership (TCO) is often competitive with conventional vehicles – and incentives such as reduced annual circulation tax can further increase their attractiveness – the fact remains that for many consumers the initial purchase costs can represent an important obstacle and many fail to make purchases on the basis of TCO. The evolution of the battery prices, which reduced dramatically over the last years, and which are projected to continue decreasing significantly, will have a positive impact on the affordability of vehicles. In addition, there are  two key areas where steps could be taken by Member States to send a clear market signal in favour of low- and zero-emission vehicles:</w:t>
      </w:r>
    </w:p>
    <w:p>
      <w:pPr>
        <w:pStyle w:val="ListParagraph"/>
        <w:numPr>
          <w:ilvl w:val="0"/>
          <w:numId w:val="101"/>
        </w:numPr>
        <w:spacing w:line="240" w:lineRule="auto"/>
        <w:ind w:left="992" w:hanging="425"/>
        <w:rPr>
          <w:noProof/>
          <w:sz w:val="24"/>
          <w:szCs w:val="24"/>
        </w:rPr>
      </w:pPr>
      <w:r>
        <w:rPr>
          <w:b/>
          <w:bCs/>
          <w:noProof/>
          <w:sz w:val="24"/>
          <w:szCs w:val="24"/>
        </w:rPr>
        <w:t>Vehicle purchase/registration taxes and VAT</w:t>
      </w:r>
      <w:r>
        <w:rPr>
          <w:noProof/>
          <w:sz w:val="24"/>
          <w:szCs w:val="24"/>
        </w:rPr>
        <w:t>: reduced rates for purchase/registration taxes for zero-emission vehicles would provide an important stimulus to their faster deployment, by reducing their steep initial purchase cost and making them more competitive; overcoming the fragmentation of the Single Market for the automotive industry (see figure below). This would ideally be accompanied by a modulation of the corresponding taxation of other vehicles based on CO2 and air pollutant emissions per km. This should also be accompanied by the adoption of the Commission proposal on VAT rates, which would allow Member States to lower VAT on zero-emission cars.</w:t>
      </w:r>
    </w:p>
    <w:p>
      <w:pPr>
        <w:pStyle w:val="ListParagraph"/>
        <w:numPr>
          <w:ilvl w:val="0"/>
          <w:numId w:val="101"/>
        </w:numPr>
        <w:spacing w:line="240" w:lineRule="auto"/>
        <w:ind w:left="992" w:hanging="425"/>
        <w:rPr>
          <w:noProof/>
          <w:sz w:val="24"/>
          <w:szCs w:val="24"/>
        </w:rPr>
      </w:pPr>
      <w:r>
        <w:rPr>
          <w:b/>
          <w:bCs/>
          <w:noProof/>
          <w:sz w:val="24"/>
          <w:szCs w:val="24"/>
        </w:rPr>
        <w:t>Circulation/ownership tax</w:t>
      </w:r>
      <w:r>
        <w:rPr>
          <w:noProof/>
          <w:sz w:val="24"/>
          <w:szCs w:val="24"/>
        </w:rPr>
        <w:t>: a similar approach could be followed for the circulation / ownership tax. On the one hand, this would not directly reduce the initial purchase cost; however, the amount of the yearly tax to be paid allows for a clear assessment and can be an important element influencing buyers’ decisions when choosing a new vehicle</w:t>
      </w:r>
    </w:p>
    <w:p>
      <w:pPr>
        <w:pStyle w:val="Caption"/>
        <w:keepNext/>
        <w:keepLines/>
        <w:jc w:val="center"/>
        <w:rPr>
          <w:i w:val="0"/>
          <w:noProof/>
        </w:rPr>
      </w:pPr>
      <w:bookmarkStart w:id="3220" w:name="_Toc51450051"/>
      <w:bookmarkStart w:id="3221" w:name="_Toc51593791"/>
      <w:bookmarkStart w:id="3222" w:name="_Toc51595258"/>
      <w:bookmarkStart w:id="3223" w:name="_Toc51595508"/>
      <w:bookmarkStart w:id="3224" w:name="_Toc51595834"/>
      <w:bookmarkStart w:id="3225" w:name="_Toc51595997"/>
      <w:bookmarkStart w:id="3226" w:name="_Toc52121484"/>
      <w:bookmarkStart w:id="3227" w:name="_Toc52122715"/>
      <w:bookmarkStart w:id="3228" w:name="_Toc53405279"/>
      <w:bookmarkStart w:id="3229" w:name="_Toc53406069"/>
      <w:bookmarkStart w:id="3230" w:name="_Toc53407435"/>
      <w:bookmarkStart w:id="3231" w:name="_Toc53410882"/>
      <w:bookmarkStart w:id="3232" w:name="_Toc53411945"/>
      <w:bookmarkStart w:id="3233" w:name="_Toc53417192"/>
      <w:bookmarkStart w:id="3234" w:name="_Toc53417544"/>
      <w:bookmarkStart w:id="3235" w:name="_Toc53419577"/>
      <w:bookmarkStart w:id="3236" w:name="_Toc53434882"/>
      <w:bookmarkStart w:id="3237" w:name="_Toc53437022"/>
      <w:bookmarkStart w:id="3238" w:name="_Toc57291681"/>
      <w:r>
        <w:rPr>
          <w:i w:val="0"/>
          <w:noProof/>
        </w:rPr>
        <w:t xml:space="preserve">Figure </w:t>
      </w:r>
      <w:r>
        <w:rPr>
          <w:noProof/>
        </w:rPr>
        <w:fldChar w:fldCharType="begin"/>
      </w:r>
      <w:r>
        <w:rPr>
          <w:i w:val="0"/>
          <w:noProof/>
        </w:rPr>
        <w:instrText xml:space="preserve"> SEQ Figure \* ARABIC </w:instrText>
      </w:r>
      <w:r>
        <w:rPr>
          <w:noProof/>
        </w:rPr>
        <w:fldChar w:fldCharType="separate"/>
      </w:r>
      <w:r>
        <w:rPr>
          <w:i w:val="0"/>
          <w:noProof/>
        </w:rPr>
        <w:t>37</w:t>
      </w:r>
      <w:r>
        <w:rPr>
          <w:noProof/>
        </w:rPr>
        <w:fldChar w:fldCharType="end"/>
      </w:r>
      <w:r>
        <w:rPr>
          <w:i w:val="0"/>
          <w:noProof/>
        </w:rPr>
        <w:t xml:space="preserve"> Purchase taxes in the EU in 2016</w:t>
      </w:r>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p>
    <w:p>
      <w:pPr>
        <w:pStyle w:val="LegalNumPar"/>
        <w:keepNext/>
        <w:tabs>
          <w:tab w:val="left" w:pos="851"/>
        </w:tabs>
        <w:spacing w:line="240" w:lineRule="auto"/>
        <w:ind w:left="851" w:hanging="851"/>
        <w:jc w:val="center"/>
        <w:rPr>
          <w:noProof/>
        </w:rPr>
      </w:pPr>
      <w:r>
        <w:rPr>
          <w:noProof/>
        </w:rPr>
        <w:drawing>
          <wp:inline distT="0" distB="0" distL="0" distR="0">
            <wp:extent cx="5394960" cy="6597015"/>
            <wp:effectExtent l="0" t="0" r="0" b="0"/>
            <wp:docPr id="7" name="Picture 7" descr="C:\Users\sulyoge\Documents\Picture35-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lyoge\Documents\Picture35-min.jpg"/>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5394960" cy="6597015"/>
                    </a:xfrm>
                    <a:prstGeom prst="rect">
                      <a:avLst/>
                    </a:prstGeom>
                    <a:noFill/>
                    <a:ln>
                      <a:noFill/>
                    </a:ln>
                  </pic:spPr>
                </pic:pic>
              </a:graphicData>
            </a:graphic>
          </wp:inline>
        </w:drawing>
      </w:r>
    </w:p>
    <w:p>
      <w:pPr>
        <w:pStyle w:val="LegalNumPar"/>
        <w:keepNext/>
        <w:tabs>
          <w:tab w:val="left" w:pos="851"/>
        </w:tabs>
        <w:spacing w:line="240" w:lineRule="auto"/>
        <w:ind w:left="851"/>
        <w:rPr>
          <w:i/>
          <w:noProof/>
          <w:sz w:val="16"/>
          <w:szCs w:val="16"/>
        </w:rPr>
      </w:pPr>
      <w:r>
        <w:rPr>
          <w:i/>
          <w:iCs/>
          <w:noProof/>
          <w:sz w:val="16"/>
          <w:szCs w:val="16"/>
        </w:rPr>
        <w:t>Source: CE Delft</w:t>
      </w:r>
      <w:r>
        <w:rPr>
          <w:b/>
          <w:bCs/>
          <w:i/>
          <w:iCs/>
          <w:noProof/>
          <w:sz w:val="16"/>
          <w:szCs w:val="16"/>
          <w:vertAlign w:val="superscript"/>
        </w:rPr>
        <w:footnoteReference w:id="366"/>
      </w:r>
    </w:p>
    <w:p>
      <w:pPr>
        <w:pStyle w:val="LegalNumPar"/>
        <w:numPr>
          <w:ilvl w:val="0"/>
          <w:numId w:val="89"/>
        </w:numPr>
        <w:tabs>
          <w:tab w:val="left" w:pos="476"/>
        </w:tabs>
        <w:spacing w:line="240" w:lineRule="auto"/>
        <w:rPr>
          <w:noProof/>
        </w:rPr>
      </w:pPr>
      <w:r>
        <w:rPr>
          <w:noProof/>
        </w:rPr>
        <w:t>The fiscal treatment of company cars would be another possible area of intervention: the preferential tax treatment of company cars applied in some Member States weakens efforts to internalise external costs and decarbonise mobility, by effectively promoting the daily use and purchase of larger and more polluting vehicles, especially when combined with other incentives, such as free parking at the workplace. If preferential treatment were at least to be accorded on the basis of the vehicle’s environmental performance, it could instead provide a clear market signal and accelerate market take-up of low- and zero-emission vehicles.</w:t>
      </w:r>
    </w:p>
    <w:p>
      <w:pPr>
        <w:pStyle w:val="LegalNumPar"/>
        <w:numPr>
          <w:ilvl w:val="0"/>
          <w:numId w:val="89"/>
        </w:numPr>
        <w:tabs>
          <w:tab w:val="left" w:pos="476"/>
          <w:tab w:val="left" w:pos="851"/>
        </w:tabs>
        <w:spacing w:line="240" w:lineRule="auto"/>
        <w:rPr>
          <w:noProof/>
        </w:rPr>
      </w:pPr>
      <w:r>
        <w:rPr>
          <w:noProof/>
        </w:rPr>
        <w:t>According to the Commission proposal for a Council Directive amending Directive 2006/112/EC as regards rates of value added tax</w:t>
      </w:r>
      <w:r>
        <w:rPr>
          <w:rStyle w:val="FootnoteReference"/>
          <w:noProof/>
        </w:rPr>
        <w:footnoteReference w:id="367"/>
      </w:r>
      <w:r>
        <w:rPr>
          <w:noProof/>
        </w:rPr>
        <w:t>, Member States would in future be allowed to apply a maximum of two reduced rates of a minimum of 5%. This possibility is subject to a few conditions, notably to make sure that no distortions of competition within the Single Market arise. A list of goods and services to which reduced rates may not be applied is annexed to the proposal. It leaves Member States the possibility to reduce VAT to be paid on the supply of environmentally-friendly vehicles such as electric cars, if and when the proposal will be adopted.</w:t>
      </w:r>
    </w:p>
    <w:p>
      <w:pPr>
        <w:pStyle w:val="LegalNumPar"/>
        <w:numPr>
          <w:ilvl w:val="0"/>
          <w:numId w:val="89"/>
        </w:numPr>
        <w:tabs>
          <w:tab w:val="left" w:pos="476"/>
        </w:tabs>
        <w:spacing w:line="240" w:lineRule="auto"/>
        <w:rPr>
          <w:noProof/>
        </w:rPr>
      </w:pPr>
      <w:r>
        <w:rPr>
          <w:noProof/>
        </w:rPr>
        <w:t>Transport services, like any other service supplied by a taxable person within the EU, are subject to VAT. Historically however, Member States considered applying VAT to international air and maritime transport administratively too complicated and costly. This is why for international passenger transport, sea and air are exempt of VAT in the whole of the EU-27. At the same time, this VAT treatment is not given to competing modes, such as in particular rail in some Member States. The recent Tax Action Plan</w:t>
      </w:r>
      <w:r>
        <w:rPr>
          <w:rStyle w:val="FootnoteReference"/>
          <w:noProof/>
        </w:rPr>
        <w:footnoteReference w:id="368"/>
      </w:r>
      <w:r>
        <w:rPr>
          <w:noProof/>
        </w:rPr>
        <w:t xml:space="preserve"> has however announced a proposal by 2022 where this exemption will be re-examined with a view to VAT treatment on an equal footing between transport modes and an alignment with the objectives of the Green Deal.</w:t>
      </w:r>
    </w:p>
    <w:p>
      <w:pPr>
        <w:pStyle w:val="LegalNumPar"/>
        <w:tabs>
          <w:tab w:val="left" w:pos="476"/>
        </w:tabs>
        <w:spacing w:line="240" w:lineRule="auto"/>
        <w:rPr>
          <w:i/>
          <w:noProof/>
        </w:rPr>
      </w:pPr>
      <w:r>
        <w:rPr>
          <w:i/>
          <w:iCs/>
          <w:noProof/>
        </w:rPr>
        <w:t>Infrastructure charging</w:t>
      </w:r>
    </w:p>
    <w:p>
      <w:pPr>
        <w:pStyle w:val="LegalNumPar"/>
        <w:numPr>
          <w:ilvl w:val="0"/>
          <w:numId w:val="89"/>
        </w:numPr>
        <w:tabs>
          <w:tab w:val="left" w:pos="476"/>
        </w:tabs>
        <w:spacing w:line="240" w:lineRule="auto"/>
        <w:rPr>
          <w:noProof/>
        </w:rPr>
      </w:pPr>
      <w:r>
        <w:rPr>
          <w:noProof/>
        </w:rPr>
        <w:t xml:space="preserve">For </w:t>
      </w:r>
      <w:r>
        <w:rPr>
          <w:b/>
          <w:bCs/>
          <w:noProof/>
        </w:rPr>
        <w:t>road infrastructure</w:t>
      </w:r>
      <w:r>
        <w:rPr>
          <w:noProof/>
        </w:rPr>
        <w:t>, Directive 1999/62/EC (Eurovignette Directive) prescribes the principle for charging heavy goods vehicles. The Commission adopted a legislative proposal to amend it in May 2017, in order to extend the scope of the Directive to buses/coaches, cars and vans, to introduce differentiation of tolls and user charges per criterion such as noise, air pollutants and CO</w:t>
      </w:r>
      <w:r>
        <w:rPr>
          <w:noProof/>
          <w:vertAlign w:val="subscript"/>
        </w:rPr>
        <w:t>2</w:t>
      </w:r>
      <w:r>
        <w:rPr>
          <w:noProof/>
        </w:rPr>
        <w:t xml:space="preserve"> emissions of the vehicle, and to gradually move away from time-based user charging (vignettes) to distance-based pricing. </w:t>
      </w:r>
    </w:p>
    <w:p>
      <w:pPr>
        <w:pStyle w:val="LegalNumPar"/>
        <w:numPr>
          <w:ilvl w:val="0"/>
          <w:numId w:val="89"/>
        </w:numPr>
        <w:tabs>
          <w:tab w:val="left" w:pos="476"/>
        </w:tabs>
        <w:spacing w:line="240" w:lineRule="auto"/>
        <w:rPr>
          <w:noProof/>
        </w:rPr>
      </w:pPr>
      <w:r>
        <w:rPr>
          <w:noProof/>
        </w:rPr>
        <w:t>While the European Parliament adopted an ambitious position in October 2018, including effectively replacing time-based vignettes with distance-based tolls, Member States are not yet ready to agree on strong road pricing measures for cars. Other elements of the text (e.g. the requirement to vary tolls based on CO</w:t>
      </w:r>
      <w:r>
        <w:rPr>
          <w:noProof/>
          <w:vertAlign w:val="subscript"/>
        </w:rPr>
        <w:t>2</w:t>
      </w:r>
      <w:r>
        <w:rPr>
          <w:noProof/>
        </w:rPr>
        <w:t xml:space="preserve"> for lorries or the possibility to apply external CO</w:t>
      </w:r>
      <w:r>
        <w:rPr>
          <w:noProof/>
          <w:vertAlign w:val="subscript"/>
        </w:rPr>
        <w:t>2</w:t>
      </w:r>
      <w:r>
        <w:rPr>
          <w:noProof/>
        </w:rPr>
        <w:t xml:space="preserve"> charges or a congestion charge) would still contribute to the objective of the decarbonisation of transport. In addition, in 2019 the EETS Directive on interoperable electronic tolling was adopted, which will,</w:t>
      </w:r>
      <w:r>
        <w:rPr>
          <w:i/>
          <w:iCs/>
          <w:noProof/>
        </w:rPr>
        <w:t xml:space="preserve"> inter alia</w:t>
      </w:r>
      <w:r>
        <w:rPr>
          <w:noProof/>
        </w:rPr>
        <w:t xml:space="preserve">, help the national authorities to recover unpaid charges. Indeed, smart, distance-based road charging, with varied rates for the type of vehicle and the time-of-use, is an effective tool to incentivise sustainable and economically efficient choices, manage traffic and reduce congestion. </w:t>
      </w:r>
    </w:p>
    <w:p>
      <w:pPr>
        <w:pStyle w:val="LegalNumPar"/>
        <w:numPr>
          <w:ilvl w:val="0"/>
          <w:numId w:val="89"/>
        </w:numPr>
        <w:tabs>
          <w:tab w:val="left" w:pos="476"/>
        </w:tabs>
        <w:spacing w:line="240" w:lineRule="auto"/>
        <w:rPr>
          <w:noProof/>
        </w:rPr>
      </w:pPr>
      <w:r>
        <w:rPr>
          <w:noProof/>
        </w:rPr>
        <w:t>In line with the user pays – polluter pays principle, for rail, infrastructure charging could play a much more supportive role towards the policy objectives. This would require both a better application and a rethinking of the applicable rules:</w:t>
      </w:r>
    </w:p>
    <w:p>
      <w:pPr>
        <w:pStyle w:val="LegalNumPar"/>
        <w:numPr>
          <w:ilvl w:val="0"/>
          <w:numId w:val="89"/>
        </w:numPr>
        <w:tabs>
          <w:tab w:val="left" w:pos="476"/>
        </w:tabs>
        <w:spacing w:line="240" w:lineRule="auto"/>
        <w:rPr>
          <w:noProof/>
        </w:rPr>
      </w:pPr>
      <w:r>
        <w:rPr>
          <w:noProof/>
        </w:rPr>
        <w:t xml:space="preserve">The charges for </w:t>
      </w:r>
      <w:r>
        <w:rPr>
          <w:b/>
          <w:bCs/>
          <w:noProof/>
        </w:rPr>
        <w:t>rail infrastructure</w:t>
      </w:r>
      <w:r>
        <w:rPr>
          <w:noProof/>
        </w:rPr>
        <w:t xml:space="preserve"> are set under the provisions of Directive 2012/34/EU.</w:t>
      </w:r>
      <w:r>
        <w:rPr>
          <w:noProof/>
          <w:vertAlign w:val="superscript"/>
        </w:rPr>
        <w:footnoteReference w:id="369"/>
      </w:r>
      <w:r>
        <w:rPr>
          <w:noProof/>
          <w:vertAlign w:val="superscript"/>
        </w:rPr>
        <w:t xml:space="preserve"> </w:t>
      </w:r>
      <w:r>
        <w:rPr>
          <w:noProof/>
          <w:vertAlign w:val="superscript"/>
        </w:rPr>
        <w:footnoteReference w:id="370"/>
      </w:r>
      <w:r>
        <w:rPr>
          <w:noProof/>
        </w:rPr>
        <w:t xml:space="preserve"> The Directive foresees two basic components of a charge: direct costs, which railway undertaking always have to pay, and mark-ups. Direct costs cover the costs directly incurred by the train run (but not costs related to the initial construction of the infrastructure). Mark-ups are foreseen as an exception to the basic charging principle of direct costs and can be levied only if the market can bear them. They cover additional costs of the infrastructure manager that are not covered by State subsidies.</w:t>
      </w:r>
    </w:p>
    <w:p>
      <w:pPr>
        <w:pStyle w:val="LegalNumPar"/>
        <w:numPr>
          <w:ilvl w:val="0"/>
          <w:numId w:val="89"/>
        </w:numPr>
        <w:tabs>
          <w:tab w:val="left" w:pos="476"/>
        </w:tabs>
        <w:spacing w:line="240" w:lineRule="auto"/>
        <w:rPr>
          <w:noProof/>
        </w:rPr>
      </w:pPr>
      <w:r>
        <w:rPr>
          <w:noProof/>
        </w:rPr>
        <w:t>Mark-ups increase the price of rail services. In some market segments (in particular high-speed rail), the cost burden on rail services (levied through taxes and charges) is currently significantly higher than their marginal infrastructure usage (direct costs) and external costs.</w:t>
      </w:r>
      <w:r>
        <w:rPr>
          <w:noProof/>
          <w:vertAlign w:val="superscript"/>
        </w:rPr>
        <w:footnoteReference w:id="371"/>
      </w:r>
      <w:r>
        <w:rPr>
          <w:noProof/>
        </w:rPr>
        <w:t xml:space="preserve"> According to the Directive, direct cost charging represents the general principle, mark-ups are applied only if the market can bear them. However, where infrastructure manager’s limit charges to direct cost, this helps strengthen the competitiveness of rail services compared to other modes of transport. Particularly long-distance passenger services are currently often subject to high mark-ups. The current track access charge regime also raises questions as regards rail’s competitiveness versus aviation over longer distances. Since track access charges are charged per train/km or track/km, rail charges increase linearly with distance. </w:t>
      </w:r>
    </w:p>
    <w:p>
      <w:pPr>
        <w:pStyle w:val="LegalNumPar"/>
        <w:numPr>
          <w:ilvl w:val="0"/>
          <w:numId w:val="89"/>
        </w:numPr>
        <w:tabs>
          <w:tab w:val="left" w:pos="476"/>
        </w:tabs>
        <w:spacing w:line="240" w:lineRule="auto"/>
        <w:rPr>
          <w:noProof/>
        </w:rPr>
      </w:pPr>
      <w:r>
        <w:rPr>
          <w:noProof/>
        </w:rPr>
        <w:t xml:space="preserve">A further aspect is that delays in the rail system ought to be paid for by those who cause them. Directive 2012/34 foresees performance schemes to reward punctuality. However, in practice, a large number of Member States have so far failed to introduce such a system, probably in part because they have struggled to design a system that is at the same time effective but not too complex. Better compliance, if necessary on the basis of further EU guidance, would be necessary to enhance the overall punctuality of the rail system.        </w:t>
      </w:r>
    </w:p>
    <w:p>
      <w:pPr>
        <w:pStyle w:val="LegalNumPar"/>
        <w:numPr>
          <w:ilvl w:val="0"/>
          <w:numId w:val="89"/>
        </w:numPr>
        <w:tabs>
          <w:tab w:val="left" w:pos="476"/>
        </w:tabs>
        <w:spacing w:line="240" w:lineRule="auto"/>
        <w:rPr>
          <w:noProof/>
        </w:rPr>
      </w:pPr>
      <w:r>
        <w:rPr>
          <w:noProof/>
        </w:rPr>
        <w:t xml:space="preserve">Track access charges can be modulated to set incentives for the use of specific technologies or vehicles, for example by reflecting environmental costs in the charges, such as noise (Art.31 (5) or by incentivising equipping trains with ERTMS (Art. 32(4)). Member States can already introduce noise differentiated track access charges, but there is currently no obligation to have such a scheme in place and only a few countries have done so. Further analysis would also be required to see whether charging could be used to better incentivise energy efficiency and the installation of ERTMS.     </w:t>
      </w:r>
    </w:p>
    <w:p>
      <w:pPr>
        <w:pStyle w:val="LegalNumPar"/>
        <w:numPr>
          <w:ilvl w:val="0"/>
          <w:numId w:val="89"/>
        </w:numPr>
        <w:tabs>
          <w:tab w:val="left" w:pos="476"/>
        </w:tabs>
        <w:spacing w:line="240" w:lineRule="auto"/>
        <w:rPr>
          <w:noProof/>
        </w:rPr>
      </w:pPr>
      <w:r>
        <w:rPr>
          <w:noProof/>
        </w:rPr>
        <w:t xml:space="preserve">As regards </w:t>
      </w:r>
      <w:r>
        <w:rPr>
          <w:b/>
          <w:bCs/>
          <w:noProof/>
        </w:rPr>
        <w:t>airport charges</w:t>
      </w:r>
      <w:r>
        <w:rPr>
          <w:noProof/>
        </w:rPr>
        <w:t xml:space="preserve">, the EU has introduced legislation (Directive 2009/12/EC) to ensure that certain minimum criteria are fulfilled with regard to setting of airport charges. Notably, such charges must be transparent, must be established through a dedicated process involving the participation of airport users, they must be non-discriminatory and an independent supervisory authority must be empowered to review compliance with the Directive. The Directive does not provide for any actual (including minimum or maximum) levels of airport charges. Concerning </w:t>
      </w:r>
      <w:r>
        <w:rPr>
          <w:b/>
          <w:bCs/>
          <w:noProof/>
        </w:rPr>
        <w:t>ports</w:t>
      </w:r>
      <w:r>
        <w:rPr>
          <w:noProof/>
        </w:rPr>
        <w:t>, a study published in June 2017 identified around 30 ports in Europe that apply differentiated charges (in the form of rebates) for vessels that have a better environmental performance than legally required</w:t>
      </w:r>
      <w:r>
        <w:rPr>
          <w:rStyle w:val="FootnoteReference"/>
          <w:noProof/>
        </w:rPr>
        <w:footnoteReference w:id="372"/>
      </w:r>
      <w:r>
        <w:rPr>
          <w:noProof/>
        </w:rPr>
        <w:t xml:space="preserve">. </w:t>
      </w:r>
    </w:p>
    <w:p>
      <w:pPr>
        <w:pStyle w:val="Heading4"/>
        <w:numPr>
          <w:ilvl w:val="3"/>
          <w:numId w:val="98"/>
        </w:numPr>
        <w:rPr>
          <w:noProof/>
        </w:rPr>
      </w:pPr>
      <w:bookmarkStart w:id="3239" w:name="_Toc51450116"/>
      <w:bookmarkStart w:id="3240" w:name="_Toc51574815"/>
      <w:bookmarkStart w:id="3241" w:name="_Toc51575663"/>
      <w:bookmarkStart w:id="3242" w:name="_Toc51578061"/>
      <w:bookmarkStart w:id="3243" w:name="_Toc51582934"/>
      <w:bookmarkStart w:id="3244" w:name="_Toc51583409"/>
      <w:bookmarkStart w:id="3245" w:name="_Toc51583499"/>
      <w:bookmarkStart w:id="3246" w:name="_Toc51583784"/>
      <w:bookmarkStart w:id="3247" w:name="_Toc51583974"/>
      <w:bookmarkStart w:id="3248" w:name="_Toc51583898"/>
      <w:bookmarkStart w:id="3249" w:name="_Toc51586216"/>
      <w:bookmarkStart w:id="3250" w:name="_Toc51594019"/>
      <w:bookmarkStart w:id="3251" w:name="_Toc51594345"/>
      <w:bookmarkStart w:id="3252" w:name="_Toc51595323"/>
      <w:bookmarkStart w:id="3253" w:name="_Toc51595573"/>
      <w:bookmarkStart w:id="3254" w:name="_Toc51595899"/>
      <w:bookmarkStart w:id="3255" w:name="_Toc51596062"/>
      <w:bookmarkStart w:id="3256" w:name="_Toc51596415"/>
      <w:bookmarkStart w:id="3257" w:name="_Toc52121549"/>
      <w:bookmarkStart w:id="3258" w:name="_Toc52122780"/>
      <w:bookmarkStart w:id="3259" w:name="_Toc52123897"/>
      <w:bookmarkStart w:id="3260" w:name="_Toc53405356"/>
      <w:bookmarkStart w:id="3261" w:name="_Toc53406144"/>
      <w:bookmarkStart w:id="3262" w:name="_Toc53407512"/>
      <w:bookmarkStart w:id="3263" w:name="_Toc53410957"/>
      <w:bookmarkStart w:id="3264" w:name="_Toc53412020"/>
      <w:bookmarkStart w:id="3265" w:name="_Toc53417267"/>
      <w:bookmarkStart w:id="3266" w:name="_Toc53417619"/>
      <w:bookmarkStart w:id="3267" w:name="_Toc53419854"/>
      <w:bookmarkStart w:id="3268" w:name="_Toc53434957"/>
      <w:bookmarkStart w:id="3269" w:name="_Toc53437096"/>
      <w:bookmarkStart w:id="3270" w:name="_Toc57291502"/>
      <w:r>
        <w:rPr>
          <w:noProof/>
        </w:rPr>
        <w:t>Better information to users</w:t>
      </w:r>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p>
    <w:p>
      <w:pPr>
        <w:pStyle w:val="LegalNumPar"/>
        <w:numPr>
          <w:ilvl w:val="0"/>
          <w:numId w:val="89"/>
        </w:numPr>
        <w:spacing w:before="80" w:after="80" w:line="240" w:lineRule="auto"/>
        <w:rPr>
          <w:noProof/>
        </w:rPr>
      </w:pPr>
      <w:r>
        <w:rPr>
          <w:noProof/>
        </w:rPr>
        <w:t>In line with the EU priority to move towards a green and carbon-neutral economy, more focus is needed for motivating on the one hand the offer of more sustainable services or operations and on the other hand the consumers to improve the sustainability of their transport choices. Consumers and businesses lack the right information that could help making their mobility and transport more sustainable. It is important to leverage the increasing interest of consumers for greener choices and to remove the many barriers they still face. Information on environmental performance of transport services should become easily available and be trustworthy, advertised green benefits should not be misleading.</w:t>
      </w:r>
    </w:p>
    <w:p>
      <w:pPr>
        <w:pStyle w:val="LegalNumPar"/>
        <w:numPr>
          <w:ilvl w:val="0"/>
          <w:numId w:val="89"/>
        </w:numPr>
        <w:spacing w:before="80" w:after="80" w:line="240" w:lineRule="auto"/>
        <w:rPr>
          <w:noProof/>
        </w:rPr>
      </w:pPr>
      <w:r>
        <w:rPr>
          <w:noProof/>
        </w:rPr>
        <w:t>However, no specific and universally accepted framework for calculating and reporting CO</w:t>
      </w:r>
      <w:r>
        <w:rPr>
          <w:noProof/>
          <w:vertAlign w:val="subscript"/>
        </w:rPr>
        <w:t>2</w:t>
      </w:r>
      <w:r>
        <w:rPr>
          <w:noProof/>
        </w:rPr>
        <w:t xml:space="preserve"> emissions from transport services exists. The availability of various methodologies, initiatives and calculation tools limits the potential to reliably measure, compare and benchmark various transport services, as well as to develop relevant transparency and information tools, such as eco-label programs and scoreboards in line with the principles of the ‘sunshine regulation’. The European CEN standard EN 16258, published in 2013, is the only standard specifically focused on carbon footprint measurement of transport services. However, since it leaves room for interpretation it does not guarantee a fully harmonised implementation and thereby comparability. The lack of a harmonised classification framework makes it also difficult to reward the best performance and pioneers of innovative technologies. </w:t>
      </w:r>
    </w:p>
    <w:p>
      <w:pPr>
        <w:pStyle w:val="LegalNumPar"/>
        <w:numPr>
          <w:ilvl w:val="0"/>
          <w:numId w:val="89"/>
        </w:numPr>
        <w:spacing w:before="80" w:after="80" w:line="240" w:lineRule="auto"/>
        <w:rPr>
          <w:noProof/>
        </w:rPr>
      </w:pPr>
      <w:r>
        <w:rPr>
          <w:noProof/>
        </w:rPr>
        <w:t>The study and stakeholder consultation undertaken by the Commission in 2014 on the standardised carbon footprint methodology for transport services</w:t>
      </w:r>
      <w:r>
        <w:rPr>
          <w:rStyle w:val="FootnoteReference"/>
          <w:noProof/>
        </w:rPr>
        <w:footnoteReference w:id="373"/>
      </w:r>
      <w:r>
        <w:rPr>
          <w:noProof/>
        </w:rPr>
        <w:t>, recognised a clear need for a common methodological framework for carbon footprinting both at the EU and international scale. Further, the Commission co-financed between 2011 and 2019 two consecutive RTD projects addressing the calculation, reporting and verification of logistics emissions. The projects addressed the methodology development, verification and certification of the calculations/method and labelling to reward business. They also looked at the issues of the data quality, collection and exchange. The projects were closely interlinked with the work of the Global Logistics Emissions Council (GLEC), a platform for industry initiatives, associations and multinationals that developed the ‘GLEC framework for Logistics Emissions Methodologies’. The RTD projects in cooperation with GLEC supported the process which leads to the establishment of    a specific ISO working group in 2019 working on a global standard for transport and logistics emissions calculation The envisaged revision of the abovementioned CEN 16258 standard will piggyback the ISO process.</w:t>
      </w:r>
    </w:p>
    <w:p>
      <w:pPr>
        <w:pStyle w:val="LegalNumPar"/>
        <w:numPr>
          <w:ilvl w:val="0"/>
          <w:numId w:val="89"/>
        </w:numPr>
        <w:spacing w:before="80" w:after="80" w:line="240" w:lineRule="auto"/>
        <w:rPr>
          <w:noProof/>
        </w:rPr>
      </w:pPr>
      <w:r>
        <w:rPr>
          <w:noProof/>
        </w:rPr>
        <w:t>The Commission is considering to launch an initiative to develop a harmonised framework to establish a fair benchmarking tool to companies and customers wishing to procure more sustainable services. Such a system, taking into consideration the existing EU frameworks</w:t>
      </w:r>
      <w:r>
        <w:rPr>
          <w:rStyle w:val="FootnoteReference"/>
          <w:noProof/>
        </w:rPr>
        <w:footnoteReference w:id="374"/>
      </w:r>
      <w:r>
        <w:rPr>
          <w:noProof/>
        </w:rPr>
        <w:t>,preferably aligned at global scale, would also facilitate the development of complementary measures and tools, such as GHG certification schemes, eco-labelling, green procurements, creating further opportunities towards emission reduction. Logistics operators should be able to compare and benchmark various transport and logistics services and to provide reliable information to clients on environmental impact of their orders. Shippers could include carbon efficiency as a criterion in their transport decisions. All this creating opportunities towards innovative solutions, cutting costs and further emission reduction.</w:t>
      </w:r>
    </w:p>
    <w:p>
      <w:pPr>
        <w:pStyle w:val="LegalNumPar"/>
        <w:numPr>
          <w:ilvl w:val="0"/>
          <w:numId w:val="89"/>
        </w:numPr>
        <w:spacing w:before="80" w:after="80" w:line="240" w:lineRule="auto"/>
        <w:rPr>
          <w:noProof/>
        </w:rPr>
      </w:pPr>
      <w:r>
        <w:rPr>
          <w:noProof/>
        </w:rPr>
        <w:t>After the sharp increase in e-commerce during the COVID-19 pandemic, it becomes even more important to provide information to clients on the transport-related environmental impact of their orders and provide transport choices at, for example, longer delivery times but lower emission levels. As the results of the recent Eurobarometer survey showed</w:t>
      </w:r>
      <w:r>
        <w:rPr>
          <w:rStyle w:val="FootnoteReference"/>
          <w:noProof/>
        </w:rPr>
        <w:footnoteReference w:id="375"/>
      </w:r>
      <w:r>
        <w:rPr>
          <w:noProof/>
        </w:rPr>
        <w:t>, among respondents who buy goods online or by phone, six in ten (59%) would pick up a delivery themselves at a pick-up point, while 42% would wait longer for the delivery if it was done by a green mode of transport.</w:t>
      </w:r>
    </w:p>
    <w:p>
      <w:pPr>
        <w:pStyle w:val="LegalNumPar"/>
        <w:numPr>
          <w:ilvl w:val="0"/>
          <w:numId w:val="89"/>
        </w:numPr>
        <w:spacing w:line="240" w:lineRule="auto"/>
        <w:rPr>
          <w:noProof/>
        </w:rPr>
      </w:pPr>
      <w:r>
        <w:rPr>
          <w:noProof/>
        </w:rPr>
        <w:t xml:space="preserve">Information about environmental (including carbon) footprint of each transport mode could be integrated into travel information systems, indicating also the monetised impact, to inform consumers and raise their awareness; in the second step, the footprint could be included in the ticketing/pricing systems. The current delegated regulation 2017/1926 on EU-wide multimodal travel information services contains some relevant elements. </w:t>
      </w:r>
    </w:p>
    <w:p>
      <w:pPr>
        <w:pStyle w:val="LegalNumPar"/>
        <w:numPr>
          <w:ilvl w:val="0"/>
          <w:numId w:val="89"/>
        </w:numPr>
        <w:spacing w:line="240" w:lineRule="auto"/>
        <w:rPr>
          <w:noProof/>
        </w:rPr>
      </w:pPr>
      <w:r>
        <w:rPr>
          <w:noProof/>
        </w:rPr>
        <w:t>Examples of emission reduction effects supported by carbon accounting, can be provided from the perspective of sector specific carbon reduction schemes and individual companies. As regards the sector specific schemes, Logistics Emissions Reduction Scheme (LERS) and Smartway program can be mentioned in particular. LERS is a UK-based green freight benchmarking program, reporting that in 2018 its members achieved a 4% reduction in their CO</w:t>
      </w:r>
      <w:r>
        <w:rPr>
          <w:noProof/>
          <w:vertAlign w:val="subscript"/>
        </w:rPr>
        <w:t>2</w:t>
      </w:r>
      <w:r>
        <w:rPr>
          <w:noProof/>
        </w:rPr>
        <w:t xml:space="preserve"> emissions, while LERS member emissions are in general close to 13% lower per vehicle km than the industry average. </w:t>
      </w:r>
    </w:p>
    <w:p>
      <w:pPr>
        <w:pStyle w:val="LegalNumPar"/>
        <w:numPr>
          <w:ilvl w:val="0"/>
          <w:numId w:val="89"/>
        </w:numPr>
        <w:spacing w:line="240" w:lineRule="auto"/>
        <w:rPr>
          <w:noProof/>
        </w:rPr>
      </w:pPr>
      <w:r>
        <w:rPr>
          <w:noProof/>
        </w:rPr>
        <w:t>The U.S. Smartway program, benchmarking the efficiency of transport operations and run as a public-private partnership, has attracted since 2004 over 3,700 partners, who saved together 280 million barrels of oil and prevented from the emission of 134 million tonnes of air pollutants. Also individual companies see the benefits of accounting carbon footprint of transport and logistics services</w:t>
      </w:r>
      <w:r>
        <w:rPr>
          <w:rStyle w:val="FootnoteReference"/>
          <w:noProof/>
        </w:rPr>
        <w:footnoteReference w:id="376"/>
      </w:r>
      <w:r>
        <w:rPr>
          <w:noProof/>
        </w:rPr>
        <w:t xml:space="preserve">. </w:t>
      </w:r>
    </w:p>
    <w:p>
      <w:pPr>
        <w:pStyle w:val="LegalNumPar"/>
        <w:numPr>
          <w:ilvl w:val="0"/>
          <w:numId w:val="89"/>
        </w:numPr>
        <w:tabs>
          <w:tab w:val="left" w:pos="476"/>
        </w:tabs>
        <w:spacing w:line="240" w:lineRule="auto"/>
        <w:rPr>
          <w:noProof/>
        </w:rPr>
      </w:pPr>
      <w:r>
        <w:rPr>
          <w:noProof/>
        </w:rPr>
        <w:t>Navigation solutions, are now ubiquitous: they come in-built in vehicles, can be attached to the vehicles in form of dedicated devices or can be simply downloaded to smartphones. These solutions guide millions of drivers everyday on their trips, all around the world, showing them the fastest way to get to their destination.</w:t>
      </w:r>
    </w:p>
    <w:p>
      <w:pPr>
        <w:pStyle w:val="LegalNumPar"/>
        <w:numPr>
          <w:ilvl w:val="0"/>
          <w:numId w:val="89"/>
        </w:numPr>
        <w:tabs>
          <w:tab w:val="left" w:pos="476"/>
        </w:tabs>
        <w:spacing w:line="240" w:lineRule="auto"/>
        <w:rPr>
          <w:noProof/>
        </w:rPr>
      </w:pPr>
      <w:r>
        <w:rPr>
          <w:noProof/>
        </w:rPr>
        <w:t>However, all too often the fastest way is not the ‘best’ way to get to the destination if the algorithm took into account other important factors such as fuel consumption and related environmental impacts.</w:t>
      </w:r>
      <w:r>
        <w:rPr>
          <w:rFonts w:ascii="Georgia" w:hAnsi="Georgia"/>
          <w:noProof/>
          <w:color w:val="2E2E2E"/>
          <w:sz w:val="27"/>
          <w:szCs w:val="27"/>
        </w:rPr>
        <w:t xml:space="preserve"> </w:t>
      </w:r>
      <w:r>
        <w:rPr>
          <w:noProof/>
        </w:rPr>
        <w:t>Eco-routing navigation solutions can help addressing this problem as they enables users to reduce their fuel consumption and CO</w:t>
      </w:r>
      <w:r>
        <w:rPr>
          <w:noProof/>
          <w:vertAlign w:val="subscript"/>
        </w:rPr>
        <w:t>2</w:t>
      </w:r>
      <w:r>
        <w:rPr>
          <w:noProof/>
        </w:rPr>
        <w:t xml:space="preserve"> and air pollutant emissions at the route choice level</w:t>
      </w:r>
      <w:r>
        <w:rPr>
          <w:rStyle w:val="FootnoteReference"/>
          <w:noProof/>
        </w:rPr>
        <w:footnoteReference w:id="377"/>
      </w:r>
      <w:r>
        <w:rPr>
          <w:noProof/>
        </w:rPr>
        <w:t xml:space="preserve"> and therefore their use should be promoted.</w:t>
      </w:r>
    </w:p>
    <w:p>
      <w:pPr>
        <w:pStyle w:val="LegalNumPar"/>
        <w:numPr>
          <w:ilvl w:val="0"/>
          <w:numId w:val="89"/>
        </w:numPr>
        <w:tabs>
          <w:tab w:val="left" w:pos="476"/>
        </w:tabs>
        <w:spacing w:line="240" w:lineRule="auto"/>
        <w:rPr>
          <w:noProof/>
          <w:lang w:eastAsia="en-US"/>
        </w:rPr>
      </w:pPr>
      <w:r>
        <w:rPr>
          <w:noProof/>
          <w:lang w:eastAsia="en-US"/>
        </w:rPr>
        <w:t>In addition to precise information on the impact of individual trips, experience from other industries and EU policies, notably the EU Ecolabel and the EU Energy label, demonstrated that labels</w:t>
      </w:r>
      <w:r>
        <w:rPr>
          <w:rStyle w:val="FootnoteReference"/>
          <w:noProof/>
        </w:rPr>
        <w:footnoteReference w:id="378"/>
      </w:r>
      <w:r>
        <w:rPr>
          <w:noProof/>
        </w:rPr>
        <w:t xml:space="preserve"> </w:t>
      </w:r>
      <w:r>
        <w:rPr>
          <w:noProof/>
          <w:lang w:eastAsia="en-US"/>
        </w:rPr>
        <w:t xml:space="preserve"> can be effective tools for communicating environmental performance and preventing proliferation of green claims. </w:t>
      </w:r>
    </w:p>
    <w:p>
      <w:pPr>
        <w:pStyle w:val="LegalNumPar"/>
        <w:numPr>
          <w:ilvl w:val="0"/>
          <w:numId w:val="89"/>
        </w:numPr>
        <w:tabs>
          <w:tab w:val="left" w:pos="476"/>
        </w:tabs>
        <w:spacing w:line="240" w:lineRule="auto"/>
        <w:rPr>
          <w:noProof/>
          <w:lang w:eastAsia="en-US"/>
        </w:rPr>
      </w:pPr>
      <w:r>
        <w:rPr>
          <w:noProof/>
          <w:lang w:eastAsia="en-US"/>
        </w:rPr>
        <w:t>For example, t</w:t>
      </w:r>
      <w:r>
        <w:rPr>
          <w:noProof/>
          <w:shd w:val="clear" w:color="auto" w:fill="FFFFFF"/>
        </w:rPr>
        <w:t>yre energy labels</w:t>
      </w:r>
      <w:r>
        <w:rPr>
          <w:rStyle w:val="FootnoteReference"/>
          <w:noProof/>
          <w:shd w:val="clear" w:color="auto" w:fill="FFFFFF"/>
        </w:rPr>
        <w:footnoteReference w:id="379"/>
      </w:r>
      <w:r>
        <w:rPr>
          <w:noProof/>
          <w:shd w:val="clear" w:color="auto" w:fill="FFFFFF"/>
        </w:rPr>
        <w:t xml:space="preserve"> provide a clear and common classification of tyres performance for rolling resistance, braking on wet surfaces and external noise</w:t>
      </w:r>
      <w:r>
        <w:rPr>
          <w:rStyle w:val="FootnoteReference"/>
          <w:noProof/>
          <w:shd w:val="clear" w:color="auto" w:fill="FFFFFF"/>
        </w:rPr>
        <w:footnoteReference w:id="380"/>
      </w:r>
      <w:r>
        <w:rPr>
          <w:noProof/>
          <w:shd w:val="clear" w:color="auto" w:fill="FFFFFF"/>
        </w:rPr>
        <w:t xml:space="preserve">. The labels help consumers make informed decisions when they are buying tyres as they can easily set their priority choice based on the 3 parameters. </w:t>
      </w:r>
    </w:p>
    <w:p>
      <w:pPr>
        <w:pStyle w:val="LegalNumPar"/>
        <w:numPr>
          <w:ilvl w:val="0"/>
          <w:numId w:val="89"/>
        </w:numPr>
        <w:tabs>
          <w:tab w:val="left" w:pos="476"/>
        </w:tabs>
        <w:spacing w:line="240" w:lineRule="auto"/>
        <w:rPr>
          <w:noProof/>
        </w:rPr>
      </w:pPr>
      <w:r>
        <w:rPr>
          <w:noProof/>
        </w:rPr>
        <w:t>The Car Labelling Directive (Directive 1999/94/EC) aims to raise consumer awareness on fuel use and CO</w:t>
      </w:r>
      <w:r>
        <w:rPr>
          <w:noProof/>
          <w:vertAlign w:val="subscript"/>
        </w:rPr>
        <w:t>2</w:t>
      </w:r>
      <w:r>
        <w:rPr>
          <w:noProof/>
        </w:rPr>
        <w:t xml:space="preserve"> emissions of new passenger cars in order to support the purchase or lease of fuel-efficient cars. A label should be attached to all new cars or displayed nearby the point of sale showing fuel economy and CO</w:t>
      </w:r>
      <w:r>
        <w:rPr>
          <w:noProof/>
          <w:vertAlign w:val="subscript"/>
        </w:rPr>
        <w:t>2</w:t>
      </w:r>
      <w:r>
        <w:rPr>
          <w:noProof/>
        </w:rPr>
        <w:t xml:space="preserve"> emissions. Moreover, at or through the point of sale further information on fuel consumption and CO</w:t>
      </w:r>
      <w:r>
        <w:rPr>
          <w:noProof/>
          <w:vertAlign w:val="subscript"/>
        </w:rPr>
        <w:t>2</w:t>
      </w:r>
      <w:r>
        <w:rPr>
          <w:noProof/>
        </w:rPr>
        <w:t xml:space="preserve"> emissions of all new car models should be available (posters, printed guide and promotional material). </w:t>
      </w:r>
    </w:p>
    <w:p>
      <w:pPr>
        <w:pStyle w:val="LegalNumPar"/>
        <w:numPr>
          <w:ilvl w:val="0"/>
          <w:numId w:val="89"/>
        </w:numPr>
        <w:tabs>
          <w:tab w:val="left" w:pos="476"/>
        </w:tabs>
        <w:spacing w:line="240" w:lineRule="auto"/>
        <w:rPr>
          <w:noProof/>
        </w:rPr>
      </w:pPr>
      <w:r>
        <w:rPr>
          <w:noProof/>
        </w:rPr>
        <w:t>The Commission evaluated Directive 1999/94/EC in 2016. It showed that consumer awareness about CO</w:t>
      </w:r>
      <w:r>
        <w:rPr>
          <w:noProof/>
          <w:vertAlign w:val="subscript"/>
        </w:rPr>
        <w:t>2</w:t>
      </w:r>
      <w:r>
        <w:rPr>
          <w:noProof/>
        </w:rPr>
        <w:t xml:space="preserve"> emissions and fuel economy has risen steadily since the implementation of the Directive. A number of Member States have set further mandatory or voluntary requirements regarding information tools. While the relevance of the Directive remains, the Directive also underlined the need and benefits for further clarification and simplification. Those include the need to address differences in label design in Member States following the absence of a common methodology, the lack of provisions on alternative fuelled vehicles or the lack of provisions concerning of air pollutant emissions, among other. Information on fuel consumption and emissions would also need to be adapted to the provisions of the Worldwide harmonized Light vehicles Test Procedure (WLTP) test cycle. The Commission issued a recommendation</w:t>
      </w:r>
      <w:r>
        <w:rPr>
          <w:rStyle w:val="FootnoteReference"/>
          <w:noProof/>
        </w:rPr>
        <w:footnoteReference w:id="381"/>
      </w:r>
      <w:r>
        <w:rPr>
          <w:noProof/>
        </w:rPr>
        <w:t xml:space="preserve"> to Member States in 2017, asking them to ensure that WLTP information would be incorporated into the national labels. </w:t>
      </w:r>
    </w:p>
    <w:p>
      <w:pPr>
        <w:pStyle w:val="LegalNumPar"/>
        <w:numPr>
          <w:ilvl w:val="0"/>
          <w:numId w:val="89"/>
        </w:numPr>
        <w:tabs>
          <w:tab w:val="left" w:pos="476"/>
        </w:tabs>
        <w:spacing w:line="240" w:lineRule="auto"/>
        <w:rPr>
          <w:noProof/>
        </w:rPr>
      </w:pPr>
      <w:r>
        <w:rPr>
          <w:noProof/>
        </w:rPr>
        <w:t>In order to address the problem of diverging CO</w:t>
      </w:r>
      <w:r>
        <w:rPr>
          <w:noProof/>
          <w:vertAlign w:val="subscript"/>
        </w:rPr>
        <w:t>2</w:t>
      </w:r>
      <w:r>
        <w:rPr>
          <w:noProof/>
        </w:rPr>
        <w:t xml:space="preserve"> emissions and fuel consumption values between what is communicated through the registration certificates and what the users actually experience in reality, and in order to strengthen consumer awareness, the Commission adopted the new Worldwide harmonized Light vehicles Test Procedure (WLTP)</w:t>
      </w:r>
      <w:r>
        <w:rPr>
          <w:rStyle w:val="FootnoteReference"/>
          <w:noProof/>
        </w:rPr>
        <w:footnoteReference w:id="382"/>
      </w:r>
      <w:r>
        <w:rPr>
          <w:noProof/>
        </w:rPr>
        <w:t xml:space="preserve"> and has introduced mandatory monitoring of the discrepancy between real world fuel consumption and the certified values through accurate</w:t>
      </w:r>
      <w:r>
        <w:rPr>
          <w:rStyle w:val="FootnoteReference"/>
          <w:noProof/>
        </w:rPr>
        <w:footnoteReference w:id="383"/>
      </w:r>
      <w:r>
        <w:rPr>
          <w:noProof/>
        </w:rPr>
        <w:t xml:space="preserve"> on-board fuel consumption monitoring systems. A series of tools that provide indicative vehicle in-use information to consumers have also been funded by European projects.</w:t>
      </w:r>
    </w:p>
    <w:p>
      <w:pPr>
        <w:pStyle w:val="LegalNumPar"/>
        <w:numPr>
          <w:ilvl w:val="0"/>
          <w:numId w:val="89"/>
        </w:numPr>
        <w:tabs>
          <w:tab w:val="left" w:pos="476"/>
        </w:tabs>
        <w:spacing w:line="240" w:lineRule="auto"/>
        <w:rPr>
          <w:noProof/>
        </w:rPr>
      </w:pPr>
      <w:r>
        <w:rPr>
          <w:noProof/>
        </w:rPr>
        <w:t xml:space="preserve">The European Union Aviation Safety Agency has also started a demonstration project for the feasibility of developing an environmental label for aviation that could potentially capture the environmental performances, notably of aircraft, airlines, flights and airports. This would need to be in line with the methodologies and policy objectives of the Green Claim initiative, announced by the Circular Economy Action Plan in March 2020, to be adopted in 2021. Such labelling, should the Commission decide to take it forward, would require a holistic approach and would need to take into account the existing methodologies and policy objectives. </w:t>
      </w:r>
    </w:p>
    <w:p>
      <w:pPr>
        <w:pStyle w:val="LegalNumPar"/>
        <w:numPr>
          <w:ilvl w:val="0"/>
          <w:numId w:val="89"/>
        </w:numPr>
        <w:tabs>
          <w:tab w:val="left" w:pos="476"/>
        </w:tabs>
        <w:spacing w:line="240" w:lineRule="auto"/>
        <w:rPr>
          <w:noProof/>
          <w:lang w:eastAsia="en-US"/>
        </w:rPr>
      </w:pPr>
      <w:r>
        <w:rPr>
          <w:noProof/>
          <w:lang w:eastAsia="en-US"/>
        </w:rPr>
        <w:t>Furthermore, awareness raising is an area where the European Commission has invested for years. Earlier this year, the Commission has proposed to declare 2021 the European Year of Rail, in order to promote rail as a sustainable form of transport. The European Mobility Week</w:t>
      </w:r>
      <w:r>
        <w:rPr>
          <w:rStyle w:val="FootnoteReference"/>
          <w:noProof/>
          <w:lang w:eastAsia="en-US"/>
        </w:rPr>
        <w:footnoteReference w:id="384"/>
      </w:r>
      <w:r>
        <w:rPr>
          <w:noProof/>
          <w:lang w:eastAsia="en-US"/>
        </w:rPr>
        <w:t xml:space="preserve"> is of particular relevance. It is the Commission’s leading awareness-raising campaign promoting behavioural change in favour of sustainable transport modes. It takes place from 16-22 September every year and culminates in the well-known Car-free Day. </w:t>
      </w:r>
    </w:p>
    <w:p>
      <w:pPr>
        <w:pStyle w:val="LegalNumPar"/>
        <w:numPr>
          <w:ilvl w:val="0"/>
          <w:numId w:val="89"/>
        </w:numPr>
        <w:tabs>
          <w:tab w:val="left" w:pos="476"/>
        </w:tabs>
        <w:spacing w:line="240" w:lineRule="auto"/>
        <w:rPr>
          <w:noProof/>
          <w:lang w:eastAsia="en-US"/>
        </w:rPr>
      </w:pPr>
      <w:r>
        <w:rPr>
          <w:noProof/>
          <w:lang w:eastAsia="en-US"/>
        </w:rPr>
        <w:t xml:space="preserve"> By taking part, towns and cities can showcase the benefits of cleaner transport choices and make progress towards better mobility in Europe. Local authorities are strongly encouraged to use European Mobility Week to measure air quality, test new pedestrian areas and transport measures and get feedback from the public. At the same time, organisations, businesses, schools etc. can register their Mobility Action to become a part of the EMW campaign and to show what they are doing to promote sustainable mobility. In 2019 there was a record-breaking participation, with over 3,100 cities registered from 50 countries as well as 1028 ‘mobility actions’ in 56 countries. However, it is highly variable used – three countries (Austria, Spain and Turkey) each have participation from more than 500 cities, while the European Mobility Week’s footprint is much slighter elsewhere, suggesting there is potential to develop this tool further. Finally, each year we give EMW awards to reward local authorities judged to have implemented the best European Mobility Week in line with the annual theme.</w:t>
      </w:r>
    </w:p>
    <w:p>
      <w:pPr>
        <w:pStyle w:val="LegalNumPar"/>
        <w:numPr>
          <w:ilvl w:val="0"/>
          <w:numId w:val="89"/>
        </w:numPr>
        <w:tabs>
          <w:tab w:val="left" w:pos="476"/>
        </w:tabs>
        <w:spacing w:line="240" w:lineRule="auto"/>
        <w:rPr>
          <w:noProof/>
        </w:rPr>
      </w:pPr>
      <w:r>
        <w:rPr>
          <w:noProof/>
          <w:lang w:eastAsia="en-US"/>
        </w:rPr>
        <w:t>Working with employers and their internal mobility offer to their employees, as well as with schools and universities and their pupils/students can also be a way to influence the behavioural change. Lasting change in behaviour is key when it comes to shifting to sustainable mobility, and proposing a good offer and incentives – combining economic and social aspects – by employers/schools etc. can be a powerful tool in that regard</w:t>
      </w:r>
      <w:r>
        <w:rPr>
          <w:rStyle w:val="FootnoteReference"/>
          <w:noProof/>
          <w:lang w:eastAsia="en-US"/>
        </w:rPr>
        <w:footnoteReference w:id="385"/>
      </w:r>
      <w:r>
        <w:rPr>
          <w:noProof/>
          <w:lang w:eastAsia="en-US"/>
        </w:rPr>
        <w:t xml:space="preserve">. </w:t>
      </w:r>
    </w:p>
    <w:p>
      <w:pPr>
        <w:spacing w:after="0" w:line="240" w:lineRule="auto"/>
        <w:jc w:val="left"/>
        <w:rPr>
          <w:noProof/>
          <w:sz w:val="24"/>
        </w:rPr>
      </w:pPr>
    </w:p>
    <w:p>
      <w:pPr>
        <w:pStyle w:val="Heading2"/>
        <w:numPr>
          <w:ilvl w:val="1"/>
          <w:numId w:val="98"/>
        </w:numPr>
        <w:rPr>
          <w:noProof/>
        </w:rPr>
      </w:pPr>
      <w:bookmarkStart w:id="3271" w:name="_Toc51450117"/>
      <w:bookmarkStart w:id="3272" w:name="_Ref51573954"/>
      <w:bookmarkStart w:id="3273" w:name="_Toc51574816"/>
      <w:bookmarkStart w:id="3274" w:name="_Toc51575664"/>
      <w:bookmarkStart w:id="3275" w:name="_Toc51578062"/>
      <w:bookmarkStart w:id="3276" w:name="_Toc51582935"/>
      <w:bookmarkStart w:id="3277" w:name="_Toc51583410"/>
      <w:bookmarkStart w:id="3278" w:name="_Toc51583500"/>
      <w:bookmarkStart w:id="3279" w:name="_Toc51583785"/>
      <w:bookmarkStart w:id="3280" w:name="_Toc51583975"/>
      <w:bookmarkStart w:id="3281" w:name="_Toc51583899"/>
      <w:bookmarkStart w:id="3282" w:name="_Toc51586217"/>
      <w:bookmarkStart w:id="3283" w:name="_Toc51594020"/>
      <w:bookmarkStart w:id="3284" w:name="_Toc51594346"/>
      <w:bookmarkStart w:id="3285" w:name="_Toc51595324"/>
      <w:bookmarkStart w:id="3286" w:name="_Toc51595574"/>
      <w:bookmarkStart w:id="3287" w:name="_Toc51595900"/>
      <w:bookmarkStart w:id="3288" w:name="_Toc51596063"/>
      <w:bookmarkStart w:id="3289" w:name="_Toc51596416"/>
      <w:bookmarkStart w:id="3290" w:name="_Toc52121550"/>
      <w:bookmarkStart w:id="3291" w:name="_Toc52122781"/>
      <w:bookmarkStart w:id="3292" w:name="_Toc52123898"/>
      <w:bookmarkStart w:id="3293" w:name="_Toc53405357"/>
      <w:bookmarkStart w:id="3294" w:name="_Toc53406145"/>
      <w:bookmarkStart w:id="3295" w:name="_Toc53407513"/>
      <w:bookmarkStart w:id="3296" w:name="_Toc53410958"/>
      <w:bookmarkStart w:id="3297" w:name="_Toc53412021"/>
      <w:bookmarkStart w:id="3298" w:name="_Toc53417268"/>
      <w:bookmarkStart w:id="3299" w:name="_Toc53417620"/>
      <w:bookmarkStart w:id="3300" w:name="_Toc53419855"/>
      <w:bookmarkStart w:id="3301" w:name="_Toc53434958"/>
      <w:bookmarkStart w:id="3302" w:name="_Toc53437097"/>
      <w:bookmarkStart w:id="3303" w:name="_Toc57291503"/>
      <w:r>
        <w:rPr>
          <w:noProof/>
        </w:rPr>
        <w:t>The challenge of digitalisation and modernisation</w:t>
      </w:r>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p>
    <w:p>
      <w:pPr>
        <w:pStyle w:val="LegalNumPar"/>
        <w:numPr>
          <w:ilvl w:val="0"/>
          <w:numId w:val="89"/>
        </w:numPr>
        <w:tabs>
          <w:tab w:val="left" w:pos="476"/>
        </w:tabs>
        <w:spacing w:line="240" w:lineRule="auto"/>
        <w:rPr>
          <w:noProof/>
        </w:rPr>
      </w:pPr>
      <w:r>
        <w:rPr>
          <w:noProof/>
        </w:rPr>
        <w:t xml:space="preserve">Digitalisation, automation, the emergence of the shared, collaborative economy and platforms, which are challenging the current and traditional mobility and transport landscape, will be key for building a smart, green and resilient transportation system. New ICT technologies, including artificial intelligence (AI), impact the way transport organisations operate. They pave the way for innovation, allow new services and business models to enter the market and challenge the incumbents. Digitalisation also facilitates novel ways of collaboration within and beyond the sector, including between supply chain actors. At the same time users’ behaviour and expectations – both passengers and businesses </w:t>
      </w:r>
      <w:r>
        <w:rPr>
          <w:noProof/>
          <w:lang w:eastAsia="en-US"/>
        </w:rPr>
        <w:t>–</w:t>
      </w:r>
      <w:r>
        <w:rPr>
          <w:noProof/>
        </w:rPr>
        <w:t xml:space="preserve"> evolve rapidly with demands for more efficiency, less emissions and better performance of the whole transport system. This rapid transformation brings a number of opportunities. It can make the transport system more connected, multimodal and efficient allowing a better organisation and execution of travel and transport operations. It can help make better use of infrastructure and resources as well as integrate different modes of transport. It can ultimately make mobility safer by helping reduce safety risks involving human error. It can make transport and mobility more inclusive and cleaner, by for instance increasing the use of public, collective and shared transport. Ultimately it can help to better serve both citizens and businesses. </w:t>
      </w:r>
    </w:p>
    <w:p>
      <w:pPr>
        <w:pStyle w:val="LegalNumPar"/>
        <w:numPr>
          <w:ilvl w:val="0"/>
          <w:numId w:val="89"/>
        </w:numPr>
        <w:tabs>
          <w:tab w:val="left" w:pos="476"/>
        </w:tabs>
        <w:spacing w:line="240" w:lineRule="auto"/>
        <w:rPr>
          <w:noProof/>
        </w:rPr>
      </w:pPr>
      <w:r>
        <w:rPr>
          <w:noProof/>
        </w:rPr>
        <w:t xml:space="preserve">At the same time, however, it raises a number of challenges, from the ability of the sector to adapt its business models to a new reality, through more horizontal questions of data availability and accessibility, resilience to cyber-incidents, the availability of the necessary infrastructure allowing for digitalisation, protection of personal data to the potential impact on jobs and required skillset. </w:t>
      </w:r>
    </w:p>
    <w:p>
      <w:pPr>
        <w:pStyle w:val="LegalNumPar"/>
        <w:numPr>
          <w:ilvl w:val="0"/>
          <w:numId w:val="89"/>
        </w:numPr>
        <w:tabs>
          <w:tab w:val="left" w:pos="476"/>
        </w:tabs>
        <w:spacing w:line="240" w:lineRule="auto"/>
        <w:rPr>
          <w:noProof/>
        </w:rPr>
      </w:pPr>
      <w:r>
        <w:rPr>
          <w:noProof/>
        </w:rPr>
        <w:t xml:space="preserve">All transport modes have started to embrace this disruptive change, although at a different pace. Reaping the full benefits of digitalisation and automation often requires a coordinated change across the network and simultaneously on infrastructure and vehicles. However, underlying conditions allowing the transport sector to take full advantage of digitalisation to achieve sustainable, seamless, safe and smart mobility across the modes, as well as to minimise the risks, are not yet optimal to take advantage of these opportunities. EU support to research and innovation is helping to seize these opportunities and mitigate risks, but more needs to be done. </w:t>
      </w:r>
    </w:p>
    <w:p>
      <w:pPr>
        <w:pStyle w:val="Heading3"/>
        <w:numPr>
          <w:ilvl w:val="2"/>
          <w:numId w:val="98"/>
        </w:numPr>
        <w:rPr>
          <w:noProof/>
        </w:rPr>
      </w:pPr>
      <w:bookmarkStart w:id="3304" w:name="_Toc51450118"/>
      <w:bookmarkStart w:id="3305" w:name="_Ref51573886"/>
      <w:bookmarkStart w:id="3306" w:name="_Ref51573932"/>
      <w:bookmarkStart w:id="3307" w:name="_Toc51574817"/>
      <w:bookmarkStart w:id="3308" w:name="_Toc51575665"/>
      <w:bookmarkStart w:id="3309" w:name="_Toc51578063"/>
      <w:bookmarkStart w:id="3310" w:name="_Toc51582936"/>
      <w:bookmarkStart w:id="3311" w:name="_Toc51583411"/>
      <w:bookmarkStart w:id="3312" w:name="_Toc51583501"/>
      <w:bookmarkStart w:id="3313" w:name="_Toc51583786"/>
      <w:bookmarkStart w:id="3314" w:name="_Toc51583976"/>
      <w:bookmarkStart w:id="3315" w:name="_Toc51583900"/>
      <w:bookmarkStart w:id="3316" w:name="_Toc51586218"/>
      <w:bookmarkStart w:id="3317" w:name="_Toc51594021"/>
      <w:bookmarkStart w:id="3318" w:name="_Toc51594347"/>
      <w:bookmarkStart w:id="3319" w:name="_Toc51595325"/>
      <w:bookmarkStart w:id="3320" w:name="_Toc51595575"/>
      <w:bookmarkStart w:id="3321" w:name="_Toc51595901"/>
      <w:bookmarkStart w:id="3322" w:name="_Toc51596064"/>
      <w:bookmarkStart w:id="3323" w:name="_Toc51596417"/>
      <w:bookmarkStart w:id="3324" w:name="_Toc52121551"/>
      <w:bookmarkStart w:id="3325" w:name="_Toc52122782"/>
      <w:bookmarkStart w:id="3326" w:name="_Toc52123899"/>
      <w:bookmarkStart w:id="3327" w:name="_Toc53405358"/>
      <w:bookmarkStart w:id="3328" w:name="_Toc53406146"/>
      <w:bookmarkStart w:id="3329" w:name="_Toc53407514"/>
      <w:bookmarkStart w:id="3330" w:name="_Toc53410959"/>
      <w:bookmarkStart w:id="3331" w:name="_Toc53412022"/>
      <w:bookmarkStart w:id="3332" w:name="_Toc53417269"/>
      <w:bookmarkStart w:id="3333" w:name="_Toc53417621"/>
      <w:bookmarkStart w:id="3334" w:name="_Toc53419856"/>
      <w:bookmarkStart w:id="3335" w:name="_Toc53434959"/>
      <w:bookmarkStart w:id="3336" w:name="_Toc53437098"/>
      <w:bookmarkStart w:id="3337" w:name="_Toc57291504"/>
      <w:r>
        <w:rPr>
          <w:noProof/>
        </w:rPr>
        <w:t>Smart multimodal transport – challenges for seamless experience</w:t>
      </w:r>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p>
    <w:p>
      <w:pPr>
        <w:pStyle w:val="LegalNumPar"/>
        <w:numPr>
          <w:ilvl w:val="0"/>
          <w:numId w:val="89"/>
        </w:numPr>
        <w:tabs>
          <w:tab w:val="left" w:pos="476"/>
        </w:tabs>
        <w:spacing w:line="240" w:lineRule="auto"/>
        <w:rPr>
          <w:noProof/>
        </w:rPr>
      </w:pPr>
      <w:r>
        <w:rPr>
          <w:noProof/>
        </w:rPr>
        <w:t>We are still far from a perfect smart and multimodal mobility experience across the European Union, in which solutions are interoperable and can be combined and integrated smoothly along a single travel chain. At the moment travellers are not yet able to plan, book and enjoy their trips across Europe with the same ease as they would do for a domestic journey. They often encounter disproportionate and discriminatory registration requirements attached to the use of many types of services– from public transport and rail through to electric vehicle charging and car rentals.</w:t>
      </w:r>
    </w:p>
    <w:p>
      <w:pPr>
        <w:pStyle w:val="Heading4"/>
        <w:numPr>
          <w:ilvl w:val="3"/>
          <w:numId w:val="98"/>
        </w:numPr>
        <w:rPr>
          <w:noProof/>
        </w:rPr>
      </w:pPr>
      <w:bookmarkStart w:id="3338" w:name="_Toc51450119"/>
      <w:bookmarkStart w:id="3339" w:name="_Toc51574818"/>
      <w:bookmarkStart w:id="3340" w:name="_Toc51575666"/>
      <w:bookmarkStart w:id="3341" w:name="_Toc51578064"/>
      <w:bookmarkStart w:id="3342" w:name="_Toc51582937"/>
      <w:bookmarkStart w:id="3343" w:name="_Toc51583412"/>
      <w:bookmarkStart w:id="3344" w:name="_Toc51583502"/>
      <w:bookmarkStart w:id="3345" w:name="_Toc51583787"/>
      <w:bookmarkStart w:id="3346" w:name="_Toc51583977"/>
      <w:bookmarkStart w:id="3347" w:name="_Toc51583901"/>
      <w:bookmarkStart w:id="3348" w:name="_Toc51586219"/>
      <w:bookmarkStart w:id="3349" w:name="_Toc51594022"/>
      <w:bookmarkStart w:id="3350" w:name="_Toc51594348"/>
      <w:bookmarkStart w:id="3351" w:name="_Toc51595326"/>
      <w:bookmarkStart w:id="3352" w:name="_Toc51595576"/>
      <w:bookmarkStart w:id="3353" w:name="_Toc51595902"/>
      <w:bookmarkStart w:id="3354" w:name="_Toc51596065"/>
      <w:bookmarkStart w:id="3355" w:name="_Toc51596418"/>
      <w:bookmarkStart w:id="3356" w:name="_Toc52121552"/>
      <w:bookmarkStart w:id="3357" w:name="_Toc52122783"/>
      <w:bookmarkStart w:id="3358" w:name="_Toc52123900"/>
      <w:bookmarkStart w:id="3359" w:name="_Toc53405359"/>
      <w:bookmarkStart w:id="3360" w:name="_Toc53406147"/>
      <w:bookmarkStart w:id="3361" w:name="_Toc53407515"/>
      <w:bookmarkStart w:id="3362" w:name="_Toc53410960"/>
      <w:bookmarkStart w:id="3363" w:name="_Toc53412023"/>
      <w:bookmarkStart w:id="3364" w:name="_Toc53417270"/>
      <w:bookmarkStart w:id="3365" w:name="_Toc53417622"/>
      <w:bookmarkStart w:id="3366" w:name="_Toc53419857"/>
      <w:bookmarkStart w:id="3367" w:name="_Toc53434960"/>
      <w:bookmarkStart w:id="3368" w:name="_Toc53437099"/>
      <w:bookmarkStart w:id="3369" w:name="_Toc57291505"/>
      <w:r>
        <w:rPr>
          <w:noProof/>
        </w:rPr>
        <w:t>Cross-border multimodal challenges</w:t>
      </w:r>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p>
    <w:p>
      <w:pPr>
        <w:pStyle w:val="LegalNumPar"/>
        <w:numPr>
          <w:ilvl w:val="0"/>
          <w:numId w:val="89"/>
        </w:numPr>
        <w:tabs>
          <w:tab w:val="left" w:pos="476"/>
        </w:tabs>
        <w:spacing w:line="240" w:lineRule="auto"/>
        <w:rPr>
          <w:noProof/>
        </w:rPr>
      </w:pPr>
      <w:r>
        <w:rPr>
          <w:noProof/>
        </w:rPr>
        <w:t>A seamless cross-border multimodal transport environment is highly desirable but still an unmet challenge. From a passenger perspective, each transport mode currently still operates in a mostly isolated system. Planning and purchasing tickets/mobility services for multimodal journeys is often cumbersome, as we lack a conducive environment for EU-wide, multimodal information and ticketing and purchase services.</w:t>
      </w:r>
      <w:r>
        <w:rPr>
          <w:rStyle w:val="FootnoteReference"/>
          <w:noProof/>
        </w:rPr>
        <w:footnoteReference w:id="386"/>
      </w:r>
      <w:r>
        <w:rPr>
          <w:noProof/>
        </w:rPr>
        <w:t xml:space="preserve"> There are a number of barriers, including the availability and accessibility of data, legal and commercial barriers ranging from the lack of cooperation between suppliers for payment system interoperability to the existence of different licence, insurance and distribution agreements. </w:t>
      </w:r>
    </w:p>
    <w:p>
      <w:pPr>
        <w:pStyle w:val="LegalNumPar"/>
        <w:numPr>
          <w:ilvl w:val="0"/>
          <w:numId w:val="89"/>
        </w:numPr>
        <w:tabs>
          <w:tab w:val="left" w:pos="476"/>
        </w:tabs>
        <w:spacing w:line="240" w:lineRule="auto"/>
        <w:rPr>
          <w:noProof/>
        </w:rPr>
      </w:pPr>
      <w:r>
        <w:rPr>
          <w:noProof/>
        </w:rPr>
        <w:t>For rail, significant work has been undertaken to enable data exchanges - through legislation (Technical Specification for Interoperability of Telematics Applications for Freight/Passenger Services TAP/TAF TSI</w:t>
      </w:r>
      <w:r>
        <w:rPr>
          <w:rStyle w:val="FootnoteReference"/>
          <w:noProof/>
        </w:rPr>
        <w:footnoteReference w:id="387"/>
      </w:r>
      <w:r>
        <w:rPr>
          <w:noProof/>
        </w:rPr>
        <w:t xml:space="preserve"> and recently the recast of the rail passenger rights Regulation</w:t>
      </w:r>
      <w:r>
        <w:rPr>
          <w:rStyle w:val="FootnoteReference"/>
          <w:noProof/>
        </w:rPr>
        <w:footnoteReference w:id="388"/>
      </w:r>
      <w:r>
        <w:rPr>
          <w:noProof/>
        </w:rPr>
        <w:t xml:space="preserve">), EU funded research in the framework of Shift2Rail and sector-driven initiatives (Full Service Model). Whilst the technical issues seem to have been largely overcome, it remains very difficult for passengers to buy cross-border or even through-tickets combining in a journey services of several operators, or even to get an overview of the existing offer. </w:t>
      </w:r>
    </w:p>
    <w:p>
      <w:pPr>
        <w:pStyle w:val="LegalNumPar"/>
        <w:numPr>
          <w:ilvl w:val="0"/>
          <w:numId w:val="89"/>
        </w:numPr>
        <w:tabs>
          <w:tab w:val="left" w:pos="476"/>
        </w:tabs>
        <w:spacing w:line="240" w:lineRule="auto"/>
        <w:rPr>
          <w:noProof/>
        </w:rPr>
      </w:pPr>
      <w:r>
        <w:rPr>
          <w:noProof/>
        </w:rPr>
        <w:t xml:space="preserve">In fact, rail ticketing is currently largely in the hands of the incumbent railway undertakings, who sell mainly through their websites and at times stifle competition by refusing to sell tickets of other operators. This situation is all the more problematic since incumbents’ financing still largely depends on public support in the form of public service compensation. Such financing usually supports the incumbent’s rail ticketing platforms, with no conditionality to make those platforms accessible to competitors. At the same time, they sometimes withhold their best offers and real time traffic information from third party vendors, thus hindering the emergence of a strong independent ticketing market. </w:t>
      </w:r>
    </w:p>
    <w:p>
      <w:pPr>
        <w:pStyle w:val="LegalNumPar"/>
        <w:numPr>
          <w:ilvl w:val="0"/>
          <w:numId w:val="89"/>
        </w:numPr>
        <w:tabs>
          <w:tab w:val="left" w:pos="476"/>
        </w:tabs>
        <w:spacing w:line="240" w:lineRule="auto"/>
        <w:rPr>
          <w:noProof/>
        </w:rPr>
      </w:pPr>
      <w:r>
        <w:rPr>
          <w:noProof/>
        </w:rPr>
        <w:t>The barriers to ticket distribution do not only hamper smooth multimodal experiences for passengers but also constitute market access barriers for new companies that would like to provide rail services, thus limiting the potential benefits of market opening. A number of national regulators have become active on the issue</w:t>
      </w:r>
      <w:r>
        <w:rPr>
          <w:rStyle w:val="FootnoteReference"/>
          <w:noProof/>
        </w:rPr>
        <w:footnoteReference w:id="389"/>
      </w:r>
      <w:r>
        <w:rPr>
          <w:noProof/>
        </w:rPr>
        <w:t>, but a European solution is still missing to ensure seamless travel and fair competition throughout the single European railway area. Under Article 13a(2) of the Rail Governance Directive, the Commission shall present a report to the European Parliament and the Council by 31 December 2022 on rail ticketing platforms, accompanied, if appropriate, by legislative proposals.</w:t>
      </w:r>
    </w:p>
    <w:p>
      <w:pPr>
        <w:pStyle w:val="LegalNumPar"/>
        <w:numPr>
          <w:ilvl w:val="0"/>
          <w:numId w:val="89"/>
        </w:numPr>
        <w:tabs>
          <w:tab w:val="left" w:pos="476"/>
        </w:tabs>
        <w:spacing w:line="240" w:lineRule="auto"/>
        <w:rPr>
          <w:noProof/>
        </w:rPr>
      </w:pPr>
      <w:r>
        <w:rPr>
          <w:noProof/>
        </w:rPr>
        <w:t>For mobility platforms, which would like to offer multimodal services (provide real time information, and/or sell/issue tickets, offer new services), access and re-use of data needed to develop their services</w:t>
      </w:r>
      <w:r>
        <w:rPr>
          <w:b/>
          <w:bCs/>
          <w:noProof/>
        </w:rPr>
        <w:t xml:space="preserve"> </w:t>
      </w:r>
      <w:r>
        <w:rPr>
          <w:noProof/>
        </w:rPr>
        <w:t xml:space="preserve">is often hampered, including due to interoperability challenges at EU level (data formats, protocols for data exchanges etc.). </w:t>
      </w:r>
    </w:p>
    <w:p>
      <w:pPr>
        <w:pStyle w:val="LegalNumPar"/>
        <w:numPr>
          <w:ilvl w:val="0"/>
          <w:numId w:val="89"/>
        </w:numPr>
        <w:tabs>
          <w:tab w:val="left" w:pos="476"/>
        </w:tabs>
        <w:spacing w:line="240" w:lineRule="auto"/>
        <w:rPr>
          <w:noProof/>
        </w:rPr>
      </w:pPr>
      <w:r>
        <w:rPr>
          <w:noProof/>
        </w:rPr>
        <w:t>Another issue concerns the promotion of intermodal solutions combining aviation and rail journeys through Computer Reservation Systems (CRSs). CRSs are computerised reservation networks used by travel agents (online and offline), online reservation sites and large corporations as a single point of access for booking airlines tickets, rail tickets, but also other items such as hotel rooms, rental cars, and other travel related items. CRSs are also used by some metasearch sites in order to obtain information about the services of airlines that participate in CRSs.</w:t>
      </w:r>
    </w:p>
    <w:p>
      <w:pPr>
        <w:pStyle w:val="LegalNumPar"/>
        <w:numPr>
          <w:ilvl w:val="0"/>
          <w:numId w:val="89"/>
        </w:numPr>
        <w:tabs>
          <w:tab w:val="left" w:pos="476"/>
        </w:tabs>
        <w:spacing w:line="240" w:lineRule="auto"/>
        <w:rPr>
          <w:noProof/>
        </w:rPr>
      </w:pPr>
      <w:r>
        <w:rPr>
          <w:noProof/>
        </w:rPr>
        <w:t>When adopted in 2009, replacing the Regulation previously governing this matter</w:t>
      </w:r>
      <w:r>
        <w:rPr>
          <w:rStyle w:val="FootnoteReference"/>
          <w:noProof/>
        </w:rPr>
        <w:footnoteReference w:id="390"/>
      </w:r>
      <w:r>
        <w:rPr>
          <w:noProof/>
        </w:rPr>
        <w:t>, the Regulation for the Computer Reservation Systems</w:t>
      </w:r>
      <w:r>
        <w:rPr>
          <w:rStyle w:val="FootnoteReference"/>
          <w:noProof/>
        </w:rPr>
        <w:footnoteReference w:id="391"/>
      </w:r>
      <w:r>
        <w:rPr>
          <w:noProof/>
        </w:rPr>
        <w:t xml:space="preserve"> Code of Conduct took steps to promote rail transport and inter-modal transport. This included allowing rail operators and CRSs to freely negotiate booking fees and contractual terms for ticket distribution. Rail ticket information is also subject to the neutral display requirement which applies generally to air ticket information, whenever rail and air tickets are displayed together in the primary display. The evaluation</w:t>
      </w:r>
      <w:r>
        <w:rPr>
          <w:rStyle w:val="FootnoteReference"/>
          <w:noProof/>
        </w:rPr>
        <w:footnoteReference w:id="392"/>
      </w:r>
      <w:r>
        <w:rPr>
          <w:noProof/>
        </w:rPr>
        <w:t xml:space="preserve"> found that there is insufficient evidence to confirm that the Regulation on the CRS Code of Conduct remains an appropriate instrument to promote rail transport and inter-modal transport.</w:t>
      </w:r>
    </w:p>
    <w:p>
      <w:pPr>
        <w:pStyle w:val="LegalNumPar"/>
        <w:numPr>
          <w:ilvl w:val="0"/>
          <w:numId w:val="89"/>
        </w:numPr>
        <w:tabs>
          <w:tab w:val="left" w:pos="476"/>
        </w:tabs>
        <w:spacing w:line="240" w:lineRule="auto"/>
        <w:rPr>
          <w:noProof/>
        </w:rPr>
      </w:pPr>
      <w:r>
        <w:rPr>
          <w:noProof/>
        </w:rPr>
        <w:t xml:space="preserve">The potential of digitalisation is not used to its fullest for drivers either. Nowadays, around 60% of the population of the European Union holds a valid driving licence, representing some 270 million citizens. Many European drivers make cross-border trips within the Union for private or professional purposes or change their country of residence. </w:t>
      </w:r>
    </w:p>
    <w:p>
      <w:pPr>
        <w:pStyle w:val="LegalNumPar"/>
        <w:numPr>
          <w:ilvl w:val="0"/>
          <w:numId w:val="89"/>
        </w:numPr>
        <w:tabs>
          <w:tab w:val="left" w:pos="476"/>
        </w:tabs>
        <w:spacing w:line="240" w:lineRule="auto"/>
        <w:rPr>
          <w:noProof/>
        </w:rPr>
      </w:pPr>
      <w:r>
        <w:rPr>
          <w:noProof/>
        </w:rPr>
        <w:t>Digital driving licences</w:t>
      </w:r>
      <w:r>
        <w:rPr>
          <w:b/>
          <w:bCs/>
          <w:noProof/>
        </w:rPr>
        <w:t xml:space="preserve"> </w:t>
      </w:r>
      <w:r>
        <w:rPr>
          <w:noProof/>
        </w:rPr>
        <w:t>would be convenient for drivers, reduce the risk of fraud and facilitate enforcement.</w:t>
      </w:r>
      <w:r>
        <w:rPr>
          <w:rStyle w:val="FootnoteReference"/>
          <w:noProof/>
        </w:rPr>
        <w:footnoteReference w:id="393"/>
      </w:r>
      <w:r>
        <w:rPr>
          <w:noProof/>
        </w:rPr>
        <w:t xml:space="preserve"> Unless interoperability is ensured, these developments are likely to lead to a patchwork of different national rules that could hamper the full exploitation of the potential of digitalisation in this area. </w:t>
      </w:r>
    </w:p>
    <w:p>
      <w:pPr>
        <w:pStyle w:val="LegalNumPar"/>
        <w:numPr>
          <w:ilvl w:val="0"/>
          <w:numId w:val="89"/>
        </w:numPr>
        <w:tabs>
          <w:tab w:val="left" w:pos="476"/>
        </w:tabs>
        <w:spacing w:line="240" w:lineRule="auto"/>
        <w:rPr>
          <w:noProof/>
        </w:rPr>
      </w:pPr>
      <w:r>
        <w:rPr>
          <w:noProof/>
        </w:rPr>
        <w:t xml:space="preserve">The lack of Union rules providing for digital driving licences is also disadvantageous for cross-border enforcement of traffic offences. The possibility of real-time checking of licences and preventing driving licence tourism is currently limited. Furthermore, there is no mutual recognition of driving disqualifications and penalty points, given that Member States have different systems of adding or subtracting points for different degrees of traffic offences, which can eventually lead to the withdrawal of the licence. </w:t>
      </w:r>
    </w:p>
    <w:p>
      <w:pPr>
        <w:pStyle w:val="LegalNumPar"/>
        <w:numPr>
          <w:ilvl w:val="0"/>
          <w:numId w:val="89"/>
        </w:numPr>
        <w:tabs>
          <w:tab w:val="left" w:pos="476"/>
        </w:tabs>
        <w:spacing w:line="240" w:lineRule="auto"/>
        <w:rPr>
          <w:noProof/>
          <w:lang w:eastAsia="en-US"/>
        </w:rPr>
      </w:pPr>
      <w:r>
        <w:rPr>
          <w:noProof/>
          <w:lang w:eastAsia="en-US"/>
        </w:rPr>
        <w:t xml:space="preserve">At the moment it is also cumbersome for the drivers to demonstrate compliance with urban vehicle access regulation (UVAR) criteria when travelling across Member States. The current identification/declaration of vehicle characteristics is done by registering manually in a city system, by buying a sticker, and/or using number plate recognition. The process is often lengthy and cumbersome. Despite the potential of fast digitalisation of the automotive sector, an EU-wide digital sticker or other form of digital vehicle identity such as ENPR, communicating digitally the vehicle characteristics to the relevant authority is far from being a reality.    </w:t>
      </w:r>
    </w:p>
    <w:p>
      <w:pPr>
        <w:pStyle w:val="LegalNumPar"/>
        <w:numPr>
          <w:ilvl w:val="0"/>
          <w:numId w:val="89"/>
        </w:numPr>
        <w:tabs>
          <w:tab w:val="left" w:pos="476"/>
        </w:tabs>
        <w:spacing w:line="240" w:lineRule="auto"/>
        <w:rPr>
          <w:rFonts w:cstheme="minorBidi"/>
          <w:noProof/>
          <w:sz w:val="22"/>
          <w:szCs w:val="22"/>
        </w:rPr>
      </w:pPr>
      <w:r>
        <w:rPr>
          <w:noProof/>
        </w:rPr>
        <w:t>In fact, seamless identification for all mobility-related services across modes, which could facilitate and encourage multimodal choices of European travellers, is not available either. At the moment, despite a ubiquitous use of smartphones and digital solutions, there is no EU tool recognised in all Member States that would enable Europeans to use one mobility account, with all necessary personal information, preferences, banking account details, driving licence or other potential documents such as the licence plate of their car (or even its characteristics (EURO norm)), to avoid the burden to register each time they want to get access to parkings, to city centres, to get access to and use mobility services, or to store (or even replace) all tickets/proofs of purchase (e.g. urban public transport, train, plane, taxi/PHV, shared mobility solutions, etc.).</w:t>
      </w:r>
    </w:p>
    <w:p>
      <w:pPr>
        <w:pStyle w:val="LegalNumPar"/>
        <w:numPr>
          <w:ilvl w:val="0"/>
          <w:numId w:val="89"/>
        </w:numPr>
        <w:tabs>
          <w:tab w:val="left" w:pos="476"/>
        </w:tabs>
        <w:spacing w:line="240" w:lineRule="auto"/>
        <w:rPr>
          <w:noProof/>
        </w:rPr>
      </w:pPr>
      <w:r>
        <w:rPr>
          <w:noProof/>
        </w:rPr>
        <w:t>The advantages of digital solutions are also supported by the general public. In the recent Eurobarometer survey on mobility and transport</w:t>
      </w:r>
      <w:r>
        <w:rPr>
          <w:noProof/>
          <w:vertAlign w:val="superscript"/>
        </w:rPr>
        <w:footnoteReference w:id="394"/>
      </w:r>
      <w:r>
        <w:rPr>
          <w:noProof/>
        </w:rPr>
        <w:t xml:space="preserve">, citizens identified the most useful digital solutions for their future personal mobility. A single ticketing tool for all urban journeys in any European city came top of the list (19%), with the digital driving licences valid anywhere in Europe second (10%). Citizens are also interested in solutions allowing them to pay tolls, parking and other charges in real time and directly from a smartphone or other device as well as in simple procedures to access areas subject to UVARs in different European cities. These solutions need to be accessible for persons with disabilities and reduced mobility as well. </w:t>
      </w:r>
    </w:p>
    <w:p>
      <w:pPr>
        <w:pStyle w:val="Heading4"/>
        <w:numPr>
          <w:ilvl w:val="3"/>
          <w:numId w:val="98"/>
        </w:numPr>
        <w:rPr>
          <w:noProof/>
        </w:rPr>
      </w:pPr>
      <w:bookmarkStart w:id="3370" w:name="_Toc51450120"/>
      <w:bookmarkStart w:id="3371" w:name="_Toc51574819"/>
      <w:bookmarkStart w:id="3372" w:name="_Toc51575667"/>
      <w:bookmarkStart w:id="3373" w:name="_Toc51578065"/>
      <w:bookmarkStart w:id="3374" w:name="_Toc51582938"/>
      <w:bookmarkStart w:id="3375" w:name="_Toc51583413"/>
      <w:bookmarkStart w:id="3376" w:name="_Toc51583503"/>
      <w:bookmarkStart w:id="3377" w:name="_Toc51583788"/>
      <w:bookmarkStart w:id="3378" w:name="_Toc51583978"/>
      <w:bookmarkStart w:id="3379" w:name="_Toc51583902"/>
      <w:bookmarkStart w:id="3380" w:name="_Toc51586220"/>
      <w:bookmarkStart w:id="3381" w:name="_Toc51594023"/>
      <w:bookmarkStart w:id="3382" w:name="_Toc51594349"/>
      <w:bookmarkStart w:id="3383" w:name="_Toc51595327"/>
      <w:bookmarkStart w:id="3384" w:name="_Toc51595577"/>
      <w:bookmarkStart w:id="3385" w:name="_Toc51595903"/>
      <w:bookmarkStart w:id="3386" w:name="_Toc51596066"/>
      <w:bookmarkStart w:id="3387" w:name="_Toc51596419"/>
      <w:bookmarkStart w:id="3388" w:name="_Toc52121553"/>
      <w:bookmarkStart w:id="3389" w:name="_Toc52122784"/>
      <w:bookmarkStart w:id="3390" w:name="_Toc52123901"/>
      <w:bookmarkStart w:id="3391" w:name="_Toc53405360"/>
      <w:bookmarkStart w:id="3392" w:name="_Toc53406148"/>
      <w:bookmarkStart w:id="3393" w:name="_Toc53407516"/>
      <w:bookmarkStart w:id="3394" w:name="_Toc53410961"/>
      <w:bookmarkStart w:id="3395" w:name="_Toc53412024"/>
      <w:bookmarkStart w:id="3396" w:name="_Toc53417271"/>
      <w:bookmarkStart w:id="3397" w:name="_Toc53417623"/>
      <w:bookmarkStart w:id="3398" w:name="_Toc53419858"/>
      <w:bookmarkStart w:id="3399" w:name="_Toc53434961"/>
      <w:bookmarkStart w:id="3400" w:name="_Toc53437100"/>
      <w:bookmarkStart w:id="3401" w:name="_Toc57291506"/>
      <w:r>
        <w:rPr>
          <w:noProof/>
        </w:rPr>
        <w:t>Multimodal &amp; collaborative economy challenges in urban context</w:t>
      </w:r>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p>
    <w:p>
      <w:pPr>
        <w:pStyle w:val="LegalNumPar"/>
        <w:numPr>
          <w:ilvl w:val="0"/>
          <w:numId w:val="89"/>
        </w:numPr>
        <w:tabs>
          <w:tab w:val="left" w:pos="476"/>
        </w:tabs>
        <w:spacing w:line="240" w:lineRule="auto"/>
        <w:rPr>
          <w:noProof/>
        </w:rPr>
      </w:pPr>
      <w:r>
        <w:rPr>
          <w:noProof/>
        </w:rPr>
        <w:t xml:space="preserve">Seamless and smart multimodality facilitated by digitalisation is also key in urban and sub-urban areas. Urban transport plays a key role for developing a European transport system that offers seamless door-to-door mobility, for long distance and cross-border transport as well as for regional and local mobility. </w:t>
      </w:r>
    </w:p>
    <w:p>
      <w:pPr>
        <w:pStyle w:val="LegalNumPar"/>
        <w:numPr>
          <w:ilvl w:val="0"/>
          <w:numId w:val="89"/>
        </w:numPr>
        <w:tabs>
          <w:tab w:val="left" w:pos="476"/>
        </w:tabs>
        <w:spacing w:line="240" w:lineRule="auto"/>
        <w:rPr>
          <w:noProof/>
        </w:rPr>
      </w:pPr>
      <w:r>
        <w:rPr>
          <w:noProof/>
        </w:rPr>
        <w:t>The majority of long distance freight and passenger journeys start or finish in urban areas. The corridors of the trans-European network pass through many urban areas with related challenges for urban roads. Cities increasingly face problems caused by mobility and transport: congestion, road crashes, air and noise pollution. Transport CO</w:t>
      </w:r>
      <w:r>
        <w:rPr>
          <w:noProof/>
          <w:vertAlign w:val="subscript"/>
        </w:rPr>
        <w:t>2</w:t>
      </w:r>
      <w:r>
        <w:rPr>
          <w:noProof/>
        </w:rPr>
        <w:t xml:space="preserve"> emissions are rising, with urban transport representing close to ¼ of them</w:t>
      </w:r>
      <w:r>
        <w:rPr>
          <w:rStyle w:val="FootnoteReference"/>
          <w:noProof/>
        </w:rPr>
        <w:footnoteReference w:id="395"/>
      </w:r>
      <w:r>
        <w:rPr>
          <w:noProof/>
        </w:rPr>
        <w:t xml:space="preserve">. The question of how to improve mobility while tackling these problems is a common challenge to all major cities in Europe. </w:t>
      </w:r>
    </w:p>
    <w:p>
      <w:pPr>
        <w:pStyle w:val="LegalNumPar"/>
        <w:numPr>
          <w:ilvl w:val="0"/>
          <w:numId w:val="89"/>
        </w:numPr>
        <w:tabs>
          <w:tab w:val="left" w:pos="476"/>
        </w:tabs>
        <w:spacing w:line="240" w:lineRule="auto"/>
        <w:rPr>
          <w:noProof/>
        </w:rPr>
      </w:pPr>
      <w:r>
        <w:rPr>
          <w:noProof/>
        </w:rPr>
        <w:t>At the same time, access to information and to an increased variety of transport services enabled by ICT technologies put individual travellers much more in control of how they want to travel. More and more often they expect to have a choice, adapted to their demand rather than have their travel routine dictated by transport operators.</w:t>
      </w:r>
    </w:p>
    <w:p>
      <w:pPr>
        <w:pStyle w:val="LegalNumPar"/>
        <w:numPr>
          <w:ilvl w:val="0"/>
          <w:numId w:val="89"/>
        </w:numPr>
        <w:tabs>
          <w:tab w:val="left" w:pos="476"/>
        </w:tabs>
        <w:spacing w:line="240" w:lineRule="auto"/>
        <w:rPr>
          <w:noProof/>
        </w:rPr>
      </w:pPr>
      <w:r>
        <w:rPr>
          <w:noProof/>
        </w:rPr>
        <w:t xml:space="preserve">This growing pressure on urban passenger transport systems has increased the demand for new and innovative solutions with various forms of transport services being integrated into a single mobility service accessible on demand, including also </w:t>
      </w:r>
      <w:r>
        <w:rPr>
          <w:b/>
          <w:bCs/>
          <w:noProof/>
        </w:rPr>
        <w:t>shared and collaborative mobility services</w:t>
      </w:r>
      <w:r>
        <w:rPr>
          <w:noProof/>
        </w:rPr>
        <w:t xml:space="preserve"> (car-, bike-sharing, ride-hailing, e-scooters etc.). </w:t>
      </w:r>
    </w:p>
    <w:p>
      <w:pPr>
        <w:pStyle w:val="LegalNumPar"/>
        <w:numPr>
          <w:ilvl w:val="0"/>
          <w:numId w:val="89"/>
        </w:numPr>
        <w:tabs>
          <w:tab w:val="left" w:pos="476"/>
        </w:tabs>
        <w:spacing w:line="240" w:lineRule="auto"/>
        <w:rPr>
          <w:noProof/>
        </w:rPr>
      </w:pPr>
      <w:r>
        <w:rPr>
          <w:noProof/>
        </w:rPr>
        <w:t xml:space="preserve">Building on these new modes and the developments in information and communication technologies, the “Mobility as a Service” (MaaS) concept, which assumes that various forms of transport services – both traditional and innovative ones - are integrated into a service accessible on demand, has recently come to light. In practice, a successful MaaS involves many actors (local, regional and national operators, public, private, etc.) putting forward and reassigning available resources to make multimodal travel easier, more efficient and accessible. </w:t>
      </w:r>
    </w:p>
    <w:p>
      <w:pPr>
        <w:pStyle w:val="LegalNumPar"/>
        <w:numPr>
          <w:ilvl w:val="0"/>
          <w:numId w:val="89"/>
        </w:numPr>
        <w:tabs>
          <w:tab w:val="left" w:pos="476"/>
        </w:tabs>
        <w:spacing w:line="240" w:lineRule="auto"/>
        <w:rPr>
          <w:noProof/>
        </w:rPr>
      </w:pPr>
      <w:r>
        <w:rPr>
          <w:noProof/>
        </w:rPr>
        <w:t xml:space="preserve">While MaaS holds the promise of making urban mobility smarter, more-user friendly and sustainable, in some cities the close competition between different stakeholders makes them unwilling to share information, expose their business models and collaborate with their competitors, in turn making it difficult to come up with a true Mobility as a Service scheme. There are also challenges related to data, which is key to blend services together. The availability and accessibility to relevant data sets in digital, machine readable format and interoperability of different systems (booking, payment, ticketing, authentication, etc.) is still not optimal.    </w:t>
      </w:r>
    </w:p>
    <w:p>
      <w:pPr>
        <w:pStyle w:val="LegalNumPar"/>
        <w:numPr>
          <w:ilvl w:val="0"/>
          <w:numId w:val="89"/>
        </w:numPr>
        <w:tabs>
          <w:tab w:val="left" w:pos="476"/>
        </w:tabs>
        <w:spacing w:line="240" w:lineRule="auto"/>
        <w:rPr>
          <w:noProof/>
        </w:rPr>
      </w:pPr>
      <w:r>
        <w:rPr>
          <w:noProof/>
        </w:rPr>
        <w:t xml:space="preserve">Simultaneously, an increasing number of cities have witnessed a steady shift towards shared and collaborative mobility services enabled by the emergence of intermediary platforms. Those platforms enable the sale of mobility services, acting as intermediary between customers and mobility service providers, and in some cases, create new mobility services themselves e.g. e-scooters, bike-sharing, car-sharing and ride-hailing. </w:t>
      </w:r>
    </w:p>
    <w:p>
      <w:pPr>
        <w:pStyle w:val="LegalNumPar"/>
        <w:numPr>
          <w:ilvl w:val="0"/>
          <w:numId w:val="89"/>
        </w:numPr>
        <w:tabs>
          <w:tab w:val="left" w:pos="476"/>
        </w:tabs>
        <w:spacing w:line="240" w:lineRule="auto"/>
        <w:rPr>
          <w:noProof/>
        </w:rPr>
      </w:pPr>
      <w:r>
        <w:rPr>
          <w:noProof/>
        </w:rPr>
        <w:t>The development of new mobility services may present many opportunities. However, it does not mean that the current mobility offer automatically becomes more efficient or it replaces the old one. Regardless of new mobility service availability, public transport remains the backbone of mobility in urban and sub-urban areas. Multiple US and European research highlights</w:t>
      </w:r>
      <w:r>
        <w:rPr>
          <w:rStyle w:val="FootnoteReference"/>
          <w:noProof/>
        </w:rPr>
        <w:footnoteReference w:id="396"/>
      </w:r>
      <w:r>
        <w:rPr>
          <w:noProof/>
        </w:rPr>
        <w:t xml:space="preserve"> that new mobility services need to complement rather than replace public transport. They show that measures such as ensuring the proper infrastructure can help integrate these services between themselves and with local public transport. However, integration is already lagging behind in some European cities for more traditional services. </w:t>
      </w:r>
    </w:p>
    <w:p>
      <w:pPr>
        <w:pStyle w:val="LegalNumPar"/>
        <w:numPr>
          <w:ilvl w:val="0"/>
          <w:numId w:val="89"/>
        </w:numPr>
        <w:tabs>
          <w:tab w:val="left" w:pos="476"/>
        </w:tabs>
        <w:spacing w:line="240" w:lineRule="auto"/>
        <w:rPr>
          <w:noProof/>
        </w:rPr>
      </w:pPr>
      <w:r>
        <w:rPr>
          <w:noProof/>
        </w:rPr>
        <w:t xml:space="preserve">As far as ride-hailing is concerned, in most Member States, both taxis and private hire vehicles with driver (PHV) exist next to each other. </w:t>
      </w:r>
      <w:r>
        <w:rPr>
          <w:noProof/>
          <w:color w:val="000000" w:themeColor="text1"/>
        </w:rPr>
        <w:t xml:space="preserve">Taxis and PHVs have traditionally coexisted and served distinct markets. However, on-line platforms have radically changed – or even disrupted - this situation, blurring these traditional boundaries, creating a flourishing new sector and bringing taxis and PHVs in increasing competition. Local on-demand passenger transport has shifted from being organised locally, often based on low-tech dispatch centres, to co-existing with pan-European or global companies using sophisticated technologies and algorithms. </w:t>
      </w:r>
    </w:p>
    <w:p>
      <w:pPr>
        <w:pStyle w:val="LegalNumPar"/>
        <w:numPr>
          <w:ilvl w:val="0"/>
          <w:numId w:val="89"/>
        </w:numPr>
        <w:tabs>
          <w:tab w:val="left" w:pos="476"/>
        </w:tabs>
        <w:spacing w:line="240" w:lineRule="auto"/>
        <w:rPr>
          <w:noProof/>
        </w:rPr>
      </w:pPr>
      <w:r>
        <w:rPr>
          <w:noProof/>
        </w:rPr>
        <w:t xml:space="preserve"> This development has generally increased the quality and efficiency of the ways in which taxi and PHV services are provided. The possibility to order PHVs and taxis on-line, thanks to apps using geo-localisation services, has been welcomed by users and triggered an increase in demand. According to the recent Eurobarometer, users perceive traditional taxi services and private hire vehicles as similar type of service, appreciating the availability and ease of booking as positive aspects of both.</w:t>
      </w:r>
      <w:r>
        <w:rPr>
          <w:rStyle w:val="FootnoteReference"/>
          <w:noProof/>
        </w:rPr>
        <w:footnoteReference w:id="397"/>
      </w:r>
      <w:r>
        <w:rPr>
          <w:noProof/>
        </w:rPr>
        <w:t xml:space="preserve"> </w:t>
      </w:r>
    </w:p>
    <w:p>
      <w:pPr>
        <w:pStyle w:val="LegalNumPar"/>
        <w:numPr>
          <w:ilvl w:val="0"/>
          <w:numId w:val="89"/>
        </w:numPr>
        <w:tabs>
          <w:tab w:val="left" w:pos="476"/>
        </w:tabs>
        <w:spacing w:line="240" w:lineRule="auto"/>
        <w:rPr>
          <w:noProof/>
        </w:rPr>
      </w:pPr>
      <w:r>
        <w:rPr>
          <w:noProof/>
          <w:color w:val="000000" w:themeColor="text1"/>
        </w:rPr>
        <w:t>However, this has not been without tensions and led to different national legislative responses</w:t>
      </w:r>
      <w:r>
        <w:rPr>
          <w:noProof/>
        </w:rPr>
        <w:t xml:space="preserve">. </w:t>
      </w:r>
      <w:r>
        <w:rPr>
          <w:noProof/>
          <w:color w:val="000000" w:themeColor="text1"/>
        </w:rPr>
        <w:t xml:space="preserve">Ensuring a level playing field between these two types of actors is just one of the challenges. Addressing </w:t>
      </w:r>
      <w:r>
        <w:rPr>
          <w:noProof/>
        </w:rPr>
        <w:t>legal uncertainty is another one - ride-hailing platforms, which are essential for PHV services, are objecting to the fact that the legal environment is constantly changing and differing between EU Member States. Compliance with as many regulatory regimes as the cities they want to serve is a barrier to develop a single market for these players.</w:t>
      </w:r>
    </w:p>
    <w:p>
      <w:pPr>
        <w:pStyle w:val="LegalNumPar"/>
        <w:numPr>
          <w:ilvl w:val="0"/>
          <w:numId w:val="89"/>
        </w:numPr>
        <w:tabs>
          <w:tab w:val="left" w:pos="476"/>
        </w:tabs>
        <w:spacing w:line="240" w:lineRule="auto"/>
        <w:rPr>
          <w:noProof/>
        </w:rPr>
      </w:pPr>
      <w:r>
        <w:rPr>
          <w:noProof/>
        </w:rPr>
        <w:t>While the new services have the potential to improve the overall mobility system by offering alternatives, e.g. by helping people choose new modes of travelling and reducing ownership of private cars, which are responsible for the lion’s shares of emissions from the transport sector. However, this is yet to be proven at a large scale. There are legitimate concerns about the real environmental impact, including whether they would indeed decrease car ownership and traffic, unless the vehicles used are sustainable ones.</w:t>
      </w:r>
      <w:r>
        <w:rPr>
          <w:rStyle w:val="FootnoteReference"/>
          <w:noProof/>
        </w:rPr>
        <w:footnoteReference w:id="398"/>
      </w:r>
      <w:r>
        <w:rPr>
          <w:noProof/>
        </w:rPr>
        <w:t xml:space="preserve"> </w:t>
      </w:r>
      <w:r>
        <w:rPr>
          <w:noProof/>
          <w:lang w:val="en-IE"/>
        </w:rPr>
        <w:t xml:space="preserve">In this context, it seems worth exploring how the use of cleaner vehicles can contribute to mitigating the environmental impact and how a shift to low and zero-emission vehicles for taxi and PHV services could be encouraged/achieved. </w:t>
      </w:r>
    </w:p>
    <w:p>
      <w:pPr>
        <w:pStyle w:val="LegalNumPar"/>
        <w:numPr>
          <w:ilvl w:val="0"/>
          <w:numId w:val="89"/>
        </w:numPr>
        <w:tabs>
          <w:tab w:val="left" w:pos="476"/>
        </w:tabs>
        <w:spacing w:line="240" w:lineRule="auto"/>
        <w:rPr>
          <w:noProof/>
        </w:rPr>
      </w:pPr>
      <w:r>
        <w:rPr>
          <w:noProof/>
        </w:rPr>
        <w:t xml:space="preserve"> Part of the possible negative impact is also the result of constraining and obsolete rules - taxis are often limited to picking up passengers in dedicated geographical areas resulting in empty return driving when taxies, after a trip out of these areas, are forced to return to these areas for picking up passengers. PHVs are often obliged to return to the ‘garage’ after each trip, also resulting in much empty driving. This is due to rules that pre-date the arrival of on-line platforms and therefore ignore the efficiency gains they can bring, thus causing unnecessary emissions. </w:t>
      </w:r>
    </w:p>
    <w:p>
      <w:pPr>
        <w:pStyle w:val="LegalNumPar"/>
        <w:numPr>
          <w:ilvl w:val="0"/>
          <w:numId w:val="89"/>
        </w:numPr>
        <w:tabs>
          <w:tab w:val="left" w:pos="476"/>
        </w:tabs>
        <w:spacing w:line="240" w:lineRule="auto"/>
        <w:rPr>
          <w:noProof/>
        </w:rPr>
      </w:pPr>
      <w:r>
        <w:rPr>
          <w:noProof/>
        </w:rPr>
        <w:t xml:space="preserve">Concerns are often raised about the working conditions of drivers and the employment status of platform workers. Certain drivers working for platforms are self-employed, not well protected under labour law. Moreover, the fact that there are generally no common requirements on professional competences nor harmonised rules on driving and rest times, could be a risk in terms of the security of users and road safety. </w:t>
      </w:r>
    </w:p>
    <w:p>
      <w:pPr>
        <w:pStyle w:val="LegalNumPar"/>
        <w:numPr>
          <w:ilvl w:val="0"/>
          <w:numId w:val="89"/>
        </w:numPr>
        <w:tabs>
          <w:tab w:val="left" w:pos="476"/>
        </w:tabs>
        <w:spacing w:line="240" w:lineRule="auto"/>
        <w:rPr>
          <w:noProof/>
        </w:rPr>
      </w:pPr>
      <w:r>
        <w:rPr>
          <w:noProof/>
        </w:rPr>
        <w:t xml:space="preserve">Last but not least, these new services also raise a number of other issues from the use of public space, road safety, maintenance, liability, insurance as well as overall integration of different mobility services into coherent urban mobility. </w:t>
      </w:r>
    </w:p>
    <w:p>
      <w:pPr>
        <w:pStyle w:val="LegalNumPar"/>
        <w:numPr>
          <w:ilvl w:val="0"/>
          <w:numId w:val="89"/>
        </w:numPr>
        <w:tabs>
          <w:tab w:val="left" w:pos="476"/>
        </w:tabs>
        <w:spacing w:line="240" w:lineRule="auto"/>
        <w:rPr>
          <w:noProof/>
        </w:rPr>
      </w:pPr>
      <w:r>
        <w:rPr>
          <w:noProof/>
        </w:rPr>
        <w:t>While new mobility services become a day to day reality, there is currently no specific EU legislation for the services or intermediary platforms related to taxis, road e-scooters or bikes. National governments and cities struggle with applying existing laws or, in some cases, create new rules, which sometimes restrict the emergence of these new services. Businesses, on the other hand, miss legal clarity allowing to take informed decisions about possible investments.</w:t>
      </w:r>
      <w:r>
        <w:rPr>
          <w:rStyle w:val="FootnoteReference"/>
          <w:noProof/>
        </w:rPr>
        <w:footnoteReference w:id="399"/>
      </w:r>
      <w:r>
        <w:rPr>
          <w:noProof/>
        </w:rPr>
        <w:t xml:space="preserve"> The recently updated Sustainable Urban Mobility Planning guidelines</w:t>
      </w:r>
      <w:r>
        <w:rPr>
          <w:rStyle w:val="FootnoteReference"/>
          <w:noProof/>
        </w:rPr>
        <w:footnoteReference w:id="400"/>
      </w:r>
      <w:r>
        <w:rPr>
          <w:noProof/>
        </w:rPr>
        <w:t xml:space="preserve"> take these new developments into consideration but do not constitute a binding legal framework. </w:t>
      </w:r>
    </w:p>
    <w:p>
      <w:pPr>
        <w:pStyle w:val="Heading3"/>
        <w:numPr>
          <w:ilvl w:val="2"/>
          <w:numId w:val="98"/>
        </w:numPr>
        <w:rPr>
          <w:noProof/>
        </w:rPr>
      </w:pPr>
      <w:bookmarkStart w:id="3402" w:name="_Toc57291507"/>
      <w:bookmarkStart w:id="3403" w:name="_Toc51450121"/>
      <w:bookmarkStart w:id="3404" w:name="_Toc51574820"/>
      <w:bookmarkStart w:id="3405" w:name="_Toc51575668"/>
      <w:bookmarkStart w:id="3406" w:name="_Toc51578066"/>
      <w:bookmarkStart w:id="3407" w:name="_Toc51582939"/>
      <w:bookmarkStart w:id="3408" w:name="_Toc51583414"/>
      <w:bookmarkStart w:id="3409" w:name="_Toc51583504"/>
      <w:bookmarkStart w:id="3410" w:name="_Toc51583789"/>
      <w:bookmarkStart w:id="3411" w:name="_Toc51583979"/>
      <w:bookmarkStart w:id="3412" w:name="_Toc51583903"/>
      <w:bookmarkStart w:id="3413" w:name="_Toc51586221"/>
      <w:bookmarkStart w:id="3414" w:name="_Toc51594024"/>
      <w:bookmarkStart w:id="3415" w:name="_Toc51594350"/>
      <w:bookmarkStart w:id="3416" w:name="_Toc51595328"/>
      <w:bookmarkStart w:id="3417" w:name="_Toc51595578"/>
      <w:bookmarkStart w:id="3418" w:name="_Toc51595904"/>
      <w:bookmarkStart w:id="3419" w:name="_Toc51596067"/>
      <w:bookmarkStart w:id="3420" w:name="_Toc51596420"/>
      <w:bookmarkStart w:id="3421" w:name="_Toc52121554"/>
      <w:bookmarkStart w:id="3422" w:name="_Toc52122785"/>
      <w:bookmarkStart w:id="3423" w:name="_Toc52123902"/>
      <w:bookmarkStart w:id="3424" w:name="_Toc53405361"/>
      <w:bookmarkStart w:id="3425" w:name="_Toc53406149"/>
      <w:bookmarkStart w:id="3426" w:name="_Toc53407517"/>
      <w:bookmarkStart w:id="3427" w:name="_Toc53410962"/>
      <w:bookmarkStart w:id="3428" w:name="_Toc53412025"/>
      <w:bookmarkStart w:id="3429" w:name="_Toc53417272"/>
      <w:bookmarkStart w:id="3430" w:name="_Toc53417624"/>
      <w:bookmarkStart w:id="3431" w:name="_Toc53419859"/>
      <w:bookmarkStart w:id="3432" w:name="_Toc53434962"/>
      <w:bookmarkStart w:id="3433" w:name="_Toc53437101"/>
      <w:r>
        <w:rPr>
          <w:noProof/>
        </w:rPr>
        <w:t>Intelligent Transport Systems and connected, automated mobility</w:t>
      </w:r>
      <w:bookmarkEnd w:id="3402"/>
      <w:r>
        <w:rPr>
          <w:noProof/>
        </w:rPr>
        <w:t xml:space="preserve"> </w:t>
      </w:r>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p>
    <w:p>
      <w:pPr>
        <w:pStyle w:val="Heading4"/>
        <w:numPr>
          <w:ilvl w:val="3"/>
          <w:numId w:val="98"/>
        </w:numPr>
        <w:rPr>
          <w:noProof/>
        </w:rPr>
      </w:pPr>
      <w:bookmarkStart w:id="3434" w:name="_Toc57291508"/>
      <w:bookmarkStart w:id="3435" w:name="_Toc51450122"/>
      <w:bookmarkStart w:id="3436" w:name="_Toc51574821"/>
      <w:bookmarkStart w:id="3437" w:name="_Toc51575669"/>
      <w:bookmarkStart w:id="3438" w:name="_Toc51578067"/>
      <w:bookmarkStart w:id="3439" w:name="_Toc51582940"/>
      <w:bookmarkStart w:id="3440" w:name="_Toc51583415"/>
      <w:bookmarkStart w:id="3441" w:name="_Toc51583505"/>
      <w:bookmarkStart w:id="3442" w:name="_Toc51583790"/>
      <w:bookmarkStart w:id="3443" w:name="_Toc51583980"/>
      <w:bookmarkStart w:id="3444" w:name="_Toc51583904"/>
      <w:bookmarkStart w:id="3445" w:name="_Toc51586222"/>
      <w:bookmarkStart w:id="3446" w:name="_Toc51594025"/>
      <w:bookmarkStart w:id="3447" w:name="_Toc51594351"/>
      <w:bookmarkStart w:id="3448" w:name="_Toc51595329"/>
      <w:bookmarkStart w:id="3449" w:name="_Toc51595579"/>
      <w:bookmarkStart w:id="3450" w:name="_Toc51595905"/>
      <w:bookmarkStart w:id="3451" w:name="_Toc51596068"/>
      <w:bookmarkStart w:id="3452" w:name="_Toc51596421"/>
      <w:bookmarkStart w:id="3453" w:name="_Toc52121555"/>
      <w:bookmarkStart w:id="3454" w:name="_Toc52122786"/>
      <w:bookmarkStart w:id="3455" w:name="_Toc52123903"/>
      <w:bookmarkStart w:id="3456" w:name="_Toc53406150"/>
      <w:bookmarkStart w:id="3457" w:name="_Toc53410963"/>
      <w:bookmarkStart w:id="3458" w:name="_Toc53412026"/>
      <w:bookmarkStart w:id="3459" w:name="_Toc53417273"/>
      <w:bookmarkStart w:id="3460" w:name="_Toc53417625"/>
      <w:bookmarkStart w:id="3461" w:name="_Toc53419860"/>
      <w:bookmarkStart w:id="3462" w:name="_Toc53434963"/>
      <w:bookmarkStart w:id="3463" w:name="_Toc53437102"/>
      <w:r>
        <w:rPr>
          <w:noProof/>
        </w:rPr>
        <w:t>ITS challenges in road transport</w:t>
      </w:r>
      <w:bookmarkEnd w:id="3434"/>
      <w:r>
        <w:rPr>
          <w:noProof/>
        </w:rPr>
        <w:t xml:space="preserve"> </w:t>
      </w:r>
      <w:bookmarkStart w:id="3464" w:name="_Toc53405362"/>
      <w:bookmarkStart w:id="3465" w:name="_Toc53407518"/>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p>
    <w:p>
      <w:pPr>
        <w:pStyle w:val="LegalNumPar"/>
        <w:numPr>
          <w:ilvl w:val="0"/>
          <w:numId w:val="89"/>
        </w:numPr>
        <w:tabs>
          <w:tab w:val="left" w:pos="476"/>
        </w:tabs>
        <w:spacing w:line="240" w:lineRule="auto"/>
        <w:rPr>
          <w:noProof/>
        </w:rPr>
      </w:pPr>
      <w:r>
        <w:rPr>
          <w:noProof/>
        </w:rPr>
        <w:t xml:space="preserve">Another major trend, relevant both for urban and non-urban environment is the deployment of Intelligent Transport Systems (ITS) and related solutions, which are revolutionising the way we move and travel. The general public is well aware of the innovation ITS have brought about in the mobility e.g. vehicle-navigation systems, traffic information integrated with navigation, parking systems. </w:t>
      </w:r>
    </w:p>
    <w:p>
      <w:pPr>
        <w:pStyle w:val="LegalNumPar"/>
        <w:numPr>
          <w:ilvl w:val="0"/>
          <w:numId w:val="89"/>
        </w:numPr>
        <w:tabs>
          <w:tab w:val="left" w:pos="476"/>
        </w:tabs>
        <w:spacing w:line="240" w:lineRule="auto"/>
        <w:rPr>
          <w:noProof/>
        </w:rPr>
      </w:pPr>
      <w:r>
        <w:rPr>
          <w:noProof/>
        </w:rPr>
        <w:t xml:space="preserve">Beyond specific ITS use-cases, applying various information and communication technologies has also a huge potential to fundamentally change mobility across the modes, making it safer (e.g. by reducing human error in driving), more accessible (e.g. bringing mobility to those who cannot drive themselves e.g. elderly or disabled people), more efficient and sustainable (e.g. by making it a lot easier to share vehicles). </w:t>
      </w:r>
    </w:p>
    <w:p>
      <w:pPr>
        <w:pStyle w:val="LegalNumPar"/>
        <w:numPr>
          <w:ilvl w:val="0"/>
          <w:numId w:val="89"/>
        </w:numPr>
        <w:tabs>
          <w:tab w:val="left" w:pos="476"/>
        </w:tabs>
        <w:spacing w:line="240" w:lineRule="auto"/>
        <w:rPr>
          <w:noProof/>
        </w:rPr>
      </w:pPr>
      <w:r>
        <w:rPr>
          <w:noProof/>
        </w:rPr>
        <w:t xml:space="preserve">Yet, the development and deployment of connected and automated mobility systems might pose a multitude of challenges: from the development of technologies for the vehicle, its integration within the multimodal transport system, its interaction with the surrounding environment and other (in particular vulnerable) road users impacting road safety to the need for complementary investments in digital and physical infrastructure. There are also a number of related </w:t>
      </w:r>
      <w:r>
        <w:rPr>
          <w:noProof/>
          <w:color w:val="000000" w:themeColor="text1"/>
        </w:rPr>
        <w:t>policy</w:t>
      </w:r>
      <w:r>
        <w:rPr>
          <w:noProof/>
        </w:rPr>
        <w:t xml:space="preserve"> challenges – from regulation and standards, through ethics and impact on professional drivers.    </w:t>
      </w:r>
    </w:p>
    <w:p>
      <w:pPr>
        <w:pStyle w:val="LegalNumPar"/>
        <w:numPr>
          <w:ilvl w:val="0"/>
          <w:numId w:val="89"/>
        </w:numPr>
        <w:tabs>
          <w:tab w:val="left" w:pos="476"/>
        </w:tabs>
        <w:spacing w:line="240" w:lineRule="auto"/>
        <w:rPr>
          <w:noProof/>
        </w:rPr>
      </w:pPr>
      <w:r>
        <w:rPr>
          <w:noProof/>
        </w:rPr>
        <w:t>Public acceptance of this promising technology has not yet been established. The majority of citizens are not yet ready to simply trust a driverless vehicle to behave safely, whether inside a car or on a pedestrian crossing. The recent Special Eurobarometer survey on “Expectations and concerns of connected and automated driving”</w:t>
      </w:r>
      <w:r>
        <w:rPr>
          <w:rStyle w:val="FootnoteReference"/>
          <w:noProof/>
        </w:rPr>
        <w:footnoteReference w:id="401"/>
      </w:r>
      <w:r>
        <w:rPr>
          <w:noProof/>
        </w:rPr>
        <w:t xml:space="preserve"> showed that a majority of those surveyed would feel comfortable in automated vehicles that are being supervised by a human operator in it, but less than half say they would feel comfortable in the case where a human operator is supervising the vehicle remotely. For the time being, a majority would not feel comfortable in the presence of fully automated vehicles on the roads either. The transfer of control between machine and driver and under what conditions is one of the big issues to ensure technology acceptance and safety.   </w:t>
      </w:r>
    </w:p>
    <w:p>
      <w:pPr>
        <w:pStyle w:val="LegalNumPar"/>
        <w:numPr>
          <w:ilvl w:val="0"/>
          <w:numId w:val="89"/>
        </w:numPr>
        <w:tabs>
          <w:tab w:val="left" w:pos="476"/>
        </w:tabs>
        <w:spacing w:line="240" w:lineRule="auto"/>
        <w:rPr>
          <w:noProof/>
        </w:rPr>
      </w:pPr>
      <w:r>
        <w:rPr>
          <w:noProof/>
        </w:rPr>
        <w:t>As for driving such vehicles, two thirds of respondents would feel comfortable if they could take back control at any point in time, while for just over half it would be enough to be able to take back control if the vehicle does not understand the situation.</w:t>
      </w:r>
      <w:r>
        <w:rPr>
          <w:rStyle w:val="FootnoteReference"/>
          <w:noProof/>
        </w:rPr>
        <w:footnoteReference w:id="402"/>
      </w:r>
      <w:r>
        <w:rPr>
          <w:noProof/>
        </w:rPr>
        <w:t xml:space="preserve"> But there are also safety considerations with respect to how drivers take back control (e.g. when an automated car encounters a situation it cannot deal with, such as an atypical maintenance lane).  </w:t>
      </w:r>
    </w:p>
    <w:p>
      <w:pPr>
        <w:pStyle w:val="LegalNumPar"/>
        <w:numPr>
          <w:ilvl w:val="0"/>
          <w:numId w:val="89"/>
        </w:numPr>
        <w:tabs>
          <w:tab w:val="left" w:pos="476"/>
        </w:tabs>
        <w:spacing w:line="240" w:lineRule="auto"/>
        <w:rPr>
          <w:noProof/>
        </w:rPr>
      </w:pPr>
      <w:r>
        <w:rPr>
          <w:noProof/>
        </w:rPr>
        <w:t>Part of the issue is that transition to higher levels of automation in road transport allowing for safe interaction between highly automated and “traditional” vehicles in “mixed traffic” and with non-motorised road users need to be fully addressed. Questions related to human-machine interactions and awareness (e.g. how can other road users recognise highly automated vehicles and predict their behaviour, where previously there would be eye contact between users) will be at the centre of this issue.</w:t>
      </w:r>
    </w:p>
    <w:p>
      <w:pPr>
        <w:pStyle w:val="LegalNumPar"/>
        <w:numPr>
          <w:ilvl w:val="0"/>
          <w:numId w:val="89"/>
        </w:numPr>
        <w:tabs>
          <w:tab w:val="left" w:pos="476"/>
        </w:tabs>
        <w:spacing w:line="240" w:lineRule="auto"/>
        <w:rPr>
          <w:noProof/>
        </w:rPr>
      </w:pPr>
      <w:r>
        <w:rPr>
          <w:noProof/>
        </w:rPr>
        <w:t>A large part of the answer will come from Cooperative ITS (C-ITS), enabling direct communication between vehicles and their surrounding infrastructure. Already today C-ITS based on ITS-G5 is deployed on commercial non-automated series-vehicles. As highlighted by the 2016 strategy for C-ITS, accelerated deployment of C-ITS will bring increased road safety and pave the way for higher levels of automation.</w:t>
      </w:r>
    </w:p>
    <w:p>
      <w:pPr>
        <w:pStyle w:val="LegalNumPar"/>
        <w:numPr>
          <w:ilvl w:val="0"/>
          <w:numId w:val="89"/>
        </w:numPr>
        <w:tabs>
          <w:tab w:val="left" w:pos="476"/>
        </w:tabs>
        <w:spacing w:line="240" w:lineRule="auto"/>
        <w:rPr>
          <w:noProof/>
        </w:rPr>
      </w:pPr>
      <w:r>
        <w:rPr>
          <w:noProof/>
        </w:rPr>
        <w:t xml:space="preserve">A number of Advanced Driver Assistance systems, which have great potential in preventing crashes and/or their severity, will become mandatory for all new vehicle models (in 2022) and later for all new vehicles (in 2024) under the revised General Vehicle Safety Regulation (see also sections 3.4 and 4.3). In order to ensure safe operation of the assistance systems throughout a vehicle’s lifetime, roadworthiness testing centres will need access to relevant data. </w:t>
      </w:r>
    </w:p>
    <w:p>
      <w:pPr>
        <w:pStyle w:val="LegalNumPar"/>
        <w:numPr>
          <w:ilvl w:val="0"/>
          <w:numId w:val="89"/>
        </w:numPr>
        <w:tabs>
          <w:tab w:val="left" w:pos="476"/>
        </w:tabs>
        <w:spacing w:line="240" w:lineRule="auto"/>
        <w:rPr>
          <w:noProof/>
        </w:rPr>
      </w:pPr>
      <w:r>
        <w:rPr>
          <w:noProof/>
        </w:rPr>
        <w:t xml:space="preserve">Last but not least, the current traffic rules are not yet fit for higher levels of automation. Those rules are set by Member States based on international conventions managed by the United National Economic Commission for Europe (UNECE). In contrast to UN conventions on vehicle safety, the EU is so far not a contracting party to the conventions related to traffic rules and only has observer status, which could hamper its ability to coordinate Member State positions. An aligned and holistic European approach to global questions on automated driving, including traffic rules, testing or liability aspects, would be desirable from a single market perspective and for promoting European industrial global leadership, as well as in terms of materialization of road safety benefits. </w:t>
      </w:r>
    </w:p>
    <w:p>
      <w:pPr>
        <w:pStyle w:val="LegalNumPar"/>
        <w:numPr>
          <w:ilvl w:val="0"/>
          <w:numId w:val="89"/>
        </w:numPr>
        <w:tabs>
          <w:tab w:val="left" w:pos="476"/>
        </w:tabs>
        <w:spacing w:line="240" w:lineRule="auto"/>
        <w:rPr>
          <w:noProof/>
        </w:rPr>
      </w:pPr>
      <w:r>
        <w:rPr>
          <w:noProof/>
        </w:rPr>
        <w:t>For the time being, the legal and policy framework defining links between vehicles and traffic management, between public and privately owned data, and between collective and individual transport, are not sufficiently developed. There is no coordination mechanism at the EU level that would help ensure consistency of the deployment and management of ITS and CCAM across Europe. There is no coherent way of implementing a type-approval for connected and automated vehicles and their emissions testing and roadworthiness inspection methods, for example</w:t>
      </w:r>
      <w:r>
        <w:rPr>
          <w:i/>
          <w:iCs/>
          <w:noProof/>
        </w:rPr>
        <w:t xml:space="preserve">. </w:t>
      </w:r>
    </w:p>
    <w:p>
      <w:pPr>
        <w:numPr>
          <w:ilvl w:val="0"/>
          <w:numId w:val="89"/>
        </w:numPr>
        <w:tabs>
          <w:tab w:val="left" w:pos="476"/>
        </w:tabs>
        <w:spacing w:line="240" w:lineRule="auto"/>
        <w:rPr>
          <w:noProof/>
          <w:sz w:val="24"/>
          <w:szCs w:val="24"/>
        </w:rPr>
      </w:pPr>
      <w:r>
        <w:rPr>
          <w:noProof/>
          <w:sz w:val="24"/>
          <w:szCs w:val="24"/>
        </w:rPr>
        <w:t>Competition in the automotive industry is shifting from building cars (hardware) to software-centric, connected services. Moreover, fragmentation in the industry might affect EU competitiveness significantly, taking into account that industry approach in Europe could be conservative compared to other developers.</w:t>
      </w:r>
    </w:p>
    <w:p>
      <w:pPr>
        <w:numPr>
          <w:ilvl w:val="0"/>
          <w:numId w:val="89"/>
        </w:numPr>
        <w:tabs>
          <w:tab w:val="left" w:pos="476"/>
        </w:tabs>
        <w:spacing w:line="240" w:lineRule="auto"/>
        <w:rPr>
          <w:noProof/>
          <w:sz w:val="24"/>
          <w:szCs w:val="24"/>
        </w:rPr>
      </w:pPr>
      <w:r>
        <w:rPr>
          <w:noProof/>
          <w:sz w:val="24"/>
          <w:szCs w:val="24"/>
        </w:rPr>
        <w:t xml:space="preserve">In this context, the emergence of new mobile radio communication systems such as 5G and its vertical application to the automotive and transport sectors can act as a catalyst to accelerate the way towards multi-service mobility and transport ecosystems and contribute to the resilience and sovereignty of the European industry in the field. This strong expectation of multiple ecosystems enabled by a common 5G network infrastructure associated with connected vehicles and road infrastructure will enable to combine different technologies, sensors (in vehicles and on the ground), high accuracy location, precise positioning, high definition mapping, converged AI on devices, at the network edge (including Mobile Edge Computing) and in the cloud, and, in particular high quality direct and network communications between all moving and fixed elements (vehicles, bikes, pedestrians, and road infrastructure). </w:t>
      </w:r>
    </w:p>
    <w:p>
      <w:pPr>
        <w:numPr>
          <w:ilvl w:val="0"/>
          <w:numId w:val="89"/>
        </w:numPr>
        <w:tabs>
          <w:tab w:val="left" w:pos="476"/>
        </w:tabs>
        <w:spacing w:line="240" w:lineRule="auto"/>
        <w:rPr>
          <w:noProof/>
          <w:sz w:val="24"/>
          <w:szCs w:val="24"/>
        </w:rPr>
      </w:pPr>
      <w:r>
        <w:rPr>
          <w:noProof/>
          <w:sz w:val="24"/>
          <w:szCs w:val="24"/>
        </w:rPr>
        <w:t>This vision has been the basis for the CEF Digital programme over the 2021-2027 period, which includes an indicative list of 5G Corridors envisaged for funding, based on TEN-T corridors. It received the support of leading European industry associations, ACEA, CEDR, GSMA and 5GAA, through the publication, on 2 October 2020, of a 5G Strategic Deployment Agenda for CAM</w:t>
      </w:r>
      <w:r>
        <w:rPr>
          <w:rStyle w:val="FootnoteReference"/>
          <w:noProof/>
          <w:sz w:val="24"/>
          <w:szCs w:val="24"/>
        </w:rPr>
        <w:footnoteReference w:id="403"/>
      </w:r>
      <w:r>
        <w:rPr>
          <w:noProof/>
          <w:sz w:val="24"/>
          <w:szCs w:val="24"/>
        </w:rPr>
        <w:t>. The roll-out of 5G corridors, in complement with deployment activities in the fields of C-ITS and CCAM, will provide a strong basis to Europe for the development of the multi-service ecosystem for mobility and transport.</w:t>
      </w:r>
    </w:p>
    <w:p>
      <w:pPr>
        <w:pStyle w:val="LegalNumPar"/>
        <w:numPr>
          <w:ilvl w:val="0"/>
          <w:numId w:val="89"/>
        </w:numPr>
        <w:tabs>
          <w:tab w:val="left" w:pos="476"/>
        </w:tabs>
        <w:spacing w:line="240" w:lineRule="auto"/>
        <w:rPr>
          <w:noProof/>
        </w:rPr>
      </w:pPr>
      <w:r>
        <w:rPr>
          <w:noProof/>
        </w:rPr>
        <w:t>While a number of research, large-scale demonstration and testing projects are taking place in EU Member States (some with Commission support), they are not numerous or coordinated well enough across the EU.</w:t>
      </w:r>
      <w:r>
        <w:rPr>
          <w:rStyle w:val="FootnoteReference"/>
          <w:noProof/>
        </w:rPr>
        <w:footnoteReference w:id="404"/>
      </w:r>
      <w:r>
        <w:rPr>
          <w:noProof/>
        </w:rPr>
        <w:t xml:space="preserve"> To address the most pressing challenges, the EU is currently supporting the set-up of a new public private partnership, based on a vision that maximises the societal benefits of CCAM and its potential to create new, more inclusive, shared and sustainable mobility services. This proposed partnership should establish links with other partnerships (under Horizon Europe), in which activities relevant for connected and automated mobility are planned.</w:t>
      </w:r>
    </w:p>
    <w:p>
      <w:pPr>
        <w:pStyle w:val="LegalNumPar"/>
        <w:numPr>
          <w:ilvl w:val="0"/>
          <w:numId w:val="89"/>
        </w:numPr>
        <w:tabs>
          <w:tab w:val="left" w:pos="476"/>
        </w:tabs>
        <w:spacing w:line="240" w:lineRule="auto"/>
        <w:rPr>
          <w:noProof/>
        </w:rPr>
      </w:pPr>
      <w:r>
        <w:rPr>
          <w:noProof/>
        </w:rPr>
        <w:t xml:space="preserve">However, even with such a partnership in place, further coordination capacity may be needed at EU level in relation to the deployment and management of ITS and CCAM across Europe, including in areas such as road infrastructure, type-approval and market surveillance, roadworthiness inspection methods, traffic rules for automated mobility, as well as to other detailed EU level safety and related tasks, and for the preparation of technical rules, coordination among national authorities' actions, and collection and analysis of relevant data. </w:t>
      </w:r>
    </w:p>
    <w:p>
      <w:pPr>
        <w:pStyle w:val="Heading4"/>
        <w:numPr>
          <w:ilvl w:val="3"/>
          <w:numId w:val="98"/>
        </w:numPr>
        <w:rPr>
          <w:noProof/>
        </w:rPr>
      </w:pPr>
      <w:bookmarkStart w:id="3466" w:name="_Toc57291509"/>
      <w:bookmarkStart w:id="3467" w:name="_Toc51450123"/>
      <w:bookmarkStart w:id="3468" w:name="_Toc51574822"/>
      <w:bookmarkStart w:id="3469" w:name="_Toc51575670"/>
      <w:bookmarkStart w:id="3470" w:name="_Toc51578068"/>
      <w:bookmarkStart w:id="3471" w:name="_Toc51582941"/>
      <w:bookmarkStart w:id="3472" w:name="_Toc51583416"/>
      <w:bookmarkStart w:id="3473" w:name="_Toc51583506"/>
      <w:bookmarkStart w:id="3474" w:name="_Toc51583791"/>
      <w:bookmarkStart w:id="3475" w:name="_Toc51583981"/>
      <w:bookmarkStart w:id="3476" w:name="_Toc51583905"/>
      <w:bookmarkStart w:id="3477" w:name="_Toc51586223"/>
      <w:bookmarkStart w:id="3478" w:name="_Toc51594026"/>
      <w:bookmarkStart w:id="3479" w:name="_Toc51594352"/>
      <w:bookmarkStart w:id="3480" w:name="_Toc51595330"/>
      <w:bookmarkStart w:id="3481" w:name="_Toc51595580"/>
      <w:bookmarkStart w:id="3482" w:name="_Toc51595906"/>
      <w:bookmarkStart w:id="3483" w:name="_Toc51596069"/>
      <w:bookmarkStart w:id="3484" w:name="_Toc51596422"/>
      <w:bookmarkStart w:id="3485" w:name="_Toc52121556"/>
      <w:bookmarkStart w:id="3486" w:name="_Toc52122787"/>
      <w:bookmarkStart w:id="3487" w:name="_Toc52123904"/>
      <w:bookmarkStart w:id="3488" w:name="_Toc53406151"/>
      <w:bookmarkStart w:id="3489" w:name="_Toc53410964"/>
      <w:bookmarkStart w:id="3490" w:name="_Toc53412027"/>
      <w:bookmarkStart w:id="3491" w:name="_Toc53417274"/>
      <w:bookmarkStart w:id="3492" w:name="_Toc53417626"/>
      <w:bookmarkStart w:id="3493" w:name="_Toc53419861"/>
      <w:bookmarkStart w:id="3494" w:name="_Toc53434964"/>
      <w:bookmarkStart w:id="3495" w:name="_Toc53437103"/>
      <w:r>
        <w:rPr>
          <w:noProof/>
        </w:rPr>
        <w:t>ITS challenges in other modes of transport</w:t>
      </w:r>
      <w:bookmarkEnd w:id="3466"/>
      <w:r>
        <w:rPr>
          <w:noProof/>
        </w:rPr>
        <w:t xml:space="preserve"> </w:t>
      </w:r>
      <w:bookmarkStart w:id="3496" w:name="_Toc53405363"/>
      <w:bookmarkStart w:id="3497" w:name="_Toc53407519"/>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p>
    <w:p>
      <w:pPr>
        <w:pStyle w:val="LegalNumPar"/>
        <w:numPr>
          <w:ilvl w:val="0"/>
          <w:numId w:val="89"/>
        </w:numPr>
        <w:tabs>
          <w:tab w:val="left" w:pos="476"/>
        </w:tabs>
        <w:spacing w:line="240" w:lineRule="auto"/>
        <w:rPr>
          <w:noProof/>
        </w:rPr>
      </w:pPr>
      <w:r>
        <w:rPr>
          <w:noProof/>
        </w:rPr>
        <w:t>To achieve a truly intelligent transport system, efficient capacity allocation and traffic management, automation and digitalisation must also be addressed across other transport modes as they help to avoid a capacity crunch on the one hand and reduce CO</w:t>
      </w:r>
      <w:r>
        <w:rPr>
          <w:noProof/>
          <w:vertAlign w:val="subscript"/>
        </w:rPr>
        <w:t>2</w:t>
      </w:r>
      <w:r>
        <w:rPr>
          <w:noProof/>
        </w:rPr>
        <w:t xml:space="preserve"> emissions on the other.</w:t>
      </w:r>
    </w:p>
    <w:p>
      <w:pPr>
        <w:pStyle w:val="LegalNumPar"/>
        <w:numPr>
          <w:ilvl w:val="0"/>
          <w:numId w:val="89"/>
        </w:numPr>
        <w:tabs>
          <w:tab w:val="left" w:pos="476"/>
        </w:tabs>
        <w:spacing w:line="240" w:lineRule="auto"/>
        <w:rPr>
          <w:noProof/>
        </w:rPr>
      </w:pPr>
      <w:r>
        <w:rPr>
          <w:b/>
          <w:noProof/>
        </w:rPr>
        <w:t>Rail</w:t>
      </w:r>
      <w:r>
        <w:rPr>
          <w:noProof/>
        </w:rPr>
        <w:t xml:space="preserve"> is a highly complex operating environment, consisting of a number of systems which are or should be automated, and where interoperability between diverse infrastructure networks and vehicles (rolling stock) is required.    </w:t>
      </w:r>
    </w:p>
    <w:p>
      <w:pPr>
        <w:pStyle w:val="LegalNumPar"/>
        <w:numPr>
          <w:ilvl w:val="0"/>
          <w:numId w:val="89"/>
        </w:numPr>
        <w:tabs>
          <w:tab w:val="left" w:pos="476"/>
        </w:tabs>
        <w:spacing w:line="240" w:lineRule="auto"/>
        <w:rPr>
          <w:noProof/>
        </w:rPr>
      </w:pPr>
      <w:r>
        <w:rPr>
          <w:noProof/>
        </w:rPr>
        <w:t xml:space="preserve">The key elements include </w:t>
      </w:r>
      <w:r>
        <w:rPr>
          <w:bCs/>
          <w:noProof/>
        </w:rPr>
        <w:t>passenger and freight information</w:t>
      </w:r>
      <w:r>
        <w:rPr>
          <w:noProof/>
        </w:rPr>
        <w:t xml:space="preserve"> (relating to ticket, seat reservation, freight consignment and location), </w:t>
      </w:r>
      <w:r>
        <w:rPr>
          <w:bCs/>
          <w:noProof/>
        </w:rPr>
        <w:t>timetable design</w:t>
      </w:r>
      <w:r>
        <w:rPr>
          <w:noProof/>
        </w:rPr>
        <w:t xml:space="preserve"> (advance planning to optimise use of network capacity, rolling stock and personnel and allow public timetables to be produced, freight services sold etc.), </w:t>
      </w:r>
      <w:r>
        <w:rPr>
          <w:bCs/>
          <w:noProof/>
        </w:rPr>
        <w:t>traffic management</w:t>
      </w:r>
      <w:r>
        <w:rPr>
          <w:noProof/>
        </w:rPr>
        <w:t xml:space="preserve"> (near real time control of operations, to resolve conflicts between trains, prioritise services, where inevitable real world problems prevent the timetable being operated precisely as planned), </w:t>
      </w:r>
      <w:r>
        <w:rPr>
          <w:bCs/>
          <w:noProof/>
        </w:rPr>
        <w:t>signalling</w:t>
      </w:r>
      <w:r>
        <w:rPr>
          <w:noProof/>
        </w:rPr>
        <w:t xml:space="preserve"> (ensuring switches are set and train movements controlled to prevent conflicts between trains and get them to their intended destination), </w:t>
      </w:r>
      <w:r>
        <w:rPr>
          <w:bCs/>
          <w:noProof/>
        </w:rPr>
        <w:t>train protection systems</w:t>
      </w:r>
      <w:r>
        <w:rPr>
          <w:noProof/>
        </w:rPr>
        <w:t xml:space="preserve"> (systems on board trains to ensure they do not pass signals set at danger, and in modern systems, to ensure they do not exceed the safe speed for the line and signal aspect) as well as </w:t>
      </w:r>
      <w:r>
        <w:rPr>
          <w:bCs/>
          <w:noProof/>
        </w:rPr>
        <w:t>train automation</w:t>
      </w:r>
      <w:r>
        <w:rPr>
          <w:noProof/>
        </w:rPr>
        <w:t xml:space="preserve"> (automated functions drive the train itself – either as an assistance to the driver; taking over functions from the driver but retaining him for passenger confidence and emergency tasks, or allowing completely unattended operations).</w:t>
      </w:r>
    </w:p>
    <w:p>
      <w:pPr>
        <w:pStyle w:val="LegalNumPar"/>
        <w:numPr>
          <w:ilvl w:val="0"/>
          <w:numId w:val="89"/>
        </w:numPr>
        <w:tabs>
          <w:tab w:val="left" w:pos="476"/>
        </w:tabs>
        <w:spacing w:line="240" w:lineRule="auto"/>
        <w:rPr>
          <w:noProof/>
        </w:rPr>
      </w:pPr>
      <w:r>
        <w:rPr>
          <w:noProof/>
        </w:rPr>
        <w:t>Taking these in reverse order: in rail, automatic train operations (ATOs) are essential to make the most of capacity while ensuring energy saving, reliability and safety. While some metros have been automated for many years, higher automation levels and autonomy on mainlines are not yet ready on main lines, preventing the appearance of more flexible services. ATO would also allow higher capacity (since the speed of an automated train can be precisely matched to the minimum safe distance from the previous train).</w:t>
      </w:r>
    </w:p>
    <w:p>
      <w:pPr>
        <w:pStyle w:val="LegalNumPar"/>
        <w:numPr>
          <w:ilvl w:val="0"/>
          <w:numId w:val="89"/>
        </w:numPr>
        <w:tabs>
          <w:tab w:val="left" w:pos="476"/>
        </w:tabs>
        <w:spacing w:line="240" w:lineRule="auto"/>
        <w:rPr>
          <w:noProof/>
        </w:rPr>
      </w:pPr>
      <w:r>
        <w:rPr>
          <w:noProof/>
        </w:rPr>
        <w:t>Introduction of rail automation is much simpler than in road, since the overall environment is already highly controlled. Nevertheless the availability of common standards for equipment and train operation, which are needed to ensure interoperability, is not yet optimal. The standards for Automatic Train Operations Grade of Automation 1 and 2</w:t>
      </w:r>
      <w:r>
        <w:rPr>
          <w:rStyle w:val="FootnoteReference"/>
          <w:noProof/>
        </w:rPr>
        <w:footnoteReference w:id="405"/>
      </w:r>
      <w:r>
        <w:rPr>
          <w:noProof/>
        </w:rPr>
        <w:t xml:space="preserve"> were developed within the S2R JU programme, and are now available. They will be included in the next revision of the CCS (Control Command and Signalling) Technical specifications for Interoperability, scheduled for 2022. </w:t>
      </w:r>
    </w:p>
    <w:p>
      <w:pPr>
        <w:pStyle w:val="LegalNumPar"/>
        <w:numPr>
          <w:ilvl w:val="0"/>
          <w:numId w:val="89"/>
        </w:numPr>
        <w:tabs>
          <w:tab w:val="left" w:pos="476"/>
        </w:tabs>
        <w:spacing w:line="240" w:lineRule="auto"/>
        <w:rPr>
          <w:noProof/>
        </w:rPr>
      </w:pPr>
      <w:r>
        <w:rPr>
          <w:noProof/>
        </w:rPr>
        <w:t xml:space="preserve">In order to reap the full advantages of automation and not to break interoperability, rail ATO in the EU should be based on the common EU train protection/signalling system (ERTMS). Despite its name, the European Rail Traffic Management System does not yet include traffic management – rather it harmonises automatic train protection and communication systems, which ensure that trains stop where they need to, and travel at a safe speed for the line that they are on. Efforts have been made to improve interoperability by replacing 21 obsolete national systems with one, helping to greatly reduce the cost of rail equipment, growing the capacity of the rail network, and improving railway safety.    </w:t>
      </w:r>
    </w:p>
    <w:p>
      <w:pPr>
        <w:pStyle w:val="LegalNumPar"/>
        <w:numPr>
          <w:ilvl w:val="0"/>
          <w:numId w:val="89"/>
        </w:numPr>
        <w:tabs>
          <w:tab w:val="left" w:pos="476"/>
        </w:tabs>
        <w:spacing w:line="240" w:lineRule="auto"/>
        <w:rPr>
          <w:noProof/>
        </w:rPr>
      </w:pPr>
      <w:r>
        <w:rPr>
          <w:noProof/>
        </w:rPr>
        <w:t xml:space="preserve">However, due to the complexity of replacing legacy systems in Member States (the system itself needs to be partly installed beside the track and partly on board trains), as well as its substantial costs, the ERTMS deployment in Europe is slower than wished. Part of the challenge is that a standard, modular system architecture for rail control and signalling that would help speed up the deployment of ERTMS and lower the deployment costs does not exist yet, though this is being addressed through the Shift2Rail programme and its successor.     </w:t>
      </w:r>
    </w:p>
    <w:p>
      <w:pPr>
        <w:pStyle w:val="LegalNumPar"/>
        <w:numPr>
          <w:ilvl w:val="0"/>
          <w:numId w:val="89"/>
        </w:numPr>
        <w:tabs>
          <w:tab w:val="left" w:pos="476"/>
        </w:tabs>
        <w:spacing w:line="240" w:lineRule="auto"/>
        <w:rPr>
          <w:noProof/>
        </w:rPr>
      </w:pPr>
      <w:r>
        <w:rPr>
          <w:noProof/>
        </w:rPr>
        <w:t xml:space="preserve">Network wide deployment is now underway in several member states, with many others planning it: such deployment allows the legacy systems to be removed completely. The latest versions of ERTMS (Level 2 and 3) will allow most trackside equipment to be removed, leading to substantial cost savings for infrastructure managers over the medium term (estimated at EUR 1bn per year for DE alone). Reduced maintenance needs also increase rail capacity and reliability since fewer route closures for maintenance are required. </w:t>
      </w:r>
    </w:p>
    <w:p>
      <w:pPr>
        <w:pStyle w:val="LegalNumPar"/>
        <w:numPr>
          <w:ilvl w:val="0"/>
          <w:numId w:val="89"/>
        </w:numPr>
        <w:tabs>
          <w:tab w:val="left" w:pos="476"/>
        </w:tabs>
        <w:spacing w:line="240" w:lineRule="auto"/>
        <w:rPr>
          <w:noProof/>
          <w:lang w:eastAsia="en-US"/>
        </w:rPr>
      </w:pPr>
      <w:r>
        <w:rPr>
          <w:noProof/>
        </w:rPr>
        <w:t>Traffic management is another key aspect of achieving smart rail operations. It helps manage the paths of trains through the network, ensuring they keep to timetable and re-planning them when things go wrong. Currently this is managed by a patchwork of tools at regional level.</w:t>
      </w:r>
    </w:p>
    <w:p>
      <w:pPr>
        <w:pStyle w:val="LegalNumPar"/>
        <w:numPr>
          <w:ilvl w:val="0"/>
          <w:numId w:val="89"/>
        </w:numPr>
        <w:tabs>
          <w:tab w:val="left" w:pos="476"/>
        </w:tabs>
        <w:spacing w:line="240" w:lineRule="auto"/>
        <w:rPr>
          <w:noProof/>
          <w:lang w:eastAsia="en-US"/>
        </w:rPr>
      </w:pPr>
      <w:r>
        <w:rPr>
          <w:noProof/>
        </w:rPr>
        <w:t>Higher levels of European Train Control Systems (ETCS) and the Future Railway Mobile Communication System (FRMCS) will accelerate the digitalisation of rail operations and enable safer and more secure higher traffic density on rail tracks. Advanced 5G communications systems will contribute to this process, but also to a better connectivity environment for train passengers. A first version of a Strategic Deployment Agenda “5G connectivity and spectrum for rail”, released on in April 2020 by the rail infrastructure managers and rail undertakings associations, EIM and CER, provides guidance to the deployment of 5G connectivity infrastructure for digital rail operations and ‘Gigabit Train’ for passengers in the perspective of CEF Digital.</w:t>
      </w:r>
    </w:p>
    <w:p>
      <w:pPr>
        <w:numPr>
          <w:ilvl w:val="0"/>
          <w:numId w:val="89"/>
        </w:numPr>
        <w:tabs>
          <w:tab w:val="left" w:pos="476"/>
        </w:tabs>
        <w:spacing w:line="240" w:lineRule="auto"/>
        <w:rPr>
          <w:noProof/>
          <w:sz w:val="24"/>
          <w:szCs w:val="24"/>
        </w:rPr>
      </w:pPr>
      <w:r>
        <w:rPr>
          <w:noProof/>
          <w:sz w:val="24"/>
          <w:szCs w:val="24"/>
        </w:rPr>
        <w:t>The ability of 5G infrastructure to deliver high quality, secure and ultra-reliable connectivity to both FRMCS and Gigabit Train, as well as to CAM in areas where rail tracks and roads run in parallel, will enable to speed-up the deployment process and lower the overall costs.</w:t>
      </w:r>
    </w:p>
    <w:p>
      <w:pPr>
        <w:pStyle w:val="LegalNumPar"/>
        <w:numPr>
          <w:ilvl w:val="0"/>
          <w:numId w:val="89"/>
        </w:numPr>
        <w:tabs>
          <w:tab w:val="left" w:pos="476"/>
        </w:tabs>
        <w:spacing w:line="240" w:lineRule="auto"/>
        <w:rPr>
          <w:noProof/>
          <w:lang w:eastAsia="en-US"/>
        </w:rPr>
      </w:pPr>
      <w:r>
        <w:rPr>
          <w:noProof/>
          <w:lang w:eastAsia="en-US"/>
        </w:rPr>
        <w:t xml:space="preserve">There are also challenges related to automation and traffic management in the European </w:t>
      </w:r>
      <w:r>
        <w:rPr>
          <w:b/>
          <w:bCs/>
          <w:noProof/>
          <w:lang w:eastAsia="en-US"/>
        </w:rPr>
        <w:t>airspace</w:t>
      </w:r>
      <w:r>
        <w:rPr>
          <w:noProof/>
          <w:lang w:eastAsia="en-US"/>
        </w:rPr>
        <w:t xml:space="preserve">. Digitalisation holds promise to substantially improve the situation. Progress has been </w:t>
      </w:r>
      <w:r>
        <w:rPr>
          <w:noProof/>
        </w:rPr>
        <w:t>achieved</w:t>
      </w:r>
      <w:r>
        <w:rPr>
          <w:noProof/>
          <w:lang w:eastAsia="en-US"/>
        </w:rPr>
        <w:t xml:space="preserve"> on the research and innovation side through the SESAR project. However, today Air Traffic Management (ATM) still relies to a large extent on an outdated technology.    </w:t>
      </w:r>
    </w:p>
    <w:p>
      <w:pPr>
        <w:pStyle w:val="LegalNumPar"/>
        <w:numPr>
          <w:ilvl w:val="0"/>
          <w:numId w:val="89"/>
        </w:numPr>
        <w:tabs>
          <w:tab w:val="left" w:pos="476"/>
        </w:tabs>
        <w:spacing w:line="240" w:lineRule="auto"/>
        <w:rPr>
          <w:noProof/>
        </w:rPr>
      </w:pPr>
      <w:r>
        <w:rPr>
          <w:noProof/>
        </w:rPr>
        <w:t xml:space="preserve">Scalability of ATM - in a safe, efficient and effective way - remains one of the most important challenges for the sector. Today this is not fully achievable due to the fragmented and monopolistic nature of ATM in Europe. </w:t>
      </w:r>
    </w:p>
    <w:p>
      <w:pPr>
        <w:pStyle w:val="LegalNumPar"/>
        <w:numPr>
          <w:ilvl w:val="0"/>
          <w:numId w:val="89"/>
        </w:numPr>
        <w:tabs>
          <w:tab w:val="left" w:pos="476"/>
        </w:tabs>
        <w:spacing w:line="240" w:lineRule="auto"/>
        <w:rPr>
          <w:noProof/>
        </w:rPr>
      </w:pPr>
      <w:r>
        <w:rPr>
          <w:noProof/>
        </w:rPr>
        <w:t>A true network oriented approach</w:t>
      </w:r>
      <w:r>
        <w:rPr>
          <w:rStyle w:val="FootnoteReference"/>
          <w:noProof/>
        </w:rPr>
        <w:footnoteReference w:id="406"/>
      </w:r>
      <w:r>
        <w:rPr>
          <w:noProof/>
        </w:rPr>
        <w:t xml:space="preserve"> to ATM in Europe is also missing. The local approach to Air Navigation Services provision is less effective and leads to congestion and capacity crisis whereas experience shows that more effective network coordination decreases delays and congestion. </w:t>
      </w:r>
    </w:p>
    <w:p>
      <w:pPr>
        <w:pStyle w:val="LegalNumPar"/>
        <w:numPr>
          <w:ilvl w:val="0"/>
          <w:numId w:val="89"/>
        </w:numPr>
        <w:tabs>
          <w:tab w:val="left" w:pos="476"/>
        </w:tabs>
        <w:spacing w:line="240" w:lineRule="auto"/>
        <w:rPr>
          <w:noProof/>
        </w:rPr>
      </w:pPr>
      <w:r>
        <w:rPr>
          <w:noProof/>
        </w:rPr>
        <w:t>The shortcomings of the current ATM system lead to a number of environmental challenges. The congestion above Europe in 2018 and 2019 led to environmentally sub-optimal flight paths in terms of CO</w:t>
      </w:r>
      <w:r>
        <w:rPr>
          <w:noProof/>
          <w:vertAlign w:val="subscript"/>
        </w:rPr>
        <w:t>2</w:t>
      </w:r>
      <w:r>
        <w:rPr>
          <w:noProof/>
        </w:rPr>
        <w:t xml:space="preserve"> emissions, when pilots had to fly around congested airspace sectors. The way the ATM services are charged is also not optimal from the environmental perspective. Under the current system, airspace users optimise their routings by minimising not only the sum of fuel costs, but also the route charges. This may lead to choosing to fly longer routes because the charges are lower in a certain charging zone. The overall “benefit pool” of ATM sector is at least 11.6 Mt of excess CO</w:t>
      </w:r>
      <w:r>
        <w:rPr>
          <w:noProof/>
          <w:vertAlign w:val="subscript"/>
        </w:rPr>
        <w:t>2</w:t>
      </w:r>
      <w:r>
        <w:rPr>
          <w:noProof/>
        </w:rPr>
        <w:t xml:space="preserve"> emissions that ATM can directly influence</w:t>
      </w:r>
      <w:r>
        <w:rPr>
          <w:noProof/>
          <w:vertAlign w:val="superscript"/>
        </w:rPr>
        <w:footnoteReference w:id="407"/>
      </w:r>
      <w:r>
        <w:rPr>
          <w:noProof/>
        </w:rPr>
        <w:t xml:space="preserve">. </w:t>
      </w:r>
    </w:p>
    <w:p>
      <w:pPr>
        <w:pStyle w:val="LegalNumPar"/>
        <w:numPr>
          <w:ilvl w:val="0"/>
          <w:numId w:val="89"/>
        </w:numPr>
        <w:tabs>
          <w:tab w:val="left" w:pos="476"/>
        </w:tabs>
        <w:spacing w:line="240" w:lineRule="auto"/>
        <w:rPr>
          <w:noProof/>
        </w:rPr>
      </w:pPr>
      <w:r>
        <w:rPr>
          <w:noProof/>
        </w:rPr>
        <w:t xml:space="preserve">Challenges of automation and smooth integration into a smart transport system are also relevant for the deployment of drones – a growing business in Europe, delivering services in all environments (from mapping, infrastructure inspections, delivery of goods and e-commerce, to mention just a few), with a potential to reduce congestion, accidents and make mobility cleaner. </w:t>
      </w:r>
    </w:p>
    <w:p>
      <w:pPr>
        <w:pStyle w:val="LegalNumPar"/>
        <w:numPr>
          <w:ilvl w:val="0"/>
          <w:numId w:val="89"/>
        </w:numPr>
        <w:tabs>
          <w:tab w:val="left" w:pos="476"/>
        </w:tabs>
        <w:spacing w:line="240" w:lineRule="auto"/>
        <w:rPr>
          <w:noProof/>
        </w:rPr>
      </w:pPr>
      <w:r>
        <w:rPr>
          <w:noProof/>
        </w:rPr>
        <w:t xml:space="preserve">These ATM challenges are addressed through the Single European Sky framework and in particular through its technological pillar, the SESAR project. SESAR aims to establish the ‘digital European sky’ that will allow the optimal use of the European airspace through innovative technological and operational solutions based on a high degree of digitalisation and automation. The digital European sky addresses air and ground operations offering solutions for civil and military airspace users, airports, air navigation service providers. More efficient flight trajectories will also allow modern aircraft to fully exploit their greener and quieter technologies.  </w:t>
      </w:r>
    </w:p>
    <w:p>
      <w:pPr>
        <w:pStyle w:val="LegalNumPar"/>
        <w:numPr>
          <w:ilvl w:val="0"/>
          <w:numId w:val="89"/>
        </w:numPr>
        <w:tabs>
          <w:tab w:val="left" w:pos="476"/>
        </w:tabs>
        <w:spacing w:line="240" w:lineRule="auto"/>
        <w:rPr>
          <w:noProof/>
        </w:rPr>
      </w:pPr>
      <w:r>
        <w:rPr>
          <w:b/>
          <w:bCs/>
          <w:noProof/>
        </w:rPr>
        <w:t>Drone</w:t>
      </w:r>
      <w:r>
        <w:rPr>
          <w:noProof/>
        </w:rPr>
        <w:t xml:space="preserve"> deliveries can solve last/first mile logistics issues for some areas of Europe. Analyses by the JRC indicates that under the most technologically realistic scenario, up to 7% of EU citizens could get access to such services. When considering technological improvements scenarios, this range is extended to 30%. Furthermore, results suggest that due the differences in population and land-use patterns in the different Member States, the potential drone coverage across Europe could be very heterogeneous, with the Germany, Italy and France appearing as the most likely countries where drone-beehives may have the most efficient development</w:t>
      </w:r>
      <w:r>
        <w:rPr>
          <w:noProof/>
          <w:vertAlign w:val="superscript"/>
        </w:rPr>
        <w:footnoteReference w:id="408"/>
      </w:r>
      <w:r>
        <w:rPr>
          <w:noProof/>
        </w:rPr>
        <w:t xml:space="preserve">.    </w:t>
      </w:r>
    </w:p>
    <w:p>
      <w:pPr>
        <w:pStyle w:val="LegalNumPar"/>
        <w:numPr>
          <w:ilvl w:val="0"/>
          <w:numId w:val="89"/>
        </w:numPr>
        <w:tabs>
          <w:tab w:val="left" w:pos="476"/>
        </w:tabs>
        <w:spacing w:line="240" w:lineRule="auto"/>
        <w:rPr>
          <w:noProof/>
        </w:rPr>
      </w:pPr>
      <w:r>
        <w:rPr>
          <w:noProof/>
        </w:rPr>
        <w:t>Several solutions were successfully demonstrated in Horizon 2020 (e.g. CIVITAS and the EIP SCC Smart Cities living labs) and with support from the European Regional Development Fund. Smarter, integrated deliveries will cut overall traffic and provide better information on delivery times</w:t>
      </w:r>
      <w:r>
        <w:rPr>
          <w:rStyle w:val="FootnoteReference"/>
          <w:noProof/>
        </w:rPr>
        <w:footnoteReference w:id="409"/>
      </w:r>
      <w:r>
        <w:rPr>
          <w:noProof/>
        </w:rPr>
        <w:t>, while the use of cleaner vehicles will help to reduce local pollution levels. These types of solutions can deliver cascading benefits on the urban mobility systems and are incentivized by pricing and city interventions – public space allocation for micro distribution centres on bikes, facilitation between private stakeholders.</w:t>
      </w:r>
    </w:p>
    <w:p>
      <w:pPr>
        <w:pStyle w:val="LegalNumPar"/>
        <w:numPr>
          <w:ilvl w:val="0"/>
          <w:numId w:val="89"/>
        </w:numPr>
        <w:tabs>
          <w:tab w:val="left" w:pos="476"/>
        </w:tabs>
        <w:spacing w:line="240" w:lineRule="auto"/>
        <w:rPr>
          <w:noProof/>
        </w:rPr>
      </w:pPr>
      <w:r>
        <w:rPr>
          <w:noProof/>
        </w:rPr>
        <w:t xml:space="preserve">The deployment of drones may be facilitated by the U-space services, in specific Geographical Zones defined as ‘U-space’ airspace. U-space services allow drone operators to rely on a high level of digitalisation and automation, permitting a safe, efficient and secure access to airspace for large numbers of drones, while addressing an appropriate interface with manned aviation and air traffic services. </w:t>
      </w:r>
    </w:p>
    <w:p>
      <w:pPr>
        <w:pStyle w:val="LegalNumPar"/>
        <w:numPr>
          <w:ilvl w:val="0"/>
          <w:numId w:val="89"/>
        </w:numPr>
        <w:tabs>
          <w:tab w:val="left" w:pos="476"/>
        </w:tabs>
        <w:spacing w:line="240" w:lineRule="auto"/>
        <w:rPr>
          <w:noProof/>
        </w:rPr>
      </w:pPr>
      <w:r>
        <w:rPr>
          <w:noProof/>
        </w:rPr>
        <w:t>Whilst these rules can contribute to counter or mitigate possible security risks e.g. in case of malicious use of drones at the same time, every incident increases the risk of losing public trust and acceptance, which are crucial for taking advantage of the economic and employment opportunities of drones and drone-related services. Drones pose also a number of urban mobility challenges – flying at very low levels, they require a rethink of the boundaries of urban and public space, including urban infrastructure planning, levels of noise and safeguards to ensure citizens’ confidence, for instance in relation to privacy.</w:t>
      </w:r>
    </w:p>
    <w:p>
      <w:pPr>
        <w:pStyle w:val="LegalNumPar"/>
        <w:numPr>
          <w:ilvl w:val="0"/>
          <w:numId w:val="89"/>
        </w:numPr>
        <w:tabs>
          <w:tab w:val="left" w:pos="476"/>
        </w:tabs>
        <w:spacing w:line="240" w:lineRule="auto"/>
        <w:rPr>
          <w:noProof/>
        </w:rPr>
      </w:pPr>
      <w:r>
        <w:rPr>
          <w:noProof/>
        </w:rPr>
        <w:t>There are barriers to achieving a fully intelligent transport system in the waterborne sector as well. In case of Maritime Autonomous Surface Ships (MASS) there is no EU policy and regulatory framework that would enable and facilitate cross-border testing and trials at sea. Such testing and trials as for example undertaken within the Horizon 2020 autoship project</w:t>
      </w:r>
      <w:r>
        <w:rPr>
          <w:rStyle w:val="FootnoteReference"/>
          <w:noProof/>
        </w:rPr>
        <w:footnoteReference w:id="410"/>
      </w:r>
      <w:r>
        <w:rPr>
          <w:noProof/>
        </w:rPr>
        <w:t>, is important not only for such type of ships, but also for the necessary maritime monitoring and control of such ships in the future</w:t>
      </w:r>
    </w:p>
    <w:p>
      <w:pPr>
        <w:pStyle w:val="LegalNumPar"/>
        <w:numPr>
          <w:ilvl w:val="0"/>
          <w:numId w:val="89"/>
        </w:numPr>
        <w:tabs>
          <w:tab w:val="left" w:pos="476"/>
        </w:tabs>
        <w:spacing w:line="240" w:lineRule="auto"/>
        <w:rPr>
          <w:noProof/>
        </w:rPr>
      </w:pPr>
      <w:r>
        <w:rPr>
          <w:noProof/>
        </w:rPr>
        <w:t>First steps to address the situation have been taken through operational guidelines and the further development of the vessel traffic monitoring and information system</w:t>
      </w:r>
      <w:r>
        <w:rPr>
          <w:rStyle w:val="FootnoteReference"/>
          <w:noProof/>
        </w:rPr>
        <w:footnoteReference w:id="411"/>
      </w:r>
      <w:r>
        <w:rPr>
          <w:noProof/>
        </w:rPr>
        <w:t xml:space="preserve"> in order to enable seamless maritime transport and traffic management of both manned and unmanned ships. Due to the international nature of shipping, linking ports of countries worldwide, harmonized technical standards, developed with an active participation of stakeholders, are necessary.</w:t>
      </w:r>
    </w:p>
    <w:p>
      <w:pPr>
        <w:pStyle w:val="LegalNumPar"/>
        <w:numPr>
          <w:ilvl w:val="0"/>
          <w:numId w:val="95"/>
        </w:numPr>
        <w:tabs>
          <w:tab w:val="left" w:pos="476"/>
        </w:tabs>
        <w:spacing w:line="240" w:lineRule="auto"/>
        <w:rPr>
          <w:noProof/>
          <w:lang w:val="en-IE"/>
        </w:rPr>
      </w:pPr>
      <w:r>
        <w:rPr>
          <w:noProof/>
        </w:rPr>
        <w:t xml:space="preserve">The absence of adequate policy and regulatory framework also applies for Inland Waterways Autonomous Ships, despite launching several sector initiatives in the context of Smart Shipping on local and regional level. A holistic view on automation of the sector, covering adjustments of existing regulations (e.g. on vessel-, crew-, infrastructure requirements, incentives for the sector to invest in automation), is missing. Meanwhile, steps have been taken to support the deployment of harmonised River Information Services (RIS) in order to enable seamless transport and traffic management on the European inland waterways. The evolution of RIS needs to take into consideration new requirements stemming from the digital transformation happening in the sector </w:t>
      </w:r>
      <w:r>
        <w:rPr>
          <w:noProof/>
          <w:lang w:val="en-IE"/>
        </w:rPr>
        <w:t xml:space="preserve">(e.g. digital ship operator platforms, port information systems, synchromodality, corridor management, Smart Shipping, and Inland Waterways Autonomous Ships). </w:t>
      </w:r>
    </w:p>
    <w:p>
      <w:pPr>
        <w:pStyle w:val="LegalNumPar"/>
        <w:numPr>
          <w:ilvl w:val="0"/>
          <w:numId w:val="95"/>
        </w:numPr>
        <w:tabs>
          <w:tab w:val="left" w:pos="476"/>
        </w:tabs>
        <w:spacing w:line="240" w:lineRule="auto"/>
        <w:rPr>
          <w:noProof/>
          <w:lang w:val="en-IE"/>
        </w:rPr>
      </w:pPr>
      <w:r>
        <w:rPr>
          <w:noProof/>
          <w:lang w:val="en-IE"/>
        </w:rPr>
        <w:t>The study supporting the evaluation of Directive 2005/44/EC on harmonised river information services (RIS)</w:t>
      </w:r>
      <w:r>
        <w:rPr>
          <w:rStyle w:val="FootnoteReference"/>
          <w:noProof/>
          <w:lang w:val="en-IE"/>
        </w:rPr>
        <w:footnoteReference w:id="412"/>
      </w:r>
      <w:r>
        <w:rPr>
          <w:noProof/>
          <w:lang w:val="en-IE"/>
        </w:rPr>
        <w:t xml:space="preserve"> highlighted that a full harmonisation and interoperability of RIS has not been achieved yet, due to different speeds in implementation and varying data quality. Potential adaptions and extensions of the legal framework on RIS may help closing the harmonisation and interoperability gaps. Among others, streamlined revision cycles for the RIS technical specifications in the European Committee for standards in the field of inland navigation (CESNI) could facilitate the evolution of RIS towards Smart Shipping and help the digital transformation of the sector with a view to the synchromodal developments in transport. </w:t>
      </w:r>
    </w:p>
    <w:p>
      <w:pPr>
        <w:pStyle w:val="LegalNumPar"/>
        <w:numPr>
          <w:ilvl w:val="0"/>
          <w:numId w:val="95"/>
        </w:numPr>
        <w:tabs>
          <w:tab w:val="left" w:pos="476"/>
        </w:tabs>
        <w:spacing w:line="240" w:lineRule="auto"/>
        <w:rPr>
          <w:noProof/>
          <w:lang w:val="en-IE"/>
        </w:rPr>
      </w:pPr>
      <w:r>
        <w:rPr>
          <w:noProof/>
          <w:lang w:val="en-IE"/>
        </w:rPr>
        <w:t xml:space="preserve">Further support through the Connecting Europe Facility Programme would contribute to the implementation of River Information Services (RIS) on national as well as river corridor level as required by the TEN-T Regulation in order to ensure a smooth transition into full operation of RIS until 2030. </w:t>
      </w:r>
    </w:p>
    <w:p>
      <w:pPr>
        <w:numPr>
          <w:ilvl w:val="0"/>
          <w:numId w:val="95"/>
        </w:numPr>
        <w:tabs>
          <w:tab w:val="left" w:pos="476"/>
        </w:tabs>
        <w:spacing w:line="240" w:lineRule="auto"/>
        <w:rPr>
          <w:noProof/>
          <w:sz w:val="24"/>
          <w:szCs w:val="24"/>
          <w:lang w:val="en-IE"/>
        </w:rPr>
      </w:pPr>
      <w:r>
        <w:rPr>
          <w:noProof/>
          <w:sz w:val="24"/>
          <w:szCs w:val="24"/>
          <w:lang w:val="en-IE"/>
        </w:rPr>
        <w:t>Whereas the digital transformation of maritime ports is progressing fast, smaller inland ports are often lagging behind in the digitalisation of business processes and the digital integration of hinterland transport chains. This issue could be addressed by actions supporting the implementation of single windows and port community systems for inland ports, building upon the established frameworks and experiences of their maritime counterparts and using the full potential of existing and emerging river information services.</w:t>
      </w:r>
    </w:p>
    <w:p>
      <w:pPr>
        <w:pStyle w:val="LegalNumPar"/>
        <w:numPr>
          <w:ilvl w:val="0"/>
          <w:numId w:val="89"/>
        </w:numPr>
        <w:tabs>
          <w:tab w:val="left" w:pos="476"/>
        </w:tabs>
        <w:spacing w:after="360" w:line="240" w:lineRule="auto"/>
        <w:rPr>
          <w:noProof/>
        </w:rPr>
      </w:pPr>
      <w:r>
        <w:rPr>
          <w:noProof/>
        </w:rPr>
        <w:t xml:space="preserve">The Commission services have started preparatory work related to a smart tachograph for Inland Waterways (IWT), which could improve the functioning of the IWT market, minimise the administrative burden, improve enforcement and increase the uptake and acceptance of electronic documents/solutions. This is part of a broader effort to create a modern, coherent, flexible and well-enforceable legislative framework at the EU level for IWT, facilitated also by digital tools, as requested by the EU social partners. </w:t>
      </w:r>
    </w:p>
    <w:p>
      <w:pPr>
        <w:pStyle w:val="Heading3"/>
        <w:rPr>
          <w:noProof/>
        </w:rPr>
      </w:pPr>
      <w:bookmarkStart w:id="3498" w:name="_Toc57291510"/>
      <w:bookmarkStart w:id="3499" w:name="_Toc50044837"/>
      <w:bookmarkStart w:id="3500" w:name="_Toc50048952"/>
      <w:bookmarkStart w:id="3501" w:name="_Toc50415285"/>
      <w:bookmarkStart w:id="3502" w:name="_Toc50416566"/>
      <w:bookmarkStart w:id="3503" w:name="_Toc50417699"/>
      <w:bookmarkStart w:id="3504" w:name="_Toc50418342"/>
      <w:bookmarkStart w:id="3505" w:name="_Toc50459922"/>
      <w:bookmarkStart w:id="3506" w:name="_Toc50466129"/>
      <w:bookmarkStart w:id="3507" w:name="_Toc50473569"/>
      <w:bookmarkStart w:id="3508" w:name="_Toc50473689"/>
      <w:bookmarkStart w:id="3509" w:name="_Toc50474740"/>
      <w:bookmarkStart w:id="3510" w:name="_Toc50565090"/>
      <w:bookmarkStart w:id="3511" w:name="_Toc50568698"/>
      <w:bookmarkStart w:id="3512" w:name="_Toc50629437"/>
      <w:bookmarkStart w:id="3513" w:name="_Toc50630269"/>
      <w:bookmarkStart w:id="3514" w:name="_Toc50630994"/>
      <w:bookmarkStart w:id="3515" w:name="_Toc50633838"/>
      <w:bookmarkStart w:id="3516" w:name="_Toc50634080"/>
      <w:bookmarkStart w:id="3517" w:name="_Toc50646528"/>
      <w:bookmarkStart w:id="3518" w:name="_Toc50646663"/>
      <w:bookmarkStart w:id="3519" w:name="_Toc50649482"/>
      <w:bookmarkStart w:id="3520" w:name="_Toc50650789"/>
      <w:bookmarkStart w:id="3521" w:name="_Toc51574823"/>
      <w:bookmarkStart w:id="3522" w:name="_Toc51575671"/>
      <w:bookmarkStart w:id="3523" w:name="_Toc51578069"/>
      <w:bookmarkStart w:id="3524" w:name="_Toc51582942"/>
      <w:bookmarkStart w:id="3525" w:name="_Toc51583417"/>
      <w:bookmarkStart w:id="3526" w:name="_Toc51583507"/>
      <w:bookmarkStart w:id="3527" w:name="_Toc51583792"/>
      <w:bookmarkStart w:id="3528" w:name="_Toc51583982"/>
      <w:bookmarkStart w:id="3529" w:name="_Toc51583906"/>
      <w:bookmarkStart w:id="3530" w:name="_Toc51586224"/>
      <w:bookmarkStart w:id="3531" w:name="_Toc51594027"/>
      <w:bookmarkStart w:id="3532" w:name="_Toc51594353"/>
      <w:bookmarkStart w:id="3533" w:name="_Toc51595331"/>
      <w:bookmarkStart w:id="3534" w:name="_Toc51595581"/>
      <w:bookmarkStart w:id="3535" w:name="_Toc51595907"/>
      <w:bookmarkStart w:id="3536" w:name="_Toc51596070"/>
      <w:bookmarkStart w:id="3537" w:name="_Toc51596423"/>
      <w:bookmarkStart w:id="3538" w:name="_Toc52121557"/>
      <w:bookmarkStart w:id="3539" w:name="_Toc52122788"/>
      <w:bookmarkStart w:id="3540" w:name="_Toc52123905"/>
      <w:bookmarkStart w:id="3541" w:name="_Toc53405364"/>
      <w:bookmarkStart w:id="3542" w:name="_Toc53406152"/>
      <w:bookmarkStart w:id="3543" w:name="_Toc53407520"/>
      <w:bookmarkStart w:id="3544" w:name="_Toc53410965"/>
      <w:bookmarkStart w:id="3545" w:name="_Toc53412028"/>
      <w:bookmarkStart w:id="3546" w:name="_Toc53417275"/>
      <w:bookmarkStart w:id="3547" w:name="_Toc53417627"/>
      <w:bookmarkStart w:id="3548" w:name="_Toc53419862"/>
      <w:bookmarkStart w:id="3549" w:name="_Toc53434965"/>
      <w:bookmarkStart w:id="3550" w:name="_Toc53437104"/>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r>
        <w:rPr>
          <w:noProof/>
        </w:rPr>
        <w:t>Innovation and mobility of the future</w:t>
      </w:r>
      <w:bookmarkEnd w:id="3498"/>
      <w:r>
        <w:rPr>
          <w:noProof/>
        </w:rPr>
        <w:t xml:space="preserve"> </w:t>
      </w:r>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Achieving the Green Deal in the field of mobility, making full use of digitalisation and maintaining the EU industry’s global competitiveness cannot happen without research and innovation support.</w:t>
      </w:r>
      <w:r>
        <w:rPr>
          <w:rStyle w:val="FootnoteReference"/>
          <w:noProof/>
        </w:rPr>
        <w:footnoteReference w:id="413"/>
      </w:r>
      <w:r>
        <w:rPr>
          <w:rFonts w:ascii="Times New Roman Bold" w:hAnsi="Times New Roman Bold"/>
          <w:noProof/>
          <w:vertAlign w:val="superscript"/>
        </w:rPr>
        <w:t xml:space="preserve"> </w:t>
      </w:r>
      <w:r>
        <w:rPr>
          <w:noProof/>
        </w:rPr>
        <w:t>For example, R&amp;D investments in the automotive industry reached EUR 57.4 billion in 2018, i.e. 28% of EU spending (source ACEA)</w:t>
      </w:r>
      <w:r>
        <w:rPr>
          <w:rStyle w:val="FootnoteReference"/>
          <w:noProof/>
          <w:lang w:eastAsia="en-US"/>
        </w:rPr>
        <w:t xml:space="preserve"> </w:t>
      </w:r>
      <w:r>
        <w:rPr>
          <w:rStyle w:val="FootnoteReference"/>
          <w:noProof/>
          <w:lang w:eastAsia="en-US"/>
        </w:rPr>
        <w:footnoteReference w:id="414"/>
      </w:r>
      <w:r>
        <w:rPr>
          <w:noProof/>
        </w:rPr>
        <w:t>, mainly on clean vehicles and also a large amount spent on digitalisation and mobility of the future. There is currently a risk of significant decrease in the R&amp;D effort which has major spill-over and cross-fertilisation effects for other sectors of the EU economy and competitiveness.</w:t>
      </w:r>
    </w:p>
    <w:p>
      <w:pPr>
        <w:pStyle w:val="LegalNumPar"/>
        <w:numPr>
          <w:ilvl w:val="0"/>
          <w:numId w:val="89"/>
        </w:numPr>
        <w:pBdr>
          <w:top w:val="nil"/>
          <w:left w:val="nil"/>
          <w:bottom w:val="nil"/>
          <w:right w:val="nil"/>
          <w:between w:val="nil"/>
          <w:bar w:val="nil"/>
        </w:pBdr>
        <w:tabs>
          <w:tab w:val="left" w:pos="476"/>
        </w:tabs>
        <w:spacing w:line="240" w:lineRule="auto"/>
        <w:rPr>
          <w:b/>
          <w:bCs/>
          <w:noProof/>
        </w:rPr>
      </w:pPr>
      <w:r>
        <w:rPr>
          <w:noProof/>
        </w:rPr>
        <w:t xml:space="preserve">The research and innovation framework programme Horizon 2020 already deployed </w:t>
      </w:r>
      <w:r>
        <w:rPr>
          <w:rStyle w:val="Heading3Char"/>
          <w:b w:val="0"/>
          <w:noProof/>
        </w:rPr>
        <w:t xml:space="preserve">EUR </w:t>
      </w:r>
      <w:r>
        <w:rPr>
          <w:noProof/>
        </w:rPr>
        <w:t>5 billion for the period 2014-2020 to develop and test innovative solutions for seamless, green, integrated, inclusive, affordable, safe, secure and resilient transport systems. Furthermore, research and close-to-market innovation is supported by the European Regional Development Fund, within the framework of Smart Specialisation. By investing in both technology and socio-economic research, pooling resources and sharing risks, the programme supported improving the transport sector’s efficiency in the use of natural resources and reducing its dependence on fossil fuels, thus reducing its environmental impact while sustaining the European transport manufacturing industries and related services to maintain or take worldwide leadership. Facilitating strategic planning and a trans-national approach to common European and global problems, it tackled growing mobility needs for people and goods and enabled public acceptance and uptake of new technologies.</w:t>
      </w:r>
      <w:r>
        <w:rPr>
          <w:rStyle w:val="FootnoteReference"/>
          <w:noProof/>
        </w:rPr>
        <w:footnoteReference w:id="415"/>
      </w:r>
    </w:p>
    <w:p>
      <w:pPr>
        <w:pStyle w:val="LegalNumPar"/>
        <w:numPr>
          <w:ilvl w:val="0"/>
          <w:numId w:val="89"/>
        </w:numPr>
        <w:pBdr>
          <w:top w:val="nil"/>
          <w:left w:val="nil"/>
          <w:bottom w:val="nil"/>
          <w:right w:val="nil"/>
          <w:between w:val="nil"/>
          <w:bar w:val="nil"/>
        </w:pBdr>
        <w:tabs>
          <w:tab w:val="left" w:pos="476"/>
        </w:tabs>
        <w:spacing w:line="240" w:lineRule="auto"/>
        <w:rPr>
          <w:b/>
          <w:bCs/>
          <w:noProof/>
        </w:rPr>
      </w:pPr>
      <w:r>
        <w:rPr>
          <w:noProof/>
        </w:rPr>
        <w:t xml:space="preserve"> However, challenges still persist as far as the full innovation cycle from policy-based need for research to large market deployment is concerned. The transport sector requires a close alignment between R&amp;I initiatives for specific modes and a systemic approach towards a multimodal integrated transport system that is safe, secure, efficient, affordable, sustainable and based on user needs for hassle-free door-to-door passenger mobility and freight transport. However, this is still not the case. </w:t>
      </w:r>
    </w:p>
    <w:p>
      <w:pPr>
        <w:pStyle w:val="LegalNumPar"/>
        <w:numPr>
          <w:ilvl w:val="0"/>
          <w:numId w:val="89"/>
        </w:numPr>
        <w:pBdr>
          <w:top w:val="nil"/>
          <w:left w:val="nil"/>
          <w:bottom w:val="nil"/>
          <w:right w:val="nil"/>
          <w:between w:val="nil"/>
          <w:bar w:val="nil"/>
        </w:pBdr>
        <w:tabs>
          <w:tab w:val="left" w:pos="476"/>
        </w:tabs>
        <w:spacing w:line="240" w:lineRule="auto"/>
        <w:rPr>
          <w:b/>
          <w:bCs/>
          <w:noProof/>
        </w:rPr>
      </w:pPr>
      <w:r>
        <w:rPr>
          <w:noProof/>
        </w:rPr>
        <w:t>There is currently still an insufficiently strong pathway between R&amp;I projects, policy development and the market introduction of innovation. Furthermore the coordination needed between EU and national funding programmes (where about 80% of public R&amp;I funding is programmed) is not yet optimal.</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transport sector with its large assets (esp. aircraft, trains, vessels) and long-term investment cycles for infrastructure (roads, rail, ports, inland waterways, airports and traffic management) also requires specific strategic approaches for large scale innovation deployment.  It is expected that this can best be achieved by specific public-private partnerships such as in aviation (Clean Sky and SESAR) and rail (Shift2Rail), if accompanied by a suitable regulatory framework and market measures to ensure uptake of results. Similar initiatives are being investigated to achieve zero emission waterborne transport and for connected, cooperative and automated mobility as well as clean road transport.</w:t>
      </w:r>
      <w:r>
        <w:rPr>
          <w:rStyle w:val="FootnoteReference"/>
          <w:noProof/>
        </w:rPr>
        <w:footnoteReference w:id="416"/>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Under Horizon 2020</w:t>
      </w:r>
      <w:r>
        <w:rPr>
          <w:rStyle w:val="FootnoteReference"/>
          <w:noProof/>
        </w:rPr>
        <w:footnoteReference w:id="417"/>
      </w:r>
      <w:r>
        <w:rPr>
          <w:noProof/>
        </w:rPr>
        <w:t xml:space="preserve"> and in the framework of smart specialisation thematic platforms</w:t>
      </w:r>
      <w:r>
        <w:rPr>
          <w:rStyle w:val="FootnoteReference"/>
          <w:noProof/>
        </w:rPr>
        <w:footnoteReference w:id="418"/>
      </w:r>
      <w:r>
        <w:rPr>
          <w:noProof/>
        </w:rPr>
        <w:t>, partnerships have successfully engaged major, strategic industrial partners in research and innovation in the respective industrial sectors, thus becoming important drivers for a systemic transformation strengthening Europe's competitiveness. They helped respond to major socio-economic challenges in areas where well-identified market risks and fragmentation require a long-term concerted effort. They also linked activities across the innovation cycle, from research outcomes to closer-to-market activities, facilitating the creation of an internal market for innovative technologies, products and services. These partnerships will have to strengthen even further their impact, accelerating research, development and demonstrations of innovative technologies and operational solutions as well as increasing market uptake. They are expected to develop close synergies with national and regional initiatives, acting as dynamic change agents, strengthening linkages within their respective ecosystems and along the value chains, as well as pooling resources and efforts towards the common EU objectives.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The need for systemic change in transport also requires a new approach between innovations in those sectors relevant for this transformation. The decarbonisation of transport can only be successful in close collaboration with the energy sector and its work on smart electric grids, batteries and production of innovation alternative fuels (hydrogen, biofuels, and synthetic fuels). Digitalisation and automation in transport relies on technology transfer and application of latest technologies in the areas of big data, artificial intelligence as well as information and communication technologies. </w:t>
      </w:r>
    </w:p>
    <w:p>
      <w:pPr>
        <w:pStyle w:val="LegalNumPar"/>
        <w:numPr>
          <w:ilvl w:val="0"/>
          <w:numId w:val="89"/>
        </w:numPr>
        <w:tabs>
          <w:tab w:val="left" w:pos="476"/>
        </w:tabs>
        <w:spacing w:line="240" w:lineRule="auto"/>
        <w:rPr>
          <w:noProof/>
        </w:rPr>
      </w:pPr>
      <w:r>
        <w:rPr>
          <w:noProof/>
        </w:rPr>
        <w:t xml:space="preserve">Activities of citizens’ engagement can be promoted in order to involve </w:t>
      </w:r>
      <w:r>
        <w:rPr>
          <w:noProof/>
          <w:sz w:val="22"/>
          <w:szCs w:val="22"/>
        </w:rPr>
        <w:t xml:space="preserve">a representative group of </w:t>
      </w:r>
      <w:r>
        <w:rPr>
          <w:noProof/>
        </w:rPr>
        <w:t>people in the co-design of the future transport system, to increase awareness about the potential added value of new technologies in their daily life and to ensure the development of a transport system properly addressing peoples' needs</w:t>
      </w:r>
      <w:r>
        <w:rPr>
          <w:noProof/>
          <w:sz w:val="28"/>
        </w:rPr>
        <w:t xml:space="preserve"> </w:t>
      </w:r>
      <w:r>
        <w:rPr>
          <w:noProof/>
          <w:szCs w:val="22"/>
        </w:rPr>
        <w:t>while recognising their diversity</w:t>
      </w:r>
      <w:r>
        <w:rPr>
          <w:noProof/>
        </w:rPr>
        <w:t>. A network of ‘European Living Labs’ could be established in order to engage with citizens at a local and practical level.</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Mastering the threefold challenges of GHG neutrality, digitalisation and competitiveness requires much higher efforts and funding for R&amp;I than in the past. A more integrated approach has been proposed with a common R&amp;I cluster on climate, energy and mobility. EU support to R&amp;I will be vital to avoid fragmented approaches and prepare larger European markets for innovation uptake. Financial instruments such as blending under InvestEU or under the EIC can leverage private innovation deployment funding. </w:t>
      </w:r>
    </w:p>
    <w:p>
      <w:pPr>
        <w:pStyle w:val="LegalNumPar"/>
        <w:numPr>
          <w:ilvl w:val="0"/>
          <w:numId w:val="137"/>
        </w:numPr>
        <w:pBdr>
          <w:top w:val="nil"/>
          <w:left w:val="nil"/>
          <w:bottom w:val="nil"/>
          <w:right w:val="nil"/>
          <w:between w:val="nil"/>
          <w:bar w:val="nil"/>
        </w:pBdr>
        <w:tabs>
          <w:tab w:val="left" w:pos="476"/>
        </w:tabs>
        <w:spacing w:line="240" w:lineRule="auto"/>
        <w:rPr>
          <w:noProof/>
        </w:rPr>
      </w:pPr>
      <w:r>
        <w:rPr>
          <w:noProof/>
        </w:rPr>
        <w:t>In addition, so far the EU has not yet developed a coherent policy and research framework related to “mobility of the future” innovations. Often cross-modal, and not so long ago only abstract ideas, technological breakthroughs and innovative business models requiring new policy and regulatory solutions are maturing at a very fast pace with physical prototypes and projects springing around.</w:t>
      </w:r>
    </w:p>
    <w:p>
      <w:pPr>
        <w:pStyle w:val="LegalNumPar"/>
        <w:numPr>
          <w:ilvl w:val="0"/>
          <w:numId w:val="137"/>
        </w:numPr>
        <w:pBdr>
          <w:top w:val="nil"/>
          <w:left w:val="nil"/>
          <w:bottom w:val="nil"/>
          <w:right w:val="nil"/>
          <w:between w:val="nil"/>
          <w:bar w:val="nil"/>
        </w:pBdr>
        <w:tabs>
          <w:tab w:val="left" w:pos="476"/>
        </w:tabs>
        <w:spacing w:line="240" w:lineRule="auto"/>
        <w:rPr>
          <w:noProof/>
        </w:rPr>
      </w:pPr>
      <w:r>
        <w:rPr>
          <w:noProof/>
        </w:rPr>
        <w:t xml:space="preserve"> Furthermore, mobility is facing a massive transformation, as new digital technologies enable innovative related businesses. As such, a redesign of conventional siloed approaches to transportation modes and mobility is taking place, blurring the traditional roles. This phenomenon is amplified with the entrance of new actors from other sectors.</w:t>
      </w:r>
    </w:p>
    <w:p>
      <w:pPr>
        <w:pStyle w:val="LegalNumPar"/>
        <w:numPr>
          <w:ilvl w:val="0"/>
          <w:numId w:val="137"/>
        </w:numPr>
        <w:pBdr>
          <w:top w:val="nil"/>
          <w:left w:val="nil"/>
          <w:bottom w:val="nil"/>
          <w:right w:val="nil"/>
          <w:between w:val="nil"/>
          <w:bar w:val="nil"/>
        </w:pBdr>
        <w:tabs>
          <w:tab w:val="left" w:pos="476"/>
        </w:tabs>
        <w:spacing w:line="240" w:lineRule="auto"/>
        <w:rPr>
          <w:noProof/>
        </w:rPr>
      </w:pPr>
      <w:r>
        <w:rPr>
          <w:noProof/>
        </w:rPr>
        <w:t>Hyperloop for example</w:t>
      </w:r>
      <w:r>
        <w:rPr>
          <w:rStyle w:val="FootnoteReference"/>
          <w:noProof/>
        </w:rPr>
        <w:footnoteReference w:id="419"/>
      </w:r>
      <w:r>
        <w:rPr>
          <w:noProof/>
        </w:rPr>
        <w:t>, is a concept which essentially allows the transport of people and goods at very high speeds via magnetically levitated (mag-lev) pods in vacuum tubes.  Potential speeds of over 1000 km/h are in theory possible.  Thus it could potentially compete with aviation over long distances – while being electrically powered and thus readily decarbonised.</w:t>
      </w:r>
    </w:p>
    <w:p>
      <w:pPr>
        <w:pStyle w:val="LegalNumPar"/>
        <w:numPr>
          <w:ilvl w:val="0"/>
          <w:numId w:val="137"/>
        </w:numPr>
        <w:pBdr>
          <w:top w:val="nil"/>
          <w:left w:val="nil"/>
          <w:bottom w:val="nil"/>
          <w:right w:val="nil"/>
          <w:between w:val="nil"/>
          <w:bar w:val="nil"/>
        </w:pBdr>
        <w:tabs>
          <w:tab w:val="left" w:pos="476"/>
        </w:tabs>
        <w:spacing w:line="240" w:lineRule="auto"/>
        <w:rPr>
          <w:noProof/>
        </w:rPr>
      </w:pPr>
      <w:r>
        <w:rPr>
          <w:noProof/>
        </w:rPr>
        <w:t>The technology is still at an early development stage, with its true economic and technical feasibility still to be demonstrated.  Nevertheless, given its potential it is important that the EU can help to assess the potential of the new technology and potential services and can support the development of a suitable regulatory, standardisation, safety and interoperability framework.</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At the same time some of the brightest engineers in the world are racing to make previously science fiction</w:t>
      </w:r>
      <w:r>
        <w:rPr>
          <w:b/>
          <w:bCs/>
          <w:noProof/>
        </w:rPr>
        <w:t xml:space="preserve"> personal air vehicles</w:t>
      </w:r>
      <w:r>
        <w:rPr>
          <w:noProof/>
        </w:rPr>
        <w:t xml:space="preserve"> a reality. While none are ready to fly yet commercially, some industry representatives point to the possibility to having them ready in the near future, with tests starting as early as 2020/2021.</w:t>
      </w:r>
      <w:r>
        <w:rPr>
          <w:rStyle w:val="FootnoteReference"/>
          <w:noProof/>
        </w:rPr>
        <w:footnoteReference w:id="420"/>
      </w:r>
      <w:r>
        <w:rPr>
          <w:noProof/>
        </w:rPr>
        <w:t xml:space="preserve">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While many of Europe’s strategic competitors have pushed ahead with developing an enabling environment for emerging technologies, the case for Europe to become the test bed and pilot deployment destination for these innovative and potentially game-changing technologies is not obvious. While inventors and investors are ready to test them, it is often not clear how these new transport means should be approached from a regulatory point of view, in particular, with respect to traditional vs adaptive and flexible regulatory responses. The EU is often considered too complex and not ‘friendly’ enough to deploy new ideas. EU Member States may also be tempted to proceed on their own to gain a competitive edge and avoid lengthy coordination processes. </w:t>
      </w:r>
      <w:bookmarkStart w:id="3551" w:name="_Toc42783901"/>
      <w:bookmarkEnd w:id="1607"/>
    </w:p>
    <w:p>
      <w:pPr>
        <w:pStyle w:val="Heading3"/>
        <w:rPr>
          <w:noProof/>
        </w:rPr>
      </w:pPr>
      <w:bookmarkStart w:id="3552" w:name="_Toc57291511"/>
      <w:r>
        <w:rPr>
          <w:noProof/>
        </w:rPr>
        <w:t>Digital enablers</w:t>
      </w:r>
      <w:bookmarkEnd w:id="3552"/>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 xml:space="preserve">The transition towards smart mobility - more efficient, user-friendly and sustainable can only happen if the right digital enablers are in place. In this regard, shaping a proper data economy for mobility; analysing available spectrum and needs; boosting connectivity infrastructure deployment; or designing a clear framework for using Artificial Intelligence and other breakthrough technologies, should be fundamental pillars towards the successful transport transformation. </w:t>
      </w:r>
    </w:p>
    <w:p>
      <w:pPr>
        <w:pStyle w:val="Heading4"/>
        <w:rPr>
          <w:rFonts w:eastAsia="MS Mincho"/>
          <w:noProof/>
        </w:rPr>
      </w:pPr>
      <w:bookmarkStart w:id="3553" w:name="_Toc57291512"/>
      <w:bookmarkStart w:id="3554" w:name="_Toc50044839"/>
      <w:bookmarkStart w:id="3555" w:name="_Toc50048953"/>
      <w:bookmarkStart w:id="3556" w:name="_Toc50415286"/>
      <w:bookmarkStart w:id="3557" w:name="_Toc50416567"/>
      <w:bookmarkStart w:id="3558" w:name="_Toc50417700"/>
      <w:bookmarkStart w:id="3559" w:name="_Toc50418343"/>
      <w:bookmarkStart w:id="3560" w:name="_Toc50459923"/>
      <w:bookmarkStart w:id="3561" w:name="_Toc50466130"/>
      <w:bookmarkStart w:id="3562" w:name="_Toc50473570"/>
      <w:bookmarkStart w:id="3563" w:name="_Toc50473690"/>
      <w:bookmarkStart w:id="3564" w:name="_Toc50474741"/>
      <w:bookmarkStart w:id="3565" w:name="_Toc50565091"/>
      <w:bookmarkStart w:id="3566" w:name="_Toc50568699"/>
      <w:bookmarkStart w:id="3567" w:name="_Toc50629438"/>
      <w:bookmarkStart w:id="3568" w:name="_Toc50630270"/>
      <w:bookmarkStart w:id="3569" w:name="_Toc50630995"/>
      <w:bookmarkStart w:id="3570" w:name="_Toc50633839"/>
      <w:bookmarkStart w:id="3571" w:name="_Toc50634081"/>
      <w:bookmarkStart w:id="3572" w:name="_Toc50646529"/>
      <w:bookmarkStart w:id="3573" w:name="_Toc50646664"/>
      <w:bookmarkStart w:id="3574" w:name="_Toc50649483"/>
      <w:bookmarkStart w:id="3575" w:name="_Toc50650790"/>
      <w:bookmarkStart w:id="3576" w:name="_Toc51594028"/>
      <w:bookmarkStart w:id="3577" w:name="_Toc51594354"/>
      <w:bookmarkStart w:id="3578" w:name="_Toc51595332"/>
      <w:bookmarkStart w:id="3579" w:name="_Toc51595582"/>
      <w:bookmarkStart w:id="3580" w:name="_Toc51595908"/>
      <w:bookmarkStart w:id="3581" w:name="_Toc51596071"/>
      <w:bookmarkStart w:id="3582" w:name="_Toc51596424"/>
      <w:bookmarkStart w:id="3583" w:name="_Toc52121558"/>
      <w:bookmarkStart w:id="3584" w:name="_Toc52122789"/>
      <w:bookmarkStart w:id="3585" w:name="_Toc52123906"/>
      <w:bookmarkStart w:id="3586" w:name="_Toc46312135"/>
      <w:bookmarkStart w:id="3587" w:name="_Toc51574824"/>
      <w:bookmarkStart w:id="3588" w:name="_Toc51575672"/>
      <w:bookmarkStart w:id="3589" w:name="_Toc51578070"/>
      <w:bookmarkStart w:id="3590" w:name="_Toc51582943"/>
      <w:bookmarkStart w:id="3591" w:name="_Toc51583418"/>
      <w:bookmarkStart w:id="3592" w:name="_Toc51583508"/>
      <w:bookmarkStart w:id="3593" w:name="_Toc51583793"/>
      <w:bookmarkStart w:id="3594" w:name="_Toc51583983"/>
      <w:bookmarkStart w:id="3595" w:name="_Toc51583907"/>
      <w:bookmarkStart w:id="3596" w:name="_Toc51586225"/>
      <w:bookmarkStart w:id="3597" w:name="_Toc53405366"/>
      <w:bookmarkStart w:id="3598" w:name="_Toc53406154"/>
      <w:bookmarkStart w:id="3599" w:name="_Toc53407522"/>
      <w:bookmarkStart w:id="3600" w:name="_Toc53410967"/>
      <w:bookmarkStart w:id="3601" w:name="_Toc53412030"/>
      <w:bookmarkStart w:id="3602" w:name="_Toc53417277"/>
      <w:bookmarkStart w:id="3603" w:name="_Toc53417629"/>
      <w:bookmarkStart w:id="3604" w:name="_Toc53419864"/>
      <w:bookmarkStart w:id="3605" w:name="_Toc53434967"/>
      <w:bookmarkStart w:id="3606" w:name="_Toc53437106"/>
      <w:r>
        <w:rPr>
          <w:rFonts w:eastAsia="MS Mincho"/>
          <w:noProof/>
        </w:rPr>
        <w:t>Data for smart transport and mobility</w:t>
      </w:r>
      <w:bookmarkEnd w:id="3553"/>
      <w:r>
        <w:rPr>
          <w:rFonts w:eastAsia="MS Mincho"/>
          <w:noProof/>
        </w:rPr>
        <w:t xml:space="preserve"> </w:t>
      </w:r>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p>
    <w:p>
      <w:pPr>
        <w:pStyle w:val="LegalNumPar"/>
        <w:numPr>
          <w:ilvl w:val="0"/>
          <w:numId w:val="137"/>
        </w:numPr>
        <w:pBdr>
          <w:top w:val="nil"/>
          <w:left w:val="nil"/>
          <w:bottom w:val="nil"/>
          <w:right w:val="nil"/>
          <w:between w:val="nil"/>
          <w:bar w:val="nil"/>
        </w:pBdr>
        <w:tabs>
          <w:tab w:val="left" w:pos="476"/>
        </w:tabs>
        <w:spacing w:line="240" w:lineRule="auto"/>
        <w:rPr>
          <w:noProof/>
        </w:rPr>
      </w:pPr>
      <w:r>
        <w:rPr>
          <w:noProof/>
        </w:rPr>
        <w:t xml:space="preserve">Data is at the heart of this digital transformation. Exchanging data is a prerequisite for a seamless passenger experience across modes, allowing integrated planning, ticketing, and purchase. Furthermore, exchanging data enables operators to optimise their operational and maintenance processes. In addition, data governance should be based on a systemic approach in which all sectors benefit from the data exchange, especially when implementing smart cities. The industry is actually requesting more action on the connectivity side, data governance, data sharing, and communication. </w:t>
      </w:r>
    </w:p>
    <w:p>
      <w:pPr>
        <w:pStyle w:val="LegalNumPar"/>
        <w:numPr>
          <w:ilvl w:val="0"/>
          <w:numId w:val="137"/>
        </w:numPr>
        <w:pBdr>
          <w:top w:val="nil"/>
          <w:left w:val="nil"/>
          <w:bottom w:val="nil"/>
          <w:right w:val="nil"/>
          <w:between w:val="nil"/>
          <w:bar w:val="nil"/>
        </w:pBdr>
        <w:tabs>
          <w:tab w:val="left" w:pos="476"/>
        </w:tabs>
        <w:spacing w:line="240" w:lineRule="auto"/>
        <w:rPr>
          <w:noProof/>
        </w:rPr>
      </w:pPr>
      <w:r>
        <w:rPr>
          <w:noProof/>
        </w:rPr>
        <w:t xml:space="preserve">Interoperability is a precondition for successfully linking data flows and distributed systems across sectors, borders and transport modes </w:t>
      </w:r>
      <w:r>
        <w:rPr>
          <w:rFonts w:hint="eastAsia"/>
          <w:noProof/>
        </w:rPr>
        <w:t>–</w:t>
      </w:r>
      <w:r>
        <w:rPr>
          <w:noProof/>
        </w:rPr>
        <w:t xml:space="preserve"> and with related areas such as security, energy, health, environment etc. The European Interoperability Framework</w:t>
      </w:r>
      <w:r>
        <w:rPr>
          <w:rStyle w:val="FootnoteReference"/>
          <w:noProof/>
        </w:rPr>
        <w:footnoteReference w:id="421"/>
      </w:r>
      <w:r>
        <w:rPr>
          <w:noProof/>
        </w:rPr>
        <w:t xml:space="preserve"> is currently under review as part of the Commission’s commitment to presenting a strengthened EU interoperability strategy by the end of 2021. This will directly support sectoral digital transformation strategies, such as mobility.</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Data exchange is equally important for </w:t>
      </w:r>
      <w:r>
        <w:rPr>
          <w:b/>
          <w:bCs/>
          <w:noProof/>
        </w:rPr>
        <w:t>smoother logistics</w:t>
      </w:r>
      <w:r>
        <w:rPr>
          <w:noProof/>
        </w:rPr>
        <w:t xml:space="preserve">, so that choices on transport modes and routes could be made and adjusted in real time, based on traffic conditions, availability of vehicles, vessels and infrastructure, cargo location and final destination. Transport and logistics operators need sufficient information on the network and traffic conditions to be able to predict reliable journey times and optimise costs, energy consumption and environmental impact – from tackling congestion to minimising local air pollution. Information on planned works or capacity restrictions is needed to plan for the most suitable modal choice to make effective multimodal transport, integrating all modes of transport a reality. Real-time information on the localisation of goods and their transhipment would also enable the activation of smart contracts linked to goods handling along the logistic chain, making the EU logistics more efficient as a whole and enabling door-to-door service.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 The use of infrastructure and therefore optimisation of capacity could also be improved thanks to services based on data exchange. For driverless vehicles and trains, on their part, timely access to information on physical infrastructure usage rules (e.g. traffic rules for road transport) could be paramount for correct functioning.</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access to real-time traffic and logistics data in freight transport is crucial to ensure smooth flow of goods across the European borders and contribute to reducing empty runs. The Galileo Green Lane App allowing for real time visualization of congestion at the European road border crossing points proved its benefits in facilitating cross-border carriage of goods in the time of cross-border traffic restrictions introduced by the Member States due to COVID-19 pandemic.</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Data is also key for improving road safety. Large amounts of in-vehicle data that are extremely valuable for traffic management, roadworthiness tests, investigation of crashes (particularly useful in terms of road safety for those resulting in fatality or serious injury, and in the longer run, also for the analysis of incidents and “near misses”) are already generated in all recent vehicle models, and volumes of such data are set to increase with higher levels of automation.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Data is key for improving aviation safety. Based on EU research and TEN-T programs, EASA launched the initiative Data4Safety, for secured identification of anomalies and potential incidents precursors by analysing operational data from the operators that voluntary participate in the initiative.</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To take advantage of the opportunities presented by the data economy, several modal and multimodal rules have already been put in place, though challenges remain.    </w:t>
      </w:r>
    </w:p>
    <w:p>
      <w:pPr>
        <w:pStyle w:val="LegalNumPar"/>
        <w:numPr>
          <w:ilvl w:val="0"/>
          <w:numId w:val="89"/>
        </w:numPr>
        <w:pBdr>
          <w:top w:val="nil"/>
          <w:left w:val="nil"/>
          <w:bottom w:val="nil"/>
          <w:right w:val="nil"/>
          <w:between w:val="nil"/>
          <w:bar w:val="nil"/>
        </w:pBdr>
        <w:tabs>
          <w:tab w:val="left" w:pos="476"/>
        </w:tabs>
        <w:spacing w:line="240" w:lineRule="auto"/>
        <w:rPr>
          <w:i/>
          <w:noProof/>
        </w:rPr>
      </w:pPr>
      <w:r>
        <w:rPr>
          <w:noProof/>
        </w:rPr>
        <w:t>The Intelligent Transport Systems Directive and four of its Delegated Regulations</w:t>
      </w:r>
      <w:r>
        <w:rPr>
          <w:rStyle w:val="FootnoteReference"/>
          <w:noProof/>
        </w:rPr>
        <w:footnoteReference w:id="422"/>
      </w:r>
      <w:r>
        <w:rPr>
          <w:noProof/>
        </w:rPr>
        <w:t xml:space="preserve"> mandate the creation of National Access Points (NAP) as a single point of access for users to the ITS data to facilitate access, easy exchange and reuse of transport data (multimodal, road safety-related, safe and secure parking, real-time traffic and travel data). Since the adoption of the delegated regulations, National Access Points</w:t>
      </w:r>
      <w:r>
        <w:rPr>
          <w:rStyle w:val="FootnoteReference"/>
          <w:noProof/>
        </w:rPr>
        <w:footnoteReference w:id="423"/>
      </w:r>
      <w:r>
        <w:rPr>
          <w:noProof/>
        </w:rPr>
        <w:t xml:space="preserve"> have been established in most Member States and although implementation is not yet complete, the developments represent significant progress in setting up an EU backbone infrastructure for ITS data.</w:t>
      </w:r>
      <w:r>
        <w:rPr>
          <w:rStyle w:val="FootnoteReference"/>
          <w:noProof/>
        </w:rPr>
        <w:footnoteReference w:id="424"/>
      </w:r>
    </w:p>
    <w:p>
      <w:pPr>
        <w:pStyle w:val="LegalNumPar"/>
        <w:numPr>
          <w:ilvl w:val="0"/>
          <w:numId w:val="89"/>
        </w:numPr>
        <w:pBdr>
          <w:top w:val="nil"/>
          <w:left w:val="nil"/>
          <w:bottom w:val="nil"/>
          <w:right w:val="nil"/>
          <w:between w:val="nil"/>
          <w:bar w:val="nil"/>
        </w:pBdr>
        <w:tabs>
          <w:tab w:val="left" w:pos="476"/>
        </w:tabs>
        <w:spacing w:line="240" w:lineRule="auto"/>
        <w:rPr>
          <w:i/>
          <w:noProof/>
        </w:rPr>
      </w:pPr>
      <w:r>
        <w:rPr>
          <w:noProof/>
        </w:rPr>
        <w:t xml:space="preserve">Those early stages of implementation made it already apparent that Member States are faced with common challenges and are looking for common solutions through working further together. Yet, currently there is no place where NAPs operators and National Bodies/competent authorities can work together on common issues related to the development, operation and evolution of NAPs or on new challenges such as e.g. data collection activities and negotiations with private data providers and/or global players. Therefore, as announced in the European strategy for data in February 2019, the Commission will establish a </w:t>
      </w:r>
      <w:r>
        <w:rPr>
          <w:b/>
          <w:bCs/>
          <w:noProof/>
        </w:rPr>
        <w:t>stronger coordination mechanism to federate the National Access Points</w:t>
      </w:r>
      <w:r>
        <w:rPr>
          <w:noProof/>
        </w:rPr>
        <w:t xml:space="preserve"> established under the ITS Directive and contribute to the development of the common European mobility data space.</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Also, although NAPs allow data to be shared, the usage of the data provided by them is still relatively low, partly due to the fact that they have been created only recently. The services related to the exchange of static road attribute data used for updating digital maps are an exception, progressing well but in need to expand to local levels. For the multimodal information services a lot of static data (such as schedules and basic fares for all transport modes) has also become more accessible. Still, the accessibility of dynamic data (e.g. real-time information on disruption and delays, dynamic fares and seat availability) has been left to discretion of Member States making it difficult for service providers to have access to them.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Despite the legislation in place, reluctance to share data continues to be a limiting factor. This is due to issues of lack of trust, high expected costs and unclear benefits for those providing the data.</w:t>
      </w:r>
      <w:r>
        <w:rPr>
          <w:rStyle w:val="FootnoteReference"/>
          <w:noProof/>
        </w:rPr>
        <w:footnoteReference w:id="425"/>
      </w:r>
      <w:r>
        <w:rPr>
          <w:noProof/>
        </w:rPr>
        <w:t xml:space="preserve"> Also, the quality of safety-related data is not yet optimal. Last but not least, the data layers (e.g. road and multimodal data, traffic and travel data) are not yet structured and coordinated well enough and tools allowing effective accessibility, exchanging and data collection are missing. </w:t>
      </w:r>
    </w:p>
    <w:p>
      <w:pPr>
        <w:pStyle w:val="LegalNumPar"/>
        <w:numPr>
          <w:ilvl w:val="0"/>
          <w:numId w:val="89"/>
        </w:numPr>
        <w:pBdr>
          <w:top w:val="nil"/>
          <w:left w:val="nil"/>
          <w:bottom w:val="nil"/>
          <w:right w:val="nil"/>
          <w:between w:val="nil"/>
          <w:bar w:val="nil"/>
        </w:pBdr>
        <w:tabs>
          <w:tab w:val="left" w:pos="476"/>
        </w:tabs>
        <w:spacing w:line="240" w:lineRule="auto"/>
        <w:rPr>
          <w:b/>
          <w:bCs/>
          <w:noProof/>
        </w:rPr>
      </w:pPr>
      <w:r>
        <w:rPr>
          <w:noProof/>
        </w:rPr>
        <w:t xml:space="preserve">Similarly, through-ticketing for railway journeys, allowing passengers to purchase one ticket covering multiple operators and networks, is not systematically available in the European Single Railway Area. Technical preconditions for the issuing of through-tickets are met, </w:t>
      </w:r>
      <w:r>
        <w:rPr>
          <w:i/>
          <w:iCs/>
          <w:noProof/>
        </w:rPr>
        <w:t>inter alia</w:t>
      </w:r>
      <w:r>
        <w:rPr>
          <w:noProof/>
        </w:rPr>
        <w:t xml:space="preserve"> through TAP TSI and industry initiatives, but underlying commercial agreements between railway undertakings and between railway undertakings and ticket vendors are lagging behind. The same is true for multi-modal ticketing.</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Further progress is also needed to develop comprehensive digital solutions to </w:t>
      </w:r>
      <w:r>
        <w:rPr>
          <w:b/>
          <w:bCs/>
          <w:noProof/>
        </w:rPr>
        <w:t>facilitate effective management of multimodal transport flows</w:t>
      </w:r>
      <w:r>
        <w:rPr>
          <w:noProof/>
        </w:rPr>
        <w:t>. At the moment, operators are often requested to report information on cargo on board several times to several authorities, and the potential of the re-use of data is not fully exploited. Legal acts introducing sectoral reporting obligations for maritime transport (such as health, border controls, customs, transport) have been developed in an isolated manner so transport operators have to deal with a patchwork of processes and data requirements.</w:t>
      </w:r>
    </w:p>
    <w:p>
      <w:pPr>
        <w:pStyle w:val="LegalNumPar"/>
        <w:numPr>
          <w:ilvl w:val="0"/>
          <w:numId w:val="89"/>
        </w:numPr>
        <w:pBdr>
          <w:top w:val="nil"/>
          <w:left w:val="nil"/>
          <w:bottom w:val="nil"/>
          <w:right w:val="nil"/>
          <w:between w:val="nil"/>
          <w:bar w:val="nil"/>
        </w:pBdr>
        <w:tabs>
          <w:tab w:val="left" w:pos="476"/>
        </w:tabs>
        <w:spacing w:line="240" w:lineRule="auto"/>
        <w:rPr>
          <w:b/>
          <w:bCs/>
          <w:noProof/>
        </w:rPr>
      </w:pPr>
      <w:r>
        <w:rPr>
          <w:noProof/>
        </w:rPr>
        <w:t>The implementation of the Maritime Single Window Regulation and Regulation on Electronic Freight Transport Information</w:t>
      </w:r>
      <w:r>
        <w:rPr>
          <w:noProof/>
          <w:vertAlign w:val="superscript"/>
        </w:rPr>
        <w:footnoteReference w:id="426"/>
      </w:r>
      <w:r>
        <w:rPr>
          <w:noProof/>
        </w:rPr>
        <w:t xml:space="preserve">, covering a major part of business to government data exchange will take place in coming 5 years until 2025. </w:t>
      </w:r>
    </w:p>
    <w:p>
      <w:pPr>
        <w:pStyle w:val="LegalNumPar"/>
        <w:numPr>
          <w:ilvl w:val="0"/>
          <w:numId w:val="89"/>
        </w:numPr>
        <w:pBdr>
          <w:top w:val="nil"/>
          <w:left w:val="nil"/>
          <w:bottom w:val="nil"/>
          <w:right w:val="nil"/>
          <w:between w:val="nil"/>
          <w:bar w:val="nil"/>
        </w:pBdr>
        <w:tabs>
          <w:tab w:val="left" w:pos="476"/>
        </w:tabs>
        <w:spacing w:line="240" w:lineRule="auto"/>
        <w:rPr>
          <w:b/>
          <w:bCs/>
          <w:noProof/>
        </w:rPr>
      </w:pPr>
      <w:r>
        <w:rPr>
          <w:noProof/>
        </w:rPr>
        <w:t xml:space="preserve">The </w:t>
      </w:r>
      <w:r>
        <w:rPr>
          <w:b/>
          <w:bCs/>
          <w:noProof/>
        </w:rPr>
        <w:t>European Maritime Single Window</w:t>
      </w:r>
      <w:r>
        <w:rPr>
          <w:noProof/>
        </w:rPr>
        <w:t xml:space="preserve"> </w:t>
      </w:r>
      <w:r>
        <w:rPr>
          <w:b/>
          <w:bCs/>
          <w:noProof/>
        </w:rPr>
        <w:t>environment</w:t>
      </w:r>
      <w:r>
        <w:rPr>
          <w:noProof/>
        </w:rPr>
        <w:t xml:space="preserve">, once fully implemented, will guarantee harmonised submission and reuse of data under ship related reporting obligations for all EU port calls through national single windows. Furthermore, the EU Customs Union is already equipped with several EU-wide (trans-EU) IT systems and a diversity of national systems and a diversity of national systems. Harmonisation of processes and data in the area of customs is ongoing. In addition, further legal work is needed to harmonise different sectorial data requirements.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For cargo documentation, the application of the </w:t>
      </w:r>
      <w:r>
        <w:rPr>
          <w:b/>
          <w:bCs/>
          <w:noProof/>
        </w:rPr>
        <w:t>Regulation on Electronic Freight Transport Information</w:t>
      </w:r>
      <w:r>
        <w:rPr>
          <w:noProof/>
          <w:vertAlign w:val="superscript"/>
        </w:rPr>
        <w:footnoteReference w:id="427"/>
      </w:r>
      <w:r>
        <w:rPr>
          <w:noProof/>
        </w:rPr>
        <w:t xml:space="preserve"> (eFTI) as of 2025 is expected to allow industry to cut administrative costs for the equivalent of 75-102 million work hours yearly, leading to overall savings between EUR 20 and EUR 27 billion until 2040</w:t>
      </w:r>
      <w:r>
        <w:rPr>
          <w:rStyle w:val="FootnoteReference"/>
          <w:noProof/>
        </w:rPr>
        <w:footnoteReference w:id="428"/>
      </w:r>
      <w:r>
        <w:rPr>
          <w:noProof/>
        </w:rPr>
        <w:t>. Paper sheets for the equivalent of up to 900.000 trees annually would also be saved, and better integration of transport information flows across the different transport modes should facilitate efficient multimodality, with positive impacts on emissions reduction. However, the regulation covers only cargo related information, while the other documentation required for transportation, related to vehicles and drivers, is handled by a number of separate systems. For full user benefits, the eFTI data sharing environment should be in the future interlinked with the systems handling vehicle and driver data, by providing for their interoperability and interconnectivity. Further interconnectivity should also be explored with the EU e-customs and maritime single window environments.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For the inland waterways, the introduction of </w:t>
      </w:r>
      <w:r>
        <w:rPr>
          <w:b/>
          <w:bCs/>
          <w:noProof/>
        </w:rPr>
        <w:t>harmonised River Information Services (RIS)</w:t>
      </w:r>
      <w:r>
        <w:rPr>
          <w:noProof/>
        </w:rPr>
        <w:t xml:space="preserve"> supports the sector’s digitalisation progress.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However, there are still areas, in particular in road transport, where digital exchange of information is not yet universally accepted.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Despite progress made across different modes (with respective challenges, the real data economy in the transport sector has not yet been realised due to the lack of a well-functioning data ecosystem for the transport sector as a whole (beyond mere reporting and business-to-administration data exchange).</w:t>
      </w:r>
      <w:r>
        <w:rPr>
          <w:b/>
          <w:bCs/>
          <w:noProof/>
        </w:rPr>
        <w:t xml:space="preserve"> </w:t>
      </w:r>
      <w:r>
        <w:rPr>
          <w:noProof/>
        </w:rPr>
        <w:t xml:space="preserve">Existing data is not sufficiently shared neither within nor across modes, due to different standards, habits, lack of trust, commercial sensitivities and, in certain cases, data ownership concerns. Data availability and willingness to share is hampered by the absence of a ‘trusted environment for data sharing’ across mobility sectors where transport operators, users, infrastructure managers, public authorities, agencies, and other relevant stakeholders can easily connect and exchange data in a secure and interoperable way.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For example, in case of EU-wide multimodal ticketing and payment systems distribution of relevant data (e.g. on fares) is vital for those services.</w:t>
      </w:r>
      <w:r>
        <w:rPr>
          <w:rStyle w:val="FootnoteReference"/>
          <w:noProof/>
        </w:rPr>
        <w:t xml:space="preserve"> </w:t>
      </w:r>
      <w:r>
        <w:rPr>
          <w:noProof/>
        </w:rPr>
        <w:t>But currently, transport service providers can exclude third parties from the further use of their data.</w:t>
      </w:r>
      <w:r>
        <w:rPr>
          <w:rStyle w:val="FootnoteReference"/>
          <w:noProof/>
        </w:rPr>
        <w:t xml:space="preserve"> </w:t>
      </w:r>
      <w:r>
        <w:rPr>
          <w:rStyle w:val="FootnoteReference"/>
          <w:noProof/>
        </w:rPr>
        <w:footnoteReference w:id="429"/>
      </w:r>
      <w:r>
        <w:rPr>
          <w:noProof/>
        </w:rPr>
        <w:t xml:space="preserve"> A single booking for a door-to-door multimodal delivery, with options for a time of the delivery, cost and its environmental impact, is not yet possible either. Harmonised real-time multimodal cargo, carrier and traffic information together with interoperable optimisation tools would facilitate the dynamic and automated re-routing of cargo, thus, constantly ensuring the optimal match with the set conditions.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Many public and private sector organisations have already platforms in place facilitating data sharing in support of business and legal compliance processes. However, sharing information on a more universal basis requires interoperability, a trusted and secure environment, harmonised procedures and data models. The</w:t>
      </w:r>
      <w:r>
        <w:rPr>
          <w:b/>
          <w:bCs/>
          <w:noProof/>
        </w:rPr>
        <w:t xml:space="preserve"> Digital Transport and Logistics Forum (DTLF) </w:t>
      </w:r>
      <w:r>
        <w:rPr>
          <w:noProof/>
        </w:rPr>
        <w:t xml:space="preserve">will facilitate the access to data through developing solutions for interconnecting existing sources of information and data platforms and defining minimum service levels. It supports not only the implementation of the Regulation on Electronic Freight Transport Information for business to administration data exchange, but aims at establishing a technical, organisational and legal framework and governance structure for cost-effective and secured business to business data exchange.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Clear and transparent rules on data sharing within and across modes are also necessary to prevent a potentially distorting situations, in which the incumbent or a single platform dictates transport conditions. In the current set-up a few actors in the value chain might have a near monopoly on certain types of key data sets limiting the innovation capacity of other actors as well as the potential for new entrants.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An example of this is when vehicle manufacturers or digital platforms owners have a privileged access to car data and to vehicle resources, proposing services directly to the driver and not allowing for fair competition between service providers. Similar for mobility platforms, ticketing and payments systems, where main operators are reluctant to give access to their data.    This was also the case in air ticket distribution in the past and led to the adoption of the Regulation on a Code of Conduct for computerised reservation systems (CRS)</w:t>
      </w:r>
      <w:r>
        <w:rPr>
          <w:rStyle w:val="FootnoteReference"/>
          <w:noProof/>
        </w:rPr>
        <w:footnoteReference w:id="430"/>
      </w:r>
      <w:r>
        <w:rPr>
          <w:noProof/>
        </w:rPr>
        <w:t>. However, due to market and technological changes, there are questions as to whether the objectives of the CRS Code of Conduct are still relevant, and whether it remains fit for purpose.</w:t>
      </w:r>
      <w:r>
        <w:rPr>
          <w:rStyle w:val="FootnoteReference"/>
          <w:noProof/>
        </w:rPr>
        <w:footnoteReference w:id="431"/>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Urban mobility will greatly improve if data exchange models and cross-sectoral platforms are properly defined and accommodated, for instance through good practices on implementing interoperable urban digital platforms for cross-domain data management, building capacity for creating urban digital twins and promoting AI-enabled urban data services.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In view of the above, and in order to take advantage of the opportunities of the data economy and to position Europe at the forefront of the development of an intelligent transport system, in its Communication on a European Strategy for Data, the Commission announced it would create a common European mobility data space to facilitate access, pooling and sharing of data from existing and future transport and mobility databases and platforms.</w:t>
      </w:r>
      <w:r>
        <w:rPr>
          <w:rStyle w:val="FootnoteReference"/>
          <w:noProof/>
        </w:rPr>
        <w:footnoteReference w:id="432"/>
      </w:r>
      <w:r>
        <w:rPr>
          <w:noProof/>
        </w:rPr>
        <w:t xml:space="preserve"> </w:t>
      </w:r>
    </w:p>
    <w:p>
      <w:pPr>
        <w:pStyle w:val="Heading4"/>
        <w:rPr>
          <w:rFonts w:eastAsia="MS Mincho"/>
          <w:noProof/>
        </w:rPr>
      </w:pPr>
      <w:bookmarkStart w:id="3607" w:name="_Toc57291513"/>
      <w:bookmarkStart w:id="3608" w:name="_Toc50044840"/>
      <w:bookmarkStart w:id="3609" w:name="_Toc50048954"/>
      <w:bookmarkStart w:id="3610" w:name="_Toc50415287"/>
      <w:bookmarkStart w:id="3611" w:name="_Toc50416568"/>
      <w:bookmarkStart w:id="3612" w:name="_Toc50417701"/>
      <w:bookmarkStart w:id="3613" w:name="_Toc50418344"/>
      <w:bookmarkStart w:id="3614" w:name="_Toc50459924"/>
      <w:bookmarkStart w:id="3615" w:name="_Toc50466131"/>
      <w:bookmarkStart w:id="3616" w:name="_Toc50473571"/>
      <w:bookmarkStart w:id="3617" w:name="_Toc50473691"/>
      <w:bookmarkStart w:id="3618" w:name="_Toc50474742"/>
      <w:bookmarkStart w:id="3619" w:name="_Toc50565092"/>
      <w:bookmarkStart w:id="3620" w:name="_Toc50568700"/>
      <w:bookmarkStart w:id="3621" w:name="_Toc50629439"/>
      <w:bookmarkStart w:id="3622" w:name="_Toc50630271"/>
      <w:bookmarkStart w:id="3623" w:name="_Toc50630996"/>
      <w:bookmarkStart w:id="3624" w:name="_Toc50633840"/>
      <w:bookmarkStart w:id="3625" w:name="_Toc50634082"/>
      <w:bookmarkStart w:id="3626" w:name="_Toc50646530"/>
      <w:bookmarkStart w:id="3627" w:name="_Toc50646665"/>
      <w:bookmarkStart w:id="3628" w:name="_Toc50649484"/>
      <w:bookmarkStart w:id="3629" w:name="_Toc50650791"/>
      <w:bookmarkStart w:id="3630" w:name="_Toc51574825"/>
      <w:bookmarkStart w:id="3631" w:name="_Toc51575673"/>
      <w:bookmarkStart w:id="3632" w:name="_Toc51578071"/>
      <w:bookmarkStart w:id="3633" w:name="_Toc51582944"/>
      <w:bookmarkStart w:id="3634" w:name="_Toc51583419"/>
      <w:bookmarkStart w:id="3635" w:name="_Toc51583509"/>
      <w:bookmarkStart w:id="3636" w:name="_Toc51583794"/>
      <w:bookmarkStart w:id="3637" w:name="_Toc51583984"/>
      <w:bookmarkStart w:id="3638" w:name="_Toc51583908"/>
      <w:bookmarkStart w:id="3639" w:name="_Toc51586226"/>
      <w:bookmarkStart w:id="3640" w:name="_Toc51594029"/>
      <w:bookmarkStart w:id="3641" w:name="_Toc51594355"/>
      <w:bookmarkStart w:id="3642" w:name="_Toc51595333"/>
      <w:bookmarkStart w:id="3643" w:name="_Toc51595583"/>
      <w:bookmarkStart w:id="3644" w:name="_Toc51595909"/>
      <w:bookmarkStart w:id="3645" w:name="_Toc51596072"/>
      <w:bookmarkStart w:id="3646" w:name="_Toc51596425"/>
      <w:bookmarkStart w:id="3647" w:name="_Toc52121559"/>
      <w:bookmarkStart w:id="3648" w:name="_Toc52122790"/>
      <w:bookmarkStart w:id="3649" w:name="_Toc52123907"/>
      <w:bookmarkStart w:id="3650" w:name="_Toc53405367"/>
      <w:bookmarkStart w:id="3651" w:name="_Toc53406155"/>
      <w:bookmarkStart w:id="3652" w:name="_Toc53407523"/>
      <w:bookmarkStart w:id="3653" w:name="_Toc53410968"/>
      <w:bookmarkStart w:id="3654" w:name="_Toc53412031"/>
      <w:bookmarkStart w:id="3655" w:name="_Toc53417278"/>
      <w:bookmarkStart w:id="3656" w:name="_Toc53417630"/>
      <w:bookmarkStart w:id="3657" w:name="_Toc53419865"/>
      <w:bookmarkStart w:id="3658" w:name="_Toc53434968"/>
      <w:bookmarkStart w:id="3659" w:name="_Toc53437107"/>
      <w:bookmarkStart w:id="3660" w:name="_Toc46312136"/>
      <w:r>
        <w:rPr>
          <w:rFonts w:eastAsia="MS Mincho"/>
          <w:noProof/>
        </w:rPr>
        <w:t>Artificial Intelligence, 5G and other key enabling technologies</w:t>
      </w:r>
      <w:bookmarkEnd w:id="3607"/>
      <w:r>
        <w:rPr>
          <w:rFonts w:eastAsia="MS Mincho"/>
          <w:noProof/>
        </w:rPr>
        <w:t xml:space="preserve"> </w:t>
      </w:r>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This untapped data potential is also likely to hamper the possibility of reaping the benefits of key technologies such as </w:t>
      </w:r>
      <w:r>
        <w:rPr>
          <w:b/>
          <w:bCs/>
          <w:noProof/>
        </w:rPr>
        <w:t>Artificial Intelligence (AI).</w:t>
      </w:r>
      <w:r>
        <w:rPr>
          <w:noProof/>
        </w:rPr>
        <w:t xml:space="preserve"> At the moment, the sector does not have a comprehensive roadmap that would allow it to unlock the full potential of AI, also beyond data issues, and manage related challenges in transport and logistics sectors.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Commission has so far developed a horizontal approach to AI. The AI strategy adopted in 2018</w:t>
      </w:r>
      <w:r>
        <w:rPr>
          <w:rStyle w:val="FootnoteReference"/>
          <w:noProof/>
        </w:rPr>
        <w:footnoteReference w:id="433"/>
      </w:r>
      <w:r>
        <w:rPr>
          <w:noProof/>
        </w:rPr>
        <w:t xml:space="preserve"> is based on three pillars: boosting EU technological and industrial capacity and AI uptake across the economy; preparing for socio-economic change, and ensuring an appropriate ethical and legal framework. In May 2019, the Commission also published a Communication on AI’s trustworthiness, designed to increase its public acceptance. The Communication presented the ethics guidelines and announced the pilot phase to refine the assessment list that helps organisations implement these guidelines. </w:t>
      </w:r>
      <w:r>
        <w:rPr>
          <w:rStyle w:val="FootnoteReference"/>
          <w:noProof/>
        </w:rPr>
        <w:footnoteReference w:id="434"/>
      </w:r>
      <w:r>
        <w:rPr>
          <w:noProof/>
        </w:rPr>
        <w:t xml:space="preserve"> In the following White Paper on Artificial Intelligence - A European approach to excellence and trust</w:t>
      </w:r>
      <w:r>
        <w:rPr>
          <w:rStyle w:val="FootnoteReference"/>
          <w:noProof/>
        </w:rPr>
        <w:footnoteReference w:id="435"/>
      </w:r>
      <w:r>
        <w:rPr>
          <w:noProof/>
        </w:rPr>
        <w:t>, the Commission further elaborated the need to focus on a two-pronged approach in AI: building an ecosystem of excellence and an ecosystem of trust.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Recognising the benefits of AI, the EU has funded many projects in this domain. The new Digital Europe Programme will provide further funding for AI projects, including for testing AI, including embodied AI, use across different sectors. With the funding of research and innovation in AI in the Horizon Europe and Digital Europe programmes respectively, the Commission is also shaping the European AI landscape, in order to build it on European strengths and be in line with European values. In the mobility sector several specific applications already show high potential – e.g. automated driving (which relies on on-board ability to combine planned data and real-time data often consisting of images, to optimise performances – including on energy, and ensure high level of safety), predictive functions (of maintenance / emergencies or dysfunctions, computation of Expected Time of Arrival).</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Commission has so far developed a horizontal approach to AI. The AI strategy adopted in 2018</w:t>
      </w:r>
      <w:r>
        <w:rPr>
          <w:rStyle w:val="FootnoteReference"/>
          <w:noProof/>
        </w:rPr>
        <w:footnoteReference w:id="436"/>
      </w:r>
      <w:r>
        <w:rPr>
          <w:noProof/>
        </w:rPr>
        <w:t xml:space="preserve"> is based on three pillars: boosting EU technological and industrial capacity and AI uptake across the economy; preparing for socio-economic change, and ensuring an appropriate ethical and legal framework. In May 2019, the Commission also published a Communication on AI’s trustworthiness, designed to increase its public acceptance. The Communication presented the ethics guidelines and announced the pilot phase to refine the assessment list that helps organisations implement these guidelines.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Recognising the benefits of AI, the EU has funded many projects in this domain. The new Digital Europe Programme will provide further funding for AI projects, including for testing AI use across different sectors. In the mobility sector several specific applications already show high potential – e.g. automated driving (which relies on on-board ability to combine planned data and real-time data often consisting of images, to optimise performances – including on energy, and ensure high level of safety), predictive functions (of maintenance / emergencies or dysfunctions, computation of Expected Time of Arrival).</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In parallel, mode-specific initiatives in the field of AI have also emerged. Eurocontrol, together with the European Commission and a wide range of partner organisations set up a European Aviation High Level Group on AI (the EAAI HLG) with the goals of advancing the understanding among aviation/ATM actors of AI and its potential, demystifying the topic, and helping accelerate the uptake of AI in the aviation sector. The “FLY AI Action Plan” published in March 2020 provided a series of recommendations, notably to create a federated AI infrastructure containing historical data for training purposes and to develop AI applications, together with an appropriate governance structure. It also recommended accelerating the deployment of AI notably in the areas of cyber and non-safety-critical applications, as well as to conduct more AI research to help respond to the safety-criticality of aviation/ATM operations.</w:t>
      </w:r>
      <w:r>
        <w:rPr>
          <w:noProof/>
          <w:vertAlign w:val="superscript"/>
        </w:rPr>
        <w:footnoteReference w:id="437"/>
      </w:r>
      <w:r>
        <w:rPr>
          <w:noProof/>
        </w:rPr>
        <w:t xml:space="preserve">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In the rail sector, AI can be used for predictive maintenance, mobility management, and the creation of new smart services. Business analytics coupled with Artificial Intelligence can improve the status and reliability of rail components, as well as provide reliable transport demand forecasts, therefore allowing the network to be used at its optimal capacity and cost-efficiency.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Artificial intelligence is becoming increasingly important for the maritime industry as well. The rise of automation in the maritime supply chain along with the demand for more autonomous shipping has led to an increase in the demand for AI. Predictive maintenance, intelligent scheduling, and real-time analytics, are among possible applications, on sea but also for inland navigation.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Road transport is one of the sectors where the automation of driving assistance systems has most successfully been applied, and where the application of AI may open up entirely new possibilities for entering onto higher level of vehicle automation, connectivity and cooperation between various road users.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However, AI faces limitations and challenges like any other technology. Data is the foundation of all AI systems – quality (including as regards representativity), quantity, integrity and legality are important factors. It also faces challenges, such as the need to comply with safety, personal data protection rules and to resist cybersecurity risks.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In the transport sector it is also crucial to assess if the introduction of AI might create new safety risks that are not taken into account in the current safety legislative framework. Certification processes in transport are traditionally based on technical specifications. The use of software is already encompassed in them, but only for fully predictable outcomes, which is not the case for AI and machine learning, posing also additional challenges related to liability.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Data and services derived from space systems, including satellite images, satellite navigation and satellite communications are key enablers for smart and sustainable transport. Galileo – Europe’s Global Navigation Satellite System (GNSS) is providing enhanced quality and range of services, unaffected by strategic choices (being the only civil Satellite-based Positioning, Navigation and Timing system worldwide). Among its potential, Galileo, reinforced by a regional European Geostationary Navigation Overlay Service (EGNOS), could dramatically change traffic management, simplify signalling and enhance its performances, leading to a strong increase in capacity, combining various transport modes. Galileo is also a critical component for connected and autonomous driving thanks to its unique features of decimetre-level accuracy and signal and data authentication. Copernicus, Europe’s Earth Observation Programme, is providing data and information that help underpin the modal shift of transport in urban areas towards more sustainable and smart mobility.</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The availability of adequate, efficient harmonised radio spectrum for critical applications in the transport sector is another vital enabler for the successful digitalisation of the transport sector. On the one hand, seamless and continuous broadband connectivity for passengers is required while on-board of any transport mode for best use of commercial services offered to users by Mobile Network Operators.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On the other hand, vehicles rely more and more on connectivity depending on the performance of the network while transport safety cannot be compromised. This brings about new challenges. In the case of rail, the safety critical applications are based on the obsolete GSM technology and legacy </w:t>
      </w:r>
      <w:r>
        <w:rPr>
          <w:noProof/>
          <w:color w:val="000000" w:themeColor="text1"/>
        </w:rPr>
        <w:t>infrastructure, which is being progressively phased out</w:t>
      </w:r>
      <w:r>
        <w:rPr>
          <w:noProof/>
        </w:rPr>
        <w:t xml:space="preserve">. The phase in of a new technology, based on 5G, will require a migration before the final decommissioning of the existing radio system. However, the current spectrum allocation imposes constraints for the co-existence of the two systems and technological solutions causing a capacity challenge. </w:t>
      </w:r>
    </w:p>
    <w:p>
      <w:pPr>
        <w:pStyle w:val="LegalNumPar"/>
        <w:numPr>
          <w:ilvl w:val="0"/>
          <w:numId w:val="89"/>
        </w:numPr>
        <w:pBdr>
          <w:top w:val="nil"/>
          <w:left w:val="nil"/>
          <w:bottom w:val="nil"/>
          <w:right w:val="nil"/>
          <w:between w:val="nil"/>
          <w:bar w:val="nil"/>
        </w:pBdr>
        <w:tabs>
          <w:tab w:val="left" w:pos="476"/>
        </w:tabs>
        <w:spacing w:after="240" w:line="240" w:lineRule="auto"/>
        <w:ind w:left="567"/>
        <w:rPr>
          <w:noProof/>
        </w:rPr>
      </w:pPr>
      <w:r>
        <w:rPr>
          <w:noProof/>
          <w:color w:val="000000" w:themeColor="text1"/>
        </w:rPr>
        <w:t>5G itself is expected to become a major enabler for the digitalisation of transport and the emergence of new mobility solutions in Europe. It will come with high reliability, mission critical services, and a distributed and flexible architecture.</w:t>
      </w:r>
      <w:r>
        <w:rPr>
          <w:noProof/>
        </w:rPr>
        <w:t xml:space="preserve"> To reap its benefits, comprehensive coverage of the whole transport network and the continuity and evolution of existing services are needed. </w:t>
      </w:r>
      <w:bookmarkStart w:id="3661" w:name="_Toc46312138"/>
      <w:bookmarkStart w:id="3662" w:name="_Toc50044841"/>
      <w:bookmarkStart w:id="3663" w:name="_Toc50048955"/>
      <w:bookmarkStart w:id="3664" w:name="_Toc50415288"/>
      <w:bookmarkStart w:id="3665" w:name="_Toc50416569"/>
      <w:bookmarkStart w:id="3666" w:name="_Toc50417702"/>
      <w:bookmarkStart w:id="3667" w:name="_Toc50418345"/>
      <w:bookmarkStart w:id="3668" w:name="_Toc50459925"/>
      <w:bookmarkStart w:id="3669" w:name="_Toc50466132"/>
      <w:bookmarkStart w:id="3670" w:name="_Toc50473572"/>
      <w:bookmarkStart w:id="3671" w:name="_Toc50473692"/>
      <w:bookmarkStart w:id="3672" w:name="_Toc50474743"/>
      <w:bookmarkStart w:id="3673" w:name="_Toc50565093"/>
      <w:bookmarkStart w:id="3674" w:name="_Toc50568701"/>
      <w:bookmarkStart w:id="3675" w:name="_Toc50629440"/>
      <w:bookmarkStart w:id="3676" w:name="_Toc50630272"/>
      <w:bookmarkStart w:id="3677" w:name="_Toc50630997"/>
      <w:bookmarkStart w:id="3678" w:name="_Toc50633841"/>
      <w:bookmarkStart w:id="3679" w:name="_Toc50634083"/>
      <w:bookmarkStart w:id="3680" w:name="_Toc50646531"/>
      <w:bookmarkStart w:id="3681" w:name="_Toc50646666"/>
      <w:bookmarkStart w:id="3682" w:name="_Toc50649485"/>
      <w:bookmarkStart w:id="3683" w:name="_Toc50650792"/>
      <w:bookmarkStart w:id="3684" w:name="_Toc51574826"/>
      <w:bookmarkStart w:id="3685" w:name="_Toc51575674"/>
      <w:bookmarkStart w:id="3686" w:name="_Toc51578072"/>
      <w:bookmarkStart w:id="3687" w:name="_Toc51582945"/>
      <w:bookmarkStart w:id="3688" w:name="_Toc51583420"/>
      <w:bookmarkStart w:id="3689" w:name="_Toc51583510"/>
      <w:bookmarkStart w:id="3690" w:name="_Toc51583795"/>
      <w:bookmarkStart w:id="3691" w:name="_Toc51583985"/>
      <w:bookmarkStart w:id="3692" w:name="_Toc51583909"/>
      <w:bookmarkStart w:id="3693" w:name="_Toc51586227"/>
      <w:bookmarkStart w:id="3694" w:name="_Toc51594030"/>
      <w:bookmarkStart w:id="3695" w:name="_Toc51594356"/>
      <w:bookmarkStart w:id="3696" w:name="_Toc51595334"/>
      <w:bookmarkStart w:id="3697" w:name="_Toc51595584"/>
      <w:bookmarkStart w:id="3698" w:name="_Toc51595910"/>
      <w:bookmarkStart w:id="3699" w:name="_Toc51596073"/>
      <w:bookmarkStart w:id="3700" w:name="_Toc51596426"/>
    </w:p>
    <w:p>
      <w:pPr>
        <w:pStyle w:val="Heading2"/>
        <w:rPr>
          <w:noProof/>
        </w:rPr>
      </w:pPr>
      <w:bookmarkStart w:id="3701" w:name="_Toc53405368"/>
      <w:bookmarkStart w:id="3702" w:name="_Toc53407524"/>
      <w:bookmarkStart w:id="3703" w:name="_Toc53413536"/>
      <w:bookmarkStart w:id="3704" w:name="_Toc52121560"/>
      <w:bookmarkStart w:id="3705" w:name="_Toc52122791"/>
      <w:bookmarkStart w:id="3706" w:name="_Toc52123908"/>
      <w:bookmarkStart w:id="3707" w:name="_Toc53405369"/>
      <w:bookmarkStart w:id="3708" w:name="_Toc53406156"/>
      <w:bookmarkStart w:id="3709" w:name="_Toc53407525"/>
      <w:bookmarkStart w:id="3710" w:name="_Toc53410969"/>
      <w:bookmarkStart w:id="3711" w:name="_Toc53412032"/>
      <w:bookmarkStart w:id="3712" w:name="_Toc53417279"/>
      <w:bookmarkStart w:id="3713" w:name="_Toc53417631"/>
      <w:bookmarkStart w:id="3714" w:name="_Toc53419866"/>
      <w:bookmarkStart w:id="3715" w:name="_Toc53434969"/>
      <w:bookmarkStart w:id="3716" w:name="_Toc53437108"/>
      <w:bookmarkStart w:id="3717" w:name="_Toc57291514"/>
      <w:bookmarkEnd w:id="3701"/>
      <w:bookmarkEnd w:id="3702"/>
      <w:bookmarkEnd w:id="3703"/>
      <w:r>
        <w:rPr>
          <w:noProof/>
        </w:rPr>
        <w:t>The challenge of making the transport sector more resilient</w:t>
      </w:r>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p>
    <w:p>
      <w:pPr>
        <w:pStyle w:val="LegalNumPar"/>
        <w:keepNext/>
        <w:tabs>
          <w:tab w:val="left" w:pos="476"/>
        </w:tabs>
        <w:spacing w:line="240" w:lineRule="auto"/>
        <w:ind w:left="476"/>
        <w:rPr>
          <w:noProof/>
          <w:lang w:eastAsia="en-US"/>
        </w:rPr>
      </w:pPr>
    </w:p>
    <w:p>
      <w:pPr>
        <w:pStyle w:val="LegalNumPar"/>
        <w:keepNext/>
        <w:numPr>
          <w:ilvl w:val="0"/>
          <w:numId w:val="89"/>
        </w:numPr>
        <w:tabs>
          <w:tab w:val="left" w:pos="476"/>
        </w:tabs>
        <w:spacing w:line="240" w:lineRule="auto"/>
        <w:rPr>
          <w:noProof/>
        </w:rPr>
      </w:pPr>
      <w:r>
        <w:rPr>
          <w:noProof/>
        </w:rPr>
        <w:t>In order to make the twin transition to sustainable and smart mobility and transport truly successful and the whole system more resilient, in addition to specific measures to increase the sector’s crisis resilience, there is need to boost investment, upgrade EU transport infrastructure and modernise fleets, while deepening the Single Market, and providing fair social conditions for workers and making mobility just and fair for users. All while ensuring that safety and security remain paramount.</w:t>
      </w:r>
    </w:p>
    <w:p>
      <w:pPr>
        <w:pStyle w:val="Heading3"/>
        <w:rPr>
          <w:noProof/>
        </w:rPr>
      </w:pPr>
      <w:bookmarkStart w:id="3718" w:name="_Toc51450128"/>
      <w:bookmarkStart w:id="3719" w:name="_Toc51574827"/>
      <w:bookmarkStart w:id="3720" w:name="_Toc51575675"/>
      <w:bookmarkStart w:id="3721" w:name="_Toc51578073"/>
      <w:bookmarkStart w:id="3722" w:name="_Toc51582946"/>
      <w:bookmarkStart w:id="3723" w:name="_Toc51583421"/>
      <w:bookmarkStart w:id="3724" w:name="_Toc51583511"/>
      <w:bookmarkStart w:id="3725" w:name="_Toc51583796"/>
      <w:bookmarkStart w:id="3726" w:name="_Toc51583986"/>
      <w:bookmarkStart w:id="3727" w:name="_Toc51583910"/>
      <w:bookmarkStart w:id="3728" w:name="_Toc51586228"/>
      <w:bookmarkStart w:id="3729" w:name="_Toc51594031"/>
      <w:bookmarkStart w:id="3730" w:name="_Toc51594357"/>
      <w:bookmarkStart w:id="3731" w:name="_Toc51595335"/>
      <w:bookmarkStart w:id="3732" w:name="_Toc51595585"/>
      <w:bookmarkStart w:id="3733" w:name="_Toc51595911"/>
      <w:bookmarkStart w:id="3734" w:name="_Toc51596074"/>
      <w:bookmarkStart w:id="3735" w:name="_Toc51596427"/>
      <w:bookmarkStart w:id="3736" w:name="_Toc52121561"/>
      <w:bookmarkStart w:id="3737" w:name="_Toc52122792"/>
      <w:bookmarkStart w:id="3738" w:name="_Toc52123909"/>
      <w:bookmarkStart w:id="3739" w:name="_Toc53405370"/>
      <w:bookmarkStart w:id="3740" w:name="_Toc53406157"/>
      <w:bookmarkStart w:id="3741" w:name="_Toc53407526"/>
      <w:bookmarkStart w:id="3742" w:name="_Toc53410970"/>
      <w:bookmarkStart w:id="3743" w:name="_Toc53412033"/>
      <w:bookmarkStart w:id="3744" w:name="_Toc53417280"/>
      <w:bookmarkStart w:id="3745" w:name="_Toc53417632"/>
      <w:bookmarkStart w:id="3746" w:name="_Toc53419867"/>
      <w:bookmarkStart w:id="3747" w:name="_Toc53434970"/>
      <w:bookmarkStart w:id="3748" w:name="_Toc53437109"/>
      <w:bookmarkStart w:id="3749" w:name="_Toc57291515"/>
      <w:r>
        <w:rPr>
          <w:noProof/>
        </w:rPr>
        <w:t>Crisis resilience and management</w:t>
      </w:r>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p>
    <w:p>
      <w:pPr>
        <w:pStyle w:val="LegalNumPar"/>
        <w:keepNext/>
        <w:numPr>
          <w:ilvl w:val="0"/>
          <w:numId w:val="89"/>
        </w:numPr>
        <w:tabs>
          <w:tab w:val="left" w:pos="476"/>
        </w:tabs>
        <w:spacing w:line="240" w:lineRule="auto"/>
        <w:rPr>
          <w:noProof/>
        </w:rPr>
      </w:pPr>
      <w:r>
        <w:rPr>
          <w:noProof/>
        </w:rPr>
        <w:t xml:space="preserve">As described in section 2, the transport sector has been heavily hit by the pandemic. From the onset of the COVID-19 pandemic, the Commission has been working with Member States to ensure economic continuity and to ease the shock, notably by maintaining the flow of freight, preserving the supply chains, and securing essential travel, as well as ensuring the functioning of the Single Market and maintaining the highest levels of transport safety and security. </w:t>
      </w:r>
    </w:p>
    <w:p>
      <w:pPr>
        <w:pStyle w:val="LegalNumPar"/>
        <w:keepNext/>
        <w:numPr>
          <w:ilvl w:val="0"/>
          <w:numId w:val="89"/>
        </w:numPr>
        <w:tabs>
          <w:tab w:val="left" w:pos="476"/>
        </w:tabs>
        <w:spacing w:line="240" w:lineRule="auto"/>
        <w:rPr>
          <w:noProof/>
        </w:rPr>
      </w:pPr>
      <w:r>
        <w:rPr>
          <w:noProof/>
        </w:rPr>
        <w:t xml:space="preserve">The COVID-19 pandemic has shown that it is important to have adequate crisis management and support structures in place that can be quickly activated as needed and that provide a well-defined, predictable and reliable framework for reacting to crises that affect the transport sector. Such a framework could comprise different components dealing with the various challenges that the transport sector could face in the case of various shocks. Efficient and effective joint coordination structures and mechanisms at EU-level could ensure a common response and actions that are harmonised, complimentary and in full respect of the </w:t>
      </w:r>
      <w:r>
        <w:rPr>
          <w:i/>
          <w:iCs/>
          <w:noProof/>
        </w:rPr>
        <w:t>acquis</w:t>
      </w:r>
      <w:r>
        <w:rPr>
          <w:noProof/>
        </w:rPr>
        <w:t xml:space="preserve"> and basic EU principles. In the Council conclusions of October 2020</w:t>
      </w:r>
      <w:r>
        <w:rPr>
          <w:rStyle w:val="FootnoteReference"/>
          <w:noProof/>
        </w:rPr>
        <w:footnoteReference w:id="438"/>
      </w:r>
      <w:r>
        <w:rPr>
          <w:noProof/>
        </w:rPr>
        <w:t xml:space="preserve">, the Council asked the Commission to swiftly draw up a pandemic and other major crisis contingency plan for the European freight transport sector and to extend, where appropriate, the contingency plan to passenger transport and transport in general. The Council also stressed that in major crisis situations, the TEN-T corridors and other essential cross-border connections should be kept operational. </w:t>
      </w:r>
    </w:p>
    <w:p>
      <w:pPr>
        <w:pStyle w:val="LegalNumPar"/>
        <w:keepNext/>
        <w:numPr>
          <w:ilvl w:val="0"/>
          <w:numId w:val="89"/>
        </w:numPr>
        <w:tabs>
          <w:tab w:val="left" w:pos="476"/>
        </w:tabs>
        <w:spacing w:line="240" w:lineRule="auto"/>
        <w:rPr>
          <w:noProof/>
        </w:rPr>
      </w:pPr>
      <w:r>
        <w:rPr>
          <w:noProof/>
        </w:rPr>
        <w:t xml:space="preserve">The COVID-19 pandemic has in particular highlighted the importance of maintaining essential transport services at all times. In that regard measures are needed to protect the survivability and business continuity of the sector, including clear and non-discriminatory rules on financial support.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The temporary State aid framework set up during the COVID-19 pandemic allows Member States to support the transport sector during the crisis by providing emergency liquidity. At the same time, the integrity of the Single Market and level playing field for operators must be maintained, including by ensuring that there is no discrimination among incumbents and new market entrants, and that no new barriers for competition are introduced. </w:t>
      </w:r>
    </w:p>
    <w:p>
      <w:pPr>
        <w:pStyle w:val="LegalNumPar"/>
        <w:keepNext/>
        <w:numPr>
          <w:ilvl w:val="0"/>
          <w:numId w:val="89"/>
        </w:numPr>
        <w:tabs>
          <w:tab w:val="left" w:pos="476"/>
        </w:tabs>
        <w:spacing w:line="240" w:lineRule="auto"/>
        <w:rPr>
          <w:noProof/>
        </w:rPr>
      </w:pPr>
      <w:r>
        <w:rPr>
          <w:noProof/>
        </w:rPr>
        <w:t>Furthermore, regulatory and technical specifications and standards are needed in crises situations in order to ensure the functioning of the transport system, for instance through health and sanitary protocols. The relevant components could be developed on the basis of the work done and lessons learned during the COVID-19 pandemic as well as previous relevant crisis situations.</w:t>
      </w:r>
    </w:p>
    <w:p>
      <w:pPr>
        <w:pStyle w:val="LegalNumPar"/>
        <w:keepNext/>
        <w:numPr>
          <w:ilvl w:val="0"/>
          <w:numId w:val="89"/>
        </w:numPr>
        <w:tabs>
          <w:tab w:val="left" w:pos="476"/>
        </w:tabs>
        <w:spacing w:line="240" w:lineRule="auto"/>
        <w:rPr>
          <w:noProof/>
        </w:rPr>
      </w:pPr>
      <w:r>
        <w:rPr>
          <w:noProof/>
        </w:rPr>
        <w:t xml:space="preserve"> The pandemic has proven that the European transport system is fragile and further efforts are needed based on the lessons learnt through the actions taken during the crisis. In particular as regards the impacts of climate change, from road and rail networks to ports, airports and inland waterways, critical transport resources are facing unprecedented threats from a climate, which is already changing. The need for climate-proofing has become an essential consideration and priority for the transport sector.</w:t>
      </w:r>
    </w:p>
    <w:p>
      <w:pPr>
        <w:pStyle w:val="LegalNumPar"/>
        <w:keepNext/>
        <w:numPr>
          <w:ilvl w:val="0"/>
          <w:numId w:val="89"/>
        </w:numPr>
        <w:tabs>
          <w:tab w:val="left" w:pos="476"/>
        </w:tabs>
        <w:spacing w:line="240" w:lineRule="auto"/>
        <w:rPr>
          <w:noProof/>
        </w:rPr>
      </w:pPr>
      <w:r>
        <w:rPr>
          <w:noProof/>
        </w:rPr>
        <w:t xml:space="preserve">The European Green Deal notes – in the context of a new, more ambitious EU strategy on adaptation to climate change – that climate change will continue to create significant stress in Europe in spite of the mitigation efforts. </w:t>
      </w:r>
    </w:p>
    <w:p>
      <w:pPr>
        <w:pStyle w:val="LegalNumPar"/>
        <w:numPr>
          <w:ilvl w:val="0"/>
          <w:numId w:val="89"/>
        </w:numPr>
        <w:tabs>
          <w:tab w:val="left" w:pos="476"/>
        </w:tabs>
        <w:spacing w:line="240" w:lineRule="auto"/>
        <w:rPr>
          <w:noProof/>
        </w:rPr>
      </w:pPr>
      <w:r>
        <w:rPr>
          <w:noProof/>
        </w:rPr>
        <w:t xml:space="preserve">Flooding from high precipitation and extreme storms, in possible association with related impacts including landslides and slope failures, will bring major risks across the region for all modes of transport (road - and airport - infrastructure, railway and inland waterways). At the same time there is also greater risk of increased water scarcity and low water levels in our waterways. </w:t>
      </w:r>
    </w:p>
    <w:p>
      <w:pPr>
        <w:pStyle w:val="LegalNumPar"/>
        <w:numPr>
          <w:ilvl w:val="0"/>
          <w:numId w:val="89"/>
        </w:numPr>
        <w:tabs>
          <w:tab w:val="left" w:pos="476"/>
        </w:tabs>
        <w:spacing w:line="240" w:lineRule="auto"/>
        <w:rPr>
          <w:noProof/>
        </w:rPr>
      </w:pPr>
      <w:r>
        <w:rPr>
          <w:noProof/>
        </w:rPr>
        <w:t>Rising sea levels and greater wave activity causing erosion put vital coastal transport infrastructure (i.e. coastal roads, railways, seaports and airports) at risk. Over 60% of EU seaports</w:t>
      </w:r>
      <w:r>
        <w:rPr>
          <w:rStyle w:val="FootnoteReference"/>
          <w:noProof/>
        </w:rPr>
        <w:footnoteReference w:id="439"/>
      </w:r>
      <w:r>
        <w:rPr>
          <w:noProof/>
        </w:rPr>
        <w:t xml:space="preserve"> may be under high inundation risk by 2100, causing disruptions to </w:t>
      </w:r>
      <w:r>
        <w:rPr>
          <w:noProof/>
          <w:lang w:eastAsia="en-US"/>
        </w:rPr>
        <w:t>operations</w:t>
      </w:r>
      <w:r>
        <w:rPr>
          <w:noProof/>
        </w:rPr>
        <w:t xml:space="preserve"> and damages to port infrastructure and vessels, especially along the North Sea coast, where the traffic of over 500 ports accounts for up to 15% of the world’s cargo transport. </w:t>
      </w:r>
    </w:p>
    <w:p>
      <w:pPr>
        <w:pStyle w:val="LegalNumPar"/>
        <w:numPr>
          <w:ilvl w:val="0"/>
          <w:numId w:val="89"/>
        </w:numPr>
        <w:tabs>
          <w:tab w:val="left" w:pos="476"/>
        </w:tabs>
        <w:spacing w:line="240" w:lineRule="auto"/>
        <w:rPr>
          <w:noProof/>
        </w:rPr>
      </w:pPr>
      <w:r>
        <w:rPr>
          <w:noProof/>
        </w:rPr>
        <w:t>Rising temperatures linked to increased heatwaves and drier and hotter summers will affect roads and railways, where pavement damage and damage to track and electricity catenary, damages to bridges and increased landslides in mountainous areas are among key risks. Areas considered particularly worthy of more detailed analysis include roads in Southern Europe (South-Eastern France, Italy, Western Balkans, Portugal, Spain, Greece and Turkey) as well as in Nordic countries (Norway, Sweden and Finland). Climate proofing not only individual infrastructure investment projects, but also existing transport corridors, networks and systems will be increasingly relevant, as the majority of the existing infrastructure is built for the past climatic conditions</w:t>
      </w:r>
      <w:r>
        <w:rPr>
          <w:rStyle w:val="FootnoteReference"/>
          <w:noProof/>
        </w:rPr>
        <w:footnoteReference w:id="440"/>
      </w:r>
      <w:r>
        <w:rPr>
          <w:noProof/>
        </w:rPr>
        <w:t>.</w:t>
      </w:r>
    </w:p>
    <w:p>
      <w:pPr>
        <w:pStyle w:val="LegalNumPar"/>
        <w:numPr>
          <w:ilvl w:val="0"/>
          <w:numId w:val="89"/>
        </w:numPr>
        <w:tabs>
          <w:tab w:val="left" w:pos="476"/>
        </w:tabs>
        <w:spacing w:line="240" w:lineRule="auto"/>
        <w:rPr>
          <w:noProof/>
        </w:rPr>
      </w:pPr>
      <w:r>
        <w:rPr>
          <w:noProof/>
        </w:rPr>
        <w:t xml:space="preserve">Strengthening the efforts on climate-proofing, resilience building, prevention and preparedness is crucial. Work on climate adaptation should continue to influence public and private investments, including on nature-based solutions. It will be important to ensure that across the EU, investors, insurers, businesses, cities and citizens are able to access data and to develop instruments to integrate climate change into their risk management practices. </w:t>
      </w:r>
    </w:p>
    <w:p>
      <w:pPr>
        <w:pStyle w:val="LegalNumPar"/>
        <w:numPr>
          <w:ilvl w:val="0"/>
          <w:numId w:val="89"/>
        </w:numPr>
        <w:tabs>
          <w:tab w:val="left" w:pos="476"/>
        </w:tabs>
        <w:spacing w:line="240" w:lineRule="auto"/>
        <w:rPr>
          <w:noProof/>
        </w:rPr>
      </w:pPr>
      <w:r>
        <w:rPr>
          <w:noProof/>
        </w:rPr>
        <w:t>The capacity of infrastructure is also closely linked to the resilience of infrastructure in the case of disruptions. For rail, to improve the international contingency management, European rail infrastructure managers have unanimously approved the International Contingency Management Handbook and its implementation from timetable period 2019. The purpose of the handbook is to define standardised procedures that allow continuation of freight and passenger traffic flows at the highest possible level despite an international disruption and to assure transparency of the status of the disruption and its impact on traffic flows for all relevant stakeholders across Europe. The Commission is following up on its implementation. However, recent incidents in which the Handbook has been applied have shown that there are limits to improving the resilience of railway networks via operational measures. In certain cases, infrastructure investments will be unavoidable to create additional possibilities for rerouting traffic.</w:t>
      </w:r>
    </w:p>
    <w:p>
      <w:pPr>
        <w:pStyle w:val="LegalNumPar"/>
        <w:numPr>
          <w:ilvl w:val="0"/>
          <w:numId w:val="89"/>
        </w:numPr>
        <w:tabs>
          <w:tab w:val="left" w:pos="476"/>
        </w:tabs>
        <w:spacing w:line="240" w:lineRule="auto"/>
        <w:rPr>
          <w:noProof/>
          <w:lang w:eastAsia="en-US"/>
        </w:rPr>
      </w:pPr>
      <w:r>
        <w:rPr>
          <w:noProof/>
          <w:lang w:eastAsia="en-US"/>
        </w:rPr>
        <w:t>In addition, ensuring the resilience of transport and mobility against various security threats is essential. For example, as all transport modes become increasingly technology-dependent, cyberattacks can have a paralysing impact on our economy and could potentially cause accidents and casualties.</w:t>
      </w:r>
    </w:p>
    <w:p>
      <w:pPr>
        <w:pStyle w:val="LegalNumPar"/>
        <w:tabs>
          <w:tab w:val="left" w:pos="476"/>
        </w:tabs>
        <w:spacing w:line="240" w:lineRule="auto"/>
        <w:ind w:left="476"/>
        <w:rPr>
          <w:noProof/>
        </w:rPr>
      </w:pPr>
    </w:p>
    <w:p>
      <w:pPr>
        <w:pStyle w:val="LegalNumPar"/>
        <w:pBdr>
          <w:top w:val="single" w:sz="4" w:space="1" w:color="auto"/>
          <w:left w:val="single" w:sz="4" w:space="1" w:color="auto"/>
          <w:bottom w:val="single" w:sz="4" w:space="1" w:color="auto"/>
          <w:right w:val="single" w:sz="4" w:space="1" w:color="auto"/>
        </w:pBdr>
        <w:shd w:val="clear" w:color="auto" w:fill="E7E6E6" w:themeFill="background2"/>
        <w:tabs>
          <w:tab w:val="left" w:pos="476"/>
        </w:tabs>
        <w:spacing w:line="240" w:lineRule="auto"/>
        <w:ind w:left="426"/>
        <w:rPr>
          <w:noProof/>
        </w:rPr>
      </w:pPr>
      <w:r>
        <w:rPr>
          <w:noProof/>
        </w:rPr>
        <w:t>In response to the COVID-19 pandemic, the Commission took a number</w:t>
      </w:r>
      <w:r>
        <w:rPr>
          <w:rStyle w:val="FootnoteReference"/>
          <w:noProof/>
        </w:rPr>
        <w:footnoteReference w:id="441"/>
      </w:r>
      <w:r>
        <w:rPr>
          <w:noProof/>
        </w:rPr>
        <w:t xml:space="preserve"> of steps at EU level relevant for the transport sector, which can be divided into two broad categories: </w:t>
      </w:r>
    </w:p>
    <w:p>
      <w:pPr>
        <w:pStyle w:val="LegalNumPar"/>
        <w:pBdr>
          <w:top w:val="single" w:sz="4" w:space="1" w:color="auto"/>
          <w:left w:val="single" w:sz="4" w:space="1" w:color="auto"/>
          <w:bottom w:val="single" w:sz="4" w:space="1" w:color="auto"/>
          <w:right w:val="single" w:sz="4" w:space="1" w:color="auto"/>
        </w:pBdr>
        <w:shd w:val="clear" w:color="auto" w:fill="E7E6E6" w:themeFill="background2"/>
        <w:tabs>
          <w:tab w:val="left" w:pos="476"/>
        </w:tabs>
        <w:spacing w:line="240" w:lineRule="auto"/>
        <w:ind w:left="426"/>
        <w:rPr>
          <w:noProof/>
        </w:rPr>
      </w:pPr>
      <w:r>
        <w:rPr>
          <w:noProof/>
        </w:rPr>
        <w:t xml:space="preserve">1. </w:t>
      </w:r>
      <w:r>
        <w:rPr>
          <w:i/>
          <w:iCs/>
          <w:noProof/>
        </w:rPr>
        <w:t>Measures to help Member States manage the crisis at the borders, enabling new health measures to be introduced while sustaining supply chains and availability of goods and essential services across the EU:</w:t>
      </w:r>
    </w:p>
    <w:p>
      <w:pPr>
        <w:pStyle w:val="LegalNumPar"/>
        <w:numPr>
          <w:ilvl w:val="0"/>
          <w:numId w:val="125"/>
        </w:numPr>
        <w:pBdr>
          <w:top w:val="single" w:sz="4" w:space="1" w:color="auto"/>
          <w:left w:val="single" w:sz="4" w:space="1" w:color="auto"/>
          <w:bottom w:val="single" w:sz="4" w:space="1" w:color="auto"/>
          <w:right w:val="single" w:sz="4" w:space="1" w:color="auto"/>
        </w:pBdr>
        <w:shd w:val="clear" w:color="auto" w:fill="E7E6E6" w:themeFill="background2"/>
        <w:tabs>
          <w:tab w:val="left" w:pos="709"/>
        </w:tabs>
        <w:spacing w:line="240" w:lineRule="auto"/>
        <w:ind w:left="426" w:firstLine="0"/>
        <w:rPr>
          <w:noProof/>
        </w:rPr>
      </w:pPr>
      <w:r>
        <w:rPr>
          <w:noProof/>
        </w:rPr>
        <w:t>issued Guidelines for border management measures to protect health and ensure the availability of goods and essential services (16 March)</w:t>
      </w:r>
      <w:r>
        <w:rPr>
          <w:rStyle w:val="FootnoteReference"/>
          <w:noProof/>
        </w:rPr>
        <w:footnoteReference w:id="442"/>
      </w:r>
      <w:r>
        <w:rPr>
          <w:noProof/>
        </w:rPr>
        <w:t>;</w:t>
      </w:r>
    </w:p>
    <w:p>
      <w:pPr>
        <w:pStyle w:val="LegalNumPar"/>
        <w:numPr>
          <w:ilvl w:val="0"/>
          <w:numId w:val="125"/>
        </w:numPr>
        <w:pBdr>
          <w:top w:val="single" w:sz="4" w:space="1" w:color="auto"/>
          <w:left w:val="single" w:sz="4" w:space="1" w:color="auto"/>
          <w:bottom w:val="single" w:sz="4" w:space="1" w:color="auto"/>
          <w:right w:val="single" w:sz="4" w:space="1" w:color="auto"/>
        </w:pBdr>
        <w:shd w:val="clear" w:color="auto" w:fill="E7E6E6" w:themeFill="background2"/>
        <w:tabs>
          <w:tab w:val="left" w:pos="709"/>
        </w:tabs>
        <w:spacing w:line="240" w:lineRule="auto"/>
        <w:ind w:left="426" w:firstLine="0"/>
        <w:rPr>
          <w:noProof/>
        </w:rPr>
      </w:pPr>
      <w:r>
        <w:rPr>
          <w:noProof/>
        </w:rPr>
        <w:t>invited Member States to designate the relevant internal border-crossing points of the TEN-T network as well as additional major border-crossing points to the extent necessary, as “green lane” border crossings; and urged Member States to set up safe passage transit corridors along the entire TEN-T network (23 March)</w:t>
      </w:r>
      <w:r>
        <w:rPr>
          <w:rStyle w:val="FootnoteReference"/>
          <w:noProof/>
        </w:rPr>
        <w:footnoteReference w:id="443"/>
      </w:r>
      <w:r>
        <w:rPr>
          <w:noProof/>
        </w:rPr>
        <w:t>;</w:t>
      </w:r>
    </w:p>
    <w:p>
      <w:pPr>
        <w:pStyle w:val="LegalNumPar"/>
        <w:numPr>
          <w:ilvl w:val="0"/>
          <w:numId w:val="125"/>
        </w:numPr>
        <w:pBdr>
          <w:top w:val="single" w:sz="4" w:space="1" w:color="auto"/>
          <w:left w:val="single" w:sz="4" w:space="1" w:color="auto"/>
          <w:bottom w:val="single" w:sz="4" w:space="1" w:color="auto"/>
          <w:right w:val="single" w:sz="4" w:space="1" w:color="auto"/>
        </w:pBdr>
        <w:shd w:val="clear" w:color="auto" w:fill="E7E6E6" w:themeFill="background2"/>
        <w:tabs>
          <w:tab w:val="left" w:pos="709"/>
        </w:tabs>
        <w:spacing w:line="240" w:lineRule="auto"/>
        <w:ind w:left="426" w:firstLine="0"/>
        <w:rPr>
          <w:noProof/>
        </w:rPr>
      </w:pPr>
      <w:r>
        <w:rPr>
          <w:noProof/>
        </w:rPr>
        <w:t>recommended the suspension of all types of driving restrictions in place (week-end bans, night bans, sectoral bans, etc.) for freight transport and asked Member States to consider the urgent suspension of the ban on transport workers spending rest periods in vehicle cabins (23 March)</w:t>
      </w:r>
      <w:r>
        <w:rPr>
          <w:rStyle w:val="FootnoteReference"/>
          <w:noProof/>
        </w:rPr>
        <w:footnoteReference w:id="444"/>
      </w:r>
      <w:r>
        <w:rPr>
          <w:noProof/>
        </w:rPr>
        <w:t>;</w:t>
      </w:r>
    </w:p>
    <w:p>
      <w:pPr>
        <w:pStyle w:val="LegalNumPar"/>
        <w:numPr>
          <w:ilvl w:val="0"/>
          <w:numId w:val="125"/>
        </w:numPr>
        <w:pBdr>
          <w:top w:val="single" w:sz="4" w:space="1" w:color="auto"/>
          <w:left w:val="single" w:sz="4" w:space="1" w:color="auto"/>
          <w:bottom w:val="single" w:sz="4" w:space="1" w:color="auto"/>
          <w:right w:val="single" w:sz="4" w:space="1" w:color="auto"/>
        </w:pBdr>
        <w:shd w:val="clear" w:color="auto" w:fill="E7E6E6" w:themeFill="background2"/>
        <w:tabs>
          <w:tab w:val="left" w:pos="709"/>
        </w:tabs>
        <w:spacing w:line="240" w:lineRule="auto"/>
        <w:ind w:left="426" w:firstLine="0"/>
        <w:rPr>
          <w:noProof/>
        </w:rPr>
      </w:pPr>
      <w:r>
        <w:rPr>
          <w:noProof/>
        </w:rPr>
        <w:t>asked Member States for a better tailored application of rules such as travel restrictions, visa and other requirements for transport workers (23 March)</w:t>
      </w:r>
      <w:r>
        <w:rPr>
          <w:rStyle w:val="FootnoteReference"/>
          <w:noProof/>
        </w:rPr>
        <w:footnoteReference w:id="445"/>
      </w:r>
      <w:r>
        <w:rPr>
          <w:noProof/>
        </w:rPr>
        <w:t>;</w:t>
      </w:r>
    </w:p>
    <w:p>
      <w:pPr>
        <w:pStyle w:val="LegalNumPar"/>
        <w:numPr>
          <w:ilvl w:val="0"/>
          <w:numId w:val="125"/>
        </w:numPr>
        <w:pBdr>
          <w:top w:val="single" w:sz="4" w:space="1" w:color="auto"/>
          <w:left w:val="single" w:sz="4" w:space="1" w:color="auto"/>
          <w:bottom w:val="single" w:sz="4" w:space="1" w:color="auto"/>
          <w:right w:val="single" w:sz="4" w:space="1" w:color="auto"/>
        </w:pBdr>
        <w:shd w:val="clear" w:color="auto" w:fill="E7E6E6" w:themeFill="background2"/>
        <w:tabs>
          <w:tab w:val="left" w:pos="709"/>
        </w:tabs>
        <w:spacing w:line="240" w:lineRule="auto"/>
        <w:ind w:left="426" w:firstLine="0"/>
        <w:rPr>
          <w:noProof/>
        </w:rPr>
      </w:pPr>
      <w:r>
        <w:rPr>
          <w:noProof/>
        </w:rPr>
        <w:t>issued guidelines to facilitate air cargo operations (26 March)</w:t>
      </w:r>
      <w:r>
        <w:rPr>
          <w:rStyle w:val="FootnoteReference"/>
          <w:noProof/>
        </w:rPr>
        <w:footnoteReference w:id="446"/>
      </w:r>
      <w:r>
        <w:rPr>
          <w:noProof/>
        </w:rPr>
        <w:t>;</w:t>
      </w:r>
    </w:p>
    <w:p>
      <w:pPr>
        <w:pStyle w:val="LegalNumPar"/>
        <w:numPr>
          <w:ilvl w:val="0"/>
          <w:numId w:val="125"/>
        </w:numPr>
        <w:pBdr>
          <w:top w:val="single" w:sz="4" w:space="1" w:color="auto"/>
          <w:left w:val="single" w:sz="4" w:space="1" w:color="auto"/>
          <w:bottom w:val="single" w:sz="4" w:space="1" w:color="auto"/>
          <w:right w:val="single" w:sz="4" w:space="1" w:color="auto"/>
        </w:pBdr>
        <w:shd w:val="clear" w:color="auto" w:fill="E7E6E6" w:themeFill="background2"/>
        <w:tabs>
          <w:tab w:val="left" w:pos="709"/>
        </w:tabs>
        <w:spacing w:line="240" w:lineRule="auto"/>
        <w:ind w:left="426" w:firstLine="0"/>
        <w:rPr>
          <w:noProof/>
        </w:rPr>
      </w:pPr>
      <w:r>
        <w:rPr>
          <w:noProof/>
        </w:rPr>
        <w:t>presented practical guidance to ensure the free movement of critical workers (30 March)</w:t>
      </w:r>
      <w:r>
        <w:rPr>
          <w:rStyle w:val="FootnoteReference"/>
          <w:noProof/>
        </w:rPr>
        <w:footnoteReference w:id="447"/>
      </w:r>
      <w:r>
        <w:rPr>
          <w:noProof/>
        </w:rPr>
        <w:t xml:space="preserve">; </w:t>
      </w:r>
    </w:p>
    <w:p>
      <w:pPr>
        <w:pStyle w:val="LegalNumPar"/>
        <w:numPr>
          <w:ilvl w:val="0"/>
          <w:numId w:val="125"/>
        </w:numPr>
        <w:pBdr>
          <w:top w:val="single" w:sz="4" w:space="1" w:color="auto"/>
          <w:left w:val="single" w:sz="4" w:space="1" w:color="auto"/>
          <w:bottom w:val="single" w:sz="4" w:space="1" w:color="auto"/>
          <w:right w:val="single" w:sz="4" w:space="1" w:color="auto"/>
        </w:pBdr>
        <w:shd w:val="clear" w:color="auto" w:fill="E7E6E6" w:themeFill="background2"/>
        <w:tabs>
          <w:tab w:val="left" w:pos="709"/>
        </w:tabs>
        <w:spacing w:line="240" w:lineRule="auto"/>
        <w:ind w:left="426" w:firstLine="0"/>
        <w:rPr>
          <w:noProof/>
        </w:rPr>
      </w:pPr>
      <w:r>
        <w:rPr>
          <w:noProof/>
        </w:rPr>
        <w:t>adopted guidance on repatriating cruise ship passengers and protecting ship crews, including sanitary advice, recommendations for crew changes, disembarking, and repatriation for seafarers and passengers (8 April)</w:t>
      </w:r>
      <w:r>
        <w:rPr>
          <w:rStyle w:val="FootnoteReference"/>
          <w:noProof/>
        </w:rPr>
        <w:footnoteReference w:id="448"/>
      </w:r>
      <w:r>
        <w:rPr>
          <w:noProof/>
        </w:rPr>
        <w:t>; and</w:t>
      </w:r>
    </w:p>
    <w:p>
      <w:pPr>
        <w:pStyle w:val="LegalNumPar"/>
        <w:numPr>
          <w:ilvl w:val="0"/>
          <w:numId w:val="125"/>
        </w:numPr>
        <w:pBdr>
          <w:top w:val="single" w:sz="4" w:space="1" w:color="auto"/>
          <w:left w:val="single" w:sz="4" w:space="1" w:color="auto"/>
          <w:bottom w:val="single" w:sz="4" w:space="1" w:color="auto"/>
          <w:right w:val="single" w:sz="4" w:space="1" w:color="auto"/>
        </w:pBdr>
        <w:shd w:val="clear" w:color="auto" w:fill="E7E6E6" w:themeFill="background2"/>
        <w:tabs>
          <w:tab w:val="left" w:pos="709"/>
        </w:tabs>
        <w:spacing w:line="240" w:lineRule="auto"/>
        <w:ind w:left="426" w:firstLine="0"/>
        <w:rPr>
          <w:noProof/>
        </w:rPr>
      </w:pPr>
      <w:r>
        <w:rPr>
          <w:noProof/>
        </w:rPr>
        <w:t>adopted a package of measures to support the transport sector</w:t>
      </w:r>
      <w:r>
        <w:rPr>
          <w:rStyle w:val="FootnoteReference"/>
          <w:noProof/>
        </w:rPr>
        <w:footnoteReference w:id="449"/>
      </w:r>
      <w:r>
        <w:rPr>
          <w:rStyle w:val="Hyperlink"/>
          <w:noProof/>
          <w:sz w:val="24"/>
          <w:szCs w:val="24"/>
        </w:rPr>
        <w:t xml:space="preserve"> </w:t>
      </w:r>
      <w:r>
        <w:rPr>
          <w:noProof/>
        </w:rPr>
        <w:t>solving operational problems, removing administrative burdens, and increasing regulatory flexibility (29 April)</w:t>
      </w:r>
      <w:r>
        <w:rPr>
          <w:rStyle w:val="FootnoteReference"/>
          <w:noProof/>
        </w:rPr>
        <w:footnoteReference w:id="450"/>
      </w:r>
      <w:r>
        <w:rPr>
          <w:noProof/>
        </w:rPr>
        <w:t xml:space="preserve">. </w:t>
      </w:r>
    </w:p>
    <w:p>
      <w:pPr>
        <w:pStyle w:val="LegalNumPar"/>
        <w:numPr>
          <w:ilvl w:val="0"/>
          <w:numId w:val="125"/>
        </w:numPr>
        <w:pBdr>
          <w:top w:val="single" w:sz="4" w:space="1" w:color="auto"/>
          <w:left w:val="single" w:sz="4" w:space="1" w:color="auto"/>
          <w:bottom w:val="single" w:sz="4" w:space="1" w:color="auto"/>
          <w:right w:val="single" w:sz="4" w:space="1" w:color="auto"/>
        </w:pBdr>
        <w:shd w:val="clear" w:color="auto" w:fill="E7E6E6" w:themeFill="background2"/>
        <w:tabs>
          <w:tab w:val="left" w:pos="709"/>
        </w:tabs>
        <w:spacing w:line="240" w:lineRule="auto"/>
        <w:ind w:left="426" w:firstLine="0"/>
        <w:rPr>
          <w:noProof/>
        </w:rPr>
      </w:pPr>
      <w:r>
        <w:rPr>
          <w:noProof/>
        </w:rPr>
        <w:t>upgraded the Green Lane approach to ensure that multi-modal transport works effectively in areas including rail and waterborne freight and air cargo, and provides additional guidance to facilitate application in practice, on issues such as electronic documentation, and availability of rest and refuelling points</w:t>
      </w:r>
      <w:r>
        <w:rPr>
          <w:rStyle w:val="FootnoteReference"/>
          <w:noProof/>
        </w:rPr>
        <w:footnoteReference w:id="451"/>
      </w:r>
    </w:p>
    <w:p>
      <w:pPr>
        <w:pStyle w:val="LegalNumPar"/>
        <w:pBdr>
          <w:top w:val="single" w:sz="4" w:space="1" w:color="auto"/>
          <w:left w:val="single" w:sz="4" w:space="1" w:color="auto"/>
          <w:bottom w:val="single" w:sz="4" w:space="1" w:color="auto"/>
          <w:right w:val="single" w:sz="4" w:space="1" w:color="auto"/>
        </w:pBdr>
        <w:shd w:val="clear" w:color="auto" w:fill="E7E6E6" w:themeFill="background2"/>
        <w:tabs>
          <w:tab w:val="left" w:pos="709"/>
        </w:tabs>
        <w:spacing w:line="240" w:lineRule="auto"/>
        <w:ind w:left="426"/>
        <w:rPr>
          <w:noProof/>
        </w:rPr>
      </w:pPr>
      <w:r>
        <w:rPr>
          <w:noProof/>
        </w:rPr>
        <w:t>The Commission services have also:</w:t>
      </w:r>
    </w:p>
    <w:p>
      <w:pPr>
        <w:pStyle w:val="LegalNumPar"/>
        <w:numPr>
          <w:ilvl w:val="0"/>
          <w:numId w:val="125"/>
        </w:numPr>
        <w:pBdr>
          <w:top w:val="single" w:sz="4" w:space="1" w:color="auto"/>
          <w:left w:val="single" w:sz="4" w:space="1" w:color="auto"/>
          <w:bottom w:val="single" w:sz="4" w:space="1" w:color="auto"/>
          <w:right w:val="single" w:sz="4" w:space="1" w:color="auto"/>
        </w:pBdr>
        <w:shd w:val="clear" w:color="auto" w:fill="E7E6E6" w:themeFill="background2"/>
        <w:tabs>
          <w:tab w:val="left" w:pos="709"/>
        </w:tabs>
        <w:spacing w:line="240" w:lineRule="auto"/>
        <w:ind w:left="426" w:firstLine="0"/>
        <w:rPr>
          <w:noProof/>
        </w:rPr>
      </w:pPr>
      <w:r>
        <w:rPr>
          <w:noProof/>
        </w:rPr>
        <w:t>coordinated with Member States the establishment of single national contact points for COVID-19-related transport issues and established a dedicated EU platform (18 March)</w:t>
      </w:r>
      <w:r>
        <w:rPr>
          <w:rStyle w:val="FootnoteReference"/>
          <w:noProof/>
        </w:rPr>
        <w:footnoteReference w:id="452"/>
      </w:r>
      <w:r>
        <w:rPr>
          <w:noProof/>
        </w:rPr>
        <w:t xml:space="preserve">; </w:t>
      </w:r>
    </w:p>
    <w:p>
      <w:pPr>
        <w:pStyle w:val="LegalNumPar"/>
        <w:numPr>
          <w:ilvl w:val="0"/>
          <w:numId w:val="125"/>
        </w:numPr>
        <w:pBdr>
          <w:top w:val="single" w:sz="4" w:space="1" w:color="auto"/>
          <w:left w:val="single" w:sz="4" w:space="1" w:color="auto"/>
          <w:bottom w:val="single" w:sz="4" w:space="1" w:color="auto"/>
          <w:right w:val="single" w:sz="4" w:space="1" w:color="auto"/>
        </w:pBdr>
        <w:shd w:val="clear" w:color="auto" w:fill="E7E6E6" w:themeFill="background2"/>
        <w:tabs>
          <w:tab w:val="left" w:pos="709"/>
        </w:tabs>
        <w:spacing w:line="240" w:lineRule="auto"/>
        <w:ind w:left="426" w:firstLine="0"/>
        <w:rPr>
          <w:rFonts w:eastAsia="Arial Unicode MS" w:cs="Arial Unicode MS"/>
          <w:noProof/>
          <w:color w:val="000000" w:themeColor="text1"/>
        </w:rPr>
      </w:pPr>
      <w:r>
        <w:rPr>
          <w:rFonts w:eastAsia="Arial Unicode MS" w:cs="Arial Unicode MS"/>
          <w:noProof/>
          <w:color w:val="000000"/>
          <w:bdr w:val="none" w:sz="0" w:space="0" w:color="auto" w:frame="1"/>
        </w:rPr>
        <w:t xml:space="preserve">provided practical guidance as regards the implementation of temporary derogations from the general rules on driving and rest times in the road sector (18 March) </w:t>
      </w:r>
      <w:r>
        <w:rPr>
          <w:rStyle w:val="FootnoteReference"/>
          <w:noProof/>
        </w:rPr>
        <w:footnoteReference w:id="453"/>
      </w:r>
      <w:r>
        <w:rPr>
          <w:rFonts w:eastAsia="Arial Unicode MS" w:cs="Arial Unicode MS"/>
          <w:noProof/>
          <w:color w:val="000000"/>
          <w:bdr w:val="none" w:sz="0" w:space="0" w:color="auto" w:frame="1"/>
        </w:rPr>
        <w:t xml:space="preserve">; </w:t>
      </w:r>
    </w:p>
    <w:p>
      <w:pPr>
        <w:pStyle w:val="LegalNumPar"/>
        <w:numPr>
          <w:ilvl w:val="0"/>
          <w:numId w:val="125"/>
        </w:numPr>
        <w:pBdr>
          <w:top w:val="single" w:sz="4" w:space="1" w:color="auto"/>
          <w:left w:val="single" w:sz="4" w:space="1" w:color="auto"/>
          <w:bottom w:val="single" w:sz="4" w:space="1" w:color="auto"/>
          <w:right w:val="single" w:sz="4" w:space="1" w:color="auto"/>
        </w:pBdr>
        <w:shd w:val="clear" w:color="auto" w:fill="E7E6E6" w:themeFill="background2"/>
        <w:tabs>
          <w:tab w:val="left" w:pos="709"/>
        </w:tabs>
        <w:spacing w:line="240" w:lineRule="auto"/>
        <w:ind w:left="426" w:firstLine="0"/>
        <w:rPr>
          <w:noProof/>
        </w:rPr>
      </w:pPr>
      <w:r>
        <w:rPr>
          <w:noProof/>
        </w:rPr>
        <w:t>informed Member States on Commission services’ view regarding inability to comply with certain provisions of legislation in relation to licences, certificates and inspections (26 March)</w:t>
      </w:r>
      <w:r>
        <w:rPr>
          <w:rStyle w:val="FootnoteReference"/>
          <w:noProof/>
        </w:rPr>
        <w:footnoteReference w:id="454"/>
      </w:r>
      <w:r>
        <w:rPr>
          <w:noProof/>
        </w:rPr>
        <w:t xml:space="preserve">; </w:t>
      </w:r>
    </w:p>
    <w:p>
      <w:pPr>
        <w:pStyle w:val="LegalNumPar"/>
        <w:pBdr>
          <w:top w:val="single" w:sz="4" w:space="1" w:color="auto"/>
          <w:left w:val="single" w:sz="4" w:space="1" w:color="auto"/>
          <w:bottom w:val="single" w:sz="4" w:space="1" w:color="auto"/>
          <w:right w:val="single" w:sz="4" w:space="1" w:color="auto"/>
        </w:pBdr>
        <w:shd w:val="clear" w:color="auto" w:fill="E7E6E6" w:themeFill="background2"/>
        <w:tabs>
          <w:tab w:val="left" w:pos="709"/>
        </w:tabs>
        <w:spacing w:line="240" w:lineRule="auto"/>
        <w:ind w:left="426"/>
        <w:rPr>
          <w:i/>
          <w:noProof/>
        </w:rPr>
      </w:pPr>
      <w:r>
        <w:rPr>
          <w:i/>
          <w:iCs/>
          <w:noProof/>
        </w:rPr>
        <w:t xml:space="preserve">2. Measures to help relieve financial and operational pressures on the sector: </w:t>
      </w:r>
    </w:p>
    <w:p>
      <w:pPr>
        <w:pStyle w:val="LegalNumPar"/>
        <w:numPr>
          <w:ilvl w:val="0"/>
          <w:numId w:val="125"/>
        </w:numPr>
        <w:pBdr>
          <w:top w:val="single" w:sz="4" w:space="1" w:color="auto"/>
          <w:left w:val="single" w:sz="4" w:space="1" w:color="auto"/>
          <w:bottom w:val="single" w:sz="4" w:space="1" w:color="auto"/>
          <w:right w:val="single" w:sz="4" w:space="1" w:color="auto"/>
        </w:pBdr>
        <w:shd w:val="clear" w:color="auto" w:fill="E7E6E6" w:themeFill="background2"/>
        <w:tabs>
          <w:tab w:val="left" w:pos="709"/>
        </w:tabs>
        <w:spacing w:line="240" w:lineRule="auto"/>
        <w:ind w:left="426" w:firstLine="0"/>
        <w:rPr>
          <w:noProof/>
        </w:rPr>
      </w:pPr>
      <w:r>
        <w:rPr>
          <w:noProof/>
        </w:rPr>
        <w:t xml:space="preserve">prepared measures to </w:t>
      </w:r>
      <w:r>
        <w:rPr>
          <w:rFonts w:eastAsia="Arial Unicode MS" w:cs="Arial Unicode MS"/>
          <w:noProof/>
          <w:color w:val="000000"/>
          <w:bdr w:val="none" w:sz="0" w:space="0" w:color="auto" w:frame="1"/>
        </w:rPr>
        <w:t>maintain</w:t>
      </w:r>
      <w:r>
        <w:rPr>
          <w:noProof/>
        </w:rPr>
        <w:t xml:space="preserve"> the flow of liquidity to the economy, and to alleviate the employment impact for hardest hit sectors, including through the Coronavirus Response Investment Initiative (13 March)</w:t>
      </w:r>
      <w:r>
        <w:rPr>
          <w:rStyle w:val="FootnoteReference"/>
          <w:noProof/>
        </w:rPr>
        <w:footnoteReference w:id="455"/>
      </w:r>
      <w:r>
        <w:rPr>
          <w:noProof/>
        </w:rPr>
        <w:t xml:space="preserve">;    </w:t>
      </w:r>
    </w:p>
    <w:p>
      <w:pPr>
        <w:pStyle w:val="LegalNumPar"/>
        <w:numPr>
          <w:ilvl w:val="0"/>
          <w:numId w:val="125"/>
        </w:numPr>
        <w:pBdr>
          <w:top w:val="single" w:sz="4" w:space="1" w:color="auto"/>
          <w:left w:val="single" w:sz="4" w:space="1" w:color="auto"/>
          <w:bottom w:val="single" w:sz="4" w:space="1" w:color="auto"/>
          <w:right w:val="single" w:sz="4" w:space="1" w:color="auto"/>
        </w:pBdr>
        <w:shd w:val="clear" w:color="auto" w:fill="E7E6E6" w:themeFill="background2"/>
        <w:tabs>
          <w:tab w:val="left" w:pos="709"/>
        </w:tabs>
        <w:spacing w:line="240" w:lineRule="auto"/>
        <w:ind w:left="426" w:firstLine="0"/>
        <w:rPr>
          <w:noProof/>
        </w:rPr>
      </w:pPr>
      <w:r>
        <w:rPr>
          <w:noProof/>
        </w:rPr>
        <w:t>put forward a dedicated investment initiative (13 March)</w:t>
      </w:r>
      <w:r>
        <w:rPr>
          <w:rStyle w:val="FootnoteReference"/>
          <w:noProof/>
        </w:rPr>
        <w:footnoteReference w:id="456"/>
      </w:r>
      <w:r>
        <w:rPr>
          <w:noProof/>
        </w:rPr>
        <w:t>;</w:t>
      </w:r>
    </w:p>
    <w:p>
      <w:pPr>
        <w:pStyle w:val="LegalNumPar"/>
        <w:numPr>
          <w:ilvl w:val="0"/>
          <w:numId w:val="125"/>
        </w:numPr>
        <w:pBdr>
          <w:top w:val="single" w:sz="4" w:space="1" w:color="auto"/>
          <w:left w:val="single" w:sz="4" w:space="1" w:color="auto"/>
          <w:bottom w:val="single" w:sz="4" w:space="1" w:color="auto"/>
          <w:right w:val="single" w:sz="4" w:space="1" w:color="auto"/>
        </w:pBdr>
        <w:shd w:val="clear" w:color="auto" w:fill="E7E6E6" w:themeFill="background2"/>
        <w:tabs>
          <w:tab w:val="left" w:pos="709"/>
        </w:tabs>
        <w:spacing w:line="240" w:lineRule="auto"/>
        <w:ind w:left="426" w:firstLine="0"/>
        <w:rPr>
          <w:noProof/>
        </w:rPr>
      </w:pPr>
      <w:r>
        <w:rPr>
          <w:noProof/>
        </w:rPr>
        <w:t>made a legislative proposal on the protection of historical rights on airport slots (13 March)</w:t>
      </w:r>
      <w:r>
        <w:rPr>
          <w:rStyle w:val="FootnoteReference"/>
          <w:noProof/>
        </w:rPr>
        <w:footnoteReference w:id="457"/>
      </w:r>
      <w:r>
        <w:rPr>
          <w:noProof/>
        </w:rPr>
        <w:t xml:space="preserve">; </w:t>
      </w:r>
    </w:p>
    <w:p>
      <w:pPr>
        <w:pStyle w:val="LegalNumPar"/>
        <w:numPr>
          <w:ilvl w:val="0"/>
          <w:numId w:val="125"/>
        </w:numPr>
        <w:pBdr>
          <w:top w:val="single" w:sz="4" w:space="1" w:color="auto"/>
          <w:left w:val="single" w:sz="4" w:space="1" w:color="auto"/>
          <w:bottom w:val="single" w:sz="4" w:space="1" w:color="auto"/>
          <w:right w:val="single" w:sz="4" w:space="1" w:color="auto"/>
        </w:pBdr>
        <w:shd w:val="clear" w:color="auto" w:fill="E7E6E6" w:themeFill="background2"/>
        <w:tabs>
          <w:tab w:val="left" w:pos="709"/>
        </w:tabs>
        <w:spacing w:line="240" w:lineRule="auto"/>
        <w:ind w:left="426" w:firstLine="0"/>
        <w:rPr>
          <w:noProof/>
        </w:rPr>
      </w:pPr>
      <w:r>
        <w:rPr>
          <w:noProof/>
        </w:rPr>
        <w:t>made a legislative proposal to make certain rules of the Air Services Regulation more flexible for airlines, Member States and the Commission in view of COVID-19 pandemic</w:t>
      </w:r>
      <w:r>
        <w:rPr>
          <w:rStyle w:val="FootnoteReference"/>
          <w:noProof/>
        </w:rPr>
        <w:footnoteReference w:id="458"/>
      </w:r>
    </w:p>
    <w:p>
      <w:pPr>
        <w:pStyle w:val="LegalNumPar"/>
        <w:numPr>
          <w:ilvl w:val="0"/>
          <w:numId w:val="125"/>
        </w:numPr>
        <w:pBdr>
          <w:top w:val="single" w:sz="4" w:space="1" w:color="auto"/>
          <w:left w:val="single" w:sz="4" w:space="1" w:color="auto"/>
          <w:bottom w:val="single" w:sz="4" w:space="1" w:color="auto"/>
          <w:right w:val="single" w:sz="4" w:space="1" w:color="auto"/>
        </w:pBdr>
        <w:shd w:val="clear" w:color="auto" w:fill="E7E6E6" w:themeFill="background2"/>
        <w:tabs>
          <w:tab w:val="left" w:pos="709"/>
        </w:tabs>
        <w:spacing w:line="240" w:lineRule="auto"/>
        <w:ind w:left="426" w:firstLine="0"/>
        <w:rPr>
          <w:noProof/>
        </w:rPr>
      </w:pPr>
      <w:r>
        <w:rPr>
          <w:noProof/>
        </w:rPr>
        <w:t>adopted the Communication “Temporary Framework for State aid measures to support the economy in the current COVID-19 outbreak”</w:t>
      </w:r>
      <w:r>
        <w:rPr>
          <w:rStyle w:val="FootnoteReference"/>
          <w:noProof/>
        </w:rPr>
        <w:footnoteReference w:id="459"/>
      </w:r>
      <w:r>
        <w:rPr>
          <w:noProof/>
        </w:rPr>
        <w:t xml:space="preserve"> (19 March, 3 April, 8 May, 29 June and 13 October for its amended version);</w:t>
      </w:r>
    </w:p>
    <w:p>
      <w:pPr>
        <w:pStyle w:val="LegalNumPar"/>
        <w:numPr>
          <w:ilvl w:val="0"/>
          <w:numId w:val="125"/>
        </w:numPr>
        <w:pBdr>
          <w:top w:val="single" w:sz="4" w:space="1" w:color="auto"/>
          <w:left w:val="single" w:sz="4" w:space="1" w:color="auto"/>
          <w:bottom w:val="single" w:sz="4" w:space="1" w:color="auto"/>
          <w:right w:val="single" w:sz="4" w:space="1" w:color="auto"/>
        </w:pBdr>
        <w:shd w:val="clear" w:color="auto" w:fill="E7E6E6" w:themeFill="background2"/>
        <w:tabs>
          <w:tab w:val="left" w:pos="709"/>
        </w:tabs>
        <w:spacing w:line="240" w:lineRule="auto"/>
        <w:ind w:left="426" w:firstLine="0"/>
        <w:rPr>
          <w:noProof/>
        </w:rPr>
      </w:pPr>
      <w:r>
        <w:rPr>
          <w:noProof/>
        </w:rPr>
        <w:t>proposed the activation of the general escape clause of the Stability and Growth Pact (20 March)</w:t>
      </w:r>
      <w:r>
        <w:rPr>
          <w:rStyle w:val="FootnoteReference"/>
          <w:noProof/>
        </w:rPr>
        <w:footnoteReference w:id="460"/>
      </w:r>
      <w:r>
        <w:rPr>
          <w:noProof/>
        </w:rPr>
        <w:t>;</w:t>
      </w:r>
    </w:p>
    <w:p>
      <w:pPr>
        <w:pStyle w:val="LegalNumPar"/>
        <w:numPr>
          <w:ilvl w:val="0"/>
          <w:numId w:val="125"/>
        </w:numPr>
        <w:pBdr>
          <w:top w:val="single" w:sz="4" w:space="1" w:color="auto"/>
          <w:left w:val="single" w:sz="4" w:space="1" w:color="auto"/>
          <w:bottom w:val="single" w:sz="4" w:space="1" w:color="auto"/>
          <w:right w:val="single" w:sz="4" w:space="1" w:color="auto"/>
        </w:pBdr>
        <w:shd w:val="clear" w:color="auto" w:fill="E7E6E6" w:themeFill="background2"/>
        <w:tabs>
          <w:tab w:val="left" w:pos="709"/>
        </w:tabs>
        <w:spacing w:line="240" w:lineRule="auto"/>
        <w:ind w:left="426" w:firstLine="0"/>
        <w:rPr>
          <w:noProof/>
        </w:rPr>
      </w:pPr>
      <w:r>
        <w:rPr>
          <w:noProof/>
        </w:rPr>
        <w:t>issued interpretative guidelines on EU passenger rights regulations in the context of the developing situation with COVID-19 on (18 March)</w:t>
      </w:r>
      <w:r>
        <w:rPr>
          <w:rStyle w:val="FootnoteReference"/>
          <w:noProof/>
        </w:rPr>
        <w:footnoteReference w:id="461"/>
      </w:r>
      <w:r>
        <w:rPr>
          <w:noProof/>
        </w:rPr>
        <w:t>;</w:t>
      </w:r>
    </w:p>
    <w:p>
      <w:pPr>
        <w:pStyle w:val="LegalNumPar"/>
        <w:numPr>
          <w:ilvl w:val="0"/>
          <w:numId w:val="125"/>
        </w:numPr>
        <w:pBdr>
          <w:top w:val="single" w:sz="4" w:space="1" w:color="auto"/>
          <w:left w:val="single" w:sz="4" w:space="1" w:color="auto"/>
          <w:bottom w:val="single" w:sz="4" w:space="1" w:color="auto"/>
          <w:right w:val="single" w:sz="4" w:space="1" w:color="auto"/>
        </w:pBdr>
        <w:shd w:val="clear" w:color="auto" w:fill="E7E6E6" w:themeFill="background2"/>
        <w:tabs>
          <w:tab w:val="left" w:pos="709"/>
        </w:tabs>
        <w:spacing w:line="240" w:lineRule="auto"/>
        <w:ind w:left="426" w:firstLine="0"/>
        <w:rPr>
          <w:noProof/>
        </w:rPr>
      </w:pPr>
      <w:r>
        <w:rPr>
          <w:noProof/>
        </w:rPr>
        <w:t>proposed to establish a European instrument for temporary support to mitigate unemployment risks in an emergency (SURE) following the COVID-19 outbreak</w:t>
      </w:r>
      <w:r>
        <w:rPr>
          <w:rStyle w:val="FootnoteReference"/>
          <w:noProof/>
        </w:rPr>
        <w:footnoteReference w:id="462"/>
      </w:r>
      <w:r>
        <w:rPr>
          <w:noProof/>
        </w:rPr>
        <w:t>;</w:t>
      </w:r>
    </w:p>
    <w:p>
      <w:pPr>
        <w:pStyle w:val="LegalNumPar"/>
        <w:numPr>
          <w:ilvl w:val="0"/>
          <w:numId w:val="125"/>
        </w:numPr>
        <w:pBdr>
          <w:top w:val="single" w:sz="4" w:space="1" w:color="auto"/>
          <w:left w:val="single" w:sz="4" w:space="1" w:color="auto"/>
          <w:bottom w:val="single" w:sz="4" w:space="1" w:color="auto"/>
          <w:right w:val="single" w:sz="4" w:space="1" w:color="auto"/>
        </w:pBdr>
        <w:shd w:val="clear" w:color="auto" w:fill="E7E6E6" w:themeFill="background2"/>
        <w:tabs>
          <w:tab w:val="left" w:pos="709"/>
        </w:tabs>
        <w:spacing w:line="240" w:lineRule="auto"/>
        <w:ind w:left="426" w:firstLine="0"/>
        <w:rPr>
          <w:noProof/>
        </w:rPr>
      </w:pPr>
      <w:r>
        <w:rPr>
          <w:noProof/>
        </w:rPr>
        <w:t>issued guidance on State aid rules and public service obligation rules in air, maritime and land transport in the support of the transport sector during the COVID-19 pandemic and the recovery phase (19 and 26 May)</w:t>
      </w:r>
      <w:r>
        <w:rPr>
          <w:rStyle w:val="FootnoteReference"/>
          <w:noProof/>
        </w:rPr>
        <w:t xml:space="preserve"> </w:t>
      </w:r>
      <w:r>
        <w:rPr>
          <w:rStyle w:val="FootnoteReference"/>
          <w:noProof/>
        </w:rPr>
        <w:footnoteReference w:id="463"/>
      </w:r>
      <w:r>
        <w:rPr>
          <w:noProof/>
        </w:rPr>
        <w:t>;</w:t>
      </w:r>
    </w:p>
    <w:p>
      <w:pPr>
        <w:pStyle w:val="LegalNumPar"/>
        <w:numPr>
          <w:ilvl w:val="0"/>
          <w:numId w:val="125"/>
        </w:numPr>
        <w:pBdr>
          <w:top w:val="single" w:sz="4" w:space="1" w:color="auto"/>
          <w:left w:val="single" w:sz="4" w:space="1" w:color="auto"/>
          <w:bottom w:val="single" w:sz="4" w:space="1" w:color="auto"/>
          <w:right w:val="single" w:sz="4" w:space="1" w:color="auto"/>
        </w:pBdr>
        <w:shd w:val="clear" w:color="auto" w:fill="E7E6E6" w:themeFill="background2"/>
        <w:tabs>
          <w:tab w:val="left" w:pos="709"/>
        </w:tabs>
        <w:spacing w:line="240" w:lineRule="auto"/>
        <w:ind w:left="426" w:firstLine="0"/>
        <w:rPr>
          <w:noProof/>
        </w:rPr>
      </w:pPr>
      <w:r>
        <w:rPr>
          <w:noProof/>
        </w:rPr>
        <w:t>proposed a Regulation establishing measures for a sustainable rail market in view of the COVID-19 pandemic (19 June)</w:t>
      </w:r>
      <w:r>
        <w:rPr>
          <w:rStyle w:val="FootnoteReference"/>
          <w:noProof/>
        </w:rPr>
        <w:footnoteReference w:id="464"/>
      </w:r>
      <w:r>
        <w:rPr>
          <w:noProof/>
        </w:rPr>
        <w:t xml:space="preserve"> regarding charging.</w:t>
      </w:r>
    </w:p>
    <w:p>
      <w:pPr>
        <w:pStyle w:val="LegalNumPar"/>
        <w:pBdr>
          <w:top w:val="single" w:sz="4" w:space="1" w:color="auto"/>
          <w:left w:val="single" w:sz="4" w:space="1" w:color="auto"/>
          <w:bottom w:val="single" w:sz="4" w:space="1" w:color="auto"/>
          <w:right w:val="single" w:sz="4" w:space="1" w:color="auto"/>
        </w:pBdr>
        <w:shd w:val="clear" w:color="auto" w:fill="E7E6E6" w:themeFill="background2"/>
        <w:tabs>
          <w:tab w:val="left" w:pos="476"/>
        </w:tabs>
        <w:spacing w:line="240" w:lineRule="auto"/>
        <w:ind w:left="426"/>
        <w:rPr>
          <w:noProof/>
        </w:rPr>
      </w:pPr>
      <w:r>
        <w:rPr>
          <w:noProof/>
        </w:rPr>
        <w:t>Following the immediate crisis response measures, and taking into account that with the improvement of the epidemiological situation Member States started lifting restrictions on travel, on 13 May the Commission adopted a package of guidelines and recommendations on restoring tourism and transport</w:t>
      </w:r>
      <w:r>
        <w:rPr>
          <w:rStyle w:val="FootnoteReference"/>
          <w:noProof/>
        </w:rPr>
        <w:footnoteReference w:id="465"/>
      </w:r>
      <w:r>
        <w:rPr>
          <w:noProof/>
        </w:rPr>
        <w:t xml:space="preserve">. </w:t>
      </w:r>
    </w:p>
    <w:p>
      <w:pPr>
        <w:pStyle w:val="LegalNumPar"/>
        <w:pBdr>
          <w:top w:val="single" w:sz="4" w:space="1" w:color="auto"/>
          <w:left w:val="single" w:sz="4" w:space="1" w:color="auto"/>
          <w:bottom w:val="single" w:sz="4" w:space="1" w:color="auto"/>
          <w:right w:val="single" w:sz="4" w:space="1" w:color="auto"/>
        </w:pBdr>
        <w:shd w:val="clear" w:color="auto" w:fill="E7E6E6" w:themeFill="background2"/>
        <w:tabs>
          <w:tab w:val="left" w:pos="476"/>
        </w:tabs>
        <w:spacing w:line="240" w:lineRule="auto"/>
        <w:ind w:left="426"/>
        <w:rPr>
          <w:noProof/>
        </w:rPr>
      </w:pPr>
      <w:r>
        <w:rPr>
          <w:noProof/>
        </w:rPr>
        <w:t>Building on the Joint European Roadmap, this proposal aimed to help EU countries in guiding them towards lifting travel restrictions, safely restoring transport services and resuming tourism activities. This package included in particular guidelines on the progressive restoration of transport services and connectivity, setting out general principles and mode-specific recommendations for the safe and gradual restoration of passenger transport by air, rail, road and waterways. The guidelines included a series of recommendations on the need to limit contact between passengers and transport workers, and passengers themselves, reducing the density of passengers where feasible,    and on the use of personal protective equipment, such as face masks, and on adequate protocols in case passengers present COVID-19 symptoms. The package also included a recommendation which aims to make travel vouchers an attractive alternative to cash reimbursement for consumers</w:t>
      </w:r>
      <w:r>
        <w:rPr>
          <w:rStyle w:val="FootnoteReference"/>
          <w:noProof/>
        </w:rPr>
        <w:footnoteReference w:id="466"/>
      </w:r>
      <w:r>
        <w:rPr>
          <w:noProof/>
        </w:rPr>
        <w:t>. The guidelines were complemented by specific guidelines issued by EASA for aviation</w:t>
      </w:r>
      <w:r>
        <w:rPr>
          <w:rStyle w:val="FootnoteReference"/>
          <w:noProof/>
        </w:rPr>
        <w:footnoteReference w:id="467"/>
      </w:r>
      <w:r>
        <w:rPr>
          <w:noProof/>
        </w:rPr>
        <w:t>, ERA for railways</w:t>
      </w:r>
      <w:r>
        <w:rPr>
          <w:rStyle w:val="FootnoteReference"/>
          <w:noProof/>
        </w:rPr>
        <w:footnoteReference w:id="468"/>
      </w:r>
      <w:r>
        <w:rPr>
          <w:noProof/>
        </w:rPr>
        <w:t xml:space="preserve"> and EMSA for cruises</w:t>
      </w:r>
      <w:r>
        <w:rPr>
          <w:rStyle w:val="FootnoteReference"/>
          <w:noProof/>
        </w:rPr>
        <w:footnoteReference w:id="469"/>
      </w:r>
      <w:r>
        <w:rPr>
          <w:noProof/>
        </w:rPr>
        <w:t xml:space="preserve"> in May and July 2020.</w:t>
      </w:r>
    </w:p>
    <w:p>
      <w:pPr>
        <w:pStyle w:val="LegalNumPar"/>
        <w:pBdr>
          <w:top w:val="single" w:sz="4" w:space="1" w:color="auto"/>
          <w:left w:val="single" w:sz="4" w:space="1" w:color="auto"/>
          <w:bottom w:val="single" w:sz="4" w:space="1" w:color="auto"/>
          <w:right w:val="single" w:sz="4" w:space="1" w:color="auto"/>
        </w:pBdr>
        <w:shd w:val="clear" w:color="auto" w:fill="E7E6E6" w:themeFill="background2"/>
        <w:tabs>
          <w:tab w:val="left" w:pos="476"/>
        </w:tabs>
        <w:spacing w:line="240" w:lineRule="auto"/>
        <w:ind w:left="426"/>
        <w:rPr>
          <w:noProof/>
        </w:rPr>
      </w:pPr>
      <w:r>
        <w:rPr>
          <w:noProof/>
        </w:rPr>
        <w:t xml:space="preserve">As a follow-up to the package of 13 May 2020, the Commission has continued intensive coordination efforts with Member States to facilitate the implementation of the guidelines and recommendations, including by daily contacts through the network of national transport contact points for transport and exchanges in the context of the EU Integrated Political Crisis Response (IPCR). </w:t>
      </w:r>
    </w:p>
    <w:p>
      <w:pPr>
        <w:pStyle w:val="LegalNumPar"/>
        <w:pBdr>
          <w:top w:val="single" w:sz="4" w:space="1" w:color="auto"/>
          <w:left w:val="single" w:sz="4" w:space="1" w:color="auto"/>
          <w:bottom w:val="single" w:sz="4" w:space="1" w:color="auto"/>
          <w:right w:val="single" w:sz="4" w:space="1" w:color="auto"/>
        </w:pBdr>
        <w:shd w:val="clear" w:color="auto" w:fill="E7E6E6" w:themeFill="background2"/>
        <w:tabs>
          <w:tab w:val="left" w:pos="476"/>
        </w:tabs>
        <w:spacing w:line="240" w:lineRule="auto"/>
        <w:ind w:left="426"/>
        <w:rPr>
          <w:noProof/>
        </w:rPr>
      </w:pPr>
      <w:r>
        <w:rPr>
          <w:noProof/>
        </w:rPr>
        <w:t xml:space="preserve">Moreover, on 26 May, the European Commission has put forward its proposal for a major recovery plan. To ensure the recovery is sustainable, even, inclusive and fair for all Member States, the European Commission proposed to create a new recovery instrument, Next Generation EU, embedded within a powerful, modern and revamped long-term EU budget. </w:t>
      </w:r>
    </w:p>
    <w:p>
      <w:pPr>
        <w:pStyle w:val="LegalNumPar"/>
        <w:keepNext/>
        <w:pBdr>
          <w:top w:val="single" w:sz="4" w:space="1" w:color="auto"/>
          <w:left w:val="single" w:sz="4" w:space="1" w:color="auto"/>
          <w:bottom w:val="single" w:sz="4" w:space="1" w:color="auto"/>
          <w:right w:val="single" w:sz="4" w:space="1" w:color="auto"/>
        </w:pBdr>
        <w:shd w:val="clear" w:color="auto" w:fill="E7E6E6" w:themeFill="background2"/>
        <w:tabs>
          <w:tab w:val="left" w:pos="476"/>
        </w:tabs>
        <w:spacing w:line="240" w:lineRule="auto"/>
        <w:ind w:left="426"/>
        <w:rPr>
          <w:noProof/>
        </w:rPr>
      </w:pPr>
      <w:r>
        <w:rPr>
          <w:noProof/>
        </w:rPr>
        <w:t>At the beginning of July, a dedicated COVID-19 SUMP Practitioner Briefing was published, focusing on green recovery in urban mobility. It takes stock of SUMP-related issues and all the good practices that cities have been introducing and still plan to implement as restrictions ease. It also includes lessons learned for immediate, mid-term and longer-term actions that European cities and regions are developing.</w:t>
      </w:r>
      <w:r>
        <w:rPr>
          <w:rStyle w:val="FootnoteReference"/>
          <w:noProof/>
        </w:rPr>
        <w:footnoteReference w:id="470"/>
      </w:r>
    </w:p>
    <w:p>
      <w:pPr>
        <w:pStyle w:val="LegalNumPar"/>
        <w:keepNext/>
        <w:pBdr>
          <w:top w:val="single" w:sz="4" w:space="1" w:color="auto"/>
          <w:left w:val="single" w:sz="4" w:space="1" w:color="auto"/>
          <w:bottom w:val="single" w:sz="4" w:space="1" w:color="auto"/>
          <w:right w:val="single" w:sz="4" w:space="1" w:color="auto"/>
        </w:pBdr>
        <w:shd w:val="clear" w:color="auto" w:fill="E7E6E6" w:themeFill="background2"/>
        <w:tabs>
          <w:tab w:val="left" w:pos="476"/>
        </w:tabs>
        <w:spacing w:line="240" w:lineRule="auto"/>
        <w:ind w:left="426"/>
        <w:rPr>
          <w:noProof/>
        </w:rPr>
      </w:pPr>
      <w:r>
        <w:rPr>
          <w:noProof/>
        </w:rPr>
        <w:t>Finally, on 4 September, the Commission adopted a proposal for a Council Recommendation to ensure that any measures taken by Member States that restrict free movement due to the coronavirus pandemic are coordinated and clearly communicated at the EU level.</w:t>
      </w:r>
    </w:p>
    <w:p>
      <w:pPr>
        <w:pStyle w:val="Heading4"/>
        <w:numPr>
          <w:ilvl w:val="3"/>
          <w:numId w:val="98"/>
        </w:numPr>
        <w:rPr>
          <w:noProof/>
        </w:rPr>
      </w:pPr>
      <w:bookmarkStart w:id="3750" w:name="_Toc57291516"/>
      <w:bookmarkStart w:id="3751" w:name="_Toc51450129"/>
      <w:bookmarkStart w:id="3752" w:name="_Toc51574828"/>
      <w:bookmarkStart w:id="3753" w:name="_Toc51575676"/>
      <w:bookmarkStart w:id="3754" w:name="_Toc51578074"/>
      <w:bookmarkStart w:id="3755" w:name="_Toc51582947"/>
      <w:bookmarkStart w:id="3756" w:name="_Toc51583422"/>
      <w:bookmarkStart w:id="3757" w:name="_Toc51583512"/>
      <w:bookmarkStart w:id="3758" w:name="_Toc51583797"/>
      <w:bookmarkStart w:id="3759" w:name="_Toc51583987"/>
      <w:bookmarkStart w:id="3760" w:name="_Toc51583911"/>
      <w:bookmarkStart w:id="3761" w:name="_Toc51586229"/>
      <w:bookmarkStart w:id="3762" w:name="_Toc51594032"/>
      <w:bookmarkStart w:id="3763" w:name="_Toc51594358"/>
      <w:bookmarkStart w:id="3764" w:name="_Toc51595336"/>
      <w:bookmarkStart w:id="3765" w:name="_Toc51595586"/>
      <w:bookmarkStart w:id="3766" w:name="_Toc51595912"/>
      <w:bookmarkStart w:id="3767" w:name="_Toc51596075"/>
      <w:bookmarkStart w:id="3768" w:name="_Toc51596428"/>
      <w:bookmarkStart w:id="3769" w:name="_Toc52121562"/>
      <w:bookmarkStart w:id="3770" w:name="_Toc52122793"/>
      <w:bookmarkStart w:id="3771" w:name="_Toc52123910"/>
      <w:bookmarkStart w:id="3772" w:name="_Toc53405371"/>
      <w:bookmarkStart w:id="3773" w:name="_Toc53406158"/>
      <w:bookmarkStart w:id="3774" w:name="_Toc53407527"/>
      <w:bookmarkStart w:id="3775" w:name="_Toc53410971"/>
      <w:bookmarkStart w:id="3776" w:name="_Toc53412034"/>
      <w:bookmarkStart w:id="3777" w:name="_Toc53417281"/>
      <w:bookmarkStart w:id="3778" w:name="_Toc53417633"/>
      <w:bookmarkStart w:id="3779" w:name="_Toc53419868"/>
      <w:bookmarkStart w:id="3780" w:name="_Toc53434971"/>
      <w:bookmarkStart w:id="3781" w:name="_Toc53437110"/>
      <w:r>
        <w:rPr>
          <w:noProof/>
        </w:rPr>
        <w:t>Governance</w:t>
      </w:r>
      <w:bookmarkEnd w:id="3750"/>
      <w:r>
        <w:rPr>
          <w:noProof/>
        </w:rPr>
        <w:t xml:space="preserve"> </w:t>
      </w:r>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p>
    <w:p>
      <w:pPr>
        <w:pStyle w:val="LegalNumPar"/>
        <w:numPr>
          <w:ilvl w:val="0"/>
          <w:numId w:val="89"/>
        </w:numPr>
        <w:tabs>
          <w:tab w:val="left" w:pos="476"/>
        </w:tabs>
        <w:spacing w:line="240" w:lineRule="auto"/>
        <w:rPr>
          <w:noProof/>
        </w:rPr>
      </w:pPr>
      <w:r>
        <w:rPr>
          <w:noProof/>
        </w:rPr>
        <w:t xml:space="preserve">In line with the Commission's dedication to Better Regulation, there is need to significantly reduce the </w:t>
      </w:r>
      <w:r>
        <w:rPr>
          <w:noProof/>
          <w:lang w:eastAsia="ja-JP"/>
        </w:rPr>
        <w:t>administrative</w:t>
      </w:r>
      <w:r>
        <w:rPr>
          <w:noProof/>
        </w:rPr>
        <w:t xml:space="preserve"> burden for Member States, the Commission and other EU institutions. Current planning and reporting requirements - both for the Commission and Member States - are dispersed across a wide range of separate pieces of legislation adopted at different points in time. This has sometimes led to redundancy, incoherence, overlaps and lack of integration between the transport areas and modes. It makes effective response to crisis and adequate contingency planning very difficult.</w:t>
      </w:r>
    </w:p>
    <w:p>
      <w:pPr>
        <w:pStyle w:val="LegalNumPar"/>
        <w:numPr>
          <w:ilvl w:val="0"/>
          <w:numId w:val="89"/>
        </w:numPr>
        <w:tabs>
          <w:tab w:val="left" w:pos="476"/>
        </w:tabs>
        <w:spacing w:line="240" w:lineRule="auto"/>
        <w:rPr>
          <w:noProof/>
          <w:lang w:eastAsia="en-US"/>
        </w:rPr>
      </w:pPr>
      <w:r>
        <w:rPr>
          <w:noProof/>
          <w:lang w:eastAsia="en-US"/>
        </w:rPr>
        <w:t>In order to comply with requirements laid down in EU transport legislation, EU Member States need to fulfil numerous reporting obligations. Substantively, such obligations serve different purposes, as Member States report to the Commission for monitoring purposes, on implementation achievements or submit progress and activity reports to name just a few. Typically, these requirements are laid down in specific legal acts establishing an obligation to comply with highly specialized requirements each.</w:t>
      </w:r>
    </w:p>
    <w:p>
      <w:pPr>
        <w:pStyle w:val="LegalNumPar"/>
        <w:numPr>
          <w:ilvl w:val="0"/>
          <w:numId w:val="89"/>
        </w:numPr>
        <w:tabs>
          <w:tab w:val="left" w:pos="476"/>
        </w:tabs>
        <w:spacing w:line="240" w:lineRule="auto"/>
        <w:rPr>
          <w:noProof/>
          <w:lang w:eastAsia="en-US"/>
        </w:rPr>
      </w:pPr>
      <w:r>
        <w:rPr>
          <w:noProof/>
          <w:lang w:eastAsia="en-US"/>
        </w:rPr>
        <w:t>Often, the reporting periods covered are fixed to one or two years respectively, as defined by the legal act establishing the obligation</w:t>
      </w:r>
      <w:r>
        <w:rPr>
          <w:rStyle w:val="FootnoteReference"/>
          <w:noProof/>
          <w:lang w:eastAsia="en-US"/>
        </w:rPr>
        <w:footnoteReference w:id="471"/>
      </w:r>
      <w:r>
        <w:rPr>
          <w:noProof/>
          <w:lang w:eastAsia="en-US"/>
        </w:rPr>
        <w:t>. Yet, reporting obligations may also initially rest dormant and only be triggered by certain events</w:t>
      </w:r>
      <w:r>
        <w:rPr>
          <w:rStyle w:val="FootnoteReference"/>
          <w:noProof/>
          <w:lang w:eastAsia="en-US"/>
        </w:rPr>
        <w:footnoteReference w:id="472"/>
      </w:r>
      <w:r>
        <w:rPr>
          <w:noProof/>
          <w:lang w:eastAsia="en-US"/>
        </w:rPr>
        <w:t xml:space="preserve">. </w:t>
      </w:r>
    </w:p>
    <w:p>
      <w:pPr>
        <w:pStyle w:val="LegalNumPar"/>
        <w:numPr>
          <w:ilvl w:val="0"/>
          <w:numId w:val="89"/>
        </w:numPr>
        <w:tabs>
          <w:tab w:val="left" w:pos="476"/>
        </w:tabs>
        <w:spacing w:line="240" w:lineRule="auto"/>
        <w:rPr>
          <w:noProof/>
          <w:lang w:eastAsia="en-US"/>
        </w:rPr>
      </w:pPr>
      <w:r>
        <w:rPr>
          <w:noProof/>
          <w:lang w:eastAsia="en-US"/>
        </w:rPr>
        <w:t>Reporting requirements vary in their demand for execution. Usually, they are template-based, employing a questionnaire method and are built on pre-defined indicators</w:t>
      </w:r>
      <w:r>
        <w:rPr>
          <w:rStyle w:val="FootnoteReference"/>
          <w:noProof/>
          <w:lang w:eastAsia="en-US"/>
        </w:rPr>
        <w:footnoteReference w:id="473"/>
      </w:r>
      <w:r>
        <w:rPr>
          <w:noProof/>
          <w:lang w:eastAsia="en-US"/>
        </w:rPr>
        <w:t xml:space="preserve">. </w:t>
      </w:r>
    </w:p>
    <w:p>
      <w:pPr>
        <w:pStyle w:val="LegalNumPar"/>
        <w:numPr>
          <w:ilvl w:val="0"/>
          <w:numId w:val="89"/>
        </w:numPr>
        <w:tabs>
          <w:tab w:val="left" w:pos="476"/>
        </w:tabs>
        <w:spacing w:line="240" w:lineRule="auto"/>
        <w:rPr>
          <w:noProof/>
          <w:lang w:eastAsia="en-US"/>
        </w:rPr>
      </w:pPr>
      <w:r>
        <w:rPr>
          <w:noProof/>
          <w:lang w:eastAsia="en-US"/>
        </w:rPr>
        <w:t>Overall, different reporting schemes might bear effectiveness and efficiency gaps. The Commission has already taken effort to map the entire EU legislative stock looking to identify burdens, gaps and inefficient or ineffective measures in REFIT (Regulatory Fitness and Performance Programme</w:t>
      </w:r>
      <w:r>
        <w:rPr>
          <w:rStyle w:val="FootnoteReference"/>
          <w:noProof/>
          <w:lang w:eastAsia="en-US"/>
        </w:rPr>
        <w:footnoteReference w:id="474"/>
      </w:r>
      <w:r>
        <w:rPr>
          <w:noProof/>
          <w:lang w:eastAsia="en-US"/>
        </w:rPr>
        <w:t xml:space="preserve">). With regard to reporting obligations there remains potential for further analysis. Streamlining all different Member States reporting requirements should bear potential to see how administrative burdens could be alleviated and strive to improving governance while focusing on EU added value. </w:t>
      </w:r>
    </w:p>
    <w:p>
      <w:pPr>
        <w:pStyle w:val="LegalNumPar"/>
        <w:numPr>
          <w:ilvl w:val="0"/>
          <w:numId w:val="89"/>
        </w:numPr>
        <w:tabs>
          <w:tab w:val="left" w:pos="476"/>
        </w:tabs>
        <w:spacing w:line="240" w:lineRule="auto"/>
        <w:rPr>
          <w:noProof/>
        </w:rPr>
      </w:pPr>
      <w:r>
        <w:rPr>
          <w:noProof/>
        </w:rPr>
        <w:t xml:space="preserve">Therefore there appears to be a need to consolidate the existing patchwork of national reporting obligations from the main pieces </w:t>
      </w:r>
      <w:r>
        <w:rPr>
          <w:noProof/>
          <w:lang w:eastAsia="ja-JP"/>
        </w:rPr>
        <w:t>of</w:t>
      </w:r>
      <w:r>
        <w:rPr>
          <w:noProof/>
        </w:rPr>
        <w:t xml:space="preserve"> EU legislation across transport by replacing different existing sectorial reports with one comprehensive integrated plan and report. This could significantly simplify Member States' obligations: it could reduce, align and update such requirements, and remove existing duplications. An appropriate transport governance framework, could enable establishing and tracking progress of comparable national transport plans among Member States.</w:t>
      </w:r>
    </w:p>
    <w:p>
      <w:pPr>
        <w:pStyle w:val="LegalNumPar"/>
        <w:numPr>
          <w:ilvl w:val="0"/>
          <w:numId w:val="89"/>
        </w:numPr>
        <w:tabs>
          <w:tab w:val="left" w:pos="476"/>
        </w:tabs>
        <w:spacing w:line="240" w:lineRule="auto"/>
        <w:rPr>
          <w:noProof/>
        </w:rPr>
      </w:pPr>
      <w:r>
        <w:rPr>
          <w:noProof/>
        </w:rPr>
        <w:t xml:space="preserve">For such a framework to be fully effective, and in order to be able to monitor progress to the achievements of European objectives, it is needed to improve the coverage and level of details of transport statistics. On some aspects, the persistent lack of comparable and complete transport data and statistics needs to be addressed. </w:t>
      </w:r>
    </w:p>
    <w:p>
      <w:pPr>
        <w:pStyle w:val="LegalNumPar"/>
        <w:numPr>
          <w:ilvl w:val="0"/>
          <w:numId w:val="89"/>
        </w:numPr>
        <w:tabs>
          <w:tab w:val="left" w:pos="476"/>
        </w:tabs>
        <w:spacing w:line="240" w:lineRule="auto"/>
        <w:rPr>
          <w:noProof/>
        </w:rPr>
      </w:pPr>
      <w:r>
        <w:rPr>
          <w:noProof/>
        </w:rPr>
        <w:t xml:space="preserve">The biggest </w:t>
      </w:r>
      <w:r>
        <w:rPr>
          <w:b/>
          <w:bCs/>
          <w:noProof/>
        </w:rPr>
        <w:t>gap in European transport statistics</w:t>
      </w:r>
      <w:r>
        <w:rPr>
          <w:noProof/>
        </w:rPr>
        <w:t xml:space="preserve"> remains in the passenger mobility area. An estimated 83% of mobility in Europe by private cars, buses, urban transport and other modes (including active ones, such as cycling) is currently not covered by official European statistics or not sufficiently detailed to enable the right policy decisions. The political demand for passenger mobility statistics is increasing, especially considering the ongoing changes in mobility patterns due to technology developments (alternative fuelled vehicles, shared mobility, mobility as a service, multimodality, intelligent transport systems, and big data). Harmonised statistics on passenger mobility are collected on voluntary basis, which results in low country coverage. Without better regulated data collection, not much use can be made of these. </w:t>
      </w:r>
    </w:p>
    <w:p>
      <w:pPr>
        <w:pStyle w:val="LegalNumPar"/>
        <w:numPr>
          <w:ilvl w:val="0"/>
          <w:numId w:val="89"/>
        </w:numPr>
        <w:tabs>
          <w:tab w:val="left" w:pos="476"/>
        </w:tabs>
        <w:spacing w:line="240" w:lineRule="auto"/>
        <w:rPr>
          <w:noProof/>
        </w:rPr>
      </w:pPr>
      <w:r>
        <w:rPr>
          <w:noProof/>
        </w:rPr>
        <w:t>Another gap in the existing official statistics concerns the statistics on infrastructure, vehicle stock and traffic volumes which are currently collected on a voluntary basis and therefore not available for all countries (especially concerning information on alternative fuel infrastructure and vehicles).</w:t>
      </w:r>
    </w:p>
    <w:p>
      <w:pPr>
        <w:pStyle w:val="LegalNumPar"/>
        <w:numPr>
          <w:ilvl w:val="0"/>
          <w:numId w:val="89"/>
        </w:numPr>
        <w:tabs>
          <w:tab w:val="left" w:pos="476"/>
        </w:tabs>
        <w:spacing w:line="240" w:lineRule="auto"/>
        <w:rPr>
          <w:noProof/>
        </w:rPr>
      </w:pPr>
      <w:r>
        <w:rPr>
          <w:noProof/>
        </w:rPr>
        <w:t>There is also a lack of data and comparison between EU countries on transport prices and public and private investments in transport infrastructure, including recharging and refuelling infrastructure, as well as investments in sustainable public transport</w:t>
      </w:r>
      <w:r>
        <w:rPr>
          <w:rStyle w:val="FootnoteReference"/>
          <w:noProof/>
        </w:rPr>
        <w:footnoteReference w:id="475"/>
      </w:r>
      <w:r>
        <w:rPr>
          <w:noProof/>
        </w:rPr>
        <w:t xml:space="preserve">. </w:t>
      </w:r>
    </w:p>
    <w:p>
      <w:pPr>
        <w:pStyle w:val="LegalNumPar"/>
        <w:numPr>
          <w:ilvl w:val="0"/>
          <w:numId w:val="89"/>
        </w:numPr>
        <w:tabs>
          <w:tab w:val="left" w:pos="476"/>
        </w:tabs>
        <w:spacing w:line="240" w:lineRule="auto"/>
        <w:rPr>
          <w:noProof/>
        </w:rPr>
      </w:pPr>
      <w:r>
        <w:rPr>
          <w:noProof/>
        </w:rPr>
        <w:t>Another important aspect is the need to align the existing methodologies across modes and between transport and energy statistics, in particular for data on energy consumption in transport. This would allow to have comparable indicators across modes and report transport energy intensities for the passenger and freight sectors, and to analyse their evolution over time, which is not possible based on existing European statistics.</w:t>
      </w:r>
    </w:p>
    <w:p>
      <w:pPr>
        <w:pStyle w:val="LegalNumPar"/>
        <w:numPr>
          <w:ilvl w:val="0"/>
          <w:numId w:val="89"/>
        </w:numPr>
        <w:tabs>
          <w:tab w:val="left" w:pos="476"/>
        </w:tabs>
        <w:spacing w:line="240" w:lineRule="auto"/>
        <w:rPr>
          <w:noProof/>
        </w:rPr>
      </w:pPr>
      <w:r>
        <w:rPr>
          <w:noProof/>
        </w:rPr>
        <w:t>As far as urban mobility data is concerned, there is no legal requirement at the EU level to systematically collect relevant local/urban transport data, resulting in very different approaches across Member States. As a consequence, the development of common policy initiatives helping to manage urban mobility challenges is hindered. As cities and urban areas continue to develop Sustainable Urban Mobility Plans (SUMPs) and work towards EU policy goals, it is important for this progress to be documented to ensure that such achievements become visible. The Commission has therefore developed, through a 2-year pilot project with almost 50 cities, a first set of indicators that support cities to perform a standardised evaluation of their mobility system and to measure improvements that result from new mobility practices or policies</w:t>
      </w:r>
      <w:r>
        <w:rPr>
          <w:rStyle w:val="FootnoteReference"/>
          <w:noProof/>
        </w:rPr>
        <w:footnoteReference w:id="476"/>
      </w:r>
      <w:r>
        <w:rPr>
          <w:noProof/>
        </w:rPr>
        <w:t xml:space="preserve">. </w:t>
      </w:r>
    </w:p>
    <w:p>
      <w:pPr>
        <w:pStyle w:val="LegalNumPar"/>
        <w:numPr>
          <w:ilvl w:val="0"/>
          <w:numId w:val="89"/>
        </w:numPr>
        <w:tabs>
          <w:tab w:val="left" w:pos="476"/>
        </w:tabs>
        <w:spacing w:line="240" w:lineRule="auto"/>
        <w:rPr>
          <w:noProof/>
        </w:rPr>
      </w:pPr>
      <w:r>
        <w:rPr>
          <w:noProof/>
        </w:rPr>
        <w:t>The issue of lack of urban mobility data was also recognised by the Court of Auditors</w:t>
      </w:r>
      <w:r>
        <w:rPr>
          <w:rStyle w:val="FootnoteReference"/>
          <w:noProof/>
        </w:rPr>
        <w:footnoteReference w:id="477"/>
      </w:r>
      <w:r>
        <w:rPr>
          <w:noProof/>
        </w:rPr>
        <w:t xml:space="preserve"> that, in its 2020 report on EU urban mobility policy and funding recommended to the Commission, among others, to ‘propose legislation requiring Member States to collect and submit regularly relevant data on urban mobility and on the adoption of SUMPs in all EU urban nodes of the core and comprehensive TEN-T networks, including their surrounding areas.</w:t>
      </w:r>
    </w:p>
    <w:p>
      <w:pPr>
        <w:pStyle w:val="LegalNumPar"/>
        <w:numPr>
          <w:ilvl w:val="0"/>
          <w:numId w:val="89"/>
        </w:numPr>
        <w:tabs>
          <w:tab w:val="left" w:pos="476"/>
        </w:tabs>
        <w:spacing w:line="240" w:lineRule="auto"/>
        <w:rPr>
          <w:noProof/>
          <w:lang w:eastAsia="en-US"/>
        </w:rPr>
      </w:pPr>
      <w:r>
        <w:rPr>
          <w:noProof/>
        </w:rPr>
        <w:t xml:space="preserve"> In November 2019, the Commission launched a study on new mobility patterns. The study aims at creating an extensive data collection covering the areas of passenger mobility, urban logistics, fleet composition, transport activity and traffic for the EU Member States.</w:t>
      </w:r>
    </w:p>
    <w:p>
      <w:pPr>
        <w:pStyle w:val="Heading3"/>
        <w:numPr>
          <w:ilvl w:val="2"/>
          <w:numId w:val="98"/>
        </w:numPr>
        <w:rPr>
          <w:noProof/>
        </w:rPr>
      </w:pPr>
      <w:bookmarkStart w:id="3782" w:name="_Toc57291517"/>
      <w:bookmarkStart w:id="3783" w:name="_Toc51450130"/>
      <w:bookmarkStart w:id="3784" w:name="_Toc51574829"/>
      <w:bookmarkStart w:id="3785" w:name="_Toc51575677"/>
      <w:bookmarkStart w:id="3786" w:name="_Toc51578075"/>
      <w:bookmarkStart w:id="3787" w:name="_Toc51582948"/>
      <w:bookmarkStart w:id="3788" w:name="_Toc51583423"/>
      <w:bookmarkStart w:id="3789" w:name="_Toc51583513"/>
      <w:bookmarkStart w:id="3790" w:name="_Toc51583798"/>
      <w:bookmarkStart w:id="3791" w:name="_Toc51583988"/>
      <w:bookmarkStart w:id="3792" w:name="_Toc51583912"/>
      <w:bookmarkStart w:id="3793" w:name="_Toc51586230"/>
      <w:bookmarkStart w:id="3794" w:name="_Toc51594033"/>
      <w:bookmarkStart w:id="3795" w:name="_Toc51594359"/>
      <w:bookmarkStart w:id="3796" w:name="_Toc51595337"/>
      <w:bookmarkStart w:id="3797" w:name="_Toc51595587"/>
      <w:bookmarkStart w:id="3798" w:name="_Toc51595913"/>
      <w:bookmarkStart w:id="3799" w:name="_Toc51596076"/>
      <w:bookmarkStart w:id="3800" w:name="_Toc51596429"/>
      <w:bookmarkStart w:id="3801" w:name="_Toc52121563"/>
      <w:bookmarkStart w:id="3802" w:name="_Toc52122794"/>
      <w:bookmarkStart w:id="3803" w:name="_Toc52123911"/>
      <w:bookmarkStart w:id="3804" w:name="_Toc53405372"/>
      <w:bookmarkStart w:id="3805" w:name="_Toc53406159"/>
      <w:bookmarkStart w:id="3806" w:name="_Toc53407528"/>
      <w:bookmarkStart w:id="3807" w:name="_Toc53410972"/>
      <w:bookmarkStart w:id="3808" w:name="_Toc53412035"/>
      <w:bookmarkStart w:id="3809" w:name="_Toc53417282"/>
      <w:bookmarkStart w:id="3810" w:name="_Toc53417634"/>
      <w:bookmarkStart w:id="3811" w:name="_Toc53419869"/>
      <w:bookmarkStart w:id="3812" w:name="_Toc53434972"/>
      <w:bookmarkStart w:id="3813" w:name="_Toc53437111"/>
      <w:r>
        <w:rPr>
          <w:noProof/>
        </w:rPr>
        <w:t>Infrastructure and investment</w:t>
      </w:r>
      <w:bookmarkEnd w:id="3782"/>
      <w:r>
        <w:rPr>
          <w:noProof/>
        </w:rPr>
        <w:t xml:space="preserve"> </w:t>
      </w:r>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p>
    <w:p>
      <w:pPr>
        <w:pStyle w:val="LegalNumPar"/>
        <w:numPr>
          <w:ilvl w:val="0"/>
          <w:numId w:val="89"/>
        </w:numPr>
        <w:tabs>
          <w:tab w:val="left" w:pos="476"/>
        </w:tabs>
        <w:spacing w:line="240" w:lineRule="auto"/>
        <w:rPr>
          <w:noProof/>
        </w:rPr>
      </w:pPr>
      <w:r>
        <w:rPr>
          <w:noProof/>
          <w:lang w:eastAsia="en-US"/>
        </w:rPr>
        <w:t xml:space="preserve">Beyond enabling a well-functioning internal market, </w:t>
      </w:r>
      <w:r>
        <w:rPr>
          <w:b/>
          <w:bCs/>
          <w:noProof/>
          <w:lang w:eastAsia="en-US"/>
        </w:rPr>
        <w:t>transport infrastructure</w:t>
      </w:r>
      <w:r>
        <w:rPr>
          <w:noProof/>
          <w:lang w:eastAsia="en-US"/>
        </w:rPr>
        <w:t xml:space="preserve"> across the European Union is a key element to ensure connectivity, sustainable economic growth and cohesion among Member States. </w:t>
      </w:r>
    </w:p>
    <w:p>
      <w:pPr>
        <w:pStyle w:val="LegalNumPar"/>
        <w:numPr>
          <w:ilvl w:val="0"/>
          <w:numId w:val="89"/>
        </w:numPr>
        <w:tabs>
          <w:tab w:val="left" w:pos="476"/>
        </w:tabs>
        <w:spacing w:line="240" w:lineRule="auto"/>
        <w:rPr>
          <w:noProof/>
        </w:rPr>
      </w:pPr>
      <w:r>
        <w:rPr>
          <w:noProof/>
        </w:rPr>
        <w:t>Although significant progress has been made to develop the European transport network, our infrastructure remains a network of the 20</w:t>
      </w:r>
      <w:r>
        <w:rPr>
          <w:noProof/>
          <w:vertAlign w:val="superscript"/>
        </w:rPr>
        <w:t>th</w:t>
      </w:r>
      <w:r>
        <w:rPr>
          <w:noProof/>
        </w:rPr>
        <w:t xml:space="preserve"> century, is not fully connected and interoperable and often in worsening condition in terms of quality and capacity, and is only marginally equipped with the sustainable and smart solutions that would be needed to allow climate-neutral mobility, due to the lack of adequate public and private investment over the last decades and excessive time needed to renovate and upgrade. </w:t>
      </w:r>
    </w:p>
    <w:p>
      <w:pPr>
        <w:pStyle w:val="ListParagraph"/>
        <w:numPr>
          <w:ilvl w:val="0"/>
          <w:numId w:val="89"/>
        </w:numPr>
        <w:tabs>
          <w:tab w:val="left" w:pos="476"/>
        </w:tabs>
        <w:spacing w:line="240" w:lineRule="auto"/>
        <w:rPr>
          <w:noProof/>
          <w:sz w:val="24"/>
          <w:szCs w:val="24"/>
        </w:rPr>
      </w:pPr>
      <w:r>
        <w:rPr>
          <w:noProof/>
          <w:sz w:val="24"/>
          <w:szCs w:val="24"/>
          <w:lang w:eastAsia="en-US"/>
        </w:rPr>
        <w:t>The availability and quality of transport infrastruct</w:t>
      </w:r>
      <w:r>
        <w:rPr>
          <w:noProof/>
          <w:sz w:val="24"/>
          <w:szCs w:val="24"/>
        </w:rPr>
        <w:t xml:space="preserve">ure </w:t>
      </w:r>
      <w:r>
        <w:rPr>
          <w:noProof/>
          <w:sz w:val="24"/>
          <w:szCs w:val="24"/>
          <w:lang w:eastAsia="en-US"/>
        </w:rPr>
        <w:t>varies between Member States and is relatively low in the eastern part of the EU. It is negatively affected by shrinking resources dedicated to upgrade and maintenance as well as the lack of resilience to climate change and weather extremes. Since the previous global economic crisis, the EU has been suffering from low levels of investment in transport infrastructure. This has held back the modernisation of the EU's transport system.</w:t>
      </w:r>
      <w:r>
        <w:rPr>
          <w:noProof/>
          <w:vertAlign w:val="superscript"/>
        </w:rPr>
        <w:footnoteReference w:id="478"/>
      </w:r>
      <w:r>
        <w:rPr>
          <w:noProof/>
          <w:sz w:val="24"/>
          <w:szCs w:val="24"/>
          <w:lang w:eastAsia="en-US"/>
        </w:rPr>
        <w:t xml:space="preserve"> Government investment continues to remain low as a share of GDP in the EU, levelling out at 2.7% in 2016, the lowest level in 20 years</w:t>
      </w:r>
      <w:r>
        <w:rPr>
          <w:rStyle w:val="FootnoteReference"/>
          <w:noProof/>
          <w:lang w:eastAsia="en-US"/>
        </w:rPr>
        <w:footnoteReference w:id="479"/>
      </w:r>
      <w:r>
        <w:rPr>
          <w:noProof/>
          <w:sz w:val="24"/>
          <w:szCs w:val="24"/>
          <w:lang w:eastAsia="en-US"/>
        </w:rPr>
        <w:t>. Generally, investment in infrastructure has halted its decline, but it is still at 20% below pre-crisis levels, thus slowing economic convergence. Total infrastructure investment stands at a 15-year low of 1.6% of GDP, down from a peak of 2.2% in 2009, with transport infrastructure the most badly affected. The decline is strongest in countries with the lowest infrastructure quality, pointing to a slowdown in the convergence process.</w:t>
      </w:r>
      <w:r>
        <w:rPr>
          <w:noProof/>
          <w:vertAlign w:val="superscript"/>
          <w:lang w:eastAsia="en-US"/>
        </w:rPr>
        <w:footnoteReference w:id="480"/>
      </w:r>
    </w:p>
    <w:p>
      <w:pPr>
        <w:pStyle w:val="LegalNumPar"/>
        <w:numPr>
          <w:ilvl w:val="0"/>
          <w:numId w:val="89"/>
        </w:numPr>
        <w:tabs>
          <w:tab w:val="left" w:pos="476"/>
        </w:tabs>
        <w:spacing w:line="240" w:lineRule="auto"/>
        <w:rPr>
          <w:noProof/>
        </w:rPr>
      </w:pPr>
      <w:r>
        <w:rPr>
          <w:noProof/>
          <w:lang w:eastAsia="en-US"/>
        </w:rPr>
        <w:t>Overall, from 2009 to 2017, the EU saw a 15% decline in infrastructure investment activities (as a share of GDP). This decline was more pronounced in regions with poor infrastructure quality, thus reinforcing infrastructure investment gaps and raising concerns about the effect not only on economic competitiveness but also on economic and social convergence within the EU.</w:t>
      </w:r>
      <w:r>
        <w:rPr>
          <w:rStyle w:val="FootnoteReference"/>
          <w:noProof/>
          <w:lang w:eastAsia="en-US"/>
        </w:rPr>
        <w:footnoteReference w:id="481"/>
      </w:r>
    </w:p>
    <w:p>
      <w:pPr>
        <w:pStyle w:val="LegalNumPar"/>
        <w:numPr>
          <w:ilvl w:val="0"/>
          <w:numId w:val="89"/>
        </w:numPr>
        <w:tabs>
          <w:tab w:val="left" w:pos="476"/>
        </w:tabs>
        <w:spacing w:line="240" w:lineRule="auto"/>
        <w:rPr>
          <w:noProof/>
        </w:rPr>
      </w:pPr>
      <w:r>
        <w:rPr>
          <w:noProof/>
          <w:lang w:eastAsia="en-US"/>
        </w:rPr>
        <w:t>In fact, infrastructure investment remains below the level before the financial crisis of 2008. The comparison with 2008 levels is most striking for the countries of central and eastern Europe, where current investment levels are around 35% lower than before the crisis, followed by southern Europe (with 30% lower investment levels). Real infrastructure investment has surpassed 2008 levels in western and northern Europe, but even there investment rates (i.e. investment as a share of GDP) lag behind their pre-crisis levels.</w:t>
      </w:r>
      <w:r>
        <w:rPr>
          <w:rStyle w:val="FootnoteReference"/>
          <w:noProof/>
          <w:lang w:eastAsia="en-US"/>
        </w:rPr>
        <w:footnoteReference w:id="482"/>
      </w:r>
    </w:p>
    <w:p>
      <w:pPr>
        <w:pStyle w:val="LegalNumPar"/>
        <w:numPr>
          <w:ilvl w:val="0"/>
          <w:numId w:val="89"/>
        </w:numPr>
        <w:tabs>
          <w:tab w:val="left" w:pos="476"/>
        </w:tabs>
        <w:spacing w:line="240" w:lineRule="auto"/>
        <w:rPr>
          <w:noProof/>
          <w:lang w:eastAsia="en-US"/>
        </w:rPr>
      </w:pPr>
      <w:r>
        <w:rPr>
          <w:noProof/>
          <w:lang w:eastAsia="en-US"/>
        </w:rPr>
        <w:t>Despite a major progress achieved over the last decade in upgrading infrastructure in cohesion Member States, they are still lagging behind in terms of connectivity and accessibility. Equally, limited investment in rural areas and outermost regions has been hampering their connectivity and accessibility as compared to urban areas across the EU.</w:t>
      </w:r>
    </w:p>
    <w:p>
      <w:pPr>
        <w:pStyle w:val="LegalNumPar"/>
        <w:numPr>
          <w:ilvl w:val="0"/>
          <w:numId w:val="89"/>
        </w:numPr>
        <w:tabs>
          <w:tab w:val="left" w:pos="476"/>
        </w:tabs>
        <w:spacing w:line="240" w:lineRule="auto"/>
        <w:rPr>
          <w:noProof/>
        </w:rPr>
      </w:pPr>
      <w:r>
        <w:rPr>
          <w:noProof/>
          <w:lang w:eastAsia="en-US"/>
        </w:rPr>
        <w:t>Analysing at regional level how many people living in a 120-kilometre radius can be reached within a 90-minute drive by car, a working paper from the Commission estimates that within the EU, Bulgaria, Croatia, Poland, Romania and Slovakia have the lowest road transport performance, while Belgium and the Netherlands score highest.</w:t>
      </w:r>
      <w:r>
        <w:rPr>
          <w:noProof/>
        </w:rPr>
        <w:t xml:space="preserve"> </w:t>
      </w:r>
      <w:r>
        <w:rPr>
          <w:noProof/>
          <w:lang w:eastAsia="en-US"/>
        </w:rPr>
        <w:t>The performance of Spain and Portugal, which have benefited from a longer period of support from ERDF and the Cohesion Fund, is now above the EU average.</w:t>
      </w:r>
      <w:r>
        <w:rPr>
          <w:rStyle w:val="FootnoteReference"/>
          <w:noProof/>
          <w:lang w:eastAsia="en-US"/>
        </w:rPr>
        <w:footnoteReference w:id="483"/>
      </w:r>
    </w:p>
    <w:p>
      <w:pPr>
        <w:pStyle w:val="LegalNumPar"/>
        <w:numPr>
          <w:ilvl w:val="0"/>
          <w:numId w:val="89"/>
        </w:numPr>
        <w:tabs>
          <w:tab w:val="left" w:pos="476"/>
        </w:tabs>
        <w:spacing w:line="240" w:lineRule="auto"/>
        <w:rPr>
          <w:noProof/>
        </w:rPr>
      </w:pPr>
      <w:r>
        <w:rPr>
          <w:noProof/>
          <w:lang w:eastAsia="en-US"/>
        </w:rPr>
        <w:t>However, the transport performance of a country also depends on how urbanised it is. Most metropolitan regions outperform other regions. On average, cities outperform rural areas although not all cities perform that well. Cities in eastern EU Member States achieve a lower performance, especially the smaller ones.</w:t>
      </w:r>
      <w:r>
        <w:rPr>
          <w:rStyle w:val="FootnoteReference"/>
          <w:noProof/>
          <w:lang w:eastAsia="en-US"/>
        </w:rPr>
        <w:footnoteReference w:id="484"/>
      </w:r>
    </w:p>
    <w:p>
      <w:pPr>
        <w:pStyle w:val="LegalNumPar"/>
        <w:numPr>
          <w:ilvl w:val="0"/>
          <w:numId w:val="89"/>
        </w:numPr>
        <w:tabs>
          <w:tab w:val="left" w:pos="476"/>
        </w:tabs>
        <w:spacing w:line="240" w:lineRule="auto"/>
        <w:rPr>
          <w:noProof/>
        </w:rPr>
      </w:pPr>
      <w:r>
        <w:rPr>
          <w:noProof/>
          <w:lang w:eastAsia="en-US"/>
        </w:rPr>
        <w:t>In global comparison in 2019, four EU countries are among the top ten economies in the world in terms of the perceived quality of their roads, railways, air and water transport infrastructure: the Netherlands (2), Germany (7), Spain (9) and France (10).</w:t>
      </w:r>
      <w:r>
        <w:rPr>
          <w:rStyle w:val="FootnoteReference"/>
          <w:noProof/>
          <w:lang w:eastAsia="en-US"/>
        </w:rPr>
        <w:footnoteReference w:id="485"/>
      </w:r>
      <w:r>
        <w:rPr>
          <w:noProof/>
          <w:lang w:eastAsia="en-US"/>
        </w:rPr>
        <w:t xml:space="preserve"> </w:t>
      </w:r>
    </w:p>
    <w:p>
      <w:pPr>
        <w:pStyle w:val="Caption"/>
        <w:keepNext/>
        <w:keepLines/>
        <w:jc w:val="center"/>
        <w:rPr>
          <w:i w:val="0"/>
          <w:noProof/>
        </w:rPr>
      </w:pPr>
      <w:bookmarkStart w:id="3814" w:name="_Toc51450052"/>
      <w:bookmarkStart w:id="3815" w:name="_Toc51593792"/>
      <w:bookmarkStart w:id="3816" w:name="_Toc51595259"/>
      <w:bookmarkStart w:id="3817" w:name="_Toc51595509"/>
      <w:bookmarkStart w:id="3818" w:name="_Toc51595835"/>
      <w:bookmarkStart w:id="3819" w:name="_Toc51595998"/>
      <w:bookmarkStart w:id="3820" w:name="_Toc52121485"/>
      <w:bookmarkStart w:id="3821" w:name="_Toc52122716"/>
      <w:bookmarkStart w:id="3822" w:name="_Toc53405280"/>
      <w:bookmarkStart w:id="3823" w:name="_Toc53406070"/>
      <w:bookmarkStart w:id="3824" w:name="_Toc53407436"/>
      <w:bookmarkStart w:id="3825" w:name="_Toc53410883"/>
      <w:bookmarkStart w:id="3826" w:name="_Toc53411946"/>
      <w:bookmarkStart w:id="3827" w:name="_Toc53417193"/>
      <w:bookmarkStart w:id="3828" w:name="_Toc53417545"/>
      <w:bookmarkStart w:id="3829" w:name="_Toc53419578"/>
      <w:bookmarkStart w:id="3830" w:name="_Toc53434883"/>
      <w:bookmarkStart w:id="3831" w:name="_Toc53437023"/>
      <w:bookmarkStart w:id="3832" w:name="_Toc57291682"/>
      <w:r>
        <w:rPr>
          <w:i w:val="0"/>
          <w:noProof/>
        </w:rPr>
        <w:t xml:space="preserve">Figure </w:t>
      </w:r>
      <w:r>
        <w:rPr>
          <w:noProof/>
        </w:rPr>
        <w:fldChar w:fldCharType="begin"/>
      </w:r>
      <w:r>
        <w:rPr>
          <w:i w:val="0"/>
          <w:noProof/>
        </w:rPr>
        <w:instrText xml:space="preserve"> SEQ Figure \* ARABIC </w:instrText>
      </w:r>
      <w:r>
        <w:rPr>
          <w:noProof/>
        </w:rPr>
        <w:fldChar w:fldCharType="separate"/>
      </w:r>
      <w:r>
        <w:rPr>
          <w:i w:val="0"/>
          <w:noProof/>
        </w:rPr>
        <w:t>38</w:t>
      </w:r>
      <w:r>
        <w:rPr>
          <w:noProof/>
        </w:rPr>
        <w:fldChar w:fldCharType="end"/>
      </w:r>
      <w:r>
        <w:rPr>
          <w:i w:val="0"/>
          <w:noProof/>
        </w:rPr>
        <w:t>: Perceived quality of transport infrastructure in the EU countries</w:t>
      </w:r>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p>
    <w:p>
      <w:pPr>
        <w:pStyle w:val="TableText"/>
        <w:rPr>
          <w:noProof/>
          <w:lang w:eastAsia="en-US"/>
        </w:rPr>
      </w:pPr>
      <w:r>
        <w:rPr>
          <w:b w:val="0"/>
          <w:i/>
          <w:iCs/>
          <w:noProof/>
          <w:sz w:val="16"/>
          <w:szCs w:val="16"/>
        </w:rPr>
        <w:drawing>
          <wp:inline distT="0" distB="0" distL="0" distR="0">
            <wp:extent cx="5400040" cy="2870563"/>
            <wp:effectExtent l="0" t="0" r="0" b="6350"/>
            <wp:docPr id="34" name="Picture 34" descr="C:\Users\sulyoge\Documents\Picture46-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ulyoge\Documents\Picture46-min.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400040" cy="2870563"/>
                    </a:xfrm>
                    <a:prstGeom prst="rect">
                      <a:avLst/>
                    </a:prstGeom>
                    <a:noFill/>
                    <a:ln>
                      <a:noFill/>
                    </a:ln>
                  </pic:spPr>
                </pic:pic>
              </a:graphicData>
            </a:graphic>
          </wp:inline>
        </w:drawing>
      </w:r>
      <w:r>
        <w:rPr>
          <w:b w:val="0"/>
          <w:i/>
          <w:iCs/>
          <w:noProof/>
          <w:sz w:val="16"/>
          <w:szCs w:val="16"/>
          <w:lang w:eastAsia="en-US"/>
        </w:rPr>
        <w:t>Source: World Economic Forum 2019 (includes access to seaport services for landlocked countries).</w:t>
      </w:r>
    </w:p>
    <w:p>
      <w:pPr>
        <w:pStyle w:val="ListParagraph"/>
        <w:spacing w:after="0" w:line="240" w:lineRule="auto"/>
        <w:ind w:left="567" w:hanging="567"/>
        <w:rPr>
          <w:noProof/>
          <w:sz w:val="24"/>
          <w:szCs w:val="24"/>
        </w:rPr>
      </w:pPr>
    </w:p>
    <w:p>
      <w:pPr>
        <w:pStyle w:val="ListParagraph"/>
        <w:spacing w:after="0" w:line="240" w:lineRule="auto"/>
        <w:ind w:left="567"/>
        <w:rPr>
          <w:noProof/>
          <w:sz w:val="24"/>
          <w:szCs w:val="24"/>
        </w:rPr>
      </w:pPr>
    </w:p>
    <w:p>
      <w:pPr>
        <w:pStyle w:val="LegalNumPar"/>
        <w:numPr>
          <w:ilvl w:val="0"/>
          <w:numId w:val="89"/>
        </w:numPr>
        <w:tabs>
          <w:tab w:val="left" w:pos="476"/>
        </w:tabs>
        <w:spacing w:line="240" w:lineRule="auto"/>
        <w:rPr>
          <w:noProof/>
        </w:rPr>
      </w:pPr>
      <w:r>
        <w:rPr>
          <w:noProof/>
        </w:rPr>
        <w:t xml:space="preserve">There is broader uncertainty about long-term needs and policy directions and on how to best balance between private and public investment. Given </w:t>
      </w:r>
      <w:r>
        <w:rPr>
          <w:b/>
          <w:bCs/>
          <w:noProof/>
        </w:rPr>
        <w:t xml:space="preserve">the long time for </w:t>
      </w:r>
      <w:r>
        <w:rPr>
          <w:noProof/>
        </w:rPr>
        <w:t>implementation</w:t>
      </w:r>
      <w:r>
        <w:rPr>
          <w:b/>
          <w:bCs/>
          <w:noProof/>
        </w:rPr>
        <w:t xml:space="preserve"> of transport infrastructure and its long-term effect </w:t>
      </w:r>
      <w:r>
        <w:rPr>
          <w:noProof/>
        </w:rPr>
        <w:t xml:space="preserve">and well as the life span of assets (planes, trains, ships etc.), this requires foresight and stability in terms of planning and prioritising. </w:t>
      </w:r>
    </w:p>
    <w:p>
      <w:pPr>
        <w:pStyle w:val="LegalNumPar"/>
        <w:numPr>
          <w:ilvl w:val="0"/>
          <w:numId w:val="89"/>
        </w:numPr>
        <w:tabs>
          <w:tab w:val="left" w:pos="476"/>
        </w:tabs>
        <w:spacing w:line="240" w:lineRule="auto"/>
        <w:rPr>
          <w:noProof/>
        </w:rPr>
      </w:pPr>
      <w:r>
        <w:rPr>
          <w:noProof/>
        </w:rPr>
        <w:t xml:space="preserve">Decarbonising and cleaning the transport sector requires significant </w:t>
      </w:r>
      <w:r>
        <w:rPr>
          <w:b/>
          <w:bCs/>
          <w:noProof/>
        </w:rPr>
        <w:t>investment</w:t>
      </w:r>
      <w:r>
        <w:rPr>
          <w:noProof/>
        </w:rPr>
        <w:t xml:space="preserve">, inter alia for developing and testing new solutions as well as the renewal of mobile assets and related enabling infrastructures. According to the Commission </w:t>
      </w:r>
      <w:r>
        <w:rPr>
          <w:noProof/>
          <w:lang w:val="en-IE"/>
        </w:rPr>
        <w:t xml:space="preserve">Communication </w:t>
      </w:r>
      <w:r>
        <w:rPr>
          <w:noProof/>
        </w:rPr>
        <w:t>“Stepping up Europe’s 2030 climate ambition - Investing in a climate-neutral future for the benefit of our people” the  additional investments for 2021-2030 in vehicles (incl. rolling stock, vessels, aircraft) and alternative fuels infrastructure deployment are estimated at EUR 130 billion per year, compared to the previous decade. The “green and digital transformation investment gap” for infrastructure would add an additional EUR 100 billion per year</w:t>
      </w:r>
      <w:r>
        <w:rPr>
          <w:rStyle w:val="FootnoteReference"/>
          <w:noProof/>
        </w:rPr>
        <w:footnoteReference w:id="486"/>
      </w:r>
      <w:r>
        <w:rPr>
          <w:noProof/>
        </w:rPr>
        <w:t>. Just to complete the TEN-T core network and build it as a truly multimodal system, EUR 300 billion will need to be invested over the next 10 years.</w:t>
      </w:r>
    </w:p>
    <w:p>
      <w:pPr>
        <w:pStyle w:val="LegalNumPar"/>
        <w:numPr>
          <w:ilvl w:val="0"/>
          <w:numId w:val="89"/>
        </w:numPr>
        <w:tabs>
          <w:tab w:val="left" w:pos="476"/>
        </w:tabs>
        <w:spacing w:line="240" w:lineRule="auto"/>
        <w:rPr>
          <w:noProof/>
        </w:rPr>
      </w:pPr>
      <w:r>
        <w:rPr>
          <w:rFonts w:eastAsia="Calibri" w:cstheme="minorBidi"/>
          <w:noProof/>
        </w:rPr>
        <w:t xml:space="preserve">The renewal of vehicle fleet across would bring EU added value in particular by improving cross border connectivity (for instance in rail), underpin the environmental objectives and </w:t>
      </w:r>
      <w:r>
        <w:rPr>
          <w:rFonts w:cstheme="minorBidi"/>
          <w:noProof/>
        </w:rPr>
        <w:t>creating economic benefits in terms of GDP stimulation and jobs</w:t>
      </w:r>
      <w:r>
        <w:rPr>
          <w:rFonts w:eastAsia="Calibri" w:cstheme="minorBidi"/>
          <w:noProof/>
        </w:rPr>
        <w:t xml:space="preserve">. </w:t>
      </w:r>
      <w:r>
        <w:rPr>
          <w:noProof/>
        </w:rPr>
        <w:t xml:space="preserve">  </w:t>
      </w:r>
    </w:p>
    <w:p>
      <w:pPr>
        <w:pStyle w:val="LegalNumPar"/>
        <w:numPr>
          <w:ilvl w:val="0"/>
          <w:numId w:val="89"/>
        </w:numPr>
        <w:tabs>
          <w:tab w:val="left" w:pos="476"/>
        </w:tabs>
        <w:spacing w:line="240" w:lineRule="auto"/>
        <w:rPr>
          <w:noProof/>
        </w:rPr>
      </w:pPr>
      <w:r>
        <w:rPr>
          <w:noProof/>
        </w:rPr>
        <w:t xml:space="preserve">In addition, a significant increase in the share of intermodal operations can only be achieved with substantial increases in numbers and capacities of intermodal terminals and the capacity of key railway trunk routes and nodes. However, current investment rates are not in line with perceived investment needs. </w:t>
      </w:r>
    </w:p>
    <w:p>
      <w:pPr>
        <w:pStyle w:val="LegalNumPar"/>
        <w:numPr>
          <w:ilvl w:val="0"/>
          <w:numId w:val="89"/>
        </w:numPr>
        <w:tabs>
          <w:tab w:val="left" w:pos="476"/>
        </w:tabs>
        <w:spacing w:line="240" w:lineRule="auto"/>
        <w:rPr>
          <w:rFonts w:eastAsiaTheme="minorEastAsia"/>
          <w:noProof/>
          <w:lang w:eastAsia="en-US"/>
        </w:rPr>
      </w:pPr>
      <w:r>
        <w:rPr>
          <w:noProof/>
        </w:rPr>
        <w:t xml:space="preserve">Despite efforts to pool and better guide research activities for example in the rail, road and aviation sectors, as explained above, R&amp;D&amp;I in the transport sector remains fragmented and sluggish, with only insufficient funding available in most areas and long lead times preventing rapid deployment. </w:t>
      </w:r>
      <w:r>
        <w:rPr>
          <w:rFonts w:eastAsiaTheme="minorEastAsia"/>
          <w:noProof/>
          <w:lang w:eastAsia="en-US"/>
        </w:rPr>
        <w:t>We need to address the chicken and egg problem that investment in new technologies will only happen when there is sufficient confidence that new tech will actually be used.    So need strong deployment plans with full legal backing.</w:t>
      </w:r>
    </w:p>
    <w:p>
      <w:pPr>
        <w:pStyle w:val="LegalNumPar"/>
        <w:numPr>
          <w:ilvl w:val="0"/>
          <w:numId w:val="89"/>
        </w:numPr>
        <w:tabs>
          <w:tab w:val="left" w:pos="476"/>
        </w:tabs>
        <w:spacing w:line="240" w:lineRule="auto"/>
        <w:rPr>
          <w:rFonts w:eastAsiaTheme="minorEastAsia"/>
          <w:noProof/>
          <w:lang w:eastAsia="en-US"/>
        </w:rPr>
      </w:pPr>
      <w:r>
        <w:rPr>
          <w:rFonts w:eastAsiaTheme="minorEastAsia"/>
          <w:noProof/>
          <w:lang w:eastAsia="en-US"/>
        </w:rPr>
        <w:t xml:space="preserve">The European Recovery Instrument (‘Next Generation EU’) will support critical recovery investments and reform priorities until 31 December 2024. The Commission will issue bonds to finance EUR 750 billion of Next Generation EU which are to be repaid in the period 2027-2058. Two thirds of the Next Generation EU budget will fund the grant component of the Recovery and Resilience Facility and reinforce other key crisis and recovery EU programmes. The rest of the budget will be on-lent to Member States, still under the Recovery and Resilience Facility (see also in section 4.3.2.3). </w:t>
      </w:r>
    </w:p>
    <w:p>
      <w:pPr>
        <w:pStyle w:val="LegalNumPar"/>
        <w:numPr>
          <w:ilvl w:val="0"/>
          <w:numId w:val="89"/>
        </w:numPr>
        <w:tabs>
          <w:tab w:val="left" w:pos="476"/>
        </w:tabs>
        <w:spacing w:line="240" w:lineRule="auto"/>
        <w:rPr>
          <w:rFonts w:eastAsiaTheme="minorEastAsia"/>
          <w:noProof/>
          <w:lang w:eastAsia="en-US"/>
        </w:rPr>
      </w:pPr>
      <w:r>
        <w:rPr>
          <w:rFonts w:eastAsiaTheme="minorEastAsia"/>
          <w:noProof/>
          <w:lang w:eastAsia="en-US"/>
        </w:rPr>
        <w:t>The Sustainable Europe Investment Plan is the investment pillar of the European Green Deal. The plan will crowd-in private investments through the EU’s budget guarantee under the InvestEU Programme. It further includes the public sector loan facility under the Just Transition Mechanism, notably to facilitate public sector investments in the regions most affected by the transition. Support to public administrations and project promoters in identifying, structuring and executing sustainable projects will also be provided.</w:t>
      </w:r>
    </w:p>
    <w:p>
      <w:pPr>
        <w:pStyle w:val="LegalNumPar"/>
        <w:numPr>
          <w:ilvl w:val="0"/>
          <w:numId w:val="89"/>
        </w:numPr>
        <w:tabs>
          <w:tab w:val="left" w:pos="476"/>
        </w:tabs>
        <w:spacing w:line="240" w:lineRule="auto"/>
        <w:rPr>
          <w:rFonts w:eastAsiaTheme="minorEastAsia"/>
          <w:noProof/>
          <w:lang w:eastAsia="en-US"/>
        </w:rPr>
      </w:pPr>
      <w:r>
        <w:rPr>
          <w:noProof/>
        </w:rPr>
        <w:t xml:space="preserve">The EU in June 2020 adopted a regulation setting up an EU-wide classification system, or "taxonomy", for sustainable activities. The taxonomy </w:t>
      </w:r>
      <w:r>
        <w:rPr>
          <w:noProof/>
          <w:color w:val="000000" w:themeColor="text1"/>
        </w:rPr>
        <w:t xml:space="preserve">will contribute to private sector investment in new green technologies and modes of transport by </w:t>
      </w:r>
      <w:r>
        <w:rPr>
          <w:noProof/>
        </w:rPr>
        <w:t xml:space="preserve">providing businesses and investors with a common language to identify environmentally sustainable economic activities. The taxonomy will cover a wide range of transport sectors and will be constantly updated to keep pace with technological developments. </w:t>
      </w:r>
    </w:p>
    <w:p>
      <w:pPr>
        <w:pStyle w:val="Heading4"/>
        <w:numPr>
          <w:ilvl w:val="3"/>
          <w:numId w:val="98"/>
        </w:numPr>
        <w:rPr>
          <w:noProof/>
        </w:rPr>
      </w:pPr>
      <w:bookmarkStart w:id="3833" w:name="_Toc51450131"/>
      <w:bookmarkStart w:id="3834" w:name="_Toc51574830"/>
      <w:bookmarkStart w:id="3835" w:name="_Toc51575678"/>
      <w:bookmarkStart w:id="3836" w:name="_Toc51578076"/>
      <w:bookmarkStart w:id="3837" w:name="_Toc51582949"/>
      <w:bookmarkStart w:id="3838" w:name="_Toc51583424"/>
      <w:bookmarkStart w:id="3839" w:name="_Toc51583514"/>
      <w:bookmarkStart w:id="3840" w:name="_Toc51583799"/>
      <w:bookmarkStart w:id="3841" w:name="_Toc51583989"/>
      <w:bookmarkStart w:id="3842" w:name="_Toc51583913"/>
      <w:bookmarkStart w:id="3843" w:name="_Toc51586231"/>
      <w:bookmarkStart w:id="3844" w:name="_Toc51594034"/>
      <w:bookmarkStart w:id="3845" w:name="_Toc51594360"/>
      <w:bookmarkStart w:id="3846" w:name="_Toc51595338"/>
      <w:bookmarkStart w:id="3847" w:name="_Toc51595588"/>
      <w:bookmarkStart w:id="3848" w:name="_Toc51595914"/>
      <w:bookmarkStart w:id="3849" w:name="_Toc51596077"/>
      <w:bookmarkStart w:id="3850" w:name="_Toc51596430"/>
      <w:bookmarkStart w:id="3851" w:name="_Toc52121564"/>
      <w:bookmarkStart w:id="3852" w:name="_Toc52122795"/>
      <w:bookmarkStart w:id="3853" w:name="_Toc52123912"/>
      <w:bookmarkStart w:id="3854" w:name="_Toc53405373"/>
      <w:bookmarkStart w:id="3855" w:name="_Toc53406160"/>
      <w:bookmarkStart w:id="3856" w:name="_Toc53407529"/>
      <w:bookmarkStart w:id="3857" w:name="_Toc53410973"/>
      <w:bookmarkStart w:id="3858" w:name="_Toc53412036"/>
      <w:bookmarkStart w:id="3859" w:name="_Toc53417283"/>
      <w:bookmarkStart w:id="3860" w:name="_Toc53417635"/>
      <w:bookmarkStart w:id="3861" w:name="_Toc53419870"/>
      <w:bookmarkStart w:id="3862" w:name="_Toc53434973"/>
      <w:bookmarkStart w:id="3863" w:name="_Toc53437112"/>
      <w:bookmarkStart w:id="3864" w:name="_Toc57291518"/>
      <w:r>
        <w:rPr>
          <w:noProof/>
        </w:rPr>
        <w:t>Capacity across modes</w:t>
      </w:r>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p>
    <w:p>
      <w:pPr>
        <w:pStyle w:val="LegalNumPar"/>
        <w:numPr>
          <w:ilvl w:val="0"/>
          <w:numId w:val="89"/>
        </w:numPr>
        <w:tabs>
          <w:tab w:val="left" w:pos="476"/>
        </w:tabs>
        <w:spacing w:line="240" w:lineRule="auto"/>
        <w:rPr>
          <w:noProof/>
        </w:rPr>
      </w:pPr>
      <w:r>
        <w:rPr>
          <w:noProof/>
          <w:lang w:eastAsia="en-US"/>
        </w:rPr>
        <w:t xml:space="preserve">The lower levels of investment come in a time when Europe is facing capacity crunch across many modes. As demand for transport has kept growing, current infrastructure is not able to cope with the growing number of passengers and users, causing congestion, delays and generating heavy costs for ordinary travellers and businesses alike. </w:t>
      </w:r>
      <w:r>
        <w:rPr>
          <w:noProof/>
        </w:rPr>
        <w:t>Congestion is an issue that the Commission has already identified as pressing in the 2011 White Paper on transport.</w:t>
      </w:r>
      <w:r>
        <w:rPr>
          <w:rStyle w:val="FootnoteReference"/>
          <w:noProof/>
        </w:rPr>
        <w:footnoteReference w:id="487"/>
      </w:r>
      <w:r>
        <w:rPr>
          <w:noProof/>
        </w:rPr>
        <w:t xml:space="preserve"> Progress has been very limited over the last ten years. Mainly in densely populated countries of the EU, such as the Benelux countries or Malta, road congestion continues to be an important problem</w:t>
      </w:r>
    </w:p>
    <w:p>
      <w:pPr>
        <w:pStyle w:val="LegalNumPar"/>
        <w:numPr>
          <w:ilvl w:val="0"/>
          <w:numId w:val="89"/>
        </w:numPr>
        <w:tabs>
          <w:tab w:val="left" w:pos="476"/>
        </w:tabs>
        <w:spacing w:line="240" w:lineRule="auto"/>
        <w:rPr>
          <w:noProof/>
        </w:rPr>
      </w:pPr>
      <w:r>
        <w:rPr>
          <w:noProof/>
          <w:lang w:eastAsia="en-US"/>
        </w:rPr>
        <w:t xml:space="preserve">Annual </w:t>
      </w:r>
      <w:r>
        <w:rPr>
          <w:b/>
          <w:bCs/>
          <w:noProof/>
          <w:lang w:eastAsia="en-US"/>
        </w:rPr>
        <w:t>road</w:t>
      </w:r>
      <w:r>
        <w:rPr>
          <w:noProof/>
          <w:lang w:eastAsia="en-US"/>
        </w:rPr>
        <w:t xml:space="preserve"> congestion external costs have been estimated in monetary terms to amount to almost 2% of the EU-27 GDP.</w:t>
      </w:r>
      <w:r>
        <w:rPr>
          <w:noProof/>
          <w:vertAlign w:val="superscript"/>
          <w:lang w:eastAsia="en-US"/>
        </w:rPr>
        <w:footnoteReference w:id="488"/>
      </w:r>
      <w:r>
        <w:rPr>
          <w:noProof/>
          <w:vertAlign w:val="superscript"/>
          <w:lang w:eastAsia="en-US"/>
        </w:rPr>
        <w:t xml:space="preserve"> </w:t>
      </w:r>
      <w:r>
        <w:rPr>
          <w:noProof/>
          <w:lang w:eastAsia="en-US"/>
        </w:rPr>
        <w:t>The slow deployment of smart mobility systems, which could better manage traffic flows, and problems with interoperability are causing considerable economic losses, both in unexploited capacity and in duplicating equipment.</w:t>
      </w:r>
    </w:p>
    <w:p>
      <w:pPr>
        <w:pStyle w:val="Caption"/>
        <w:keepNext/>
        <w:keepLines/>
        <w:jc w:val="center"/>
        <w:rPr>
          <w:i w:val="0"/>
          <w:noProof/>
        </w:rPr>
      </w:pPr>
      <w:bookmarkStart w:id="3865" w:name="_Toc51450053"/>
      <w:bookmarkStart w:id="3866" w:name="_Toc51593793"/>
      <w:bookmarkStart w:id="3867" w:name="_Toc51595260"/>
      <w:bookmarkStart w:id="3868" w:name="_Toc51595510"/>
      <w:bookmarkStart w:id="3869" w:name="_Toc51595836"/>
      <w:bookmarkStart w:id="3870" w:name="_Toc51595999"/>
      <w:bookmarkStart w:id="3871" w:name="_Toc52121486"/>
      <w:bookmarkStart w:id="3872" w:name="_Toc52122717"/>
      <w:bookmarkStart w:id="3873" w:name="_Toc53405281"/>
      <w:bookmarkStart w:id="3874" w:name="_Toc53406071"/>
      <w:bookmarkStart w:id="3875" w:name="_Toc53407437"/>
      <w:bookmarkStart w:id="3876" w:name="_Toc53410884"/>
      <w:bookmarkStart w:id="3877" w:name="_Toc53411947"/>
      <w:bookmarkStart w:id="3878" w:name="_Toc53417194"/>
      <w:bookmarkStart w:id="3879" w:name="_Toc53417546"/>
      <w:bookmarkStart w:id="3880" w:name="_Toc53419579"/>
      <w:bookmarkStart w:id="3881" w:name="_Toc53434884"/>
      <w:bookmarkStart w:id="3882" w:name="_Toc53437024"/>
      <w:bookmarkStart w:id="3883" w:name="_Toc57291683"/>
      <w:r>
        <w:rPr>
          <w:i w:val="0"/>
          <w:noProof/>
        </w:rPr>
        <w:t xml:space="preserve">Figure </w:t>
      </w:r>
      <w:r>
        <w:rPr>
          <w:noProof/>
        </w:rPr>
        <w:fldChar w:fldCharType="begin"/>
      </w:r>
      <w:r>
        <w:rPr>
          <w:i w:val="0"/>
          <w:noProof/>
        </w:rPr>
        <w:instrText xml:space="preserve"> SEQ Figure \* ARABIC </w:instrText>
      </w:r>
      <w:r>
        <w:rPr>
          <w:noProof/>
        </w:rPr>
        <w:fldChar w:fldCharType="separate"/>
      </w:r>
      <w:r>
        <w:rPr>
          <w:i w:val="0"/>
          <w:noProof/>
        </w:rPr>
        <w:t>39</w:t>
      </w:r>
      <w:r>
        <w:rPr>
          <w:noProof/>
        </w:rPr>
        <w:fldChar w:fldCharType="end"/>
      </w:r>
      <w:r>
        <w:rPr>
          <w:i w:val="0"/>
          <w:noProof/>
        </w:rPr>
        <w:t>: Average peak-hour delay per representative driver (hours per year) in 2018</w:t>
      </w:r>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p>
    <w:p>
      <w:pPr>
        <w:spacing w:after="0"/>
        <w:jc w:val="center"/>
        <w:rPr>
          <w:noProof/>
        </w:rPr>
      </w:pPr>
      <w:r>
        <w:rPr>
          <w:noProof/>
        </w:rPr>
        <w:drawing>
          <wp:inline distT="0" distB="0" distL="0" distR="0">
            <wp:extent cx="5400040" cy="2345165"/>
            <wp:effectExtent l="0" t="0" r="0" b="0"/>
            <wp:docPr id="8" name="Picture 8" descr="C:\Users\sulyoge\Documents\Picture36-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lyoge\Documents\Picture36-min.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400040" cy="2345165"/>
                    </a:xfrm>
                    <a:prstGeom prst="rect">
                      <a:avLst/>
                    </a:prstGeom>
                    <a:noFill/>
                    <a:ln>
                      <a:noFill/>
                    </a:ln>
                  </pic:spPr>
                </pic:pic>
              </a:graphicData>
            </a:graphic>
          </wp:inline>
        </w:drawing>
      </w:r>
    </w:p>
    <w:p>
      <w:pPr>
        <w:pStyle w:val="LegalNumPar"/>
        <w:tabs>
          <w:tab w:val="left" w:pos="476"/>
        </w:tabs>
        <w:spacing w:line="240" w:lineRule="auto"/>
        <w:ind w:left="476"/>
        <w:rPr>
          <w:i/>
          <w:noProof/>
          <w:sz w:val="16"/>
          <w:szCs w:val="16"/>
          <w:lang w:eastAsia="en-US"/>
        </w:rPr>
      </w:pPr>
      <w:r>
        <w:rPr>
          <w:i/>
          <w:iCs/>
          <w:noProof/>
          <w:sz w:val="16"/>
          <w:szCs w:val="16"/>
        </w:rPr>
        <w:t>Source: European Commission Joint Research Centre. Calculations based on TomTom data</w:t>
      </w:r>
    </w:p>
    <w:p>
      <w:pPr>
        <w:pStyle w:val="LegalNumPar"/>
        <w:numPr>
          <w:ilvl w:val="0"/>
          <w:numId w:val="89"/>
        </w:numPr>
        <w:tabs>
          <w:tab w:val="left" w:pos="476"/>
        </w:tabs>
        <w:spacing w:line="240" w:lineRule="auto"/>
        <w:rPr>
          <w:noProof/>
          <w:lang w:eastAsia="en-US"/>
        </w:rPr>
      </w:pPr>
      <w:r>
        <w:rPr>
          <w:noProof/>
          <w:lang w:eastAsia="en-US"/>
        </w:rPr>
        <w:t xml:space="preserve">Congestion in </w:t>
      </w:r>
      <w:r>
        <w:rPr>
          <w:b/>
          <w:bCs/>
          <w:noProof/>
          <w:lang w:eastAsia="en-US"/>
        </w:rPr>
        <w:t>urban transport</w:t>
      </w:r>
      <w:r>
        <w:rPr>
          <w:noProof/>
          <w:lang w:eastAsia="en-US"/>
        </w:rPr>
        <w:t xml:space="preserve"> is a growing problem in many cities despite efficiencies brought by ITS and other innovations. This is mainly due to the predominant reliance on private cars, with an average 1.3 person occupancy per trip. With road capacity in urban areas being limited, investments should focus on sustainable transport modes with the highest potential for moving people and goods, such as public transport, walking and cycling. </w:t>
      </w:r>
    </w:p>
    <w:p>
      <w:pPr>
        <w:pStyle w:val="LegalNumPar"/>
        <w:numPr>
          <w:ilvl w:val="0"/>
          <w:numId w:val="89"/>
        </w:numPr>
        <w:tabs>
          <w:tab w:val="left" w:pos="476"/>
        </w:tabs>
        <w:spacing w:line="240" w:lineRule="auto"/>
        <w:rPr>
          <w:noProof/>
          <w:lang w:eastAsia="en-US"/>
        </w:rPr>
      </w:pPr>
      <w:r>
        <w:rPr>
          <w:noProof/>
          <w:lang w:eastAsia="en-US"/>
        </w:rPr>
        <w:t xml:space="preserve">For </w:t>
      </w:r>
      <w:r>
        <w:rPr>
          <w:b/>
          <w:bCs/>
          <w:noProof/>
          <w:lang w:eastAsia="en-US"/>
        </w:rPr>
        <w:t>rail,</w:t>
      </w:r>
      <w:r>
        <w:rPr>
          <w:noProof/>
          <w:lang w:eastAsia="en-US"/>
        </w:rPr>
        <w:t xml:space="preserve"> traffic density is unevenly distributed across the EU: The most intensively-used networks, on average, are those of North-West Europe including the Netherlands (operating almost 50 000 train-kilometres per route-kilometre in 2016), Austria, Denmark, Luxembourg, Germany and Belgium. The least intensively-used networks are those of the Baltic States, Greece, Finland, Romania and Bulgaria.</w:t>
      </w:r>
      <w:r>
        <w:rPr>
          <w:noProof/>
          <w:vertAlign w:val="superscript"/>
          <w:lang w:eastAsia="en-US"/>
        </w:rPr>
        <w:footnoteReference w:id="489"/>
      </w:r>
      <w:r>
        <w:rPr>
          <w:noProof/>
          <w:vertAlign w:val="superscript"/>
          <w:lang w:eastAsia="en-US"/>
        </w:rPr>
        <w:t xml:space="preserve"> </w:t>
      </w:r>
      <w:r>
        <w:rPr>
          <w:noProof/>
          <w:lang w:eastAsia="en-US"/>
        </w:rPr>
        <w:t xml:space="preserve">Low network utilisation means that the fixed costs of operations, maintenance and renewals of the infrastructure need to be recovered from, or justified by, a smaller volume of trains and passenger or freight traffic. On the positive side, it suggests that there would be room to accommodate more rail traffic on these networks. At the same time, parts of the network suffer from maintenance backlogs and related speed restrictions, which ultimately also limit capacity and quality of infrastructure services. </w:t>
      </w:r>
    </w:p>
    <w:p>
      <w:pPr>
        <w:pStyle w:val="LegalNumPar"/>
        <w:numPr>
          <w:ilvl w:val="0"/>
          <w:numId w:val="89"/>
        </w:numPr>
        <w:tabs>
          <w:tab w:val="left" w:pos="476"/>
        </w:tabs>
        <w:spacing w:line="240" w:lineRule="auto"/>
        <w:rPr>
          <w:noProof/>
          <w:lang w:eastAsia="en-US"/>
        </w:rPr>
      </w:pPr>
      <w:r>
        <w:rPr>
          <w:noProof/>
          <w:lang w:eastAsia="en-US"/>
        </w:rPr>
        <w:t>The Single European Railway Area Directive</w:t>
      </w:r>
      <w:r>
        <w:rPr>
          <w:rStyle w:val="FootnoteReference"/>
          <w:noProof/>
          <w:lang w:eastAsia="en-US"/>
        </w:rPr>
        <w:footnoteReference w:id="490"/>
      </w:r>
      <w:r>
        <w:rPr>
          <w:noProof/>
          <w:lang w:eastAsia="en-US"/>
        </w:rPr>
        <w:t xml:space="preserve"> requires that infrastructure managers declare as ‘congested’ any infrastructure for which it has not been possible to satisfy requests for infrastructure capacity. The Directive also makes provision for a capacity analysis and a capacity enhancement plan, which need to be carried out if lines are declared congested. As these are considered cumbersome by some infrastructure managers, there is a risk that actual congestion is much higher than reported and that capacity issues are not properly addressed. Even so, the total length of track declared congested (including in Norway) is rising and has now reached nearly 3 000 kilometres, including 1 000 kilometres of rail freight corridors, around nodes or covering sections of corridor lines. This suggests that further growth of traffic in some passenger and freight markets will be constrained, at least until alternative routes or additional capacity are available. In view of the significant regional divergences, it is very difficult to obtain a precise overview of capacity constraints on the European network.</w:t>
      </w:r>
    </w:p>
    <w:p>
      <w:pPr>
        <w:pStyle w:val="LegalNumPar"/>
        <w:numPr>
          <w:ilvl w:val="0"/>
          <w:numId w:val="89"/>
        </w:numPr>
        <w:tabs>
          <w:tab w:val="left" w:pos="476"/>
        </w:tabs>
        <w:spacing w:line="240" w:lineRule="auto"/>
        <w:rPr>
          <w:noProof/>
          <w:lang w:eastAsia="en-US"/>
        </w:rPr>
      </w:pPr>
      <w:r>
        <w:rPr>
          <w:noProof/>
          <w:lang w:eastAsia="en-US"/>
        </w:rPr>
        <w:t>The analysis of railway capacity and current or potential future bottlenecks is hampered by the fact that there is currently no harmonised way to define railway capacity – and, consequently, capacity bottlenecks – and that the methodologies and assumptions to forecast demand differ widely between Member States. In order to overcome this situation, common definitions and methods have to be defined at EU-level which may require the establishment of a body with the necessary expertise and resources. So far, agreement on a more common approach was impeded by the close link between the capacity issue and the investment planning, which is still dominated by national approaches given the prevalence of national-level financing for investments in new and upgraded infrastructure.</w:t>
      </w:r>
    </w:p>
    <w:p>
      <w:pPr>
        <w:pStyle w:val="LegalNumPar"/>
        <w:numPr>
          <w:ilvl w:val="0"/>
          <w:numId w:val="89"/>
        </w:numPr>
        <w:tabs>
          <w:tab w:val="left" w:pos="476"/>
        </w:tabs>
        <w:spacing w:line="240" w:lineRule="auto"/>
        <w:rPr>
          <w:noProof/>
          <w:lang w:eastAsia="en-US"/>
        </w:rPr>
      </w:pPr>
      <w:r>
        <w:rPr>
          <w:noProof/>
          <w:lang w:eastAsia="en-US"/>
        </w:rPr>
        <w:t>Notwithstanding this lack of a common approach to assess capacity and capacity bottlenecks, various reports and studies of the Rail Freight Corridors confirm the existence or prospect of capacity bottlenecks for rail freight transport. Bottlenecks exist mainly in major and smaller urban nodes, such as Lyon, Milan and various nodes in Germany, as well as on intensively used strategic axes on which several flows overlap on a single line, such as the access lines to the transalpine crossings of Rhine-Alpine and Scandinavian-Mediterranean corridor or the key Czech rail axis between Prague and Česká Třebová.</w:t>
      </w:r>
    </w:p>
    <w:p>
      <w:pPr>
        <w:pStyle w:val="LegalNumPar"/>
        <w:numPr>
          <w:ilvl w:val="0"/>
          <w:numId w:val="89"/>
        </w:numPr>
        <w:tabs>
          <w:tab w:val="left" w:pos="476"/>
        </w:tabs>
        <w:spacing w:line="240" w:lineRule="auto"/>
        <w:rPr>
          <w:noProof/>
          <w:lang w:eastAsia="en-US"/>
        </w:rPr>
      </w:pPr>
      <w:r>
        <w:rPr>
          <w:noProof/>
          <w:lang w:eastAsia="en-US"/>
        </w:rPr>
        <w:t>An issue of specific importance is the availability of capacity in case of disruptions affecting the main lines included in the corridors. Due to the existing density of the railway network, disruptions at a single location may bring traffic along entire corridors to a standstill, which obviously has a very negative impact on the reliability of rail transport. A number of recent cases has shown that despite improvements in international coordination in the wake of the catastrophic 2017 disruption of the Rhine-Alpine at Rastatt, only a limited share of trains can be re-routed during disruptions of strategic lines. According to the best available information, only 10 to 25 % of freight trains could be diverted during the disruptions close to Modane (FR) in 2018, Perpignan (FR) and Auggen (DE) in 2020.</w:t>
      </w:r>
    </w:p>
    <w:p>
      <w:pPr>
        <w:pStyle w:val="LegalNumPar"/>
        <w:numPr>
          <w:ilvl w:val="0"/>
          <w:numId w:val="89"/>
        </w:numPr>
        <w:tabs>
          <w:tab w:val="left" w:pos="476"/>
        </w:tabs>
        <w:spacing w:line="240" w:lineRule="auto"/>
        <w:rPr>
          <w:noProof/>
          <w:lang w:eastAsia="en-US"/>
        </w:rPr>
      </w:pPr>
      <w:r>
        <w:rPr>
          <w:noProof/>
          <w:lang w:eastAsia="en-US"/>
        </w:rPr>
        <w:t xml:space="preserve">Building new rail lines is very expensive and takes a long time. It will therefore be crucial to make better use of the existing infrastructure. Better cross-border coordination on traffic planning, to seamless transport management and planning of works would allow for a more efficient use of capacity, as would the systematic deployment of ERTMS and automated train operation (ATO). Optimisation of capacity management could also release capacity. </w:t>
      </w:r>
    </w:p>
    <w:p>
      <w:pPr>
        <w:pStyle w:val="LegalNumPar"/>
        <w:numPr>
          <w:ilvl w:val="0"/>
          <w:numId w:val="89"/>
        </w:numPr>
        <w:tabs>
          <w:tab w:val="left" w:pos="476"/>
        </w:tabs>
        <w:spacing w:line="240" w:lineRule="auto"/>
        <w:rPr>
          <w:noProof/>
          <w:lang w:eastAsia="en-US"/>
        </w:rPr>
      </w:pPr>
      <w:r>
        <w:rPr>
          <w:noProof/>
          <w:lang w:eastAsia="en-US"/>
        </w:rPr>
        <w:t>Timetables are the key structuring element for railway traffic but the current process to design them is the result of decades-long historical development. It is not in line with current needs of transport users, e.g. as regards flexibility and predictability, and it does not facilitate proper cross-border coordination. This results in a waste of capacity which could be removed at relatively low cost. The railway sector currently develops key elements to do so in the context of the so-called ‘Timetable Redesign’ project. Implementation of this project would require public support in the form of changes to the regulatory framework. The TEN-T parameters, in particular train length and loading gauge - which will lead to capacity increases - have to be in place in 2030 as a minimum.</w:t>
      </w:r>
    </w:p>
    <w:p>
      <w:pPr>
        <w:pStyle w:val="LegalNumPar"/>
        <w:numPr>
          <w:ilvl w:val="0"/>
          <w:numId w:val="89"/>
        </w:numPr>
        <w:tabs>
          <w:tab w:val="left" w:pos="476"/>
        </w:tabs>
        <w:spacing w:line="240" w:lineRule="auto"/>
        <w:rPr>
          <w:noProof/>
          <w:lang w:eastAsia="en-US"/>
        </w:rPr>
      </w:pPr>
      <w:r>
        <w:rPr>
          <w:b/>
          <w:bCs/>
          <w:noProof/>
          <w:lang w:eastAsia="en-US"/>
        </w:rPr>
        <w:t>Ports</w:t>
      </w:r>
      <w:r>
        <w:rPr>
          <w:noProof/>
          <w:lang w:eastAsia="en-US"/>
        </w:rPr>
        <w:t xml:space="preserve"> have long been the places where industries can prosper, creating valuable employment, and providing much needed connectivity for European trade. The challenges the sector is facing are numerous: global political changes, new shipping alliances along with ultra-large container vessels, new technologies creating new business models, lack of investments, stronger environmental requirements. The estimated investment needs for maritime ports infrastructure is around EUR 5 billion per year until 2027. </w:t>
      </w:r>
    </w:p>
    <w:p>
      <w:pPr>
        <w:pStyle w:val="LegalNumPar"/>
        <w:numPr>
          <w:ilvl w:val="0"/>
          <w:numId w:val="89"/>
        </w:numPr>
        <w:tabs>
          <w:tab w:val="left" w:pos="476"/>
        </w:tabs>
        <w:spacing w:line="240" w:lineRule="auto"/>
        <w:rPr>
          <w:noProof/>
          <w:lang w:eastAsia="en-US"/>
        </w:rPr>
      </w:pPr>
      <w:r>
        <w:rPr>
          <w:noProof/>
          <w:lang w:eastAsia="en-US"/>
        </w:rPr>
        <w:t>Inland navigation is one of the most CO</w:t>
      </w:r>
      <w:r>
        <w:rPr>
          <w:noProof/>
          <w:vertAlign w:val="subscript"/>
          <w:lang w:eastAsia="en-US"/>
        </w:rPr>
        <w:t>2</w:t>
      </w:r>
      <w:r>
        <w:rPr>
          <w:noProof/>
          <w:lang w:eastAsia="en-US"/>
        </w:rPr>
        <w:t xml:space="preserve"> efficient mode of transport per tons of goods. Unfortunately the sector is small and face difficulties not only to finance infrastructure investments but also to comply with environmental rules. Inland waterways infrastructure needs, including inland ports is around EUR 47 billion between 2021 &amp; 2027. Current CEF support is around EUR 1.8 billion for IWT. This shows that at the European level under investment might hamper the development of inland navigation as alternative to road, if not complemented by other sources of financing.</w:t>
      </w:r>
    </w:p>
    <w:p>
      <w:pPr>
        <w:pStyle w:val="LegalNumPar"/>
        <w:numPr>
          <w:ilvl w:val="0"/>
          <w:numId w:val="89"/>
        </w:numPr>
        <w:tabs>
          <w:tab w:val="left" w:pos="476"/>
        </w:tabs>
        <w:spacing w:line="240" w:lineRule="auto"/>
        <w:rPr>
          <w:noProof/>
          <w:lang w:eastAsia="en-US"/>
        </w:rPr>
      </w:pPr>
      <w:r>
        <w:rPr>
          <w:noProof/>
          <w:lang w:eastAsia="en-US"/>
        </w:rPr>
        <w:t>In the area of</w:t>
      </w:r>
      <w:r>
        <w:rPr>
          <w:b/>
          <w:bCs/>
          <w:noProof/>
          <w:lang w:eastAsia="en-US"/>
        </w:rPr>
        <w:t xml:space="preserve"> air</w:t>
      </w:r>
      <w:r>
        <w:rPr>
          <w:noProof/>
          <w:lang w:eastAsia="en-US"/>
        </w:rPr>
        <w:t xml:space="preserve"> traffic management, many inefficiencies remain, partly due to the still fragmented airspace and the absence of a completed Single European Sky. The current fragmentation of the European airspace still leads to operational inefficiencies and large volumes of unnecessary fuel burn. </w:t>
      </w:r>
    </w:p>
    <w:p>
      <w:pPr>
        <w:pStyle w:val="LegalNumPar"/>
        <w:numPr>
          <w:ilvl w:val="0"/>
          <w:numId w:val="89"/>
        </w:numPr>
        <w:tabs>
          <w:tab w:val="left" w:pos="476"/>
        </w:tabs>
        <w:spacing w:line="240" w:lineRule="auto"/>
        <w:rPr>
          <w:noProof/>
          <w:lang w:eastAsia="en-US"/>
        </w:rPr>
      </w:pPr>
      <w:r>
        <w:rPr>
          <w:noProof/>
          <w:lang w:eastAsia="en-US"/>
        </w:rPr>
        <w:t xml:space="preserve">The use of the EU’s transport system is not optimised either, due to lack of coherent modal and </w:t>
      </w:r>
      <w:r>
        <w:rPr>
          <w:b/>
          <w:bCs/>
          <w:noProof/>
          <w:lang w:eastAsia="en-US"/>
        </w:rPr>
        <w:t>multimodal infrastructure</w:t>
      </w:r>
      <w:r>
        <w:rPr>
          <w:noProof/>
          <w:lang w:eastAsia="en-US"/>
        </w:rPr>
        <w:t xml:space="preserve">. Intermodal travel cannot become a reality if airports and freight terminals are not linked with efficient transport solutions on the ground and if airports and freight terminals serving the same conurbation are not linked effectively. Interoperability between ports (both inland and maritime), and hinterland connections remain an issue. The number of multi-modal platforms and transhipment nodes is not optimal either. Equally, </w:t>
      </w:r>
      <w:r>
        <w:rPr>
          <w:rFonts w:ascii="Crimson Text" w:hAnsi="Crimson Text"/>
          <w:noProof/>
          <w:lang w:eastAsia="en-US"/>
        </w:rPr>
        <w:t xml:space="preserve">the efficiency of </w:t>
      </w:r>
      <w:r>
        <w:rPr>
          <w:noProof/>
          <w:lang w:eastAsia="en-US"/>
        </w:rPr>
        <w:t xml:space="preserve">cross-border travel is constrained by a fragmented high speed rail network. </w:t>
      </w:r>
    </w:p>
    <w:p>
      <w:pPr>
        <w:pStyle w:val="LegalNumPar"/>
        <w:numPr>
          <w:ilvl w:val="0"/>
          <w:numId w:val="89"/>
        </w:numPr>
        <w:tabs>
          <w:tab w:val="left" w:pos="476"/>
        </w:tabs>
        <w:spacing w:line="240" w:lineRule="auto"/>
        <w:rPr>
          <w:noProof/>
          <w:lang w:eastAsia="en-US"/>
        </w:rPr>
      </w:pPr>
      <w:r>
        <w:rPr>
          <w:noProof/>
          <w:lang w:eastAsia="en-US"/>
        </w:rPr>
        <w:t xml:space="preserve">The TEN-T Regulation establishes guidelines for the development of a trans-European transport network. A number of its requirements are aimed at sustainable, safe, secure, inclusive and smart transport solutions. It provides for the removal of bottlenecks and filling of gaps in the transport networks, facilitating multi-modality, introducing harmonised interoperability standards or smart infrastructure components as well as charging and refuelling equipment for emission-free vehicles. Catching up of countries with less developed infrastructure is necessary to ensure better connection into the single market. This includes in particular cross border infrastructure. </w:t>
      </w:r>
    </w:p>
    <w:p>
      <w:pPr>
        <w:pStyle w:val="LegalNumPar"/>
        <w:numPr>
          <w:ilvl w:val="0"/>
          <w:numId w:val="89"/>
        </w:numPr>
        <w:tabs>
          <w:tab w:val="left" w:pos="476"/>
        </w:tabs>
        <w:spacing w:line="240" w:lineRule="auto"/>
        <w:rPr>
          <w:noProof/>
          <w:lang w:eastAsia="en-US"/>
        </w:rPr>
      </w:pPr>
      <w:r>
        <w:rPr>
          <w:noProof/>
          <w:lang w:eastAsia="en-US"/>
        </w:rPr>
        <w:t>Horizon Europe is envisaged to include R&amp;I actions to identify and demonstrate solutions towards sustainable multimodality, including infrastructure and network management. The development of the comprehensive network, which ensures accessibility of all regions to the trans-European networks, is to be assessed in particular when revising the TEN-T Regulation. The Commission has proposed the adoption of new rules regarding the Connecting Europe Facility</w:t>
      </w:r>
      <w:r>
        <w:rPr>
          <w:rStyle w:val="FootnoteReference"/>
          <w:noProof/>
          <w:lang w:eastAsia="en-US"/>
        </w:rPr>
        <w:footnoteReference w:id="491"/>
      </w:r>
      <w:r>
        <w:rPr>
          <w:noProof/>
          <w:lang w:eastAsia="en-US"/>
        </w:rPr>
        <w:t xml:space="preserve"> . The intention is </w:t>
      </w:r>
      <w:r>
        <w:rPr>
          <w:i/>
          <w:noProof/>
          <w:lang w:eastAsia="en-US"/>
        </w:rPr>
        <w:t>inter alia</w:t>
      </w:r>
      <w:r>
        <w:rPr>
          <w:noProof/>
          <w:lang w:eastAsia="en-US"/>
        </w:rPr>
        <w:t xml:space="preserve"> to support the deployment of a digital infrastructure along the TEN-T corridors, and to create the conditions for the large-scale testing of advanced connected and automated mobility applications and services, including for other modes of transport such as rail and inland waterways. In the medium term, after 2025, such deployment may have reached scale effects. At that point, connected transport paths may contribute to the digital transformation of vertical industries in the field of mobility and transport, and in particular automotive and rail.</w:t>
      </w:r>
    </w:p>
    <w:p>
      <w:pPr>
        <w:pStyle w:val="LegalNumPar"/>
        <w:numPr>
          <w:ilvl w:val="0"/>
          <w:numId w:val="89"/>
        </w:numPr>
        <w:tabs>
          <w:tab w:val="left" w:pos="476"/>
        </w:tabs>
        <w:spacing w:line="240" w:lineRule="auto"/>
        <w:rPr>
          <w:noProof/>
        </w:rPr>
      </w:pPr>
      <w:r>
        <w:rPr>
          <w:noProof/>
        </w:rPr>
        <w:t xml:space="preserve">Within urban areas, the infrastructure for the most sustainable and cost-efficient ways of transportation, </w:t>
      </w:r>
      <w:r>
        <w:rPr>
          <w:b/>
          <w:bCs/>
          <w:noProof/>
        </w:rPr>
        <w:t>active mobility</w:t>
      </w:r>
      <w:r>
        <w:rPr>
          <w:noProof/>
        </w:rPr>
        <w:t xml:space="preserve">, is often inadequate and not matching the rising demand. More walking and cycling would help to achieve the European Green Deal </w:t>
      </w:r>
      <w:r>
        <w:rPr>
          <w:noProof/>
          <w:lang w:eastAsia="en-US"/>
        </w:rPr>
        <w:t>as</w:t>
      </w:r>
      <w:r>
        <w:rPr>
          <w:noProof/>
        </w:rPr>
        <w:t xml:space="preserve"> well as air quality requirements, tackle road congestion, and both encourage active mobility while making it safer. A systematic inclusion of the carbon impact and health benefits of active mobility in infrastructure and transport projects and policies is needed. The respective WHO Health Economic Assessment Tool (HEAT) elaborated with UNECE</w:t>
      </w:r>
      <w:r>
        <w:rPr>
          <w:rStyle w:val="FootnoteReference"/>
          <w:noProof/>
        </w:rPr>
        <w:footnoteReference w:id="492"/>
      </w:r>
      <w:r>
        <w:rPr>
          <w:noProof/>
        </w:rPr>
        <w:t xml:space="preserve"> should be applied at local, national and EU levels.</w:t>
      </w:r>
    </w:p>
    <w:p>
      <w:pPr>
        <w:pStyle w:val="LegalNumPar"/>
        <w:numPr>
          <w:ilvl w:val="0"/>
          <w:numId w:val="89"/>
        </w:numPr>
        <w:tabs>
          <w:tab w:val="left" w:pos="476"/>
        </w:tabs>
        <w:spacing w:line="240" w:lineRule="auto"/>
        <w:rPr>
          <w:noProof/>
        </w:rPr>
      </w:pPr>
      <w:r>
        <w:rPr>
          <w:noProof/>
        </w:rPr>
        <w:t xml:space="preserve">Active mobility infrastructure would enable better last mile solutions for multimodal transport in cities. Support needs to be directed towards </w:t>
      </w:r>
      <w:r>
        <w:rPr>
          <w:b/>
          <w:bCs/>
          <w:noProof/>
        </w:rPr>
        <w:t>multimodal/mobility hubs and urban distribution centres</w:t>
      </w:r>
      <w:r>
        <w:rPr>
          <w:noProof/>
        </w:rPr>
        <w:t xml:space="preserve"> (consolidation/micro-consolidation centres). Zero-emission light electric (freight and personnel) vehicles such as cargo e-bikes and shared e-bikes schemes can decarbonise urban mobility and increase its efficiency.</w:t>
      </w:r>
    </w:p>
    <w:p>
      <w:pPr>
        <w:pStyle w:val="Heading4"/>
        <w:numPr>
          <w:ilvl w:val="3"/>
          <w:numId w:val="98"/>
        </w:numPr>
        <w:rPr>
          <w:noProof/>
        </w:rPr>
      </w:pPr>
      <w:bookmarkStart w:id="3884" w:name="_Toc57291519"/>
      <w:bookmarkStart w:id="3885" w:name="_Toc51450132"/>
      <w:bookmarkStart w:id="3886" w:name="_Toc51574831"/>
      <w:bookmarkStart w:id="3887" w:name="_Toc51575679"/>
      <w:bookmarkStart w:id="3888" w:name="_Toc51578077"/>
      <w:bookmarkStart w:id="3889" w:name="_Toc51582950"/>
      <w:bookmarkStart w:id="3890" w:name="_Toc51583425"/>
      <w:bookmarkStart w:id="3891" w:name="_Toc51583515"/>
      <w:bookmarkStart w:id="3892" w:name="_Toc51583800"/>
      <w:bookmarkStart w:id="3893" w:name="_Toc51583990"/>
      <w:bookmarkStart w:id="3894" w:name="_Toc51583914"/>
      <w:bookmarkStart w:id="3895" w:name="_Toc51586232"/>
      <w:bookmarkStart w:id="3896" w:name="_Toc51594035"/>
      <w:bookmarkStart w:id="3897" w:name="_Toc51594361"/>
      <w:bookmarkStart w:id="3898" w:name="_Toc51595339"/>
      <w:bookmarkStart w:id="3899" w:name="_Toc51595589"/>
      <w:bookmarkStart w:id="3900" w:name="_Toc51595915"/>
      <w:bookmarkStart w:id="3901" w:name="_Toc51596078"/>
      <w:bookmarkStart w:id="3902" w:name="_Toc51596431"/>
      <w:bookmarkStart w:id="3903" w:name="_Toc52121565"/>
      <w:bookmarkStart w:id="3904" w:name="_Toc52122796"/>
      <w:bookmarkStart w:id="3905" w:name="_Toc52123913"/>
      <w:bookmarkStart w:id="3906" w:name="_Toc53405374"/>
      <w:bookmarkStart w:id="3907" w:name="_Toc53406161"/>
      <w:bookmarkStart w:id="3908" w:name="_Toc53407530"/>
      <w:bookmarkStart w:id="3909" w:name="_Toc53410974"/>
      <w:bookmarkStart w:id="3910" w:name="_Toc53412037"/>
      <w:bookmarkStart w:id="3911" w:name="_Toc53417284"/>
      <w:bookmarkStart w:id="3912" w:name="_Toc53417636"/>
      <w:bookmarkStart w:id="3913" w:name="_Toc53419871"/>
      <w:bookmarkStart w:id="3914" w:name="_Toc53434974"/>
      <w:bookmarkStart w:id="3915" w:name="_Toc53437113"/>
      <w:r>
        <w:rPr>
          <w:noProof/>
        </w:rPr>
        <w:t>Future-proof infrastructure</w:t>
      </w:r>
      <w:bookmarkEnd w:id="3884"/>
      <w:r>
        <w:rPr>
          <w:noProof/>
        </w:rPr>
        <w:t xml:space="preserve"> </w:t>
      </w:r>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p>
    <w:p>
      <w:pPr>
        <w:pStyle w:val="LegalNumPar"/>
        <w:numPr>
          <w:ilvl w:val="0"/>
          <w:numId w:val="89"/>
        </w:numPr>
        <w:tabs>
          <w:tab w:val="left" w:pos="476"/>
        </w:tabs>
        <w:spacing w:line="240" w:lineRule="auto"/>
        <w:rPr>
          <w:noProof/>
        </w:rPr>
      </w:pPr>
      <w:r>
        <w:rPr>
          <w:noProof/>
        </w:rPr>
        <w:t xml:space="preserve">Insufficient investment in infrastructure over the past decade also led to a maintenance backlog. Crumbling bridges, degrading road and rail infrastructure </w:t>
      </w:r>
      <w:r>
        <w:rPr>
          <w:noProof/>
          <w:lang w:eastAsia="en-US"/>
        </w:rPr>
        <w:t>became</w:t>
      </w:r>
      <w:r>
        <w:rPr>
          <w:noProof/>
        </w:rPr>
        <w:t xml:space="preserve"> a painful reality with higher risk of congestions, accidents, increased noise and lower level of service to society.    Several issues have to be considered in this respect. First, delaying maintenance works in order to cut expenditure in the context of tight budgets usually leads to increased costs when taking into account the whole life cycle of infrastructure. A persistent lack in regular maintenance and renewal reduces performance and capacity of the infrastructure (e.g. through speed reductions and disruptions). </w:t>
      </w:r>
    </w:p>
    <w:p>
      <w:pPr>
        <w:pStyle w:val="LegalNumPar"/>
        <w:numPr>
          <w:ilvl w:val="0"/>
          <w:numId w:val="89"/>
        </w:numPr>
        <w:tabs>
          <w:tab w:val="left" w:pos="476"/>
        </w:tabs>
        <w:spacing w:line="240" w:lineRule="auto"/>
        <w:rPr>
          <w:noProof/>
        </w:rPr>
      </w:pPr>
      <w:r>
        <w:rPr>
          <w:noProof/>
        </w:rPr>
        <w:t xml:space="preserve">Second, maintenance should be addressed from the outset: infrastructure should be designed and implemented in a sustainable way, through the lifecycle approach, taking into account future maintenance needs, taking into account research work done in this area. </w:t>
      </w:r>
    </w:p>
    <w:p>
      <w:pPr>
        <w:pStyle w:val="LegalNumPar"/>
        <w:numPr>
          <w:ilvl w:val="0"/>
          <w:numId w:val="89"/>
        </w:numPr>
        <w:tabs>
          <w:tab w:val="left" w:pos="476"/>
        </w:tabs>
        <w:spacing w:line="240" w:lineRule="auto"/>
        <w:rPr>
          <w:noProof/>
        </w:rPr>
      </w:pPr>
      <w:r>
        <w:rPr>
          <w:noProof/>
        </w:rPr>
        <w:t>Third, maintenance activities may have impact on the capacity of the network (e.g. sections which are not usable during maintenance works). Compensating maintenance backlogs by massive maintenance and renewal programmes may reduce significantly infrastructure availability in the short to medium term.</w:t>
      </w:r>
    </w:p>
    <w:p>
      <w:pPr>
        <w:pStyle w:val="LegalNumPar"/>
        <w:numPr>
          <w:ilvl w:val="0"/>
          <w:numId w:val="89"/>
        </w:numPr>
        <w:tabs>
          <w:tab w:val="left" w:pos="476"/>
        </w:tabs>
        <w:spacing w:line="240" w:lineRule="auto"/>
        <w:rPr>
          <w:noProof/>
        </w:rPr>
      </w:pPr>
      <w:r>
        <w:rPr>
          <w:noProof/>
        </w:rPr>
        <w:t>For rail, the backlog in maintenance means that more works will need to be carried out on the network in coming years, making close coordination between infrastructure managers more important than ever. In the past, failure to coordinate such works across borders has often led to significant complications, delays and financial losses for railway undertakings and has hampered the competitiveness of rail vis-à-vis other transport modes. Digitalisation of need identification and maintenance planning is expected to reduce infrastructure barriers caused by maintenance works.</w:t>
      </w:r>
    </w:p>
    <w:p>
      <w:pPr>
        <w:pStyle w:val="LegalNumPar"/>
        <w:numPr>
          <w:ilvl w:val="0"/>
          <w:numId w:val="89"/>
        </w:numPr>
        <w:tabs>
          <w:tab w:val="left" w:pos="476"/>
        </w:tabs>
        <w:spacing w:line="240" w:lineRule="auto"/>
        <w:rPr>
          <w:noProof/>
        </w:rPr>
      </w:pPr>
      <w:r>
        <w:rPr>
          <w:noProof/>
        </w:rPr>
        <w:t xml:space="preserve">The quality of infrastructure planning and implementation is also weakened by the decreasing project management and implementation capacity across Member States due to cuts in human resources.    This situation has been exacerbated by the financial crisis: following lower levels of investment over the past years, public administrations had less resources. As infrastructure managers often depend to a large extent on increasingly scarce public funding, transport projects are particularly impaired by this reduced capacity to prepare projects.    </w:t>
      </w:r>
    </w:p>
    <w:p>
      <w:pPr>
        <w:pStyle w:val="LegalNumPar"/>
        <w:numPr>
          <w:ilvl w:val="0"/>
          <w:numId w:val="89"/>
        </w:numPr>
        <w:tabs>
          <w:tab w:val="left" w:pos="476"/>
        </w:tabs>
        <w:spacing w:line="240" w:lineRule="auto"/>
        <w:rPr>
          <w:noProof/>
        </w:rPr>
      </w:pPr>
      <w:r>
        <w:rPr>
          <w:noProof/>
        </w:rPr>
        <w:t xml:space="preserve">The lack of administrative capacity has led in certain Member States to situations where available funds could not be absorbed, procedures being contested, public consultations not properly conducted, projects delayed, etc. </w:t>
      </w:r>
    </w:p>
    <w:p>
      <w:pPr>
        <w:pStyle w:val="LegalNumPar"/>
        <w:numPr>
          <w:ilvl w:val="0"/>
          <w:numId w:val="89"/>
        </w:numPr>
        <w:tabs>
          <w:tab w:val="left" w:pos="476"/>
        </w:tabs>
        <w:spacing w:line="240" w:lineRule="auto"/>
        <w:rPr>
          <w:noProof/>
        </w:rPr>
      </w:pPr>
      <w:r>
        <w:rPr>
          <w:noProof/>
        </w:rPr>
        <w:t>This reduced administrative capacity also leads to consequences in the field of public procurement, with suboptimal outcomes. While the current legal framework established the Most Economically Advantageous Tender (MEAT) principle</w:t>
      </w:r>
      <w:r>
        <w:rPr>
          <w:rStyle w:val="FootnoteReference"/>
          <w:noProof/>
        </w:rPr>
        <w:footnoteReference w:id="493"/>
      </w:r>
      <w:r>
        <w:rPr>
          <w:noProof/>
        </w:rPr>
        <w:t>, in practice the lowest-priced offers tend to be awarded the contract, which often leads to compromising quality.  Furthermore, instruments in the existing legal framework that can contribute to ensuring a level playing field in public procurement are not fully exploited.</w:t>
      </w:r>
      <w:r>
        <w:rPr>
          <w:rStyle w:val="FootnoteReference"/>
          <w:noProof/>
        </w:rPr>
        <w:footnoteReference w:id="494"/>
      </w:r>
    </w:p>
    <w:p>
      <w:pPr>
        <w:pStyle w:val="LegalNumPar"/>
        <w:numPr>
          <w:ilvl w:val="0"/>
          <w:numId w:val="89"/>
        </w:numPr>
        <w:tabs>
          <w:tab w:val="left" w:pos="476"/>
        </w:tabs>
        <w:spacing w:line="240" w:lineRule="auto"/>
        <w:rPr>
          <w:noProof/>
        </w:rPr>
      </w:pPr>
      <w:r>
        <w:rPr>
          <w:noProof/>
        </w:rPr>
        <w:t>Furthermore, procedures to monitor, maintain and renew infrastructure such that it remains to in good quality are sometimes not in place or not properly implemented. However, good practice examples</w:t>
      </w:r>
      <w:r>
        <w:rPr>
          <w:rStyle w:val="FootnoteReference"/>
          <w:noProof/>
        </w:rPr>
        <w:footnoteReference w:id="495"/>
      </w:r>
      <w:r>
        <w:rPr>
          <w:noProof/>
        </w:rPr>
        <w:t xml:space="preserve"> do exist in this area and could provide a blueprint to improve performance elsewhere.    </w:t>
      </w:r>
    </w:p>
    <w:p>
      <w:pPr>
        <w:pStyle w:val="LegalNumPar"/>
        <w:numPr>
          <w:ilvl w:val="0"/>
          <w:numId w:val="89"/>
        </w:numPr>
        <w:tabs>
          <w:tab w:val="left" w:pos="476"/>
        </w:tabs>
        <w:spacing w:line="240" w:lineRule="auto"/>
        <w:rPr>
          <w:noProof/>
        </w:rPr>
      </w:pPr>
      <w:r>
        <w:rPr>
          <w:noProof/>
        </w:rPr>
        <w:t>Another challenge relates to accessibility. Currently one in six citizens in the EU suffers from some kind of disability or are of reduced mobility because of their age or other circumstances (e.g. obesity), and the share of this population will grow significantly because of the ageing of population and insufficient physical activity (also related to car use). At the same time the current passenger transport infrastructure is not always accessible enough for this population, so they either travel with private cars or left excluded from transportation, which has a negative impact in their life (lack of social inclusion, less job opportunities, worse access to healthcare).</w:t>
      </w:r>
    </w:p>
    <w:p>
      <w:pPr>
        <w:pStyle w:val="LegalNumPar"/>
        <w:numPr>
          <w:ilvl w:val="0"/>
          <w:numId w:val="89"/>
        </w:numPr>
        <w:tabs>
          <w:tab w:val="left" w:pos="476"/>
        </w:tabs>
        <w:spacing w:line="240" w:lineRule="auto"/>
        <w:rPr>
          <w:noProof/>
        </w:rPr>
      </w:pPr>
      <w:r>
        <w:rPr>
          <w:noProof/>
        </w:rPr>
        <w:t>Climatic changes that potentially affect transport systems include both gradual ones, such as sea level rise, and intensification of extreme events. Climate change adaptation need to cover all transport modes and requires horizontal action. This includes:</w:t>
      </w:r>
    </w:p>
    <w:p>
      <w:pPr>
        <w:pStyle w:val="ListParagraph"/>
        <w:numPr>
          <w:ilvl w:val="0"/>
          <w:numId w:val="126"/>
        </w:numPr>
        <w:spacing w:after="0" w:line="240" w:lineRule="auto"/>
        <w:rPr>
          <w:noProof/>
          <w:sz w:val="24"/>
          <w:szCs w:val="24"/>
        </w:rPr>
      </w:pPr>
      <w:r>
        <w:rPr>
          <w:noProof/>
          <w:sz w:val="24"/>
          <w:szCs w:val="24"/>
        </w:rPr>
        <w:t>Identifying the level of vulnerability of the transport system, highlighting the rapid detection of disruptions</w:t>
      </w:r>
    </w:p>
    <w:p>
      <w:pPr>
        <w:pStyle w:val="ListParagraph"/>
        <w:numPr>
          <w:ilvl w:val="0"/>
          <w:numId w:val="126"/>
        </w:numPr>
        <w:spacing w:line="240" w:lineRule="auto"/>
        <w:rPr>
          <w:noProof/>
          <w:sz w:val="24"/>
          <w:szCs w:val="24"/>
        </w:rPr>
      </w:pPr>
      <w:r>
        <w:rPr>
          <w:noProof/>
          <w:sz w:val="24"/>
          <w:szCs w:val="24"/>
        </w:rPr>
        <w:t>Implementing a systemic approach for the planning, design, construction, operation and management of transport infrastructures having into account the effects of climate is essential for overcoming the impact of future changes and become climate-proof.</w:t>
      </w:r>
    </w:p>
    <w:p>
      <w:pPr>
        <w:pStyle w:val="LegalNumPar"/>
        <w:numPr>
          <w:ilvl w:val="0"/>
          <w:numId w:val="89"/>
        </w:numPr>
        <w:tabs>
          <w:tab w:val="left" w:pos="476"/>
        </w:tabs>
        <w:spacing w:line="240" w:lineRule="auto"/>
        <w:rPr>
          <w:noProof/>
        </w:rPr>
      </w:pPr>
      <w:r>
        <w:rPr>
          <w:noProof/>
        </w:rPr>
        <w:t>In particular for road and rail infrastructure, key vulnerabilities include</w:t>
      </w:r>
      <w:r>
        <w:rPr>
          <w:noProof/>
          <w:vertAlign w:val="superscript"/>
        </w:rPr>
        <w:footnoteReference w:id="496"/>
      </w:r>
      <w:r>
        <w:rPr>
          <w:noProof/>
        </w:rPr>
        <w:t xml:space="preserve">: </w:t>
      </w:r>
    </w:p>
    <w:p>
      <w:pPr>
        <w:pStyle w:val="ListParagraph"/>
        <w:numPr>
          <w:ilvl w:val="0"/>
          <w:numId w:val="126"/>
        </w:numPr>
        <w:spacing w:after="0" w:line="240" w:lineRule="auto"/>
        <w:rPr>
          <w:noProof/>
          <w:sz w:val="24"/>
          <w:szCs w:val="24"/>
        </w:rPr>
      </w:pPr>
      <w:r>
        <w:rPr>
          <w:noProof/>
          <w:sz w:val="24"/>
          <w:szCs w:val="24"/>
        </w:rPr>
        <w:t>Mainly heavy precipitation and river flooding</w:t>
      </w:r>
    </w:p>
    <w:p>
      <w:pPr>
        <w:pStyle w:val="ListParagraph"/>
        <w:numPr>
          <w:ilvl w:val="0"/>
          <w:numId w:val="126"/>
        </w:numPr>
        <w:spacing w:after="0" w:line="240" w:lineRule="auto"/>
        <w:rPr>
          <w:noProof/>
          <w:sz w:val="24"/>
          <w:szCs w:val="24"/>
        </w:rPr>
      </w:pPr>
      <w:r>
        <w:rPr>
          <w:noProof/>
          <w:sz w:val="24"/>
          <w:szCs w:val="24"/>
        </w:rPr>
        <w:t>Sea level rise and storm surges</w:t>
      </w:r>
    </w:p>
    <w:p>
      <w:pPr>
        <w:pStyle w:val="ListParagraph"/>
        <w:numPr>
          <w:ilvl w:val="0"/>
          <w:numId w:val="126"/>
        </w:numPr>
        <w:spacing w:line="240" w:lineRule="auto"/>
        <w:rPr>
          <w:noProof/>
          <w:sz w:val="24"/>
          <w:szCs w:val="24"/>
        </w:rPr>
      </w:pPr>
      <w:r>
        <w:rPr>
          <w:noProof/>
          <w:sz w:val="24"/>
          <w:szCs w:val="24"/>
        </w:rPr>
        <w:t>Increasing average temperature all over Europe could require changes in maintenance operations, or even adaptation of some infrastructure elements, and practices and represent extra costs.</w:t>
      </w:r>
    </w:p>
    <w:p>
      <w:pPr>
        <w:pStyle w:val="LegalNumPar"/>
        <w:numPr>
          <w:ilvl w:val="0"/>
          <w:numId w:val="89"/>
        </w:numPr>
        <w:tabs>
          <w:tab w:val="left" w:pos="476"/>
        </w:tabs>
        <w:spacing w:line="240" w:lineRule="auto"/>
        <w:rPr>
          <w:noProof/>
        </w:rPr>
      </w:pPr>
      <w:r>
        <w:rPr>
          <w:noProof/>
        </w:rPr>
        <w:t>For airports and seaports, the greatest risks relate to inundation and higher wind gust speeds; sea level rise, storm surges and inundation, respectively.</w:t>
      </w:r>
      <w:r>
        <w:rPr>
          <w:noProof/>
          <w:vertAlign w:val="superscript"/>
        </w:rPr>
        <w:footnoteReference w:id="497"/>
      </w:r>
    </w:p>
    <w:p>
      <w:pPr>
        <w:pStyle w:val="LegalNumPar"/>
        <w:numPr>
          <w:ilvl w:val="0"/>
          <w:numId w:val="89"/>
        </w:numPr>
        <w:tabs>
          <w:tab w:val="left" w:pos="476"/>
        </w:tabs>
        <w:spacing w:line="240" w:lineRule="auto"/>
        <w:rPr>
          <w:noProof/>
        </w:rPr>
      </w:pPr>
      <w:r>
        <w:rPr>
          <w:noProof/>
        </w:rPr>
        <w:t>Inland waterways are vulnerable to climate change because river navigation depends on precipitation and water levels for its operations. Droughts and floods have the most disruptive impacts for inland waterways because low water levels impose limitations to navigation services. Hence inland waterway transport is directly affected and already feels the impact of climate change. Recent drought periods as well as floods disrupt inland navigation activities by imposing restrictions on the amounts of loads transported, increasing the number of vessels to compensate reduced load factors and a shift to less energy-efficient modes, i.e. undermining its capacity to contribute to transport decarbonisation goals. In the case of the Rhine, the other modes of transport do not dispose of sufficient capacity to absorb the shift.</w:t>
      </w:r>
    </w:p>
    <w:p>
      <w:pPr>
        <w:pStyle w:val="LegalNumPar"/>
        <w:numPr>
          <w:ilvl w:val="0"/>
          <w:numId w:val="89"/>
        </w:numPr>
        <w:tabs>
          <w:tab w:val="left" w:pos="476"/>
        </w:tabs>
        <w:spacing w:line="240" w:lineRule="auto"/>
        <w:rPr>
          <w:noProof/>
        </w:rPr>
      </w:pPr>
      <w:r>
        <w:rPr>
          <w:noProof/>
        </w:rPr>
        <w:t> Inland waterways can exert pressure on aquatic ecosystems, mainly due to modification in the hydromorphology of rivers, fragmentation of ecosystems, disruption of ecological flow, or pollution of water and sediment. An integrated approach is needed. Therefore, waterway transport needs a reliable, safe, cost-effective and climate resilient infrastructure network. Since inland waterways have multiple functions: water supply, energy generation, recreation, biodiversity, this requires an integrated water policy to ensure that such infrastructures have a neutral or positive impact on biodiversity and do not compromise the achievement of good status of the water bodies they relate to, in line with the objectives of the Water Framework Directive, the Habitats Directive and the Biodiversity Strategy. The Water Framework Directive provides the right framework for integrated water management at the basin level. The Fitness Check of this Directive however shows that there is a need to strengthen its implementation, and to better integrate it with other sectoral policies including the navigation policy. The multi-dimensional functions of rivers, canals and lakes must be taken into account when developing waterways while dealing with climate change. An integrative approach among all water users towards ecologic, societal, economic and safety-related functions is a condition sine qua non for a successful climate responsive policy in terms of adaptation.</w:t>
      </w:r>
    </w:p>
    <w:p>
      <w:pPr>
        <w:pStyle w:val="LegalNumPar"/>
        <w:numPr>
          <w:ilvl w:val="0"/>
          <w:numId w:val="89"/>
        </w:numPr>
        <w:tabs>
          <w:tab w:val="left" w:pos="476"/>
        </w:tabs>
        <w:spacing w:line="240" w:lineRule="auto"/>
        <w:rPr>
          <w:noProof/>
        </w:rPr>
      </w:pPr>
      <w:r>
        <w:rPr>
          <w:noProof/>
        </w:rPr>
        <w:t>These trends imply a growing need for finding synergies between the transport, energy and digital sectors, which are not yet harnessed to the full extent, including for the deployment of alternative fuels infrastructure. New approach to the design of network and business models is needed, which should also take into consideration the impact of the climate change on the current and future infrastructure as well as demographic changes impacting the mobility patters of the future. Horizon Europe calls for proposals are planned to help to develop and test new methods of transport infrastructure maintenance and upgrade, with a view to improving safety, climate resilience and environmental impact (incl. habitat and biodiversity) and develop new solutions to accommodate connected mobility. These R&amp;I actions are also expected to accommodate new and evolving transport modes and improved integration of transport infrastructure and energy systems.</w:t>
      </w:r>
    </w:p>
    <w:p>
      <w:pPr>
        <w:pStyle w:val="LegalNumPar"/>
        <w:numPr>
          <w:ilvl w:val="0"/>
          <w:numId w:val="89"/>
        </w:numPr>
        <w:tabs>
          <w:tab w:val="left" w:pos="476"/>
        </w:tabs>
        <w:spacing w:line="240" w:lineRule="auto"/>
        <w:rPr>
          <w:noProof/>
        </w:rPr>
      </w:pPr>
      <w:r>
        <w:rPr>
          <w:b/>
          <w:bCs/>
          <w:noProof/>
        </w:rPr>
        <w:t xml:space="preserve"> </w:t>
      </w:r>
      <w:r>
        <w:rPr>
          <w:bCs/>
          <w:noProof/>
        </w:rPr>
        <w:t xml:space="preserve">Finally, </w:t>
      </w:r>
      <w:r>
        <w:rPr>
          <w:noProof/>
        </w:rPr>
        <w:t>facilitating the movement of military troops and assets is essential for the security of European citizens and to allow for more efficient deployment of EU armed forces abroad. Today, there are obstacles which are hampering the movement of military equipment and personnel across the EU, including physical, legal and regulatory barriers. Military mobility is a key priority for the EU-NATO cooperation. Transport infrastructure is not always fit for the specific needs of military transport which has specific requirements (e.g. in terms of weight of the vehicles on bridges or dimensions of tunnels). The Commission services and the European External Action Service (EEAS)</w:t>
      </w:r>
      <w:r>
        <w:rPr>
          <w:rStyle w:val="FootnoteReference"/>
          <w:noProof/>
        </w:rPr>
        <w:t xml:space="preserve"> </w:t>
      </w:r>
      <w:r>
        <w:rPr>
          <w:rStyle w:val="FootnoteReference"/>
          <w:noProof/>
        </w:rPr>
        <w:footnoteReference w:id="498"/>
      </w:r>
      <w:r>
        <w:rPr>
          <w:noProof/>
        </w:rPr>
        <w:t xml:space="preserve"> are comparing the military and the civilian requirements to identify gaps and synergies. The Gap Analysis will also inform the subsequent definition of the dual-use infrastructure requirements, which will constitute the legal basis for CEF co-funding through the military mobility envelope. Finally, the Commission in consultation with the Member States and relevant stakeholders will develop a dual-use project pipeline over 2020 to identify investment priorities before CEF co-funding starts in 2021.</w:t>
      </w:r>
    </w:p>
    <w:p>
      <w:pPr>
        <w:pStyle w:val="Heading4"/>
        <w:numPr>
          <w:ilvl w:val="3"/>
          <w:numId w:val="98"/>
        </w:numPr>
        <w:rPr>
          <w:noProof/>
        </w:rPr>
      </w:pPr>
      <w:bookmarkStart w:id="3916" w:name="_Toc57291520"/>
      <w:bookmarkStart w:id="3917" w:name="_Toc51450133"/>
      <w:bookmarkStart w:id="3918" w:name="_Toc51574832"/>
      <w:bookmarkStart w:id="3919" w:name="_Toc51575680"/>
      <w:bookmarkStart w:id="3920" w:name="_Toc51578078"/>
      <w:bookmarkStart w:id="3921" w:name="_Toc51582951"/>
      <w:bookmarkStart w:id="3922" w:name="_Toc51583426"/>
      <w:bookmarkStart w:id="3923" w:name="_Toc51583516"/>
      <w:bookmarkStart w:id="3924" w:name="_Toc51583801"/>
      <w:bookmarkStart w:id="3925" w:name="_Toc51583991"/>
      <w:bookmarkStart w:id="3926" w:name="_Toc51583915"/>
      <w:bookmarkStart w:id="3927" w:name="_Toc51586233"/>
      <w:bookmarkStart w:id="3928" w:name="_Toc51594036"/>
      <w:bookmarkStart w:id="3929" w:name="_Toc51594362"/>
      <w:bookmarkStart w:id="3930" w:name="_Toc51595340"/>
      <w:bookmarkStart w:id="3931" w:name="_Toc51595590"/>
      <w:bookmarkStart w:id="3932" w:name="_Toc51595916"/>
      <w:bookmarkStart w:id="3933" w:name="_Toc51596079"/>
      <w:bookmarkStart w:id="3934" w:name="_Toc51596432"/>
      <w:bookmarkStart w:id="3935" w:name="_Toc52121566"/>
      <w:bookmarkStart w:id="3936" w:name="_Toc52122797"/>
      <w:bookmarkStart w:id="3937" w:name="_Toc52123914"/>
      <w:bookmarkStart w:id="3938" w:name="_Toc53405375"/>
      <w:bookmarkStart w:id="3939" w:name="_Toc53406162"/>
      <w:bookmarkStart w:id="3940" w:name="_Toc53407531"/>
      <w:bookmarkStart w:id="3941" w:name="_Toc53410975"/>
      <w:bookmarkStart w:id="3942" w:name="_Toc53412038"/>
      <w:bookmarkStart w:id="3943" w:name="_Toc53417285"/>
      <w:bookmarkStart w:id="3944" w:name="_Toc53417637"/>
      <w:bookmarkStart w:id="3945" w:name="_Toc53419872"/>
      <w:bookmarkStart w:id="3946" w:name="_Toc53434975"/>
      <w:bookmarkStart w:id="3947" w:name="_Toc53437114"/>
      <w:r>
        <w:rPr>
          <w:noProof/>
        </w:rPr>
        <w:t>Access to funding</w:t>
      </w:r>
      <w:bookmarkEnd w:id="3916"/>
      <w:r>
        <w:rPr>
          <w:noProof/>
        </w:rPr>
        <w:t xml:space="preserve"> </w:t>
      </w:r>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p>
    <w:p>
      <w:pPr>
        <w:pStyle w:val="LegalNumPar"/>
        <w:numPr>
          <w:ilvl w:val="0"/>
          <w:numId w:val="89"/>
        </w:numPr>
        <w:tabs>
          <w:tab w:val="left" w:pos="476"/>
        </w:tabs>
        <w:spacing w:line="240" w:lineRule="auto"/>
        <w:rPr>
          <w:noProof/>
        </w:rPr>
      </w:pPr>
      <w:r>
        <w:rPr>
          <w:noProof/>
        </w:rPr>
        <w:t>In view of the above, investment into connectivity, both at national and European level, requires a strategic approach both in terms of levels to close the underinvestment gap and in terms of coherent, future-proof priorities. It should be based on three main axes:</w:t>
      </w:r>
    </w:p>
    <w:p>
      <w:pPr>
        <w:pStyle w:val="ListParagraph"/>
        <w:numPr>
          <w:ilvl w:val="0"/>
          <w:numId w:val="126"/>
        </w:numPr>
        <w:spacing w:after="0" w:line="240" w:lineRule="auto"/>
        <w:rPr>
          <w:noProof/>
          <w:sz w:val="24"/>
          <w:szCs w:val="24"/>
        </w:rPr>
      </w:pPr>
      <w:r>
        <w:rPr>
          <w:noProof/>
          <w:sz w:val="24"/>
          <w:szCs w:val="24"/>
        </w:rPr>
        <w:t>Effective use-based infrastructure charging covering a significantly greater share of infrastructure    costs;</w:t>
      </w:r>
    </w:p>
    <w:p>
      <w:pPr>
        <w:pStyle w:val="ListParagraph"/>
        <w:numPr>
          <w:ilvl w:val="0"/>
          <w:numId w:val="126"/>
        </w:numPr>
        <w:spacing w:after="0" w:line="240" w:lineRule="auto"/>
        <w:rPr>
          <w:noProof/>
          <w:sz w:val="24"/>
          <w:szCs w:val="24"/>
        </w:rPr>
      </w:pPr>
      <w:r>
        <w:rPr>
          <w:noProof/>
          <w:sz w:val="24"/>
          <w:szCs w:val="24"/>
        </w:rPr>
        <w:t>A greater participation of private capital, in particular through green financing, while preserving European control of key infrastructure;</w:t>
      </w:r>
    </w:p>
    <w:p>
      <w:pPr>
        <w:pStyle w:val="ListParagraph"/>
        <w:numPr>
          <w:ilvl w:val="0"/>
          <w:numId w:val="126"/>
        </w:numPr>
        <w:spacing w:after="0" w:line="240" w:lineRule="auto"/>
        <w:rPr>
          <w:noProof/>
          <w:sz w:val="24"/>
          <w:szCs w:val="24"/>
        </w:rPr>
      </w:pPr>
      <w:r>
        <w:rPr>
          <w:noProof/>
          <w:sz w:val="24"/>
          <w:szCs w:val="24"/>
        </w:rPr>
        <w:t>A reinforced complementarity of public funding sources at national and European level</w:t>
      </w:r>
    </w:p>
    <w:p>
      <w:pPr>
        <w:pStyle w:val="ListParagraph"/>
        <w:spacing w:after="0" w:line="240" w:lineRule="auto"/>
        <w:ind w:left="952"/>
        <w:rPr>
          <w:noProof/>
          <w:sz w:val="24"/>
          <w:szCs w:val="24"/>
        </w:rPr>
      </w:pPr>
    </w:p>
    <w:p>
      <w:pPr>
        <w:pStyle w:val="LegalNumPar"/>
        <w:numPr>
          <w:ilvl w:val="0"/>
          <w:numId w:val="89"/>
        </w:numPr>
        <w:tabs>
          <w:tab w:val="left" w:pos="476"/>
        </w:tabs>
        <w:spacing w:line="240" w:lineRule="auto"/>
        <w:rPr>
          <w:noProof/>
        </w:rPr>
      </w:pPr>
      <w:r>
        <w:rPr>
          <w:noProof/>
        </w:rPr>
        <w:t>At the moment, however, investment is defined quite narrowly and is not necessarily aligned with all policy goals in particular decarbonisation and health. The focus is predominantly put on new infrastructure but does not address upgrading and maintenance. There are also limited investment options for movable assets (vehicles, vessels), active mobility infrastructure, retrofitting and renewal of vehicles that could help adapt to the current and future challenges, including safety, modernisation and cleaning the transport sector as a whole. The renewal of the rail and vessels fleet would bring EU added value in particular by improving cross border connectivity, underpin the environmental objective of modal shift and creating economic benefits in terms of GDP stimulation and jobs.  Last but not least, limited access to investment for smaller market players (SMEs, especially in the road and waterborne sectors) is hampering innovation investments in these sectors. These issues are addressed by the InvestEU regulation which foresees support to maintenance, mobile assets and seamless support to SMEs through the Sustainable Infrastructure and SME Windows.</w:t>
      </w:r>
    </w:p>
    <w:p>
      <w:pPr>
        <w:pStyle w:val="LegalNumPar"/>
        <w:numPr>
          <w:ilvl w:val="0"/>
          <w:numId w:val="89"/>
        </w:numPr>
        <w:tabs>
          <w:tab w:val="left" w:pos="476"/>
        </w:tabs>
        <w:spacing w:line="240" w:lineRule="auto"/>
        <w:rPr>
          <w:noProof/>
        </w:rPr>
      </w:pPr>
      <w:r>
        <w:rPr>
          <w:noProof/>
        </w:rPr>
        <w:t xml:space="preserve">At the EU level the coordination and coherence of support across different EU programmes (Connecting Europe Facility, Cohesion Fund, ERDF and InvestEU) and European Investment Bank’s support as regards objectives and conditions underlying public funding is not optimal either. Conditionality to receiving funding may need to be better aligned, in line with relevant European policies. </w:t>
      </w:r>
    </w:p>
    <w:p>
      <w:pPr>
        <w:pStyle w:val="LegalNumPar"/>
        <w:numPr>
          <w:ilvl w:val="0"/>
          <w:numId w:val="89"/>
        </w:numPr>
        <w:tabs>
          <w:tab w:val="left" w:pos="476"/>
        </w:tabs>
        <w:spacing w:line="240" w:lineRule="auto"/>
        <w:rPr>
          <w:noProof/>
        </w:rPr>
      </w:pPr>
      <w:r>
        <w:rPr>
          <w:noProof/>
        </w:rPr>
        <w:t xml:space="preserve">The Recovery and Resilience Facility will be one of the main tools for the recovery, with an unprecedented EUR 672.5 billion of frontloaded </w:t>
      </w:r>
      <w:r>
        <w:rPr>
          <w:noProof/>
          <w:lang w:val="en-US"/>
        </w:rPr>
        <w:t xml:space="preserve">non-repayable support as well as loans </w:t>
      </w:r>
      <w:r>
        <w:rPr>
          <w:noProof/>
        </w:rPr>
        <w:t>during the crucial first years of the recovery. The Member States will encompass in their recovery and resilience plans their national agenda of reforms and investments designed in line with the relevant country specific recommendations and EU policy objectives, centred on the green and digital transitions. The Facility will support Member States’ efforts to strengthen effectively their social and economic resilience, and hence their economies’ growth potential and job creation, thereby supporting the EU objectives.</w:t>
      </w:r>
    </w:p>
    <w:p>
      <w:pPr>
        <w:pStyle w:val="LegalNumPar"/>
        <w:pBdr>
          <w:top w:val="single" w:sz="4" w:space="1" w:color="auto"/>
          <w:left w:val="single" w:sz="4" w:space="4" w:color="auto"/>
          <w:bottom w:val="single" w:sz="4" w:space="1" w:color="auto"/>
          <w:right w:val="single" w:sz="4" w:space="4" w:color="auto"/>
        </w:pBdr>
        <w:shd w:val="clear" w:color="auto" w:fill="E7E6E6" w:themeFill="background2"/>
        <w:tabs>
          <w:tab w:val="left" w:pos="476"/>
        </w:tabs>
        <w:spacing w:line="240" w:lineRule="auto"/>
        <w:ind w:left="476"/>
        <w:rPr>
          <w:noProof/>
        </w:rPr>
      </w:pPr>
      <w:r>
        <w:rPr>
          <w:noProof/>
        </w:rPr>
        <w:t>In the Communication ‘Annual Sustainable Growth Strategy 2021’</w:t>
      </w:r>
      <w:r>
        <w:rPr>
          <w:rStyle w:val="FootnoteReference"/>
          <w:noProof/>
        </w:rPr>
        <w:footnoteReference w:id="499"/>
      </w:r>
      <w:r>
        <w:rPr>
          <w:noProof/>
        </w:rPr>
        <w:t xml:space="preserve"> the Commission highlighted that “</w:t>
      </w:r>
      <w:r>
        <w:rPr>
          <w:i/>
          <w:noProof/>
        </w:rPr>
        <w:t>investing in sustainable mobility can also strongly support the recovery. Measures addressing transport can bring significant greenhouse gas emission reductions and improvements to air quality, while fostering productivity growth. In designing their national recovery and resilience plans, Member States should consider such measures as investing in public transport and in infrastructure that supports the shift towards more sustainable and smart mobility, including seamless and efficient European multimodal networks as well as upgrading Trans-European Transport Network networks for passengers and freight. Reforms and investments aimed at boosting demand for zero- and low-emission vehicles and accelerating the rollout of recharging and refuelling infrastructure are also key for achieving this goal. This should be complemented by investments in low carbon energy technologies and value chains, including hydrogen or batteries, and on sustainable energy infrastructure. Reforming the environmental incentives provided by the taxation of vehicles and fuels will be particularly important to accompany this trend</w:t>
      </w:r>
      <w:r>
        <w:rPr>
          <w:noProof/>
        </w:rPr>
        <w:t xml:space="preserve">.” </w:t>
      </w:r>
    </w:p>
    <w:p>
      <w:pPr>
        <w:pStyle w:val="LegalNumPar"/>
        <w:pBdr>
          <w:top w:val="single" w:sz="4" w:space="1" w:color="auto"/>
          <w:left w:val="single" w:sz="4" w:space="4" w:color="auto"/>
          <w:bottom w:val="single" w:sz="4" w:space="1" w:color="auto"/>
          <w:right w:val="single" w:sz="4" w:space="4" w:color="auto"/>
        </w:pBdr>
        <w:shd w:val="clear" w:color="auto" w:fill="E7E6E6" w:themeFill="background2"/>
        <w:tabs>
          <w:tab w:val="left" w:pos="476"/>
        </w:tabs>
        <w:spacing w:line="240" w:lineRule="auto"/>
        <w:ind w:left="476"/>
        <w:rPr>
          <w:noProof/>
        </w:rPr>
      </w:pPr>
      <w:r>
        <w:rPr>
          <w:rFonts w:eastAsiaTheme="minorEastAsia"/>
          <w:noProof/>
          <w:lang w:eastAsia="en-US"/>
        </w:rPr>
        <w:t>The Annual Sustainable Growth Strategy 2021 also set out a number of European flagships as “</w:t>
      </w:r>
      <w:r>
        <w:rPr>
          <w:rFonts w:eastAsiaTheme="minorEastAsia"/>
          <w:i/>
          <w:noProof/>
          <w:lang w:eastAsia="en-US"/>
        </w:rPr>
        <w:t>p</w:t>
      </w:r>
      <w:r>
        <w:rPr>
          <w:i/>
          <w:noProof/>
        </w:rPr>
        <w:t>ursuing these flagships will ensure the success of the recovery of Europe; it will make Europe a digital and greener continent and will increase the cohesion among Member States</w:t>
      </w:r>
      <w:r>
        <w:rPr>
          <w:noProof/>
        </w:rPr>
        <w:t>”.</w:t>
      </w:r>
      <w:r>
        <w:rPr>
          <w:rFonts w:eastAsiaTheme="minorEastAsia"/>
          <w:noProof/>
          <w:lang w:eastAsia="en-US"/>
        </w:rPr>
        <w:t xml:space="preserve"> Among them is </w:t>
      </w:r>
      <w:r>
        <w:rPr>
          <w:noProof/>
        </w:rPr>
        <w:t>Recharge and refuel: “</w:t>
      </w:r>
      <w:r>
        <w:rPr>
          <w:i/>
          <w:noProof/>
        </w:rPr>
        <w:t>Promoting future-proof clean technologies to accelerate the use of sustainable, accessible and smart transport, charging and refuelling stations and extension of public transport will make European cities and regions cleaner, accelerate the industrial transition and contribute to reaching the Paris climate objectives. By 2025, the flagship will aim to build one out of the three million charging points needed in 2030 and half of the 1000 hydrogen stations needed</w:t>
      </w:r>
      <w:r>
        <w:rPr>
          <w:noProof/>
        </w:rPr>
        <w:t>”.</w:t>
      </w:r>
    </w:p>
    <w:p>
      <w:pPr>
        <w:pStyle w:val="LegalNumPar"/>
        <w:pBdr>
          <w:top w:val="single" w:sz="4" w:space="1" w:color="auto"/>
          <w:left w:val="single" w:sz="4" w:space="4" w:color="auto"/>
          <w:bottom w:val="single" w:sz="4" w:space="1" w:color="auto"/>
          <w:right w:val="single" w:sz="4" w:space="4" w:color="auto"/>
        </w:pBdr>
        <w:shd w:val="clear" w:color="auto" w:fill="E7E6E6" w:themeFill="background2"/>
        <w:tabs>
          <w:tab w:val="left" w:pos="476"/>
        </w:tabs>
        <w:spacing w:line="240" w:lineRule="auto"/>
        <w:ind w:left="476"/>
        <w:rPr>
          <w:rFonts w:eastAsiaTheme="minorEastAsia"/>
          <w:noProof/>
          <w:lang w:eastAsia="en-US"/>
        </w:rPr>
      </w:pPr>
      <w:r>
        <w:rPr>
          <w:rFonts w:eastAsiaTheme="minorEastAsia"/>
          <w:noProof/>
          <w:lang w:eastAsia="en-US"/>
        </w:rPr>
        <w:t>In addition to guidance to Member States Recovery and Resilience Plans</w:t>
      </w:r>
      <w:r>
        <w:rPr>
          <w:rStyle w:val="FootnoteReference"/>
          <w:rFonts w:eastAsiaTheme="minorEastAsia"/>
          <w:noProof/>
          <w:lang w:eastAsia="en-US"/>
        </w:rPr>
        <w:footnoteReference w:id="500"/>
      </w:r>
      <w:r>
        <w:rPr>
          <w:rFonts w:eastAsiaTheme="minorEastAsia"/>
          <w:noProof/>
          <w:lang w:eastAsia="en-US"/>
        </w:rPr>
        <w:t>, the Commission also provided examples of component of reforms and investments, including on clean, smart and fair urban mobility</w:t>
      </w:r>
      <w:r>
        <w:rPr>
          <w:rStyle w:val="FootnoteReference"/>
          <w:rFonts w:eastAsiaTheme="minorEastAsia"/>
          <w:noProof/>
          <w:lang w:eastAsia="en-US"/>
        </w:rPr>
        <w:footnoteReference w:id="501"/>
      </w:r>
      <w:r>
        <w:rPr>
          <w:rFonts w:eastAsiaTheme="minorEastAsia"/>
          <w:noProof/>
          <w:lang w:eastAsia="en-US"/>
        </w:rPr>
        <w:t>.</w:t>
      </w:r>
    </w:p>
    <w:p>
      <w:pPr>
        <w:pStyle w:val="LegalNumPar"/>
        <w:numPr>
          <w:ilvl w:val="0"/>
          <w:numId w:val="89"/>
        </w:numPr>
        <w:tabs>
          <w:tab w:val="left" w:pos="476"/>
        </w:tabs>
        <w:spacing w:line="240" w:lineRule="auto"/>
        <w:rPr>
          <w:noProof/>
        </w:rPr>
      </w:pPr>
      <w:r>
        <w:rPr>
          <w:noProof/>
        </w:rPr>
        <w:t>Closer policy dialogue between the EC and the EIB has been established with the revision of the EIB transport lending policy. The Cleaner Transport Facility has been established as an umbrella for EU support to the deployment of smart and sustainable transport (covering CEF including Blending Operations and CEF Debt Instrument; EIB own-risk; and European Fund for Strategic Investment). Also, the Safer Transport Platform was established as a gateway to advisory services to support the uptake of funding and financing opportunities for projects that improve road safety. Lastly, funds from the NER300 programme</w:t>
      </w:r>
      <w:r>
        <w:rPr>
          <w:rStyle w:val="FootnoteReference"/>
          <w:noProof/>
        </w:rPr>
        <w:footnoteReference w:id="502"/>
      </w:r>
      <w:r>
        <w:rPr>
          <w:noProof/>
        </w:rPr>
        <w:t xml:space="preserve"> can be channelled through the CEF Debt Instrument for electric mobile assets and renewable energy transport infrastructure. </w:t>
      </w:r>
    </w:p>
    <w:p>
      <w:pPr>
        <w:pStyle w:val="LegalNumPar"/>
        <w:numPr>
          <w:ilvl w:val="0"/>
          <w:numId w:val="89"/>
        </w:numPr>
        <w:tabs>
          <w:tab w:val="left" w:pos="476"/>
        </w:tabs>
        <w:spacing w:line="240" w:lineRule="auto"/>
        <w:rPr>
          <w:noProof/>
        </w:rPr>
      </w:pPr>
      <w:r>
        <w:rPr>
          <w:noProof/>
        </w:rPr>
        <w:t xml:space="preserve">Furthermore there is a need to improve the capacity to plan, design and procure transport infrastructure projects at local and regional level. At those levels, advisory services and related resources would be required in order to prepare projects. Relevant programmes are already operating in collaboration with the EIB, including: the Joint Assistance to Support Projects in European Regions (JASPERS); the European Local ENergy Assistance (ELENA); and more generally through the European Investment Advisory Hub. </w:t>
      </w:r>
    </w:p>
    <w:p>
      <w:pPr>
        <w:pStyle w:val="LegalNumPar"/>
        <w:numPr>
          <w:ilvl w:val="0"/>
          <w:numId w:val="89"/>
        </w:numPr>
        <w:tabs>
          <w:tab w:val="left" w:pos="476"/>
        </w:tabs>
        <w:spacing w:line="240" w:lineRule="auto"/>
        <w:rPr>
          <w:noProof/>
        </w:rPr>
      </w:pPr>
      <w:r>
        <w:rPr>
          <w:noProof/>
        </w:rPr>
        <w:t xml:space="preserve">All these trends will need to be taken into consideration in the review of the EU-level transport infrastructure network policy (based on the TEN-T Regulation and supported predominantly by CEF and the Cohesion Fund and ERDF). This policy has been crucial to connect national transport networks, overcome technical barriers (inter-operability) and enhance major transport axes across the Union. In addition, investments in the transport sector and TEN-T network in particular were also supported by the EIB, including under the European Fund for Strategic Investment. Around 20% of the total lending of the EIB goes to the transport sector, representing EUR 59 billion since 2014. The largest share of the loans has gone to the projects in the rail sector, followed by road and urban mobility. The core network, which represents around 55% of TEN-T railways, 43% of TEN-T roads and the whole TEN-T inland waterway network in addition to many ports, airports and other transport terminals and inter-modal junctions must be completed by 2030. It must be then complemented by the comprehensive network (completion by 2050), which seeks to ensure full geographical accessibility across the Union. </w:t>
      </w:r>
    </w:p>
    <w:p>
      <w:pPr>
        <w:pStyle w:val="LegalNumPar"/>
        <w:numPr>
          <w:ilvl w:val="0"/>
          <w:numId w:val="89"/>
        </w:numPr>
        <w:tabs>
          <w:tab w:val="left" w:pos="476"/>
        </w:tabs>
        <w:spacing w:line="240" w:lineRule="auto"/>
        <w:rPr>
          <w:noProof/>
        </w:rPr>
      </w:pPr>
      <w:r>
        <w:rPr>
          <w:noProof/>
        </w:rPr>
        <w:t>This should help in also reflecting the importance and challenges of regional or local freight transport networks as the corridors mainly relate to long-distance transport services. Infrastructure provision in urbanised areas needs to be better linked with the management and optimisation of traffic flows. While bottlenecks can appear in and/or around cities, e.g. congested ring roads, solutions might be found on the corridor (e.g. stimulating multi-modality) or vice versa.</w:t>
      </w:r>
    </w:p>
    <w:p>
      <w:pPr>
        <w:pStyle w:val="LegalNumPar"/>
        <w:numPr>
          <w:ilvl w:val="0"/>
          <w:numId w:val="89"/>
        </w:numPr>
        <w:tabs>
          <w:tab w:val="left" w:pos="476"/>
        </w:tabs>
        <w:spacing w:line="240" w:lineRule="auto"/>
        <w:rPr>
          <w:noProof/>
        </w:rPr>
      </w:pPr>
      <w:r>
        <w:rPr>
          <w:noProof/>
        </w:rPr>
        <w:t xml:space="preserve">However, the full roll-out of the TEN-T network needs substantial investments, as estimated by the European Corridors Coordinators Work Plans, to upgrade existing networks, construct missing links, which are not always prioritised by Member States’ national authorities, improve interoperability and network capacity, among others. The current estimations envisage that EUR 300 billion will be needed to complete the TEN-T core network alone. </w:t>
      </w:r>
    </w:p>
    <w:p>
      <w:pPr>
        <w:pStyle w:val="LegalNumPar"/>
        <w:numPr>
          <w:ilvl w:val="0"/>
          <w:numId w:val="89"/>
        </w:numPr>
        <w:tabs>
          <w:tab w:val="left" w:pos="476"/>
        </w:tabs>
        <w:spacing w:line="240" w:lineRule="auto"/>
        <w:rPr>
          <w:noProof/>
        </w:rPr>
      </w:pPr>
      <w:r>
        <w:rPr>
          <w:noProof/>
        </w:rPr>
        <w:t>Comprehensive Transport Strategies provide a stable, long term framework for investments planning in the transport sector. The existence of such plans is a pre-requisite (ex-ante conditionality, enabling condition) to access support from the Cohesion Fund and ERDF. These national and regional plans include measures at the level of the TEN- core and comprehensive network, and also provide the link between local/regional transport networks and the TEN-T.</w:t>
      </w:r>
    </w:p>
    <w:p>
      <w:pPr>
        <w:pStyle w:val="LegalNumPar"/>
        <w:numPr>
          <w:ilvl w:val="0"/>
          <w:numId w:val="89"/>
        </w:numPr>
        <w:tabs>
          <w:tab w:val="left" w:pos="476"/>
        </w:tabs>
        <w:spacing w:line="240" w:lineRule="auto"/>
        <w:rPr>
          <w:noProof/>
        </w:rPr>
      </w:pPr>
      <w:r>
        <w:rPr>
          <w:noProof/>
        </w:rPr>
        <w:t>Railways transport infrastructure has been identified as the segment most in need of investment to finalise the TEN-T network and maintain/modernize the existing network, with around 60% of the total demand for funding/financing. Fixed infrastructure costs are comparatively low per km for aviation and road and very high for rail, due to the very different nature of the infrastructure involved</w:t>
      </w:r>
      <w:r>
        <w:rPr>
          <w:noProof/>
          <w:vertAlign w:val="superscript"/>
        </w:rPr>
        <w:footnoteReference w:id="503"/>
      </w:r>
      <w:r>
        <w:rPr>
          <w:noProof/>
        </w:rPr>
        <w:t xml:space="preserve">. On the other side, marginal costs are very different by mode, once external costs are being considered. </w:t>
      </w:r>
    </w:p>
    <w:p>
      <w:pPr>
        <w:pStyle w:val="LegalNumPar"/>
        <w:numPr>
          <w:ilvl w:val="0"/>
          <w:numId w:val="89"/>
        </w:numPr>
        <w:tabs>
          <w:tab w:val="left" w:pos="476"/>
        </w:tabs>
        <w:spacing w:line="240" w:lineRule="auto"/>
        <w:rPr>
          <w:noProof/>
        </w:rPr>
      </w:pPr>
      <w:r>
        <w:rPr>
          <w:noProof/>
        </w:rPr>
        <w:t xml:space="preserve">Due to a combination of market failures and the lack of level playing field between the modes, cross border infrastructure in general and railway infrastructure projects in particular are often not financially viable and struggle to attract private capital. Also, regulatory aspects and state infrastructure ownership remain a barriers to tapping into capital market investment in transport projects. </w:t>
      </w:r>
    </w:p>
    <w:p>
      <w:pPr>
        <w:pStyle w:val="Heading3"/>
        <w:numPr>
          <w:ilvl w:val="2"/>
          <w:numId w:val="98"/>
        </w:numPr>
        <w:rPr>
          <w:noProof/>
        </w:rPr>
      </w:pPr>
      <w:bookmarkStart w:id="3948" w:name="_Toc51450134"/>
      <w:bookmarkStart w:id="3949" w:name="_Toc51574833"/>
      <w:bookmarkStart w:id="3950" w:name="_Toc51575681"/>
      <w:bookmarkStart w:id="3951" w:name="_Toc51578079"/>
      <w:bookmarkStart w:id="3952" w:name="_Toc51582952"/>
      <w:bookmarkStart w:id="3953" w:name="_Toc51583427"/>
      <w:bookmarkStart w:id="3954" w:name="_Toc51583517"/>
      <w:bookmarkStart w:id="3955" w:name="_Toc51583802"/>
      <w:bookmarkStart w:id="3956" w:name="_Toc51583992"/>
      <w:bookmarkStart w:id="3957" w:name="_Toc51583916"/>
      <w:bookmarkStart w:id="3958" w:name="_Toc51586234"/>
      <w:bookmarkStart w:id="3959" w:name="_Toc51594037"/>
      <w:bookmarkStart w:id="3960" w:name="_Toc51594363"/>
      <w:bookmarkStart w:id="3961" w:name="_Toc51595341"/>
      <w:bookmarkStart w:id="3962" w:name="_Toc51595591"/>
      <w:bookmarkStart w:id="3963" w:name="_Toc51595917"/>
      <w:bookmarkStart w:id="3964" w:name="_Toc51596080"/>
      <w:bookmarkStart w:id="3965" w:name="_Toc51596433"/>
      <w:bookmarkStart w:id="3966" w:name="_Toc52121567"/>
      <w:bookmarkStart w:id="3967" w:name="_Toc52122798"/>
      <w:bookmarkStart w:id="3968" w:name="_Toc52123915"/>
      <w:bookmarkStart w:id="3969" w:name="_Toc53405376"/>
      <w:bookmarkStart w:id="3970" w:name="_Toc53406163"/>
      <w:bookmarkStart w:id="3971" w:name="_Toc53407532"/>
      <w:bookmarkStart w:id="3972" w:name="_Toc53410976"/>
      <w:bookmarkStart w:id="3973" w:name="_Toc53412039"/>
      <w:bookmarkStart w:id="3974" w:name="_Toc53417286"/>
      <w:bookmarkStart w:id="3975" w:name="_Toc53417638"/>
      <w:bookmarkStart w:id="3976" w:name="_Toc53419873"/>
      <w:bookmarkStart w:id="3977" w:name="_Toc53434976"/>
      <w:bookmarkStart w:id="3978" w:name="_Toc53437115"/>
      <w:bookmarkStart w:id="3979" w:name="_Toc57291521"/>
      <w:r>
        <w:rPr>
          <w:noProof/>
        </w:rPr>
        <w:t>Single Market</w:t>
      </w:r>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p>
    <w:p>
      <w:pPr>
        <w:pStyle w:val="LegalNumPar"/>
        <w:numPr>
          <w:ilvl w:val="0"/>
          <w:numId w:val="89"/>
        </w:numPr>
        <w:tabs>
          <w:tab w:val="left" w:pos="476"/>
        </w:tabs>
        <w:spacing w:line="240" w:lineRule="auto"/>
        <w:rPr>
          <w:noProof/>
        </w:rPr>
      </w:pPr>
      <w:r>
        <w:rPr>
          <w:noProof/>
        </w:rPr>
        <w:t xml:space="preserve">Mobility keeps Europe moving and the economy growing: people need to commute and travel, while businesses must be able to deliver goods and services. Without transport, the internal market simply would not function, nor would European industry be competitive. </w:t>
      </w:r>
      <w:r>
        <w:rPr>
          <w:noProof/>
          <w:lang w:eastAsia="en-US"/>
        </w:rPr>
        <w:t xml:space="preserve">Transport services accounts for about 5% of total EU Gross Value Added. </w:t>
      </w:r>
      <w:r>
        <w:rPr>
          <w:noProof/>
        </w:rPr>
        <w:t xml:space="preserve">The volume of transported goods in the EU, as well as the passenger transport activity, increased by about 30 % between 1995 and 2017.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functioning of the EU Single Market hinges on a dense network of transport infrastructure, highly competitive transport services and a sound regulatory framework to ensure the highest standards of safety and security, as well as international competitiveness and connectivity. An effective and vibrant internal transport market is key to driving innovation and entrepreneurship, increasing service quality and lowering transport costs for the benefit of European citizens and businesses. Completing the Single European Transport Area envisioned by the 2011 White Paper</w:t>
      </w:r>
      <w:r>
        <w:rPr>
          <w:rStyle w:val="FootnoteReference"/>
          <w:noProof/>
        </w:rPr>
        <w:footnoteReference w:id="504"/>
      </w:r>
      <w:r>
        <w:rPr>
          <w:noProof/>
        </w:rPr>
        <w:t xml:space="preserve"> therefore still remains the cornerstone of European transport policy.</w:t>
      </w:r>
    </w:p>
    <w:p>
      <w:pPr>
        <w:pStyle w:val="Heading4"/>
        <w:rPr>
          <w:noProof/>
        </w:rPr>
      </w:pPr>
      <w:bookmarkStart w:id="3980" w:name="_Toc52121568"/>
      <w:bookmarkStart w:id="3981" w:name="_Toc52122799"/>
      <w:bookmarkStart w:id="3982" w:name="_Toc52123916"/>
      <w:bookmarkStart w:id="3983" w:name="_Toc53405377"/>
      <w:bookmarkStart w:id="3984" w:name="_Toc53406164"/>
      <w:bookmarkStart w:id="3985" w:name="_Toc53407533"/>
      <w:bookmarkStart w:id="3986" w:name="_Toc53410977"/>
      <w:bookmarkStart w:id="3987" w:name="_Toc53412040"/>
      <w:bookmarkStart w:id="3988" w:name="_Toc53417287"/>
      <w:bookmarkStart w:id="3989" w:name="_Toc53417639"/>
      <w:bookmarkStart w:id="3990" w:name="_Toc53419874"/>
      <w:bookmarkStart w:id="3991" w:name="_Toc53434977"/>
      <w:bookmarkStart w:id="3992" w:name="_Toc53437116"/>
      <w:bookmarkStart w:id="3993" w:name="_Toc57291522"/>
      <w:r>
        <w:rPr>
          <w:noProof/>
        </w:rPr>
        <w:t>Single Market for road transport</w:t>
      </w:r>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p>
    <w:p>
      <w:pPr>
        <w:pStyle w:val="LegalNumPar"/>
        <w:numPr>
          <w:ilvl w:val="0"/>
          <w:numId w:val="89"/>
        </w:numPr>
        <w:tabs>
          <w:tab w:val="left" w:pos="476"/>
        </w:tabs>
        <w:spacing w:line="240" w:lineRule="auto"/>
        <w:rPr>
          <w:noProof/>
        </w:rPr>
      </w:pPr>
      <w:r>
        <w:rPr>
          <w:noProof/>
        </w:rPr>
        <w:t>In July 2020, the European Parliament and the Council adopted the so-called Mobility Package I</w:t>
      </w:r>
      <w:r>
        <w:rPr>
          <w:rStyle w:val="FootnoteReference"/>
          <w:noProof/>
        </w:rPr>
        <w:footnoteReference w:id="505"/>
      </w:r>
      <w:r>
        <w:rPr>
          <w:noProof/>
        </w:rPr>
        <w:t>. The package contains a number of social and market rules for the commercial road transport sector, intended inter alia to enhance working conditions for drivers, as well as to eliminate distortion of competition between operators in the sector, by removing notably unfair business practices such as letterbox companies. Now the efforts must concentrate on effective and consistent enforcement of these rules. The Commission is currently analysing the impact of certain provisions such as the mandatory return of the truck at regular intervals to one of the operational centres of the undertaking.</w:t>
      </w:r>
    </w:p>
    <w:p>
      <w:pPr>
        <w:pStyle w:val="LegalNumPar"/>
        <w:numPr>
          <w:ilvl w:val="0"/>
          <w:numId w:val="89"/>
        </w:numPr>
        <w:tabs>
          <w:tab w:val="left" w:pos="476"/>
        </w:tabs>
        <w:spacing w:line="240" w:lineRule="auto"/>
        <w:rPr>
          <w:noProof/>
        </w:rPr>
      </w:pPr>
      <w:r>
        <w:rPr>
          <w:noProof/>
        </w:rPr>
        <w:t xml:space="preserve">To further enhance the smooth functioning of the EU passenger transport by bus and coach, the Commission services will assess the adequacy of current driving and rest time rules for bus and coach drivers. Should the assessment demonstrate that, specificities of the bus and coach sector justify specific rules on driving and rest times, the Commission may propose relevant adaptations. </w:t>
      </w:r>
    </w:p>
    <w:p>
      <w:pPr>
        <w:pStyle w:val="Heading4"/>
        <w:rPr>
          <w:noProof/>
        </w:rPr>
      </w:pPr>
      <w:bookmarkStart w:id="3994" w:name="_Toc51574834"/>
      <w:bookmarkStart w:id="3995" w:name="_Toc51575682"/>
      <w:bookmarkStart w:id="3996" w:name="_Toc51578080"/>
      <w:bookmarkStart w:id="3997" w:name="_Toc51582953"/>
      <w:bookmarkStart w:id="3998" w:name="_Toc51583428"/>
      <w:bookmarkStart w:id="3999" w:name="_Toc51583518"/>
      <w:bookmarkStart w:id="4000" w:name="_Toc51583803"/>
      <w:bookmarkStart w:id="4001" w:name="_Toc51583993"/>
      <w:bookmarkStart w:id="4002" w:name="_Toc51583917"/>
      <w:bookmarkStart w:id="4003" w:name="_Toc51586235"/>
      <w:bookmarkStart w:id="4004" w:name="_Toc51594038"/>
      <w:bookmarkStart w:id="4005" w:name="_Toc51594364"/>
      <w:bookmarkStart w:id="4006" w:name="_Toc51595342"/>
      <w:bookmarkStart w:id="4007" w:name="_Toc51595592"/>
      <w:bookmarkStart w:id="4008" w:name="_Toc51595918"/>
      <w:bookmarkStart w:id="4009" w:name="_Toc51596081"/>
      <w:bookmarkStart w:id="4010" w:name="_Toc51596434"/>
      <w:bookmarkStart w:id="4011" w:name="_Toc52121569"/>
      <w:bookmarkStart w:id="4012" w:name="_Toc52122800"/>
      <w:bookmarkStart w:id="4013" w:name="_Toc52123917"/>
      <w:bookmarkStart w:id="4014" w:name="_Toc53405378"/>
      <w:bookmarkStart w:id="4015" w:name="_Toc53406165"/>
      <w:bookmarkStart w:id="4016" w:name="_Toc53407534"/>
      <w:bookmarkStart w:id="4017" w:name="_Toc53410978"/>
      <w:bookmarkStart w:id="4018" w:name="_Toc53412041"/>
      <w:bookmarkStart w:id="4019" w:name="_Toc53417288"/>
      <w:bookmarkStart w:id="4020" w:name="_Toc53417640"/>
      <w:bookmarkStart w:id="4021" w:name="_Toc53419875"/>
      <w:bookmarkStart w:id="4022" w:name="_Toc53434978"/>
      <w:bookmarkStart w:id="4023" w:name="_Toc53437117"/>
      <w:bookmarkStart w:id="4024" w:name="_Toc57291523"/>
      <w:r>
        <w:rPr>
          <w:noProof/>
        </w:rPr>
        <w:t>Single European Railway Area</w:t>
      </w:r>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p>
    <w:p>
      <w:pPr>
        <w:pStyle w:val="LegalNumPar"/>
        <w:numPr>
          <w:ilvl w:val="0"/>
          <w:numId w:val="89"/>
        </w:numPr>
        <w:tabs>
          <w:tab w:val="left" w:pos="476"/>
        </w:tabs>
        <w:spacing w:line="240" w:lineRule="auto"/>
        <w:rPr>
          <w:noProof/>
        </w:rPr>
      </w:pPr>
      <w:r>
        <w:rPr>
          <w:noProof/>
        </w:rPr>
        <w:t xml:space="preserve">With the implementation of the Fourth Railway Package (a set of 6 legislative measures adopted </w:t>
      </w:r>
      <w:r>
        <w:rPr>
          <w:rFonts w:eastAsiaTheme="minorEastAsia"/>
          <w:noProof/>
          <w:lang w:eastAsia="ja-JP"/>
        </w:rPr>
        <w:t>in</w:t>
      </w:r>
      <w:r>
        <w:rPr>
          <w:noProof/>
        </w:rPr>
        <w:t xml:space="preserve"> 2016) the internal market for railway services is set to be completed, resulting in a Single European Railway Area. This package puts the emphasis on competition to deliver the efficiency and innovation. This is the final step of a gradual process which started already in the 1990s.</w:t>
      </w:r>
    </w:p>
    <w:p>
      <w:pPr>
        <w:pStyle w:val="LegalNumPar"/>
        <w:numPr>
          <w:ilvl w:val="0"/>
          <w:numId w:val="89"/>
        </w:numPr>
        <w:tabs>
          <w:tab w:val="left" w:pos="476"/>
        </w:tabs>
        <w:spacing w:line="240" w:lineRule="auto"/>
        <w:rPr>
          <w:noProof/>
        </w:rPr>
      </w:pPr>
      <w:r>
        <w:rPr>
          <w:noProof/>
        </w:rPr>
        <w:t>The Fourth Railway Package comprises a ‘technical pillar’ and a ‘market/governance pillar’. The market pillar opens up to EU-wide competition the market for domestic passenger services, which covers over 2/3 of all passenger services. This follows the markets for rail freight and international passenger services, which have been open to competition for years. Some Member States (Austria, Czechia, Germany, Italy, Sweden) have already partially opened their domestic markets, with positive results in terms of passenger volumes, quality of service, choice, and in some cases rail fares. The Commission is closely monitoring Member States’ implementation of the new legal framework.</w:t>
      </w:r>
    </w:p>
    <w:p>
      <w:pPr>
        <w:pStyle w:val="LegalNumPar"/>
        <w:numPr>
          <w:ilvl w:val="0"/>
          <w:numId w:val="89"/>
        </w:numPr>
        <w:tabs>
          <w:tab w:val="left" w:pos="476"/>
        </w:tabs>
        <w:spacing w:line="240" w:lineRule="auto"/>
        <w:rPr>
          <w:noProof/>
        </w:rPr>
      </w:pPr>
      <w:r>
        <w:rPr>
          <w:noProof/>
        </w:rPr>
        <w:t xml:space="preserve">From December 2020, EU railway companies anywhere in the EU will enjoy the right to offer international and domestic rail services on a commercial basis, where economically feasible (with possible exceptions related to economical interference with existing Public Service Contracts). This is known as </w:t>
      </w:r>
      <w:r>
        <w:rPr>
          <w:b/>
          <w:bCs/>
          <w:noProof/>
        </w:rPr>
        <w:t xml:space="preserve">‘open access competition’, </w:t>
      </w:r>
      <w:r>
        <w:rPr>
          <w:noProof/>
        </w:rPr>
        <w:t xml:space="preserve">and has already helped to improve services and frequencies, and reduce fares on some lines. </w:t>
      </w:r>
    </w:p>
    <w:p>
      <w:pPr>
        <w:pStyle w:val="LegalNumPar"/>
        <w:numPr>
          <w:ilvl w:val="0"/>
          <w:numId w:val="89"/>
        </w:numPr>
        <w:tabs>
          <w:tab w:val="left" w:pos="476"/>
        </w:tabs>
        <w:spacing w:line="240" w:lineRule="auto"/>
        <w:rPr>
          <w:noProof/>
        </w:rPr>
      </w:pPr>
      <w:r>
        <w:rPr>
          <w:noProof/>
        </w:rPr>
        <w:t>Furthermore, the</w:t>
      </w:r>
      <w:r>
        <w:rPr>
          <w:b/>
          <w:bCs/>
          <w:noProof/>
        </w:rPr>
        <w:t xml:space="preserve"> </w:t>
      </w:r>
      <w:r>
        <w:rPr>
          <w:noProof/>
        </w:rPr>
        <w:t xml:space="preserve">package introduces the principle of mandatory competitive tendering for </w:t>
      </w:r>
      <w:r>
        <w:rPr>
          <w:b/>
          <w:bCs/>
          <w:noProof/>
        </w:rPr>
        <w:t>public service contracts</w:t>
      </w:r>
      <w:r>
        <w:rPr>
          <w:noProof/>
        </w:rPr>
        <w:t xml:space="preserve"> for rail. These contracts usually involve public subsidies, because the public service obligations make them unprofitable. Historically, they were awarded directly to the incumbent national railway company. </w:t>
      </w:r>
    </w:p>
    <w:p>
      <w:pPr>
        <w:pStyle w:val="LegalNumPar"/>
        <w:numPr>
          <w:ilvl w:val="0"/>
          <w:numId w:val="89"/>
        </w:numPr>
        <w:tabs>
          <w:tab w:val="left" w:pos="476"/>
        </w:tabs>
        <w:spacing w:line="240" w:lineRule="auto"/>
        <w:rPr>
          <w:noProof/>
        </w:rPr>
      </w:pPr>
      <w:r>
        <w:rPr>
          <w:noProof/>
        </w:rPr>
        <w:t xml:space="preserve">As regards enforcement, it is important to bear in mind </w:t>
      </w:r>
      <w:r>
        <w:rPr>
          <w:b/>
          <w:bCs/>
          <w:noProof/>
        </w:rPr>
        <w:t xml:space="preserve">access to service facilities </w:t>
      </w:r>
      <w:r>
        <w:rPr>
          <w:noProof/>
        </w:rPr>
        <w:t>(in respect of which details are regulated by way of a Commission Regulation</w:t>
      </w:r>
      <w:r>
        <w:rPr>
          <w:rStyle w:val="FootnoteReference"/>
          <w:noProof/>
        </w:rPr>
        <w:footnoteReference w:id="506"/>
      </w:r>
      <w:r>
        <w:rPr>
          <w:noProof/>
        </w:rPr>
        <w:t>), which remains an essential condition for competition to develop on a fair basis, in particular the maintenance of rolling stock.</w:t>
      </w:r>
    </w:p>
    <w:p>
      <w:pPr>
        <w:pStyle w:val="LegalNumPar"/>
        <w:tabs>
          <w:tab w:val="left" w:pos="476"/>
        </w:tabs>
        <w:spacing w:line="240" w:lineRule="auto"/>
        <w:rPr>
          <w:i/>
          <w:noProof/>
        </w:rPr>
      </w:pPr>
      <w:r>
        <w:rPr>
          <w:i/>
          <w:iCs/>
          <w:noProof/>
        </w:rPr>
        <w:t>Cross-border passenger services</w:t>
      </w:r>
    </w:p>
    <w:p>
      <w:pPr>
        <w:pStyle w:val="LegalNumPar"/>
        <w:numPr>
          <w:ilvl w:val="0"/>
          <w:numId w:val="89"/>
        </w:numPr>
        <w:spacing w:line="240" w:lineRule="auto"/>
        <w:rPr>
          <w:noProof/>
        </w:rPr>
      </w:pPr>
      <w:r>
        <w:rPr>
          <w:noProof/>
        </w:rPr>
        <w:t>In line with the ambition to promote sustainable modes of transport, there is a growing wish to support cross-border rail passenger services. As described above, the enabling regulatory framework is in place, but this kind of services are currently underdeveloped.</w:t>
      </w:r>
    </w:p>
    <w:p>
      <w:pPr>
        <w:pStyle w:val="LegalNumPar"/>
        <w:numPr>
          <w:ilvl w:val="0"/>
          <w:numId w:val="89"/>
        </w:numPr>
        <w:spacing w:line="240" w:lineRule="auto"/>
        <w:rPr>
          <w:noProof/>
        </w:rPr>
      </w:pPr>
      <w:r>
        <w:rPr>
          <w:noProof/>
        </w:rPr>
        <w:t>Member State initiatives, notably from the Netherlands and from Germany, aim at promoting the development of new and revival of cross-border services, including night train services. The Netherlands have set up a Member State platform which will work on concrete measures to remove obstacles. Germany has developed the so-called Trans Europe Express 2.0 concept which aims at the development of a long distance cross-border high speed and night services network.</w:t>
      </w:r>
    </w:p>
    <w:p>
      <w:pPr>
        <w:pStyle w:val="LegalNumPar"/>
        <w:numPr>
          <w:ilvl w:val="0"/>
          <w:numId w:val="89"/>
        </w:numPr>
        <w:spacing w:line="240" w:lineRule="auto"/>
        <w:rPr>
          <w:noProof/>
        </w:rPr>
      </w:pPr>
      <w:r>
        <w:rPr>
          <w:noProof/>
        </w:rPr>
        <w:t>These Member State initiatives are welcome, provided they comply with all relevant rules, including the relevant rail legislation, especially regarding market access</w:t>
      </w:r>
      <w:r>
        <w:rPr>
          <w:rStyle w:val="FootnoteReference"/>
          <w:noProof/>
        </w:rPr>
        <w:footnoteReference w:id="507"/>
      </w:r>
      <w:r>
        <w:rPr>
          <w:noProof/>
        </w:rPr>
        <w:t xml:space="preserve"> and State aid rules</w:t>
      </w:r>
      <w:r>
        <w:rPr>
          <w:rStyle w:val="FootnoteReference"/>
          <w:noProof/>
        </w:rPr>
        <w:footnoteReference w:id="508"/>
      </w:r>
      <w:r>
        <w:rPr>
          <w:noProof/>
        </w:rPr>
        <w:t>.</w:t>
      </w:r>
    </w:p>
    <w:p>
      <w:pPr>
        <w:pStyle w:val="LegalNumPar"/>
        <w:numPr>
          <w:ilvl w:val="0"/>
          <w:numId w:val="89"/>
        </w:numPr>
        <w:spacing w:line="240" w:lineRule="auto"/>
        <w:rPr>
          <w:noProof/>
        </w:rPr>
      </w:pPr>
      <w:r>
        <w:rPr>
          <w:noProof/>
        </w:rPr>
        <w:t xml:space="preserve">Finding neutral timetable information and easy ticketing options (also discussed in section 4.2.1) are essential for the development of a successful network of cross-border rail passenger services. Unequivocal, enforceable and clearly communicated passenger rights are similarly essential to attract new passengers to rail.        </w:t>
      </w:r>
    </w:p>
    <w:p>
      <w:pPr>
        <w:pStyle w:val="Heading5"/>
        <w:numPr>
          <w:ilvl w:val="4"/>
          <w:numId w:val="98"/>
        </w:numPr>
        <w:rPr>
          <w:noProof/>
          <w:sz w:val="24"/>
          <w:szCs w:val="24"/>
        </w:rPr>
      </w:pPr>
      <w:r>
        <w:rPr>
          <w:noProof/>
          <w:sz w:val="24"/>
          <w:szCs w:val="24"/>
        </w:rPr>
        <w:t xml:space="preserve">Market access for public transport services by rail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Although the relevant legislation is in place, market access for public transport services by rail is still hampered by several factors: </w:t>
      </w:r>
    </w:p>
    <w:p>
      <w:pPr>
        <w:pStyle w:val="ListParagraph"/>
        <w:numPr>
          <w:ilvl w:val="0"/>
          <w:numId w:val="127"/>
        </w:numPr>
        <w:spacing w:after="240" w:line="240" w:lineRule="auto"/>
        <w:rPr>
          <w:rFonts w:eastAsiaTheme="minorEastAsia"/>
          <w:noProof/>
          <w:sz w:val="24"/>
          <w:szCs w:val="24"/>
          <w:lang w:eastAsia="ja-JP"/>
        </w:rPr>
      </w:pPr>
      <w:r>
        <w:rPr>
          <w:rFonts w:eastAsiaTheme="minorEastAsia"/>
          <w:noProof/>
          <w:sz w:val="24"/>
          <w:szCs w:val="24"/>
          <w:lang w:eastAsia="ja-JP"/>
        </w:rPr>
        <w:t>Access to information is essential to ensure that rail operators can submit serious offers in tendering procedures. It is the object of a specific provision in the 2016 amendments to the Regulation n°1370/2007. Nonetheless, there are still extensive debates and litigations in Member States on the scope of the information to be provided, which negatively affects the conduct of competitive tendering procedures.</w:t>
      </w:r>
    </w:p>
    <w:p>
      <w:pPr>
        <w:pStyle w:val="ListParagraph"/>
        <w:numPr>
          <w:ilvl w:val="0"/>
          <w:numId w:val="127"/>
        </w:numPr>
        <w:spacing w:after="240" w:line="240" w:lineRule="auto"/>
        <w:rPr>
          <w:rFonts w:eastAsiaTheme="minorEastAsia"/>
          <w:noProof/>
          <w:sz w:val="24"/>
          <w:szCs w:val="24"/>
          <w:lang w:eastAsia="ja-JP"/>
        </w:rPr>
      </w:pPr>
      <w:r>
        <w:rPr>
          <w:rFonts w:eastAsiaTheme="minorEastAsia"/>
          <w:noProof/>
          <w:sz w:val="24"/>
          <w:szCs w:val="24"/>
          <w:lang w:eastAsia="ja-JP"/>
        </w:rPr>
        <w:t>Access to rolling stock is identified as a major bottleneck for new entrants. The amended Regulation n°1370/2007 provides that competent authorities must assess whether measures to facilitate access to rolling stock are necessary but are not obliged to adopt any such measures.</w:t>
      </w:r>
    </w:p>
    <w:p>
      <w:pPr>
        <w:pStyle w:val="ListParagraph"/>
        <w:numPr>
          <w:ilvl w:val="0"/>
          <w:numId w:val="128"/>
        </w:numPr>
        <w:spacing w:after="240" w:line="240" w:lineRule="auto"/>
        <w:rPr>
          <w:rFonts w:eastAsiaTheme="minorEastAsia"/>
          <w:noProof/>
          <w:sz w:val="24"/>
          <w:szCs w:val="24"/>
          <w:lang w:eastAsia="ja-JP"/>
        </w:rPr>
      </w:pPr>
      <w:r>
        <w:rPr>
          <w:rFonts w:eastAsiaTheme="minorEastAsia"/>
          <w:noProof/>
          <w:sz w:val="24"/>
          <w:szCs w:val="24"/>
          <w:lang w:eastAsia="ja-JP"/>
        </w:rPr>
        <w:t xml:space="preserve">Ticketing for rail (through- or combined tickets) is hindered by several factors, in particular the recurring issue of access to dynamic information on fares, reservations and real-time traffic information </w:t>
      </w:r>
      <w:r>
        <w:rPr>
          <w:noProof/>
          <w:sz w:val="24"/>
          <w:szCs w:val="24"/>
        </w:rPr>
        <w:t>(also discussed in section 4.2)</w:t>
      </w:r>
      <w:r>
        <w:rPr>
          <w:rFonts w:eastAsiaTheme="minorEastAsia"/>
          <w:noProof/>
          <w:sz w:val="24"/>
          <w:szCs w:val="24"/>
          <w:lang w:eastAsia="ja-JP"/>
        </w:rPr>
        <w:t>. In addition, according to studies</w:t>
      </w:r>
      <w:r>
        <w:rPr>
          <w:rStyle w:val="FootnoteReference"/>
          <w:rFonts w:eastAsiaTheme="minorEastAsia"/>
          <w:noProof/>
          <w:sz w:val="24"/>
          <w:szCs w:val="24"/>
          <w:lang w:eastAsia="ja-JP"/>
        </w:rPr>
        <w:footnoteReference w:id="509"/>
      </w:r>
      <w:r>
        <w:rPr>
          <w:rFonts w:eastAsiaTheme="minorEastAsia"/>
          <w:noProof/>
          <w:sz w:val="24"/>
          <w:szCs w:val="24"/>
          <w:lang w:eastAsia="ja-JP"/>
        </w:rPr>
        <w:t>, the rules applicable to</w:t>
      </w:r>
      <w:r>
        <w:rPr>
          <w:rFonts w:eastAsiaTheme="minorEastAsia"/>
          <w:noProof/>
          <w:sz w:val="28"/>
          <w:szCs w:val="28"/>
          <w:lang w:eastAsia="ja-JP"/>
        </w:rPr>
        <w:t xml:space="preserve"> </w:t>
      </w:r>
      <w:r>
        <w:rPr>
          <w:rFonts w:eastAsiaTheme="minorEastAsia"/>
          <w:noProof/>
          <w:sz w:val="24"/>
          <w:szCs w:val="24"/>
          <w:lang w:eastAsia="ja-JP"/>
        </w:rPr>
        <w:t xml:space="preserve">PSO compensation could constitute hurdles to revenue sharing between PSO and commercial operators via (combined) ticketing schemes.    </w:t>
      </w:r>
    </w:p>
    <w:p>
      <w:pPr>
        <w:pStyle w:val="ListParagraph"/>
        <w:numPr>
          <w:ilvl w:val="0"/>
          <w:numId w:val="128"/>
        </w:numPr>
        <w:spacing w:after="240" w:line="240" w:lineRule="auto"/>
        <w:rPr>
          <w:rFonts w:eastAsiaTheme="minorEastAsia"/>
          <w:noProof/>
          <w:sz w:val="24"/>
          <w:szCs w:val="24"/>
          <w:lang w:eastAsia="ja-JP"/>
        </w:rPr>
      </w:pPr>
      <w:r>
        <w:rPr>
          <w:rFonts w:eastAsiaTheme="minorEastAsia"/>
          <w:noProof/>
          <w:sz w:val="24"/>
          <w:szCs w:val="24"/>
          <w:lang w:eastAsia="ja-JP"/>
        </w:rPr>
        <w:t xml:space="preserve">The contracts that are directly awarded for long periods, as mentioned above, have the effect of foreclosing the market accordingly. </w:t>
      </w:r>
    </w:p>
    <w:p>
      <w:pPr>
        <w:pStyle w:val="Heading5"/>
        <w:numPr>
          <w:ilvl w:val="4"/>
          <w:numId w:val="98"/>
        </w:numPr>
        <w:rPr>
          <w:noProof/>
          <w:sz w:val="24"/>
          <w:szCs w:val="24"/>
        </w:rPr>
      </w:pPr>
      <w:r>
        <w:rPr>
          <w:noProof/>
          <w:sz w:val="24"/>
          <w:szCs w:val="24"/>
        </w:rPr>
        <w:t>Rail rolling stock availability</w:t>
      </w:r>
    </w:p>
    <w:p>
      <w:pPr>
        <w:pStyle w:val="LegalNumPar"/>
        <w:numPr>
          <w:ilvl w:val="0"/>
          <w:numId w:val="89"/>
        </w:numPr>
        <w:tabs>
          <w:tab w:val="left" w:pos="476"/>
        </w:tabs>
        <w:spacing w:line="240" w:lineRule="auto"/>
        <w:rPr>
          <w:noProof/>
        </w:rPr>
      </w:pPr>
      <w:r>
        <w:rPr>
          <w:noProof/>
        </w:rPr>
        <w:t xml:space="preserve">Rolling stock availability is a major barrier for new entrants. With the European Union Agency for Railways (ERA) becoming the single authorisation authority and bringing significantly enhanced harmonisation of technical requirements, rail gets much closer to the situation of road and aviation, where the same vehicles and aircraft can be used anywhere in the EU, increasing market flexibility and reducing the risks for vehicle owners. However, the lack of ‘go-everywhere’ rail rolling stock continues to increase cost. Establishing a rail system architecture that further aligns technical specifications for interoperability and the elimination of obstacles caused by redundant national technical, safety and operating rules will help the rail sector to modernise und become more attractive for new service providers and clients. </w:t>
      </w:r>
    </w:p>
    <w:p>
      <w:pPr>
        <w:pStyle w:val="LegalNumPar"/>
        <w:numPr>
          <w:ilvl w:val="0"/>
          <w:numId w:val="89"/>
        </w:numPr>
        <w:tabs>
          <w:tab w:val="left" w:pos="476"/>
        </w:tabs>
        <w:spacing w:line="240" w:lineRule="auto"/>
        <w:rPr>
          <w:noProof/>
        </w:rPr>
      </w:pPr>
      <w:r>
        <w:rPr>
          <w:noProof/>
        </w:rPr>
        <w:t>Due to high costs and business risks, time lags and potential interoperability issues, smooth and non-discriminatory access to rolling stock is fundamental for alternative rail operators to enter new markets</w:t>
      </w:r>
      <w:r>
        <w:rPr>
          <w:noProof/>
          <w:vertAlign w:val="superscript"/>
        </w:rPr>
        <w:footnoteReference w:id="510"/>
      </w:r>
      <w:r>
        <w:rPr>
          <w:noProof/>
        </w:rPr>
        <w:t xml:space="preserve">. This is particularly true for passenger services (including night trains), regardless if they are provided under PSO contracts or commercially. Smaller operators risk lacking the appropriate financial resources to engage in significant investments for buying rolling stock in order to enter a new domestic market or to compete for bigger PSO contracts. </w:t>
      </w:r>
    </w:p>
    <w:p>
      <w:pPr>
        <w:pStyle w:val="LegalNumPar"/>
        <w:numPr>
          <w:ilvl w:val="0"/>
          <w:numId w:val="89"/>
        </w:numPr>
        <w:tabs>
          <w:tab w:val="left" w:pos="476"/>
        </w:tabs>
        <w:spacing w:line="240" w:lineRule="auto"/>
        <w:rPr>
          <w:noProof/>
        </w:rPr>
      </w:pPr>
      <w:r>
        <w:rPr>
          <w:rFonts w:eastAsiaTheme="minorEastAsia"/>
          <w:noProof/>
          <w:lang w:eastAsia="ja-JP"/>
        </w:rPr>
        <w:t>The secondary markets and leasing markets for passenger rolling stock are very limited, making it harder for new entrants to access rail markets. In some reported instances, incumbents scrap or sell abroad redundant rolling stock instead of selling or leasing them to new entrants (especially if new entrants would compete on the same markets)</w:t>
      </w:r>
      <w:r>
        <w:rPr>
          <w:noProof/>
          <w:vertAlign w:val="superscript"/>
        </w:rPr>
        <w:footnoteReference w:id="511"/>
      </w:r>
      <w:r>
        <w:rPr>
          <w:rFonts w:eastAsiaTheme="minorEastAsia"/>
          <w:noProof/>
          <w:lang w:eastAsia="ja-JP"/>
        </w:rPr>
        <w:t xml:space="preserve">. </w:t>
      </w:r>
      <w:r>
        <w:rPr>
          <w:noProof/>
        </w:rPr>
        <w:t>Rail regulatory bodies acknowledge that, although the rolling stock market is not regulated, limited access to this market may severely restrict access to the railway market for new entrants</w:t>
      </w:r>
      <w:r>
        <w:rPr>
          <w:noProof/>
          <w:vertAlign w:val="superscript"/>
        </w:rPr>
        <w:footnoteReference w:id="512"/>
      </w:r>
      <w:r>
        <w:rPr>
          <w:noProof/>
        </w:rPr>
        <w:t>.</w:t>
      </w:r>
    </w:p>
    <w:p>
      <w:pPr>
        <w:pStyle w:val="LegalNumPar"/>
        <w:numPr>
          <w:ilvl w:val="0"/>
          <w:numId w:val="89"/>
        </w:numPr>
        <w:tabs>
          <w:tab w:val="left" w:pos="476"/>
        </w:tabs>
        <w:spacing w:line="240" w:lineRule="auto"/>
        <w:rPr>
          <w:noProof/>
        </w:rPr>
      </w:pPr>
      <w:r>
        <w:rPr>
          <w:noProof/>
        </w:rPr>
        <w:t>The Regulation on public passenger transport services by rail and by road</w:t>
      </w:r>
      <w:r>
        <w:rPr>
          <w:noProof/>
          <w:vertAlign w:val="superscript"/>
        </w:rPr>
        <w:footnoteReference w:id="513"/>
      </w:r>
      <w:r>
        <w:rPr>
          <w:noProof/>
        </w:rPr>
        <w:t xml:space="preserve"> includes some provisions related to rolling stock in the framework of competitive tendering procedures for the attribution of public service obligations. Before launching such procedures, competent authorities must assess the need for measures to ensure effective and non-discriminatory access to suitable rolling stock, taking into account the presence of rolling-stock leasing companies or equivalent in the relevant market. Competent authorities could then decide to take “appropriate measures” to ensure effective and non-discriminatory access to suitable rolling stock.  </w:t>
      </w:r>
    </w:p>
    <w:p>
      <w:pPr>
        <w:pStyle w:val="LegalNumPar"/>
        <w:numPr>
          <w:ilvl w:val="0"/>
          <w:numId w:val="89"/>
        </w:numPr>
        <w:tabs>
          <w:tab w:val="left" w:pos="476"/>
        </w:tabs>
        <w:spacing w:line="240" w:lineRule="auto"/>
        <w:rPr>
          <w:noProof/>
        </w:rPr>
      </w:pPr>
      <w:r>
        <w:rPr>
          <w:noProof/>
        </w:rPr>
        <w:t>The Commission also called the EU rail regulatory bodies to oversee the assessment of rolling stock market to be performed by the competent authorities. In the medium to long term, the tendency of competent authorities themselves to own or finance rolling stock for Public Service contracts and progress in interoperability levels will lead to better access to rolling stock. However, the availability of rolling stock needs to be ensured also in the short to medium term to avoid barriers to the development of the single rail market. It remains necessary to carefully review existing models of procurement and financing of new and second hand rolling stock and determine a policy to facilitate access, addressing also State aid aspects.</w:t>
      </w:r>
    </w:p>
    <w:p>
      <w:pPr>
        <w:pStyle w:val="Heading5"/>
        <w:numPr>
          <w:ilvl w:val="4"/>
          <w:numId w:val="98"/>
        </w:numPr>
        <w:rPr>
          <w:noProof/>
          <w:sz w:val="24"/>
          <w:szCs w:val="24"/>
        </w:rPr>
      </w:pPr>
      <w:r>
        <w:rPr>
          <w:noProof/>
          <w:sz w:val="24"/>
          <w:szCs w:val="24"/>
        </w:rPr>
        <w:t>Rail interoperability</w:t>
      </w:r>
    </w:p>
    <w:p>
      <w:pPr>
        <w:pStyle w:val="LegalNumPar"/>
        <w:numPr>
          <w:ilvl w:val="0"/>
          <w:numId w:val="89"/>
        </w:numPr>
        <w:tabs>
          <w:tab w:val="left" w:pos="476"/>
        </w:tabs>
        <w:spacing w:line="240" w:lineRule="auto"/>
        <w:rPr>
          <w:noProof/>
        </w:rPr>
      </w:pPr>
      <w:r>
        <w:rPr>
          <w:noProof/>
        </w:rPr>
        <w:t>From a technical point of view, seamless rail transport throughout the EU requires two main things. First, networks with harmonised characteristics and trains designed to run on these networks. Second, harmonised operational rules between the EU countries and operators (railway undertakings and infrastructure managers) to allow efficient cross-border traffic.</w:t>
      </w:r>
    </w:p>
    <w:p>
      <w:pPr>
        <w:pStyle w:val="LegalNumPar"/>
        <w:numPr>
          <w:ilvl w:val="0"/>
          <w:numId w:val="89"/>
        </w:numPr>
        <w:tabs>
          <w:tab w:val="left" w:pos="476"/>
        </w:tabs>
        <w:spacing w:line="240" w:lineRule="auto"/>
        <w:rPr>
          <w:noProof/>
        </w:rPr>
      </w:pPr>
      <w:r>
        <w:rPr>
          <w:noProof/>
        </w:rPr>
        <w:t xml:space="preserve">Although the Fourth Railway Package provides for rail operators to receive a single safety certificate from ERA for operations throughout the EU, operational and safety rules are not yet fully harmonised, adding to the complexity and cost of cross border operations, and in particular resulting in stops and checks at borders between Member States creating substantial delays. Differences in national operational rules are also an obstacle to the development of pan-European digital and automation solutions. Thus a major thrust of the future work of the Commission, with the help of ERA, may be to harmonise these processes or eliminate national rules leaving freedom for individual operators to optimise the approach while ensuring safety.    </w:t>
      </w:r>
    </w:p>
    <w:p>
      <w:pPr>
        <w:pStyle w:val="LegalNumPar"/>
        <w:numPr>
          <w:ilvl w:val="0"/>
          <w:numId w:val="89"/>
        </w:numPr>
        <w:tabs>
          <w:tab w:val="left" w:pos="476"/>
        </w:tabs>
        <w:spacing w:line="240" w:lineRule="auto"/>
        <w:rPr>
          <w:noProof/>
        </w:rPr>
      </w:pPr>
      <w:r>
        <w:rPr>
          <w:noProof/>
        </w:rPr>
        <w:t xml:space="preserve">In addition to EU-level harmonisation, the Commission is working on a voluntary basis with the sector and Member States along Rail Freight Corridors to build trust and solve the main issues: harmonisation of braking tests, checks at borders, timely information on train composition between countries, as well as rules on language competence, referred to as Issues Logbook. </w:t>
      </w:r>
    </w:p>
    <w:p>
      <w:pPr>
        <w:pStyle w:val="LegalNumPar"/>
        <w:numPr>
          <w:ilvl w:val="0"/>
          <w:numId w:val="89"/>
        </w:numPr>
        <w:tabs>
          <w:tab w:val="left" w:pos="476"/>
        </w:tabs>
        <w:spacing w:line="240" w:lineRule="auto"/>
        <w:rPr>
          <w:noProof/>
        </w:rPr>
      </w:pPr>
      <w:r>
        <w:rPr>
          <w:noProof/>
        </w:rPr>
        <w:t xml:space="preserve">Work is being conducted by the Commission on Technical Specifications for Interoperability (TSIs), taking into account the next challenges ahead, linked to various aspects of innovation like digitalisation, automation, decarbonisation and cybersecurity, but also the interest in stability and predictability. A major issue in rail is a chicken and egg problem whereby new innovations only have a business case if they are widely deployed on both rolling stock and infrastructure. The EU can assist in overcoming this issue by joint development of new technologies (through the rail research partnership with rapid follow up in revised standards), with commonly agreed deployment plans and via funding support from CEF. In addition, a system architecture could be developed, splitting infrastructure and rolling stock into modular components which would more readily be updated.    </w:t>
      </w:r>
    </w:p>
    <w:p>
      <w:pPr>
        <w:pStyle w:val="Heading4"/>
        <w:numPr>
          <w:ilvl w:val="3"/>
          <w:numId w:val="98"/>
        </w:numPr>
        <w:rPr>
          <w:noProof/>
        </w:rPr>
      </w:pPr>
      <w:bookmarkStart w:id="4025" w:name="_Toc51450135"/>
      <w:bookmarkStart w:id="4026" w:name="_Toc51574835"/>
      <w:bookmarkStart w:id="4027" w:name="_Toc51575683"/>
      <w:bookmarkStart w:id="4028" w:name="_Toc51578081"/>
      <w:bookmarkStart w:id="4029" w:name="_Toc51582954"/>
      <w:bookmarkStart w:id="4030" w:name="_Toc51583429"/>
      <w:bookmarkStart w:id="4031" w:name="_Toc51583519"/>
      <w:bookmarkStart w:id="4032" w:name="_Toc51583804"/>
      <w:bookmarkStart w:id="4033" w:name="_Toc51583994"/>
      <w:bookmarkStart w:id="4034" w:name="_Toc51583918"/>
      <w:bookmarkStart w:id="4035" w:name="_Toc51586236"/>
      <w:bookmarkStart w:id="4036" w:name="_Toc51594039"/>
      <w:bookmarkStart w:id="4037" w:name="_Toc51594365"/>
      <w:bookmarkStart w:id="4038" w:name="_Toc51595343"/>
      <w:bookmarkStart w:id="4039" w:name="_Toc51595593"/>
      <w:bookmarkStart w:id="4040" w:name="_Toc51595919"/>
      <w:bookmarkStart w:id="4041" w:name="_Toc51596082"/>
      <w:bookmarkStart w:id="4042" w:name="_Toc51596435"/>
      <w:bookmarkStart w:id="4043" w:name="_Toc52121570"/>
      <w:bookmarkStart w:id="4044" w:name="_Toc52122801"/>
      <w:bookmarkStart w:id="4045" w:name="_Toc52123918"/>
      <w:bookmarkStart w:id="4046" w:name="_Toc53405379"/>
      <w:bookmarkStart w:id="4047" w:name="_Toc53406166"/>
      <w:bookmarkStart w:id="4048" w:name="_Toc53407535"/>
      <w:bookmarkStart w:id="4049" w:name="_Toc53410979"/>
      <w:bookmarkStart w:id="4050" w:name="_Toc53412042"/>
      <w:bookmarkStart w:id="4051" w:name="_Toc53417289"/>
      <w:bookmarkStart w:id="4052" w:name="_Toc53417641"/>
      <w:bookmarkStart w:id="4053" w:name="_Toc53419876"/>
      <w:bookmarkStart w:id="4054" w:name="_Toc53434979"/>
      <w:bookmarkStart w:id="4055" w:name="_Toc53437118"/>
      <w:bookmarkStart w:id="4056" w:name="_Toc57291524"/>
      <w:r>
        <w:rPr>
          <w:noProof/>
        </w:rPr>
        <w:t>Aviation Single Market</w:t>
      </w:r>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p>
    <w:p>
      <w:pPr>
        <w:pStyle w:val="Heading5"/>
        <w:numPr>
          <w:ilvl w:val="4"/>
          <w:numId w:val="98"/>
        </w:numPr>
        <w:rPr>
          <w:noProof/>
          <w:sz w:val="24"/>
          <w:szCs w:val="24"/>
        </w:rPr>
      </w:pPr>
      <w:r>
        <w:rPr>
          <w:noProof/>
          <w:sz w:val="24"/>
          <w:szCs w:val="24"/>
        </w:rPr>
        <w:t>Rules for air services</w:t>
      </w:r>
    </w:p>
    <w:p>
      <w:pPr>
        <w:pStyle w:val="LegalNumPar"/>
        <w:numPr>
          <w:ilvl w:val="0"/>
          <w:numId w:val="89"/>
        </w:numPr>
        <w:tabs>
          <w:tab w:val="left" w:pos="476"/>
        </w:tabs>
        <w:spacing w:line="240" w:lineRule="auto"/>
        <w:rPr>
          <w:noProof/>
        </w:rPr>
      </w:pPr>
      <w:r>
        <w:rPr>
          <w:noProof/>
        </w:rPr>
        <w:t>The Air Services Regulation</w:t>
      </w:r>
      <w:r>
        <w:rPr>
          <w:rStyle w:val="FootnoteReference"/>
          <w:noProof/>
        </w:rPr>
        <w:footnoteReference w:id="514"/>
      </w:r>
      <w:r>
        <w:rPr>
          <w:noProof/>
        </w:rPr>
        <w:t xml:space="preserve"> provides a common set of rules regulating the provision of air services within the Union, i.e. flights carrying passengers, cargo and/or mail for remuneration and/or hire. It contains three sets of rules on the licensing of EU carriers, the right of EU carriers to operate intra-EU flights and on pricing of intra-EU air services.</w:t>
      </w:r>
    </w:p>
    <w:p>
      <w:pPr>
        <w:pStyle w:val="LegalNumPar"/>
        <w:numPr>
          <w:ilvl w:val="0"/>
          <w:numId w:val="89"/>
        </w:numPr>
        <w:tabs>
          <w:tab w:val="left" w:pos="476"/>
        </w:tabs>
        <w:spacing w:line="240" w:lineRule="auto"/>
        <w:rPr>
          <w:noProof/>
        </w:rPr>
      </w:pPr>
      <w:r>
        <w:rPr>
          <w:noProof/>
        </w:rPr>
        <w:t>The evaluation published in July 2019</w:t>
      </w:r>
      <w:r>
        <w:rPr>
          <w:rStyle w:val="FootnoteReference"/>
          <w:noProof/>
        </w:rPr>
        <w:footnoteReference w:id="515"/>
      </w:r>
      <w:r>
        <w:rPr>
          <w:noProof/>
        </w:rPr>
        <w:t xml:space="preserve"> found that the Regulation had had overall positive effects and brought sizeable EU added value in creating the EU internal aviation market. On the other hand, it identified a number of shortcomings in all three areas covered by the Regulation which may disproportionally affect certain parts of the market and/or stakeholders, and where improvements may be beneficial for the good functioning of the internal market for aviation.</w:t>
      </w:r>
    </w:p>
    <w:p>
      <w:pPr>
        <w:pStyle w:val="LegalNumPar"/>
        <w:numPr>
          <w:ilvl w:val="0"/>
          <w:numId w:val="89"/>
        </w:numPr>
        <w:tabs>
          <w:tab w:val="left" w:pos="476"/>
        </w:tabs>
        <w:spacing w:line="240" w:lineRule="auto"/>
        <w:rPr>
          <w:noProof/>
        </w:rPr>
      </w:pPr>
      <w:r>
        <w:rPr>
          <w:noProof/>
        </w:rPr>
        <w:t>An assessment of the impact of possible policy changes was launched following the publication of the evaluation, and a support study carried out. However, the dramatic changes to the situation facing the air services sector resulting from the COVID-19 pandemic means that further analysis is required as to the expected impact of different measures. This future work will also consider how the framework may be adapted to better support the recovery and resilience of the sector in the medium to long-term, as well as to promote social and environmental sustainability as far as possible.</w:t>
      </w:r>
    </w:p>
    <w:p>
      <w:pPr>
        <w:pStyle w:val="Heading5"/>
        <w:numPr>
          <w:ilvl w:val="4"/>
          <w:numId w:val="98"/>
        </w:numPr>
        <w:rPr>
          <w:noProof/>
          <w:sz w:val="24"/>
          <w:szCs w:val="24"/>
        </w:rPr>
      </w:pPr>
      <w:r>
        <w:rPr>
          <w:noProof/>
          <w:sz w:val="24"/>
          <w:szCs w:val="24"/>
        </w:rPr>
        <w:t>Airport charges</w:t>
      </w:r>
    </w:p>
    <w:p>
      <w:pPr>
        <w:pStyle w:val="LegalNumPar"/>
        <w:numPr>
          <w:ilvl w:val="0"/>
          <w:numId w:val="89"/>
        </w:numPr>
        <w:tabs>
          <w:tab w:val="left" w:pos="476"/>
        </w:tabs>
        <w:spacing w:line="240" w:lineRule="auto"/>
        <w:rPr>
          <w:noProof/>
        </w:rPr>
      </w:pPr>
      <w:r>
        <w:rPr>
          <w:rFonts w:eastAsiaTheme="minorEastAsia"/>
          <w:noProof/>
          <w:lang w:eastAsia="ja-JP"/>
        </w:rPr>
        <w:t xml:space="preserve">Effective competition between suppliers, in this case airports, encourages cost-effective operations, drives down prices and increases quality. It also enables operators to make long-term investments in facilities and services that match the requirements of the customers, in this case airlines and air passengers. The absence of effective competition between airports could manifest itself in a range of ways. Airports could choose to maintain </w:t>
      </w:r>
      <w:r>
        <w:rPr>
          <w:rFonts w:eastAsiaTheme="minorEastAsia"/>
          <w:b/>
          <w:bCs/>
          <w:noProof/>
          <w:lang w:eastAsia="ja-JP"/>
        </w:rPr>
        <w:t>airport charges</w:t>
      </w:r>
      <w:r>
        <w:rPr>
          <w:rFonts w:eastAsiaTheme="minorEastAsia"/>
          <w:noProof/>
          <w:lang w:eastAsia="ja-JP"/>
        </w:rPr>
        <w:t xml:space="preserve"> at current levels but allow </w:t>
      </w:r>
      <w:r>
        <w:rPr>
          <w:noProof/>
        </w:rPr>
        <w:t xml:space="preserve">quality to fall or could seek to raise airport charges above levels warranted by costs faced by an efficient operator or by long-term investments. This could be the case where airports operate efficiently and extract excessively high margins, which would normally not be achievable in a competitive market. It could also occur where airports operate inefficiently by allowing their costs to rise or by not adopting cost-saving or innovative technologies, or a combination of these. Historically, the reason why governments impose economic regulation on airports (as well as other utility and public infrastructure providers), has been to curb ex ante the risk that they misuse the significant market power they may hold. </w:t>
      </w:r>
    </w:p>
    <w:p>
      <w:pPr>
        <w:pStyle w:val="LegalNumPar"/>
        <w:numPr>
          <w:ilvl w:val="0"/>
          <w:numId w:val="89"/>
        </w:numPr>
        <w:tabs>
          <w:tab w:val="left" w:pos="476"/>
        </w:tabs>
        <w:spacing w:line="240" w:lineRule="auto"/>
        <w:rPr>
          <w:noProof/>
        </w:rPr>
      </w:pPr>
      <w:r>
        <w:rPr>
          <w:noProof/>
        </w:rPr>
        <w:t>This is also why in 2009, the European Union adopted a Directive on airport charges (“the Airport Charges Directive”). The Airport Charges Directive has established a common European framework for regulating essential features of the airport charges setting process. The Directive has introduced a number of process-based requirements (consultation, transparency, non-discrimination) that airports and airlines need to comply with when the airport charges are negotiated. The oversight and enforcement role has been given to independent supervisory authorities (ISAs). The Directive applies to EU/EEA airports whose annual traffic is over 5 million passenger movements and to the airport with the highest passenger movement in each Member State.</w:t>
      </w:r>
    </w:p>
    <w:p>
      <w:pPr>
        <w:pStyle w:val="LegalNumPar"/>
        <w:numPr>
          <w:ilvl w:val="0"/>
          <w:numId w:val="89"/>
        </w:numPr>
        <w:tabs>
          <w:tab w:val="left" w:pos="476"/>
        </w:tabs>
        <w:spacing w:line="240" w:lineRule="auto"/>
        <w:rPr>
          <w:noProof/>
        </w:rPr>
      </w:pPr>
      <w:r>
        <w:rPr>
          <w:noProof/>
        </w:rPr>
        <w:t xml:space="preserve">In July 2019, the Commission published an evaluation of the Directive. This evaluation has indicated that some of the elements of the Directive deserve consideration. Certain questions do not find an explicit answer in the Directive, for example as regards the requirements pertaining to the independence of the supervisory authority in certain cases. It is also not clear whether the Directive optimally focuses regulatory intervention on cases involving a risk of misuse of significant market power, and ultimately on harm being imposed on EU consumers. </w:t>
      </w:r>
    </w:p>
    <w:p>
      <w:pPr>
        <w:pStyle w:val="LegalNumPar"/>
        <w:numPr>
          <w:ilvl w:val="0"/>
          <w:numId w:val="89"/>
        </w:numPr>
        <w:tabs>
          <w:tab w:val="left" w:pos="476"/>
        </w:tabs>
        <w:spacing w:line="240" w:lineRule="auto"/>
        <w:rPr>
          <w:noProof/>
        </w:rPr>
      </w:pPr>
      <w:r>
        <w:rPr>
          <w:noProof/>
        </w:rPr>
        <w:t xml:space="preserve">As announced in the 2015 Aviation Strategy, a revision of the Airport Charges Directive is expected. The above mentioned evaluation will provide the background to such revision.  </w:t>
      </w:r>
    </w:p>
    <w:p>
      <w:pPr>
        <w:pStyle w:val="LegalNumPar"/>
        <w:numPr>
          <w:ilvl w:val="0"/>
          <w:numId w:val="89"/>
        </w:numPr>
        <w:tabs>
          <w:tab w:val="left" w:pos="476"/>
        </w:tabs>
        <w:spacing w:line="240" w:lineRule="auto"/>
        <w:rPr>
          <w:noProof/>
        </w:rPr>
      </w:pPr>
      <w:r>
        <w:rPr>
          <w:noProof/>
        </w:rPr>
        <w:t>Capacity constraints at airports are an important factor in assessing the level of competition between airports. At certain locations (small airports) there is overcapacity and the airports struggle to cover their costs – such airports are more proactive in attracting airlines. In contrast, and recognising the ongoing impact on future demand for airport services of the COVID-19 pandemic and related uncertainties, some airports (in particular the largest) have struggled with the challenge of increasing capacity to keep pace with demand. Such congested airports have been less able to increase volumes and hence have had less incentive to reduce airport charges or improve further service quality.</w:t>
      </w:r>
    </w:p>
    <w:p>
      <w:pPr>
        <w:pStyle w:val="Heading5"/>
        <w:numPr>
          <w:ilvl w:val="4"/>
          <w:numId w:val="98"/>
        </w:numPr>
        <w:rPr>
          <w:noProof/>
          <w:sz w:val="24"/>
          <w:szCs w:val="24"/>
        </w:rPr>
      </w:pPr>
      <w:r>
        <w:rPr>
          <w:noProof/>
          <w:sz w:val="24"/>
          <w:szCs w:val="24"/>
        </w:rPr>
        <w:t>Slots</w:t>
      </w:r>
    </w:p>
    <w:p>
      <w:pPr>
        <w:pStyle w:val="LegalNumPar"/>
        <w:numPr>
          <w:ilvl w:val="0"/>
          <w:numId w:val="89"/>
        </w:numPr>
        <w:tabs>
          <w:tab w:val="left" w:pos="476"/>
        </w:tabs>
        <w:spacing w:line="240" w:lineRule="auto"/>
        <w:rPr>
          <w:noProof/>
        </w:rPr>
      </w:pPr>
      <w:r>
        <w:rPr>
          <w:noProof/>
        </w:rPr>
        <w:t xml:space="preserve">Airport capacity could also be influenced by inefficient allocation of slots. The number of EU congested airports has increased from 98 to 104 in the last 8 years, to such an extent that at some of them no slots are available. More than 50 per cent of the congested airports worldwide are located in Europe. While the existing slot framework has managed to contain flight delays to a reasonable level, there are still issues regarding the capacity utilisation and the efficiency of the allocation of slots. Recent air carrier bankruptcies have shown the economic value of slots (in many cases, slots are the most valuable asset air carriers have). The current allocation system might inhibit competition between air carriers, by freezing slot allocation and by giving an advantage to incumbent airlines as a result of the ‘grandfathering’ rules. The "use it or lose it" rule has led to behaviours by air carriers holding on to slots even if they are unable to use them profitably, as opposed to making them available to competitors or new entrants. The widespread lack of transparency on the available capacity at airports that can be allocated, as well as on some parameters used by the slot coordinator allocation, can affect the efficiency of the process. </w:t>
      </w:r>
    </w:p>
    <w:p>
      <w:pPr>
        <w:pStyle w:val="LegalNumPar"/>
        <w:numPr>
          <w:ilvl w:val="0"/>
          <w:numId w:val="89"/>
        </w:numPr>
        <w:tabs>
          <w:tab w:val="left" w:pos="476"/>
        </w:tabs>
        <w:spacing w:line="240" w:lineRule="auto"/>
        <w:rPr>
          <w:noProof/>
        </w:rPr>
      </w:pPr>
      <w:r>
        <w:rPr>
          <w:noProof/>
        </w:rPr>
        <w:t xml:space="preserve">Further, an increased awareness of environmental concerns has started debates on how to include environmental criteria in the slot allocation process. Lastly, the recent COVID-19 pandemic has shown that the resilience of the Regulation to quickly and efficiently respond to the needs of the market under such circumstances should be improved. The Slot Regulation was quickly amended as a result of the decrease in air traffic resulting from the pandemic, by exempting airlines from certain slot use requirements. As the situation evolves and the market slowly recovers the issue is no longer whether airlines should simply be exempted from the rules or not. It is rather how to grant airlines relief but also gradually return to a new normal. All the foregoing considerations should be taken into account when discussions on the 2011 proposal will resume. </w:t>
      </w:r>
    </w:p>
    <w:p>
      <w:pPr>
        <w:pStyle w:val="Heading5"/>
        <w:numPr>
          <w:ilvl w:val="4"/>
          <w:numId w:val="98"/>
        </w:numPr>
        <w:rPr>
          <w:noProof/>
          <w:sz w:val="24"/>
          <w:szCs w:val="24"/>
        </w:rPr>
      </w:pPr>
      <w:r>
        <w:rPr>
          <w:noProof/>
          <w:sz w:val="24"/>
          <w:szCs w:val="24"/>
        </w:rPr>
        <w:t>Groundhandling</w:t>
      </w:r>
    </w:p>
    <w:p>
      <w:pPr>
        <w:pStyle w:val="LegalNumPar"/>
        <w:numPr>
          <w:ilvl w:val="0"/>
          <w:numId w:val="89"/>
        </w:numPr>
        <w:tabs>
          <w:tab w:val="left" w:pos="476"/>
        </w:tabs>
        <w:spacing w:line="240" w:lineRule="auto"/>
        <w:rPr>
          <w:noProof/>
        </w:rPr>
      </w:pPr>
      <w:r>
        <w:rPr>
          <w:noProof/>
        </w:rPr>
        <w:t>While capacity is a bottleneck both in the air and on the ground, air carriers cannot provide services without efficient and high quality groundhandling services. Whether the lack of capacity of groundhandling services themselves contributes to the lack of airport capacity or whether improved groundhandling services could contribute to unlock capacity issues at congested airports are questions to be clarified.</w:t>
      </w:r>
    </w:p>
    <w:p>
      <w:pPr>
        <w:pStyle w:val="Heading5"/>
        <w:numPr>
          <w:ilvl w:val="4"/>
          <w:numId w:val="98"/>
        </w:numPr>
        <w:rPr>
          <w:noProof/>
          <w:sz w:val="24"/>
          <w:szCs w:val="24"/>
        </w:rPr>
      </w:pPr>
      <w:r>
        <w:rPr>
          <w:noProof/>
          <w:sz w:val="24"/>
          <w:szCs w:val="24"/>
        </w:rPr>
        <w:t>Computerised Reservation Systems</w:t>
      </w:r>
    </w:p>
    <w:p>
      <w:pPr>
        <w:pStyle w:val="LegalNumPar"/>
        <w:numPr>
          <w:ilvl w:val="0"/>
          <w:numId w:val="89"/>
        </w:numPr>
        <w:tabs>
          <w:tab w:val="left" w:pos="476"/>
        </w:tabs>
        <w:spacing w:line="240" w:lineRule="auto"/>
        <w:rPr>
          <w:noProof/>
          <w:lang w:eastAsia="en-US"/>
        </w:rPr>
      </w:pPr>
      <w:r>
        <w:rPr>
          <w:rFonts w:eastAsiaTheme="minorEastAsia"/>
          <w:noProof/>
        </w:rPr>
        <w:t xml:space="preserve">There are questions as to whether the ex-ante competition Regulation on a Code of Conduct for computerised reservation systems </w:t>
      </w:r>
      <w:r>
        <w:rPr>
          <w:noProof/>
        </w:rPr>
        <w:t>(CRS) remains</w:t>
      </w:r>
      <w:r>
        <w:rPr>
          <w:rFonts w:eastAsiaTheme="minorEastAsia"/>
          <w:noProof/>
        </w:rPr>
        <w:t xml:space="preserve"> fit for purpose. An evaluation of the Regulation on the CRS Code of Conduct</w:t>
      </w:r>
      <w:r>
        <w:rPr>
          <w:noProof/>
          <w:vertAlign w:val="superscript"/>
        </w:rPr>
        <w:footnoteReference w:id="516"/>
      </w:r>
      <w:r>
        <w:rPr>
          <w:rFonts w:eastAsiaTheme="minorEastAsia"/>
          <w:noProof/>
          <w:vertAlign w:val="superscript"/>
        </w:rPr>
        <w:t xml:space="preserve"> </w:t>
      </w:r>
      <w:r>
        <w:rPr>
          <w:rFonts w:eastAsiaTheme="minorEastAsia"/>
          <w:noProof/>
        </w:rPr>
        <w:t xml:space="preserve">found that in the current context, the Regulation is less relevant than before for preventing distortion of competition in air ticket distribution. At the same time, the evaluation showed that new developments, such as the rise of new players and distribution channels for air tickets, may require different action to improve market efficiency and encourage fair competition, in so far as these aspects are not already covered by existing horizontal legislation. </w:t>
      </w:r>
      <w:r>
        <w:rPr>
          <w:noProof/>
        </w:rPr>
        <w:t>The Commission is preparing an impact assessment of the full range of policy options, including possible revision, as a follow-up to the evaluation.</w:t>
      </w:r>
    </w:p>
    <w:p>
      <w:pPr>
        <w:pStyle w:val="Heading5"/>
        <w:numPr>
          <w:ilvl w:val="4"/>
          <w:numId w:val="98"/>
        </w:numPr>
        <w:rPr>
          <w:noProof/>
          <w:sz w:val="24"/>
          <w:szCs w:val="24"/>
        </w:rPr>
      </w:pPr>
      <w:r>
        <w:rPr>
          <w:noProof/>
          <w:sz w:val="24"/>
          <w:szCs w:val="24"/>
        </w:rPr>
        <w:t>Rules for air navigation services</w:t>
      </w:r>
    </w:p>
    <w:p>
      <w:pPr>
        <w:rPr>
          <w:i/>
          <w:noProof/>
        </w:rPr>
      </w:pPr>
      <w:r>
        <w:rPr>
          <w:i/>
          <w:iCs/>
          <w:noProof/>
        </w:rPr>
        <w:t xml:space="preserve">Providers of data and terminal air navigation service providers </w:t>
      </w:r>
    </w:p>
    <w:p>
      <w:pPr>
        <w:pStyle w:val="LegalNumPar"/>
        <w:numPr>
          <w:ilvl w:val="0"/>
          <w:numId w:val="89"/>
        </w:numPr>
        <w:tabs>
          <w:tab w:val="left" w:pos="476"/>
        </w:tabs>
        <w:spacing w:line="240" w:lineRule="auto"/>
        <w:rPr>
          <w:noProof/>
        </w:rPr>
      </w:pPr>
      <w:r>
        <w:rPr>
          <w:noProof/>
        </w:rPr>
        <w:t xml:space="preserve">The fact that the European Air Traffic Management (ATM) system comprises a patchwork of national ATM systems operated by national air navigation service providers (ANSPs) means that interoperability and network efficiency creates an obstacle for sharing data. ATM capacity cannot be scaled to meet changes and fluctuations in demand. In 2018, delays grew disproportionately compared to traffic – traffic grew 14% but delays grew 273%. The main constraints are lack of flexibility of staff and technology. The seasonal peaks of traffic make this issue even more complex. </w:t>
      </w:r>
    </w:p>
    <w:p>
      <w:pPr>
        <w:pStyle w:val="LegalNumPar"/>
        <w:numPr>
          <w:ilvl w:val="0"/>
          <w:numId w:val="89"/>
        </w:numPr>
        <w:tabs>
          <w:tab w:val="left" w:pos="476"/>
        </w:tabs>
        <w:spacing w:line="240" w:lineRule="auto"/>
        <w:rPr>
          <w:noProof/>
        </w:rPr>
      </w:pPr>
      <w:r>
        <w:rPr>
          <w:noProof/>
        </w:rPr>
        <w:t xml:space="preserve">The SESAR project has delivered new concepts and technologies but this has not translated into technology uptake at a sufficiently rapid pace, partly due to the challenge of availability of the required standards. A single market for ATM data services and terminal air navigation services is needed to foster interoperability and the take-up of innovative technologies and processes of providing air navigation services. </w:t>
      </w:r>
    </w:p>
    <w:p>
      <w:pPr>
        <w:pStyle w:val="LegalNumPar"/>
        <w:numPr>
          <w:ilvl w:val="0"/>
          <w:numId w:val="89"/>
        </w:numPr>
        <w:tabs>
          <w:tab w:val="left" w:pos="476"/>
        </w:tabs>
        <w:spacing w:line="240" w:lineRule="auto"/>
        <w:rPr>
          <w:noProof/>
        </w:rPr>
      </w:pPr>
      <w:r>
        <w:rPr>
          <w:noProof/>
        </w:rPr>
        <w:t>Currently, air traffic services are almost everywhere provided by vertically integrated national ANSPs. Those national ANSPs are each responsible for producing, processing and combining this data to make it available to their frontline operators, who will use it to provide air traffic services for airspace users. Most of this data is currently not shared between ANSPs. Remote provision of air traffic services is not possible as along as all needed ATM data are not available across the network. The shift to new service delivery models could enable further rationalisation of the underlying infrastructure, whereby the focus will move from local infrastructure to service provision complying with performance requirements. Achieving a resilient European ATM system requires an evolution of the existing model so that the necessary ATM data (such as communication, navigation, satellite, meteorological and aeronautical information data) can be shared and made available to ANSP throughout the Union. The onset of a new European market for ATM data services would need to be underpinned by technical solutions, legal requirements and service delivery structures in order to function effectively.</w:t>
      </w:r>
    </w:p>
    <w:p>
      <w:pPr>
        <w:rPr>
          <w:i/>
          <w:noProof/>
        </w:rPr>
      </w:pPr>
      <w:r>
        <w:rPr>
          <w:i/>
          <w:iCs/>
          <w:noProof/>
        </w:rPr>
        <w:t xml:space="preserve">Regulatory oversight of air navigation services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The Single European Sky has contributed to certain improvements in the performance and modernisation of the European ATM sector but it has not yet generated the expected paradigm change in terms of performance by ANSPs and has not sufficiently reduced fragmentation of the European ATM system. Currently, the Commission is the de-facto economic regulator of monopolistic air navigation service providers. It adopts implementing Decisions, based on the advice from the independent Performance Review Body (PRB). Those Decisions are adopted under qualified majority voting of Member States that are at the same time the owners of the regulated entities. To increase the efficiency and effectiveness of the economic regulation, the Commission proposed in its recent SES2+ amended proposal</w:t>
      </w:r>
      <w:r>
        <w:rPr>
          <w:rStyle w:val="FootnoteReference"/>
          <w:rFonts w:eastAsiaTheme="minorEastAsia"/>
          <w:noProof/>
          <w:lang w:eastAsia="ja-JP"/>
        </w:rPr>
        <w:footnoteReference w:id="517"/>
      </w:r>
      <w:r>
        <w:rPr>
          <w:rFonts w:eastAsiaTheme="minorEastAsia"/>
          <w:noProof/>
          <w:lang w:eastAsia="ja-JP"/>
        </w:rPr>
        <w:t xml:space="preserve"> to establish a fully independent European regulator. Furthermore, economic regulatory oversight of air navigation services that are provided under monopolistic conditions is not effective. Where National Supervisory Authorities (NSAs) lack independence from entities that exert ownership rights over regulated service providers, conflicts of interest inevitably hamper service quality and price.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Defragmentation of the European airspace requires economic regulation and monitoring across borders where and as long as competitive supply of services does not prevail. Presently, economic regulation lacks the necessary independence from the entities that exert ownership rights over the regulated undertakings. Users lack trust and confidence in national economic regulatory bodies, they do not lodge complaints and the national supervisory authorities generally hesitate to take stringent decisions and do not apply penalties to enforce them. National economic regulators have no procedures to exchange dossiers, to handle cases jointly. They do not exchange information on cases, there is no joint investigation, and site inspections of service providers are not foreseen in Union legislation on economic regulation.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According to a survey at the level of the National Supervisory Authority Coordination Platform-Performance Working Group, airspace users do not lodge complaints with NSA on aspects of economic regulation. Economic regulators have to be able to impose penalties where a regulated entity does not abide by their decision or does not give access to requested information. Although Single European Sky legislation foresees the instrument of penalties, most national economic regulators have not used it. Similarly, judicial appeals against decisions of regulators or air navigation service providers have rarely occurred.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Effective regulation can ensure transparency and effective stakeholder consultation. Airlines should understand what they pay for and they should be able to curb excessive surpluses of service providers, as long as air navigation services are not provided on market conditions. Surpluses of regulated undertakings in excess of surpluses in competitive sectors can indicate monopolistic pricing and ineffective price regulation. Conversely, where air navigation services previously provided under monopolistic service provision were shifted to be provided under market conditions, the competent authorities witnessed a significant drop of the price with the same or better service quality.    </w:t>
      </w:r>
    </w:p>
    <w:p>
      <w:pPr>
        <w:pStyle w:val="Heading4"/>
        <w:numPr>
          <w:ilvl w:val="3"/>
          <w:numId w:val="98"/>
        </w:numPr>
        <w:rPr>
          <w:noProof/>
        </w:rPr>
      </w:pPr>
      <w:bookmarkStart w:id="4057" w:name="_Toc51450136"/>
      <w:bookmarkStart w:id="4058" w:name="_Toc51574836"/>
      <w:bookmarkStart w:id="4059" w:name="_Toc51575684"/>
      <w:bookmarkStart w:id="4060" w:name="_Toc51578082"/>
      <w:bookmarkStart w:id="4061" w:name="_Toc51582955"/>
      <w:bookmarkStart w:id="4062" w:name="_Toc51583430"/>
      <w:bookmarkStart w:id="4063" w:name="_Toc51583520"/>
      <w:bookmarkStart w:id="4064" w:name="_Toc51583805"/>
      <w:bookmarkStart w:id="4065" w:name="_Toc51583995"/>
      <w:bookmarkStart w:id="4066" w:name="_Toc51583919"/>
      <w:bookmarkStart w:id="4067" w:name="_Toc51586237"/>
      <w:bookmarkStart w:id="4068" w:name="_Toc51594040"/>
      <w:bookmarkStart w:id="4069" w:name="_Toc51594366"/>
      <w:bookmarkStart w:id="4070" w:name="_Toc51595344"/>
      <w:bookmarkStart w:id="4071" w:name="_Toc51595594"/>
      <w:bookmarkStart w:id="4072" w:name="_Toc51595920"/>
      <w:bookmarkStart w:id="4073" w:name="_Toc51596083"/>
      <w:bookmarkStart w:id="4074" w:name="_Toc51596436"/>
      <w:bookmarkStart w:id="4075" w:name="_Toc52121571"/>
      <w:bookmarkStart w:id="4076" w:name="_Toc52122802"/>
      <w:bookmarkStart w:id="4077" w:name="_Toc52123919"/>
      <w:bookmarkStart w:id="4078" w:name="_Toc53405380"/>
      <w:bookmarkStart w:id="4079" w:name="_Toc53406167"/>
      <w:bookmarkStart w:id="4080" w:name="_Toc53407536"/>
      <w:bookmarkStart w:id="4081" w:name="_Toc53410980"/>
      <w:bookmarkStart w:id="4082" w:name="_Toc53412043"/>
      <w:bookmarkStart w:id="4083" w:name="_Toc53417290"/>
      <w:bookmarkStart w:id="4084" w:name="_Toc53417642"/>
      <w:bookmarkStart w:id="4085" w:name="_Toc53419877"/>
      <w:bookmarkStart w:id="4086" w:name="_Toc53434980"/>
      <w:bookmarkStart w:id="4087" w:name="_Toc53437119"/>
      <w:bookmarkStart w:id="4088" w:name="_Toc57291525"/>
      <w:r>
        <w:rPr>
          <w:noProof/>
        </w:rPr>
        <w:t>Waterborne Single Market</w:t>
      </w:r>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p>
    <w:p>
      <w:pPr>
        <w:pStyle w:val="Heading5"/>
        <w:numPr>
          <w:ilvl w:val="4"/>
          <w:numId w:val="98"/>
        </w:numPr>
        <w:rPr>
          <w:rFonts w:eastAsiaTheme="minorEastAsia"/>
          <w:noProof/>
          <w:sz w:val="24"/>
          <w:szCs w:val="24"/>
        </w:rPr>
      </w:pPr>
      <w:r>
        <w:rPr>
          <w:rFonts w:eastAsiaTheme="minorEastAsia"/>
          <w:noProof/>
          <w:sz w:val="24"/>
          <w:szCs w:val="24"/>
        </w:rPr>
        <w:t xml:space="preserve">Inland waterways transport market rules </w:t>
      </w:r>
    </w:p>
    <w:p>
      <w:pPr>
        <w:pStyle w:val="LegalNumPar"/>
        <w:numPr>
          <w:ilvl w:val="0"/>
          <w:numId w:val="89"/>
        </w:numPr>
        <w:tabs>
          <w:tab w:val="left" w:pos="476"/>
        </w:tabs>
        <w:spacing w:line="240" w:lineRule="auto"/>
        <w:rPr>
          <w:noProof/>
          <w:lang w:eastAsia="ja-JP"/>
        </w:rPr>
      </w:pPr>
      <w:r>
        <w:rPr>
          <w:noProof/>
          <w:lang w:eastAsia="ja-JP"/>
        </w:rPr>
        <w:t xml:space="preserve">The existing legislation concerning the </w:t>
      </w:r>
      <w:r>
        <w:rPr>
          <w:rFonts w:eastAsiaTheme="minorEastAsia"/>
          <w:noProof/>
        </w:rPr>
        <w:t>Inland waterways transport (</w:t>
      </w:r>
      <w:r>
        <w:rPr>
          <w:noProof/>
          <w:lang w:eastAsia="ja-JP"/>
        </w:rPr>
        <w:t xml:space="preserve">IWT) market is globally old (adopted between the 1960s and 1990s) and so does not sufficiently take into account the changes </w:t>
      </w:r>
      <w:r>
        <w:rPr>
          <w:noProof/>
        </w:rPr>
        <w:t xml:space="preserve">occurred in the sector as well as the geographical extension of the European Union.  </w:t>
      </w:r>
      <w:r>
        <w:rPr>
          <w:noProof/>
          <w:lang w:eastAsia="ja-JP"/>
        </w:rPr>
        <w:t xml:space="preserve">  </w:t>
      </w:r>
    </w:p>
    <w:p>
      <w:pPr>
        <w:pStyle w:val="LegalNumPar"/>
        <w:numPr>
          <w:ilvl w:val="0"/>
          <w:numId w:val="89"/>
        </w:numPr>
        <w:tabs>
          <w:tab w:val="left" w:pos="476"/>
        </w:tabs>
        <w:spacing w:line="240" w:lineRule="auto"/>
        <w:rPr>
          <w:noProof/>
          <w:lang w:eastAsia="ja-JP"/>
        </w:rPr>
      </w:pPr>
      <w:r>
        <w:rPr>
          <w:noProof/>
          <w:lang w:eastAsia="ja-JP"/>
        </w:rPr>
        <w:t xml:space="preserve">There is therefore a need to evaluate the existing IWT market access related legislation, in terms notably of excessive regulatory burdens, unintended effects, overlaps, gaps, </w:t>
      </w:r>
      <w:r>
        <w:rPr>
          <w:rFonts w:eastAsiaTheme="minorEastAsia"/>
          <w:noProof/>
          <w:lang w:eastAsia="ja-JP"/>
        </w:rPr>
        <w:t>inconsistencies</w:t>
      </w:r>
      <w:r>
        <w:rPr>
          <w:noProof/>
          <w:lang w:eastAsia="ja-JP"/>
        </w:rPr>
        <w:t xml:space="preserve"> and/or obsolete measures which may have appeared over time and represent barriers for a smooth and fair IWT ma</w:t>
      </w:r>
      <w:r>
        <w:rPr>
          <w:noProof/>
        </w:rPr>
        <w:t xml:space="preserve">rket. </w:t>
      </w:r>
    </w:p>
    <w:p>
      <w:pPr>
        <w:pStyle w:val="LegalNumPar"/>
        <w:numPr>
          <w:ilvl w:val="0"/>
          <w:numId w:val="89"/>
        </w:numPr>
        <w:tabs>
          <w:tab w:val="left" w:pos="476"/>
        </w:tabs>
        <w:spacing w:line="240" w:lineRule="auto"/>
        <w:rPr>
          <w:b/>
          <w:bCs/>
          <w:noProof/>
          <w:color w:val="1F497D"/>
          <w:lang w:eastAsia="ja-JP"/>
        </w:rPr>
      </w:pPr>
      <w:r>
        <w:rPr>
          <w:noProof/>
          <w:lang w:eastAsia="ja-JP"/>
        </w:rPr>
        <w:t xml:space="preserve">Finally, mobility within </w:t>
      </w:r>
      <w:r>
        <w:rPr>
          <w:rFonts w:eastAsiaTheme="minorEastAsia"/>
          <w:noProof/>
          <w:lang w:eastAsia="ja-JP"/>
        </w:rPr>
        <w:t>the</w:t>
      </w:r>
      <w:r>
        <w:rPr>
          <w:noProof/>
          <w:lang w:eastAsia="ja-JP"/>
        </w:rPr>
        <w:t xml:space="preserve"> IWT internal market is hampered by the absence of an appropriate legal framework on crewing requirements at EU level</w:t>
      </w:r>
      <w:r>
        <w:rPr>
          <w:noProof/>
          <w:color w:val="1F497D"/>
          <w:lang w:eastAsia="ja-JP"/>
        </w:rPr>
        <w:t>.</w:t>
      </w:r>
      <w:r>
        <w:rPr>
          <w:noProof/>
          <w:lang w:eastAsia="ja-JP"/>
        </w:rPr>
        <w:t xml:space="preserve"> Operators face various requirements when operating cross-border. Current applicable national rules regarding crewing requirements (including rest times) are considered outdated, do not take account of technical and educational developments and, in general, of the workload of the crew.</w:t>
      </w:r>
    </w:p>
    <w:p>
      <w:pPr>
        <w:pStyle w:val="Heading5"/>
        <w:numPr>
          <w:ilvl w:val="4"/>
          <w:numId w:val="98"/>
        </w:numPr>
        <w:rPr>
          <w:noProof/>
          <w:sz w:val="24"/>
          <w:szCs w:val="24"/>
        </w:rPr>
      </w:pPr>
      <w:r>
        <w:rPr>
          <w:noProof/>
          <w:sz w:val="24"/>
          <w:szCs w:val="24"/>
        </w:rPr>
        <w:t xml:space="preserve">Mutual recognition of boating licences (maritime and inland waterways)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Contrary to car driving licences, the national boating licences for recreational craft are often not mutually recognised by the EU Member States, nor do all EU Member States recognise the UNECE’s </w:t>
      </w:r>
      <w:r>
        <w:rPr>
          <w:noProof/>
        </w:rPr>
        <w:t>International Certificate for Operators of Pleasure Craft</w:t>
      </w:r>
      <w:r>
        <w:rPr>
          <w:rFonts w:eastAsiaTheme="minorEastAsia"/>
          <w:noProof/>
          <w:lang w:eastAsia="ja-JP"/>
        </w:rPr>
        <w:t xml:space="preserve"> (ICC)</w:t>
      </w:r>
      <w:r>
        <w:rPr>
          <w:noProof/>
          <w:vertAlign w:val="superscript"/>
        </w:rPr>
        <w:footnoteReference w:id="518"/>
      </w:r>
      <w:r>
        <w:rPr>
          <w:rFonts w:eastAsiaTheme="minorEastAsia"/>
          <w:noProof/>
          <w:lang w:eastAsia="ja-JP"/>
        </w:rPr>
        <w:t xml:space="preserve"> and there are no EU level measures to address this problem. This means for example that in case of moving from one Member State to another (e.g. from Belgium to Germany), EU citizens lose their boating licence.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Improved mutual recognition of boating certificates and in particular the ICC could</w:t>
      </w:r>
      <w:r>
        <w:rPr>
          <w:rFonts w:eastAsiaTheme="minorEastAsia"/>
          <w:noProof/>
        </w:rPr>
        <w:t xml:space="preserve"> ensure</w:t>
      </w:r>
      <w:r>
        <w:rPr>
          <w:rFonts w:eastAsiaTheme="minorEastAsia"/>
          <w:noProof/>
          <w:lang w:eastAsia="ja-JP"/>
        </w:rPr>
        <w:t xml:space="preserve"> free movement of people as well as support employment in the yachting and marinas sector thanks to increased recreational boating in and between Member States. Today the sector counts about 253,000 directly employed persons (372,000 including indirect employment).</w:t>
      </w:r>
    </w:p>
    <w:p>
      <w:pPr>
        <w:pStyle w:val="Heading5"/>
        <w:numPr>
          <w:ilvl w:val="4"/>
          <w:numId w:val="98"/>
        </w:numPr>
        <w:rPr>
          <w:noProof/>
          <w:sz w:val="24"/>
          <w:szCs w:val="24"/>
        </w:rPr>
      </w:pPr>
      <w:r>
        <w:rPr>
          <w:noProof/>
          <w:sz w:val="24"/>
          <w:szCs w:val="24"/>
        </w:rPr>
        <w:t xml:space="preserve">Regulatory oversight of ships operating in EU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In relation to the maritime transport, while the rulemaking is international, the control and enforcement mechanisms are weak and essentially left to the individual States. It is widely acknowledged that lack of enforcement is the weak point of international maritime regulation since IMO is a decision making body but lacks any control and enforcement mandate. Only in 2016, mandatory audits to all the IMO States were commenced with the aim of determining the extent to which they give full and complete effect to their obligations and responsibilities as flag, port and coastal States. However, the results of the individual audits are not publicly available and there is no system of sanctions for the States that are not promulgating and implementing the international conventions.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Whereas through the EU a reasonable level playing field was achieved between EU Member States, this is not the case between EU flags and third country flags. The IMO States have very different levels of capacity to give full effect to the international rules. This creates distortion of competition and undermines the effectiveness of the regulatory framework since it may cost less for a shipowner to be registered under a flag of a third State that does not fully enforce all the rules – while ships still compete for the same cargo and sail anywhere in the world.</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As a result, the number of EU ships in the world fleet is slowly decreasing. Today, the Commission's 2004 Guidelines on State aid to maritime transport include the tonnage tax to address this issue. Under tonnage tax schemes, maritime transport companies pay taxes on the basis of the ship tonnage (i.e. the size of the shipping fleet) rather than on the basis of their actual taxable profits. Such schemes can be approved by the Commission under EU State aid rules. Without such schemes, an even greater number of ships would be flagged out for tax reasons.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Apart from the competitiveness aspect, this also poses a maritime and environmental safety problems. Weak enforcement of international rules undermines flag State responsibility as the first line of defence to ensure maritime safety. Coordinated and harmonised enforcement mechanisms based on port State Control also involving the European Maritime Safety Agency (EMSA) are available when it comes to ensuring implementation of the international rules on board vessels calling to EU ports regardless of flag.</w:t>
      </w:r>
    </w:p>
    <w:p>
      <w:pPr>
        <w:pStyle w:val="Heading3"/>
        <w:numPr>
          <w:ilvl w:val="2"/>
          <w:numId w:val="98"/>
        </w:numPr>
        <w:rPr>
          <w:noProof/>
        </w:rPr>
      </w:pPr>
      <w:bookmarkStart w:id="4089" w:name="_Toc57291526"/>
      <w:bookmarkStart w:id="4090" w:name="_Toc51450137"/>
      <w:bookmarkStart w:id="4091" w:name="_Toc51574837"/>
      <w:bookmarkStart w:id="4092" w:name="_Toc51575685"/>
      <w:bookmarkStart w:id="4093" w:name="_Toc51578083"/>
      <w:bookmarkStart w:id="4094" w:name="_Toc51582956"/>
      <w:bookmarkStart w:id="4095" w:name="_Toc51583431"/>
      <w:bookmarkStart w:id="4096" w:name="_Toc51583521"/>
      <w:bookmarkStart w:id="4097" w:name="_Toc51583806"/>
      <w:bookmarkStart w:id="4098" w:name="_Toc51583996"/>
      <w:bookmarkStart w:id="4099" w:name="_Toc51583920"/>
      <w:bookmarkStart w:id="4100" w:name="_Toc51586238"/>
      <w:bookmarkStart w:id="4101" w:name="_Toc51594041"/>
      <w:bookmarkStart w:id="4102" w:name="_Toc51594367"/>
      <w:bookmarkStart w:id="4103" w:name="_Toc51595345"/>
      <w:bookmarkStart w:id="4104" w:name="_Toc51595595"/>
      <w:bookmarkStart w:id="4105" w:name="_Toc51595921"/>
      <w:bookmarkStart w:id="4106" w:name="_Toc51596084"/>
      <w:bookmarkStart w:id="4107" w:name="_Toc51596437"/>
      <w:bookmarkStart w:id="4108" w:name="_Toc52121572"/>
      <w:bookmarkStart w:id="4109" w:name="_Toc52122803"/>
      <w:bookmarkStart w:id="4110" w:name="_Toc52123920"/>
      <w:bookmarkStart w:id="4111" w:name="_Toc53405381"/>
      <w:bookmarkStart w:id="4112" w:name="_Toc53406168"/>
      <w:bookmarkStart w:id="4113" w:name="_Toc53407537"/>
      <w:bookmarkStart w:id="4114" w:name="_Toc53410981"/>
      <w:bookmarkStart w:id="4115" w:name="_Toc53412044"/>
      <w:bookmarkStart w:id="4116" w:name="_Toc53417291"/>
      <w:bookmarkStart w:id="4117" w:name="_Toc53417643"/>
      <w:bookmarkStart w:id="4118" w:name="_Toc53419878"/>
      <w:bookmarkStart w:id="4119" w:name="_Toc53434981"/>
      <w:bookmarkStart w:id="4120" w:name="_Toc53437120"/>
      <w:r>
        <w:rPr>
          <w:noProof/>
        </w:rPr>
        <w:t>Social aspects</w:t>
      </w:r>
      <w:bookmarkEnd w:id="4089"/>
      <w:r>
        <w:rPr>
          <w:noProof/>
        </w:rPr>
        <w:t xml:space="preserve"> </w:t>
      </w:r>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p>
    <w:p>
      <w:pPr>
        <w:pStyle w:val="LegalNumPar"/>
        <w:numPr>
          <w:ilvl w:val="0"/>
          <w:numId w:val="89"/>
        </w:numPr>
        <w:tabs>
          <w:tab w:val="left" w:pos="476"/>
        </w:tabs>
        <w:spacing w:line="240" w:lineRule="auto"/>
        <w:rPr>
          <w:noProof/>
        </w:rPr>
      </w:pPr>
      <w:r>
        <w:rPr>
          <w:noProof/>
          <w:lang w:eastAsia="en-US"/>
        </w:rPr>
        <w:t xml:space="preserve">The transport sector is a major contributor to the EU economy, supporting millions of jobs across the EU and being a key driver of European integration. The sector </w:t>
      </w:r>
      <w:r>
        <w:rPr>
          <w:noProof/>
        </w:rPr>
        <w:t xml:space="preserve">represented around 5% of the EU workforce in 2017. </w:t>
      </w:r>
    </w:p>
    <w:p>
      <w:pPr>
        <w:pStyle w:val="LegalNumPar"/>
        <w:numPr>
          <w:ilvl w:val="0"/>
          <w:numId w:val="89"/>
        </w:numPr>
        <w:tabs>
          <w:tab w:val="left" w:pos="476"/>
        </w:tabs>
        <w:spacing w:line="240" w:lineRule="auto"/>
        <w:rPr>
          <w:noProof/>
          <w:szCs w:val="24"/>
          <w:lang w:eastAsia="en-US"/>
        </w:rPr>
      </w:pPr>
      <w:r>
        <w:rPr>
          <w:noProof/>
          <w:szCs w:val="24"/>
          <w:lang w:eastAsia="en-US"/>
        </w:rPr>
        <w:t>European social standards and rules protecting consumers are among the strongest of the world. Yet, certain developments puts those aspects at risk: the economic downturn due to the pandemic, uneven level playing field amid growing international competition, erosion of traditional social structures and demographic change, are among the challenges that should be addressed to keep a high-skilled workforce in Europe, protect workers’ rights</w:t>
      </w:r>
      <w:r>
        <w:rPr>
          <w:noProof/>
          <w:szCs w:val="24"/>
        </w:rPr>
        <w:t xml:space="preserve"> and to ensure that the green and digital transitions are just and inclusive</w:t>
      </w:r>
      <w:r>
        <w:rPr>
          <w:rStyle w:val="FootnoteReference"/>
          <w:noProof/>
          <w:szCs w:val="24"/>
        </w:rPr>
        <w:footnoteReference w:id="519"/>
      </w:r>
      <w:r>
        <w:rPr>
          <w:noProof/>
          <w:szCs w:val="24"/>
          <w:lang w:eastAsia="en-US"/>
        </w:rPr>
        <w:t>. To foster mobility of people, the transport sector should also remain affordable, available (including for persons with disabilities</w:t>
      </w:r>
      <w:r>
        <w:rPr>
          <w:rStyle w:val="FootnoteReference"/>
          <w:noProof/>
          <w:szCs w:val="24"/>
          <w:lang w:eastAsia="en-US"/>
        </w:rPr>
        <w:footnoteReference w:id="520"/>
      </w:r>
      <w:r>
        <w:rPr>
          <w:noProof/>
          <w:szCs w:val="24"/>
          <w:lang w:eastAsia="en-US"/>
        </w:rPr>
        <w:t xml:space="preserve"> </w:t>
      </w:r>
      <w:r>
        <w:rPr>
          <w:noProof/>
          <w:szCs w:val="24"/>
        </w:rPr>
        <w:t xml:space="preserve">and reduced mobility or </w:t>
      </w:r>
      <w:r>
        <w:rPr>
          <w:noProof/>
          <w:szCs w:val="24"/>
          <w:lang w:eastAsia="en-US"/>
        </w:rPr>
        <w:t>living in rural and remote areas), accessible, and offer high quality services.</w:t>
      </w:r>
    </w:p>
    <w:p>
      <w:pPr>
        <w:pStyle w:val="LegalNumPar"/>
        <w:numPr>
          <w:ilvl w:val="0"/>
          <w:numId w:val="89"/>
        </w:numPr>
        <w:tabs>
          <w:tab w:val="left" w:pos="476"/>
        </w:tabs>
        <w:spacing w:line="240" w:lineRule="auto"/>
        <w:rPr>
          <w:noProof/>
          <w:lang w:eastAsia="en-US"/>
        </w:rPr>
      </w:pPr>
      <w:r>
        <w:rPr>
          <w:noProof/>
        </w:rPr>
        <w:t>Mobility is a critical aspect of social inclusion and an important determinant of well-being including for vulnerable groups of society. Transport fulfils a basic need and has an enabling function insofar that it affects household’s income as well as citizens’ ability to integrate into society and the labour market. For example, public transport enables access to various public services, such as health services, childcare, education, long-term care, housing, labour market and social services as well as leisure activities. It follows from Principle 20 of the European Pillar of Social Rights that certain transport services can be considered essential services to which everyone has the right to access. The same principle also states: ‘</w:t>
      </w:r>
      <w:r>
        <w:rPr>
          <w:i/>
          <w:iCs/>
          <w:noProof/>
        </w:rPr>
        <w:t>Support for access to such services shall be available for those in need</w:t>
      </w:r>
      <w:r>
        <w:rPr>
          <w:noProof/>
        </w:rPr>
        <w:t xml:space="preserve">.’ </w:t>
      </w:r>
      <w:r>
        <w:rPr>
          <w:noProof/>
          <w:lang w:eastAsia="en-US"/>
        </w:rPr>
        <w:t xml:space="preserve">Yet, important barriers that can make it difficult for people to access these services include income, age, gender, disability or reduced mobility and territorial inequalities/ spatial segregation. </w:t>
      </w:r>
    </w:p>
    <w:p>
      <w:pPr>
        <w:pStyle w:val="Heading4"/>
        <w:numPr>
          <w:ilvl w:val="3"/>
          <w:numId w:val="98"/>
        </w:numPr>
        <w:rPr>
          <w:noProof/>
        </w:rPr>
      </w:pPr>
      <w:bookmarkStart w:id="4121" w:name="_Toc51450140"/>
      <w:bookmarkStart w:id="4122" w:name="_Toc51574840"/>
      <w:bookmarkStart w:id="4123" w:name="_Toc51575688"/>
      <w:bookmarkStart w:id="4124" w:name="_Toc51578086"/>
      <w:bookmarkStart w:id="4125" w:name="_Toc51582959"/>
      <w:bookmarkStart w:id="4126" w:name="_Toc51583434"/>
      <w:bookmarkStart w:id="4127" w:name="_Toc51583524"/>
      <w:bookmarkStart w:id="4128" w:name="_Toc51583809"/>
      <w:bookmarkStart w:id="4129" w:name="_Toc51583999"/>
      <w:bookmarkStart w:id="4130" w:name="_Toc51583923"/>
      <w:bookmarkStart w:id="4131" w:name="_Toc51586241"/>
      <w:bookmarkStart w:id="4132" w:name="_Toc51594044"/>
      <w:bookmarkStart w:id="4133" w:name="_Toc51594370"/>
      <w:bookmarkStart w:id="4134" w:name="_Toc51595348"/>
      <w:bookmarkStart w:id="4135" w:name="_Toc51595598"/>
      <w:bookmarkStart w:id="4136" w:name="_Toc51595924"/>
      <w:bookmarkStart w:id="4137" w:name="_Toc51596087"/>
      <w:bookmarkStart w:id="4138" w:name="_Toc51596440"/>
      <w:bookmarkStart w:id="4139" w:name="_Toc52121575"/>
      <w:bookmarkStart w:id="4140" w:name="_Toc52122806"/>
      <w:bookmarkStart w:id="4141" w:name="_Toc52123923"/>
      <w:bookmarkStart w:id="4142" w:name="_Toc53405384"/>
      <w:bookmarkStart w:id="4143" w:name="_Toc53406171"/>
      <w:bookmarkStart w:id="4144" w:name="_Toc53407540"/>
      <w:bookmarkStart w:id="4145" w:name="_Toc53410984"/>
      <w:bookmarkStart w:id="4146" w:name="_Toc53412047"/>
      <w:bookmarkStart w:id="4147" w:name="_Toc53417294"/>
      <w:bookmarkStart w:id="4148" w:name="_Toc53417646"/>
      <w:bookmarkStart w:id="4149" w:name="_Toc53419881"/>
      <w:bookmarkStart w:id="4150" w:name="_Toc53434984"/>
      <w:bookmarkStart w:id="4151" w:name="_Toc53437123"/>
      <w:bookmarkStart w:id="4152" w:name="_Toc57291527"/>
      <w:bookmarkStart w:id="4153" w:name="_Toc53405382"/>
      <w:bookmarkStart w:id="4154" w:name="_Toc53407538"/>
      <w:bookmarkStart w:id="4155" w:name="_Toc51450138"/>
      <w:bookmarkStart w:id="4156" w:name="_Toc51574838"/>
      <w:bookmarkStart w:id="4157" w:name="_Toc51575686"/>
      <w:bookmarkStart w:id="4158" w:name="_Toc51578084"/>
      <w:bookmarkStart w:id="4159" w:name="_Toc51582957"/>
      <w:bookmarkStart w:id="4160" w:name="_Toc51583432"/>
      <w:bookmarkStart w:id="4161" w:name="_Toc51583522"/>
      <w:bookmarkStart w:id="4162" w:name="_Toc51583807"/>
      <w:bookmarkStart w:id="4163" w:name="_Toc51583997"/>
      <w:bookmarkStart w:id="4164" w:name="_Toc51583921"/>
      <w:bookmarkStart w:id="4165" w:name="_Toc51586239"/>
      <w:bookmarkStart w:id="4166" w:name="_Toc51594042"/>
      <w:bookmarkStart w:id="4167" w:name="_Toc51594368"/>
      <w:bookmarkStart w:id="4168" w:name="_Toc51595346"/>
      <w:bookmarkStart w:id="4169" w:name="_Toc51595596"/>
      <w:bookmarkStart w:id="4170" w:name="_Toc51595922"/>
      <w:bookmarkStart w:id="4171" w:name="_Toc51596085"/>
      <w:bookmarkStart w:id="4172" w:name="_Toc51596438"/>
      <w:bookmarkStart w:id="4173" w:name="_Toc52121573"/>
      <w:bookmarkStart w:id="4174" w:name="_Toc52122804"/>
      <w:bookmarkStart w:id="4175" w:name="_Toc52123921"/>
      <w:bookmarkStart w:id="4176" w:name="_Toc53406169"/>
      <w:bookmarkStart w:id="4177" w:name="_Toc53410982"/>
      <w:bookmarkStart w:id="4178" w:name="_Toc53412045"/>
      <w:bookmarkStart w:id="4179" w:name="_Toc53417292"/>
      <w:bookmarkStart w:id="4180" w:name="_Toc53417644"/>
      <w:bookmarkStart w:id="4181" w:name="_Toc53419879"/>
      <w:bookmarkStart w:id="4182" w:name="_Toc53434982"/>
      <w:bookmarkStart w:id="4183" w:name="_Toc53437121"/>
      <w:r>
        <w:rPr>
          <w:noProof/>
        </w:rPr>
        <w:t>Workers’ rights and transition to automation and sustainability</w:t>
      </w:r>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Workers in the transport sector face a number of challenges when it comes to social rules and their application.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First, it might be </w:t>
      </w:r>
      <w:r>
        <w:rPr>
          <w:rFonts w:eastAsiaTheme="minorEastAsia"/>
          <w:b/>
          <w:bCs/>
          <w:noProof/>
          <w:lang w:eastAsia="ja-JP"/>
        </w:rPr>
        <w:t>difficult to identify applicable social rules</w:t>
      </w:r>
      <w:r>
        <w:rPr>
          <w:rFonts w:eastAsiaTheme="minorEastAsia"/>
          <w:noProof/>
          <w:lang w:eastAsia="ja-JP"/>
        </w:rPr>
        <w:t xml:space="preserve">. Some mobile transport workers cross one or several borders on a daily basis. It can therefore be sometimes challenging to identify which are the applicable labour law and social security rules. A large majority of competences regarding social security and applicable law lays in the hands of Member States. This is a problem for the protection of workers’ rights and for the level playing field.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Recent studies</w:t>
      </w:r>
      <w:r>
        <w:rPr>
          <w:rStyle w:val="FootnoteReference"/>
          <w:rFonts w:eastAsiaTheme="minorEastAsia"/>
          <w:noProof/>
          <w:lang w:eastAsia="ja-JP"/>
        </w:rPr>
        <w:footnoteReference w:id="521"/>
      </w:r>
      <w:r>
        <w:rPr>
          <w:rFonts w:eastAsiaTheme="minorEastAsia"/>
          <w:noProof/>
          <w:lang w:eastAsia="ja-JP"/>
        </w:rPr>
        <w:t xml:space="preserve"> have shown that 40% of drivers in the road transport sector across the EU work regularly more than the allowed maximum average 48 hours per week. The picture is similar in other transport modes. Atypical legal constructions also often divert legal responsibilities and may result in less favourable working conditions for workers.</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In maritime transport, the jurisdiction relevant for social security protection changes frequently as the consequence of seafarers operating on relatively short-term contracts. It becomes an incoherent patchwork.</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There is also a need for clarifying the social security rules for the inland waterway transport sector. There are currently several regimes applicable on EU waterways. There is a need for clarifying key concepts and applicable rules as well as for a single regime at EU level.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In a liberalised and competitive </w:t>
      </w:r>
      <w:r>
        <w:rPr>
          <w:rFonts w:eastAsiaTheme="minorEastAsia"/>
          <w:noProof/>
        </w:rPr>
        <w:t>aviation market</w:t>
      </w:r>
      <w:r>
        <w:rPr>
          <w:rFonts w:eastAsiaTheme="minorEastAsia"/>
          <w:noProof/>
          <w:lang w:eastAsia="ja-JP"/>
        </w:rPr>
        <w:t xml:space="preserve"> that requires greater flexibility and cost-effectiveness, airlines’ business models have evolved significantly. In this context, various employment arrangements and practices have developed in the sector. Low-cost flights, that typically operate point to point, grew by 61% from 2007 to 2016. With the increase in point to point routes, the number of operational bases has steadily grown since 2008, and aircraft and aircrews of the same airline are increasingly based outside the principal place of business of the airline.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This trend has intensified the cross-border nature of aircrew activities and added complexity to their legal status under EU and national law. While all staff benefit from the protection offered by EU law they may enjoy different rights and levels of protection depending on the national law that applies to them. It has created uncertainty as to what labour law applies to the employment contract of aircrews assigned to a home base outside the principal place of business of the airline, how to apply the existing rules and what court has jurisdiction but also which authority should ensure </w:t>
      </w:r>
      <w:r>
        <w:rPr>
          <w:noProof/>
        </w:rPr>
        <w:t>enforcement of their national labour legislation in the case of aircrews based in their country but working for an air carrier seated in another country</w:t>
      </w:r>
      <w:r>
        <w:rPr>
          <w:rFonts w:eastAsiaTheme="minorEastAsia"/>
          <w:noProof/>
          <w:lang w:eastAsia="ja-JP"/>
        </w:rPr>
        <w:t>. Moreover, t</w:t>
      </w:r>
      <w:r>
        <w:rPr>
          <w:noProof/>
        </w:rPr>
        <w:t>he contractual home base may not always correspond to the place from where the aircrews effectively start and finish their duty.</w:t>
      </w:r>
      <w:r>
        <w:rPr>
          <w:rFonts w:eastAsiaTheme="minorEastAsia"/>
          <w:noProof/>
          <w:lang w:eastAsia="ja-JP"/>
        </w:rPr>
        <w:t xml:space="preserve">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Taking into account structural changes in the aviation market, the Commission decided to work on how to improve the social agenda for aircrews. In 2015, the Commission presented an Aviation strategy for Europe, which highlighted the social agenda in aviation as a priority and commissioned soon after a study on employment and working conditions of aircrews in the EU internal aviation market.</w:t>
      </w:r>
      <w:r>
        <w:rPr>
          <w:rFonts w:eastAsiaTheme="minorEastAsia"/>
          <w:noProof/>
          <w:vertAlign w:val="superscript"/>
        </w:rPr>
        <w:footnoteReference w:id="522"/>
      </w:r>
      <w:r>
        <w:rPr>
          <w:rFonts w:eastAsiaTheme="minorEastAsia"/>
          <w:noProof/>
          <w:lang w:eastAsia="ja-JP"/>
        </w:rPr>
        <w:t xml:space="preserve"> According to this study, the majority of aircrew members who responded to the survey (82% of pilots and 88% of cabin crew) said that the labour law applicable to their contract is that of their contractual home base. Air carriers who tend to operate multiple operational bases where aircrews are based were found to be more likely to apply the law corresponding to the country where they have their principle place of business, regardless of where their aircrews are based. </w:t>
      </w:r>
    </w:p>
    <w:p>
      <w:pPr>
        <w:pStyle w:val="LegalNumPar"/>
        <w:numPr>
          <w:ilvl w:val="0"/>
          <w:numId w:val="89"/>
        </w:numPr>
        <w:tabs>
          <w:tab w:val="left" w:pos="476"/>
        </w:tabs>
        <w:spacing w:line="240" w:lineRule="auto"/>
        <w:rPr>
          <w:rFonts w:eastAsiaTheme="minorEastAsia"/>
          <w:noProof/>
        </w:rPr>
      </w:pPr>
      <w:r>
        <w:rPr>
          <w:rFonts w:eastAsiaTheme="minorEastAsia"/>
          <w:noProof/>
          <w:lang w:eastAsia="ja-JP"/>
        </w:rPr>
        <w:t xml:space="preserve">In March 2019, the Commission issued a report on maintaining and promoting high social standards in aviation, focusing on aircrews. </w:t>
      </w:r>
      <w:r>
        <w:rPr>
          <w:rFonts w:eastAsiaTheme="minorEastAsia"/>
          <w:noProof/>
        </w:rPr>
        <w:t>The Commission,</w:t>
      </w:r>
      <w:r>
        <w:rPr>
          <w:rFonts w:eastAsiaTheme="minorEastAsia"/>
          <w:noProof/>
          <w:lang w:eastAsia="ja-JP"/>
        </w:rPr>
        <w:t xml:space="preserve"> </w:t>
      </w:r>
      <w:r>
        <w:rPr>
          <w:noProof/>
          <w:color w:val="000000" w:themeColor="text1"/>
        </w:rPr>
        <w:t xml:space="preserve">in the context of its expert group on social matters related to aircrews, has been looking at </w:t>
      </w:r>
      <w:r>
        <w:rPr>
          <w:rFonts w:eastAsiaTheme="minorEastAsia"/>
          <w:noProof/>
          <w:lang w:eastAsia="ja-JP"/>
        </w:rPr>
        <w:t xml:space="preserve">the specific issue of </w:t>
      </w:r>
      <w:r>
        <w:rPr>
          <w:rFonts w:eastAsiaTheme="minorEastAsia"/>
          <w:noProof/>
        </w:rPr>
        <w:t xml:space="preserve">enforcement of applicable labour law and its application to aircrews in the light of existing EU law and at how this could be further improved by identifying best practices and providing recommendations. A document drawn up in September 2020 on this subject, highlights in particular the need </w:t>
      </w:r>
      <w:r>
        <w:rPr>
          <w:noProof/>
        </w:rPr>
        <w:t>to further improve enforcement of applicable labour law by the authorities of the country where the aircrews concerned are based for the better protection of aircrews and the proper functioning of the internal market,</w:t>
      </w:r>
      <w:r>
        <w:rPr>
          <w:rFonts w:eastAsiaTheme="minorEastAsia"/>
          <w:noProof/>
        </w:rPr>
        <w:t xml:space="preserve"> </w:t>
      </w:r>
      <w:r>
        <w:rPr>
          <w:noProof/>
        </w:rPr>
        <w:t>and to raise awareness for the benefit of both crew members and airlines.</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In this context, an updated Practice guide on Jurisdiction and applicable law in international disputes between the employee and the employer was adopted by the European Judicial Network in November 2020 to reflect all the important clarifications brought by the European Court of Justice in its judgments since the first Guide was published in 2016. Its aim is to guide practitioners and provide further clarity and better information on the rules on jurisdiction and applicable law and consequently assure better protection of aircrew and a level playing field between carriers. The Updated Practice Guide will contribute to the correct enforcement of the rights that workers draw from EU and national law.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In the field of Air Traffic Management, where labour agreements are concluded at the national level, the Commission has invited staff associations</w:t>
      </w:r>
      <w:r>
        <w:rPr>
          <w:rStyle w:val="FootnoteReference"/>
          <w:rFonts w:eastAsiaTheme="minorEastAsia"/>
          <w:noProof/>
          <w:lang w:eastAsia="ja-JP"/>
        </w:rPr>
        <w:footnoteReference w:id="523"/>
      </w:r>
      <w:r>
        <w:rPr>
          <w:rFonts w:eastAsiaTheme="minorEastAsia"/>
          <w:noProof/>
          <w:lang w:eastAsia="ja-JP"/>
        </w:rPr>
        <w:t xml:space="preserve"> to participate in the developments of a roadmap on the implementation of the Single European Sky reform.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Airport groundhandling services are a competitive and labour-intensive industry. Such industry features have led to pressure to reduce costs which may have impacted working and employment conditions. The Commission is carrying out an evaluation of the Groundhandling Directive which will look at possible unintended social impacts on groundhandling workers. Moreover, the work undertaken by EASA on safety standards on this matter should allow to improve the situation.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Second, the level of </w:t>
      </w:r>
      <w:r>
        <w:rPr>
          <w:rFonts w:eastAsiaTheme="minorEastAsia"/>
          <w:b/>
          <w:bCs/>
          <w:noProof/>
          <w:lang w:eastAsia="ja-JP"/>
        </w:rPr>
        <w:t>social protection</w:t>
      </w:r>
      <w:r>
        <w:rPr>
          <w:rFonts w:eastAsiaTheme="minorEastAsia"/>
          <w:noProof/>
          <w:lang w:eastAsia="ja-JP"/>
        </w:rPr>
        <w:t xml:space="preserve"> can be insufficient. Through the European Pillar of Social Rights, the EU works to safeguard the rights of citizens by ensuring equal opportunities and access to the labour market, fair working conditions, and social protection and inclusion. EU employment legislation guarantees minimum levels of protection that apply to everyone living and working in the EU. The EU provides common rules to protect social security rights when moving within Europe</w:t>
      </w:r>
      <w:r>
        <w:rPr>
          <w:rStyle w:val="FootnoteReference"/>
          <w:rFonts w:eastAsiaTheme="minorEastAsia"/>
          <w:noProof/>
          <w:lang w:eastAsia="ja-JP"/>
        </w:rPr>
        <w:footnoteReference w:id="524"/>
      </w:r>
      <w:r>
        <w:rPr>
          <w:rFonts w:eastAsiaTheme="minorEastAsia"/>
          <w:noProof/>
          <w:lang w:eastAsia="ja-JP"/>
        </w:rPr>
        <w:t xml:space="preserve">.The rules on social security coordination do not replace national systems with a single European one. All Member States remain free to decide who is to be insured under their legislation, which benefits are granted and under what conditions. There can be big discrepancies between Member States.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These discrepancies, if coupled with disregard for applicable social rules by certain operators and with ineffective enforcement by authorities, can give rise to precarious employment practices and harsh working conditions, and lead to social dumping. The lack of proper </w:t>
      </w:r>
      <w:r>
        <w:rPr>
          <w:rFonts w:eastAsiaTheme="minorEastAsia"/>
          <w:b/>
          <w:bCs/>
          <w:noProof/>
          <w:lang w:eastAsia="ja-JP"/>
        </w:rPr>
        <w:t xml:space="preserve">enforcement of social rules </w:t>
      </w:r>
      <w:r>
        <w:rPr>
          <w:rFonts w:eastAsiaTheme="minorEastAsia"/>
          <w:noProof/>
          <w:lang w:eastAsia="ja-JP"/>
        </w:rPr>
        <w:t xml:space="preserve">occurs too often. These cover low detection of infringements to social rules and poor execution of penalties. This is partially linked to the above mentioned problem of unclear applicable rules. Social security and applicable law lays this responsibility with the Member States.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Traditionally the port labour market has in many places been subject to regulations and collective agreements necessary to adapt to the irregularity of </w:t>
      </w:r>
      <w:r>
        <w:rPr>
          <w:rFonts w:eastAsiaTheme="minorEastAsia"/>
          <w:b/>
          <w:bCs/>
          <w:noProof/>
          <w:lang w:eastAsia="ja-JP"/>
        </w:rPr>
        <w:t xml:space="preserve">port </w:t>
      </w:r>
      <w:r>
        <w:rPr>
          <w:rFonts w:eastAsiaTheme="minorEastAsia"/>
          <w:noProof/>
          <w:lang w:eastAsia="ja-JP"/>
        </w:rPr>
        <w:t>traffic and the ensuing fluctuations in labour demand. The current evolutions in the shipping sector, in particular the development of megaships</w:t>
      </w:r>
      <w:r>
        <w:rPr>
          <w:noProof/>
        </w:rPr>
        <w:t xml:space="preserve">, with </w:t>
      </w:r>
      <w:r>
        <w:rPr>
          <w:rFonts w:eastAsiaTheme="minorEastAsia"/>
          <w:noProof/>
          <w:lang w:eastAsia="ja-JP"/>
        </w:rPr>
        <w:t xml:space="preserve">massive volumes of cargo to be loaded/unloaded, brings additional constraints on the organisation of port labour and on working conditions.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In the </w:t>
      </w:r>
      <w:r>
        <w:rPr>
          <w:rFonts w:eastAsiaTheme="minorEastAsia"/>
          <w:b/>
          <w:bCs/>
          <w:noProof/>
          <w:lang w:eastAsia="ja-JP"/>
        </w:rPr>
        <w:t>maritime transport</w:t>
      </w:r>
      <w:r>
        <w:rPr>
          <w:rFonts w:eastAsiaTheme="minorEastAsia"/>
          <w:noProof/>
          <w:lang w:eastAsia="ja-JP"/>
        </w:rPr>
        <w:t xml:space="preserve"> sector, precarious working conditions often stem from fierce cost-based competition in the sector, as EU carriers face strong competition from non-EU carriers in particular from Asia. Since seafarers can be recruited anywhere in the world, shipowners increasingly tend to recruit seafarers through manning companies in low cost labour supplying States, including for vessels flying the EU MS flag. The salary is low compared to European standards and social security protection is scattered between flag States. The difference in labour cost can therefore be quite considerable on and between vessels operating under the same national jurisdiction. In practice, this can mean that national legislation such as on minimum wage can be circumvented. Other national rules, such as anti-discrimination legislation on the prohibition of mandatory pregnancy testing, can also be circumvented when the seafarers is recruited though manning companies in third countries before arriving to Europe to serve on a vessel.    </w:t>
      </w:r>
    </w:p>
    <w:p>
      <w:pPr>
        <w:pStyle w:val="LegalNumPar"/>
        <w:numPr>
          <w:ilvl w:val="0"/>
          <w:numId w:val="89"/>
        </w:numPr>
        <w:tabs>
          <w:tab w:val="left" w:pos="476"/>
        </w:tabs>
        <w:spacing w:line="240" w:lineRule="auto"/>
        <w:rPr>
          <w:rFonts w:eastAsiaTheme="minorEastAsia"/>
          <w:noProof/>
          <w:lang w:eastAsia="ja-JP"/>
        </w:rPr>
      </w:pPr>
      <w:r>
        <w:rPr>
          <w:rFonts w:eastAsiaTheme="minorEastAsia"/>
          <w:b/>
          <w:bCs/>
          <w:noProof/>
          <w:lang w:eastAsia="ja-JP"/>
        </w:rPr>
        <w:t>Inland navigation</w:t>
      </w:r>
      <w:r>
        <w:rPr>
          <w:rFonts w:eastAsiaTheme="minorEastAsia"/>
          <w:noProof/>
          <w:lang w:eastAsia="ja-JP"/>
        </w:rPr>
        <w:t xml:space="preserve"> is not an exception and also face challenges to improve workers’ working conditions, in particular in the river cruise sector. Concerns have also been raised about the application of the rules on posting of workers due to the highly mobile nature of the workforce as well as the heavy administrative burden faced by the small and medium-sized enterprises that make up most of the inland navigation sector.</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In waterborne transport, the enforcement authorities therefore tend to focus more on vessels safety related issues as low hanging fruits since controls on working and living conditions (social rules) are more difficult to detect. Besides in inland navigation, there is no extra-territoriality principle (as it exists in road transport). The fact that the offences committed in a Member State during a journey cannot be sanctioned in any other Member State for a certain period considerably decreases the effectiveness of the enforcement.</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Working and living conditions for seafarers are regulated through the Maritime Labour Convention of the International Labour Organization (ILO) setting minimum standards. Those minimum standards are in most essentials retained at EU level in the Directive implementing the European social partner’s agreement. Control issues at EU level are incorporated into the overall EU legislation for flag and port State control.</w:t>
      </w:r>
      <w:r>
        <w:rPr>
          <w:noProof/>
        </w:rPr>
        <w:t xml:space="preserve"> </w:t>
      </w:r>
      <w:r>
        <w:rPr>
          <w:rFonts w:eastAsiaTheme="minorEastAsia"/>
          <w:noProof/>
          <w:lang w:eastAsia="ja-JP"/>
        </w:rPr>
        <w:t>The EU sectoral social dialogue committee in the port sector provides the social partners with a framework to develop a joint approach to the social challenges related to port labour relations, including working conditions, health and safety questions, digitalisation, training requirements and professional qualifications.</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The International Maritime Organization’s Convention on Standards of Training, Certification and Watchkeeping for Seafarers (STCW) ensures the minimum level of training for seafarers on board vessels and it is implemented in to EU law by the Directive 2008/106 as amended. The STCW Convention includes a common system of EU-wide recognition of third countries that comply with the requirements therein. The systems in third countries is monitored regularly by the Commission with the assistance of European Maritime Safety Agency. This monitoring scheme also includes verification of the compliance by the Member States. </w:t>
      </w:r>
    </w:p>
    <w:p>
      <w:pPr>
        <w:pStyle w:val="LegalNumPar"/>
        <w:numPr>
          <w:ilvl w:val="0"/>
          <w:numId w:val="89"/>
        </w:numPr>
        <w:tabs>
          <w:tab w:val="left" w:pos="476"/>
        </w:tabs>
        <w:spacing w:line="240" w:lineRule="auto"/>
        <w:rPr>
          <w:rFonts w:eastAsiaTheme="minorEastAsia"/>
          <w:noProof/>
        </w:rPr>
      </w:pPr>
      <w:r>
        <w:rPr>
          <w:rFonts w:eastAsiaTheme="minorEastAsia"/>
          <w:noProof/>
        </w:rPr>
        <w:t xml:space="preserve">In </w:t>
      </w:r>
      <w:r>
        <w:rPr>
          <w:rFonts w:eastAsiaTheme="minorEastAsia"/>
          <w:b/>
          <w:bCs/>
          <w:noProof/>
        </w:rPr>
        <w:t>road transport</w:t>
      </w:r>
      <w:r>
        <w:rPr>
          <w:rFonts w:eastAsiaTheme="minorEastAsia"/>
          <w:noProof/>
        </w:rPr>
        <w:t>, the preparatory work</w:t>
      </w:r>
      <w:r>
        <w:rPr>
          <w:rStyle w:val="FootnoteReference"/>
          <w:rFonts w:eastAsiaTheme="minorEastAsia"/>
          <w:noProof/>
        </w:rPr>
        <w:footnoteReference w:id="525"/>
      </w:r>
      <w:r>
        <w:rPr>
          <w:rFonts w:eastAsiaTheme="minorEastAsia"/>
          <w:noProof/>
        </w:rPr>
        <w:t xml:space="preserve"> leading to the Commission’s proposal in 2017 (Mobility Package 1) </w:t>
      </w:r>
      <w:r>
        <w:rPr>
          <w:rFonts w:eastAsiaTheme="minorEastAsia"/>
          <w:noProof/>
          <w:lang w:eastAsia="ja-JP"/>
        </w:rPr>
        <w:t>has</w:t>
      </w:r>
      <w:r>
        <w:rPr>
          <w:rFonts w:eastAsiaTheme="minorEastAsia"/>
          <w:noProof/>
        </w:rPr>
        <w:t xml:space="preserve"> identified a number of issues behind the problem of inadequate working and social conditions of drivers, such as illicit employment practices, long periods away from home and inadequate resting facilities as well as issues related to enforcement. Regulation (EU) 2020/1054</w:t>
      </w:r>
      <w:r>
        <w:rPr>
          <w:rStyle w:val="FootnoteReference"/>
          <w:rFonts w:eastAsiaTheme="minorEastAsia"/>
          <w:noProof/>
        </w:rPr>
        <w:footnoteReference w:id="526"/>
      </w:r>
      <w:r>
        <w:rPr>
          <w:rFonts w:eastAsiaTheme="minorEastAsia"/>
          <w:noProof/>
        </w:rPr>
        <w:t xml:space="preserve"> adopted in July 2020 </w:t>
      </w:r>
      <w:r>
        <w:rPr>
          <w:rFonts w:eastAsiaTheme="minorEastAsia"/>
          <w:noProof/>
          <w:lang w:eastAsia="ja-JP"/>
        </w:rPr>
        <w:t xml:space="preserve">aims </w:t>
      </w:r>
      <w:r>
        <w:rPr>
          <w:rFonts w:eastAsiaTheme="minorEastAsia"/>
          <w:noProof/>
        </w:rPr>
        <w:t xml:space="preserve">to address these </w:t>
      </w:r>
      <w:r>
        <w:rPr>
          <w:rFonts w:eastAsiaTheme="minorEastAsia"/>
          <w:noProof/>
          <w:lang w:eastAsia="ja-JP"/>
        </w:rPr>
        <w:t xml:space="preserve">issues </w:t>
      </w:r>
      <w:r>
        <w:rPr>
          <w:rFonts w:eastAsiaTheme="minorEastAsia"/>
          <w:noProof/>
        </w:rPr>
        <w:t>(see also section 3.5</w:t>
      </w:r>
      <w:r>
        <w:rPr>
          <w:rFonts w:eastAsiaTheme="minorEastAsia"/>
          <w:noProof/>
          <w:lang w:eastAsia="ja-JP"/>
        </w:rPr>
        <w:t xml:space="preserve">). The top priority of the Commission is to ensure common understanding of the legislation and monitor its consistent application and effective enforcement by the Member States.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The set of rules adopted in July 2020 under Mobility Package I not only clarifies and strengthens certain provisions in the road transport legislation but also includes enhanced enforcement requirements. The new enforcement regime should significantly improve compliance with the social and market rules in road transport by eliminating precarious employment and business practices.</w:t>
      </w:r>
    </w:p>
    <w:p>
      <w:pPr>
        <w:pStyle w:val="LegalNumPar"/>
        <w:numPr>
          <w:ilvl w:val="0"/>
          <w:numId w:val="89"/>
        </w:numPr>
        <w:tabs>
          <w:tab w:val="left" w:pos="476"/>
        </w:tabs>
        <w:spacing w:line="240" w:lineRule="auto"/>
        <w:rPr>
          <w:rFonts w:eastAsiaTheme="minorEastAsia"/>
          <w:noProof/>
        </w:rPr>
      </w:pPr>
      <w:r>
        <w:rPr>
          <w:b/>
          <w:bCs/>
          <w:noProof/>
        </w:rPr>
        <w:t>Platform work</w:t>
      </w:r>
      <w:r>
        <w:rPr>
          <w:noProof/>
        </w:rPr>
        <w:t xml:space="preserve"> is understood as all labour provided through, on, or mediated by online platforms in a wide range of sectors, including transport (drivers and delivery workers). The main challenges identified in a recent study</w:t>
      </w:r>
      <w:r>
        <w:rPr>
          <w:noProof/>
          <w:vertAlign w:val="superscript"/>
        </w:rPr>
        <w:footnoteReference w:id="527"/>
      </w:r>
      <w:r>
        <w:rPr>
          <w:noProof/>
        </w:rPr>
        <w:t xml:space="preserve"> include employment status, information available to the workers about their working conditions, dispute resolution, collective rights and non-discrimination. According to this study, national legislation on working conditions and social protection of platform workers is still rare</w:t>
      </w:r>
      <w:r>
        <w:rPr>
          <w:noProof/>
          <w:vertAlign w:val="superscript"/>
        </w:rPr>
        <w:footnoteReference w:id="528"/>
      </w:r>
      <w:r>
        <w:rPr>
          <w:noProof/>
        </w:rPr>
        <w:t>.</w:t>
      </w:r>
      <w:r>
        <w:rPr>
          <w:rFonts w:eastAsiaTheme="minorEastAsia"/>
          <w:noProof/>
        </w:rPr>
        <w:t xml:space="preserve"> There is some sector-specific legislation, such as on personal transportation services and food delivery services provided through platforms. It regulates the working conditions and social protection for persons in non-standard employment or enhances the rights and protection of the self-employed. Given that platform workers are mostly treated as self-employed, their collective representation poses a challenge and trade unions do not necessarily defend the interests of platform workers</w:t>
      </w:r>
      <w:r>
        <w:rPr>
          <w:rFonts w:eastAsiaTheme="minorEastAsia"/>
          <w:noProof/>
          <w:vertAlign w:val="superscript"/>
        </w:rPr>
        <w:footnoteReference w:id="529"/>
      </w:r>
      <w:r>
        <w:rPr>
          <w:rFonts w:eastAsiaTheme="minorEastAsia"/>
          <w:noProof/>
        </w:rPr>
        <w:t>.</w:t>
      </w:r>
      <w:r>
        <w:rPr>
          <w:rFonts w:eastAsiaTheme="minorEastAsia"/>
          <w:noProof/>
          <w:lang w:eastAsia="ja-JP"/>
        </w:rPr>
        <w:t xml:space="preserve"> On 30 June 2020, the Commission launched a process – comprising both a public consultation and informal consultations with stakeholders – to ensure that the EU competition rules do not stand in the way of collective bargaining for vulnerable self-employed people, including platform workers.</w:t>
      </w:r>
      <w:r>
        <w:rPr>
          <w:rStyle w:val="FootnoteReference"/>
          <w:rFonts w:eastAsiaTheme="minorEastAsia"/>
          <w:noProof/>
          <w:lang w:eastAsia="ja-JP"/>
        </w:rPr>
        <w:footnoteReference w:id="530"/>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Overall, changes in the sector, in particular those relating to </w:t>
      </w:r>
      <w:r>
        <w:rPr>
          <w:rFonts w:eastAsiaTheme="minorEastAsia"/>
          <w:b/>
          <w:bCs/>
          <w:noProof/>
          <w:lang w:eastAsia="ja-JP"/>
        </w:rPr>
        <w:t>automation and digitalisation</w:t>
      </w:r>
      <w:r>
        <w:rPr>
          <w:rFonts w:eastAsiaTheme="minorEastAsia"/>
          <w:noProof/>
          <w:lang w:eastAsia="ja-JP"/>
        </w:rPr>
        <w:t xml:space="preserve"> are bringing many challenges. Jobs in the transport sector, especially low- and middle-skilled jobs, are at high risk of automation. At the same time, the ongoing digital transformation presents new opportunities, such as an improved working environment or completely new jobs. A recent consultation of the SME panel revealed that transport companies on average do not think their labour force is well prepared for the transition to automation and digitalisation, almost half (44%) thinks it is even insufficiently or not prepared at all. Over one in three (37%) responding transport SMEs indicate that it has a need for guidance on how to anticipate or manage the transition towards automation and digitalisation. Another 33% indicate it does not know whether additional guidance is needed, which might be an indication of insufficient insights in how automation and digitalisation might affect the future of work and the workforce.</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At this stage, the exact pace, scope and impact of automation in transport is unclear and estimates of how many jobs or tasks will become redundant or will change considerably in the future vary significantly. </w:t>
      </w:r>
    </w:p>
    <w:p>
      <w:pPr>
        <w:pStyle w:val="LegalNumPar"/>
        <w:numPr>
          <w:ilvl w:val="0"/>
          <w:numId w:val="89"/>
        </w:numPr>
        <w:tabs>
          <w:tab w:val="left" w:pos="476"/>
        </w:tabs>
        <w:spacing w:line="240" w:lineRule="auto"/>
        <w:rPr>
          <w:noProof/>
        </w:rPr>
      </w:pPr>
      <w:r>
        <w:rPr>
          <w:noProof/>
        </w:rPr>
        <w:t xml:space="preserve">In </w:t>
      </w:r>
      <w:r>
        <w:rPr>
          <w:b/>
          <w:noProof/>
        </w:rPr>
        <w:t>aviation,</w:t>
      </w:r>
      <w:r>
        <w:rPr>
          <w:noProof/>
        </w:rPr>
        <w:t xml:space="preserve"> digitalisation is not expected to generate unemployment in Air Traffic Management but will require the definition of new competency profiles, which shall be supported by amended regulations for the licensing and training of traffic controllers and technical personnel. Some reskilling of staff will also be necessary, notably by adapting the training methods to more automated tools. </w:t>
      </w:r>
    </w:p>
    <w:p>
      <w:pPr>
        <w:pStyle w:val="LegalNumPar"/>
        <w:numPr>
          <w:ilvl w:val="0"/>
          <w:numId w:val="89"/>
        </w:numPr>
        <w:tabs>
          <w:tab w:val="left" w:pos="476"/>
        </w:tabs>
        <w:spacing w:line="240" w:lineRule="auto"/>
        <w:rPr>
          <w:noProof/>
        </w:rPr>
      </w:pPr>
      <w:r>
        <w:rPr>
          <w:rFonts w:eastAsiaTheme="minorEastAsia"/>
          <w:noProof/>
        </w:rPr>
        <w:t xml:space="preserve">Digitalisation and automation also require a significant adaptation of </w:t>
      </w:r>
      <w:r>
        <w:rPr>
          <w:rFonts w:eastAsiaTheme="minorEastAsia"/>
          <w:b/>
          <w:bCs/>
          <w:noProof/>
        </w:rPr>
        <w:t>port workers</w:t>
      </w:r>
      <w:r>
        <w:rPr>
          <w:rFonts w:eastAsiaTheme="minorEastAsia"/>
          <w:noProof/>
        </w:rPr>
        <w:t>’ training and skills and may have profound impact on local communities.</w:t>
      </w:r>
      <w:r>
        <w:rPr>
          <w:rFonts w:eastAsiaTheme="minorEastAsia"/>
          <w:noProof/>
          <w:lang w:eastAsia="ja-JP"/>
        </w:rPr>
        <w:t xml:space="preserve"> Under the research topic “The Port of the Future” Horizon 2020 finances four research projects looking at the possible future developments of ports and port operations</w:t>
      </w:r>
      <w:r>
        <w:rPr>
          <w:rStyle w:val="FootnoteReference"/>
          <w:rFonts w:eastAsiaTheme="minorEastAsia"/>
          <w:noProof/>
          <w:lang w:eastAsia="ja-JP"/>
        </w:rPr>
        <w:footnoteReference w:id="531"/>
      </w:r>
      <w:r>
        <w:rPr>
          <w:rFonts w:eastAsiaTheme="minorEastAsia"/>
          <w:noProof/>
          <w:lang w:eastAsia="ja-JP"/>
        </w:rPr>
        <w:t>. The Connecting Europe Facility is funding the project iTerminals 4.0, which will develop and perform Internet of Things (IoT) solutions and operational pilots at eight European container terminals</w:t>
      </w:r>
      <w:r>
        <w:rPr>
          <w:rStyle w:val="FootnoteReference"/>
          <w:rFonts w:eastAsiaTheme="minorEastAsia"/>
          <w:noProof/>
          <w:lang w:eastAsia="ja-JP"/>
        </w:rPr>
        <w:footnoteReference w:id="532"/>
      </w:r>
      <w:r>
        <w:rPr>
          <w:rFonts w:eastAsiaTheme="minorEastAsia"/>
          <w:noProof/>
          <w:lang w:eastAsia="ja-JP"/>
        </w:rPr>
        <w:t>. In a recent study of the potential and impact of transport automation, the World Maritime University points to the rapid development of port automation and the importance of training and reskilling of the workforce in ports</w:t>
      </w:r>
      <w:r>
        <w:rPr>
          <w:rStyle w:val="FootnoteReference"/>
          <w:rFonts w:eastAsiaTheme="minorEastAsia"/>
          <w:noProof/>
          <w:lang w:eastAsia="ja-JP"/>
        </w:rPr>
        <w:footnoteReference w:id="533"/>
      </w:r>
      <w:r>
        <w:rPr>
          <w:rFonts w:eastAsiaTheme="minorEastAsia"/>
          <w:noProof/>
          <w:lang w:eastAsia="ja-JP"/>
        </w:rPr>
        <w:t xml:space="preserve">. </w:t>
      </w:r>
    </w:p>
    <w:p>
      <w:pPr>
        <w:pStyle w:val="LegalNumPar"/>
        <w:numPr>
          <w:ilvl w:val="0"/>
          <w:numId w:val="89"/>
        </w:numPr>
        <w:tabs>
          <w:tab w:val="left" w:pos="476"/>
        </w:tabs>
        <w:spacing w:line="240" w:lineRule="auto"/>
        <w:rPr>
          <w:noProof/>
        </w:rPr>
      </w:pPr>
      <w:r>
        <w:rPr>
          <w:noProof/>
        </w:rPr>
        <w:t xml:space="preserve"> At the same time, development of new technologies is contributing in changing the shipping industry. Equally, the role of seafarers and crew members in inland navigation changes or is expected to change as technology on board and onshore change. Paper charts are replaced by electronic, navigation started to rely on autopilot, engine room are frequently operating unattended, thus in general systems on board becoming more autonomous and able to make decisions. This requires a change of the education, training and employment philosophy in the sector. Since some position would become redundant as replaced by the new technology seafarers, crew, still being needed, would have to become more specialised and learn to operate surrounded by technology as a new co-worker. </w:t>
      </w:r>
    </w:p>
    <w:p>
      <w:pPr>
        <w:pStyle w:val="LegalNumPar"/>
        <w:numPr>
          <w:ilvl w:val="0"/>
          <w:numId w:val="89"/>
        </w:numPr>
        <w:tabs>
          <w:tab w:val="left" w:pos="476"/>
        </w:tabs>
        <w:spacing w:line="240" w:lineRule="auto"/>
        <w:rPr>
          <w:noProof/>
        </w:rPr>
      </w:pPr>
      <w:r>
        <w:rPr>
          <w:noProof/>
        </w:rPr>
        <w:t>Transition to more sustainable transport will also impact the workforce. As stated in the Communication on the European Green Deal, pro-active re-skilling and upskilling are necessary to reap the benefits of the ecological transition. The proposed European Social Fund+, Just Transition Fund as well as the Recovery and Resilience Facility will play an important role in helping Europe’s workforce to acquire the skills they need to transfer from declining sectors to growing sectors and to adapt to new processes.</w:t>
      </w:r>
      <w:r>
        <w:rPr>
          <w:rStyle w:val="FootnoteReference"/>
          <w:noProof/>
        </w:rPr>
        <w:footnoteReference w:id="534"/>
      </w:r>
    </w:p>
    <w:p>
      <w:pPr>
        <w:pStyle w:val="LegalNumPar"/>
        <w:numPr>
          <w:ilvl w:val="0"/>
          <w:numId w:val="89"/>
        </w:numPr>
        <w:tabs>
          <w:tab w:val="left" w:pos="476"/>
        </w:tabs>
        <w:spacing w:line="240" w:lineRule="auto"/>
        <w:rPr>
          <w:noProof/>
        </w:rPr>
      </w:pPr>
      <w:r>
        <w:rPr>
          <w:noProof/>
        </w:rPr>
        <w:t>In recent years, the increasing globalisation of value chains, new business models and forms of work, as well as technological developments, put the industrial relations systems face to critical challenges and ask for revitalised industrial policies in the transport sectors. Trade unions, employer organisations and public authorities play an important role in the governance of the employment relationship, through collective bargaining and sectoral collective agreements. The improvement of the functioning of social dialogue and adequate involvement of social partners are crucial to ensure resilience of the transport labour market on both short and long term.</w:t>
      </w:r>
    </w:p>
    <w:p>
      <w:pPr>
        <w:pStyle w:val="Heading4"/>
        <w:numPr>
          <w:ilvl w:val="3"/>
          <w:numId w:val="98"/>
        </w:numPr>
        <w:rPr>
          <w:noProof/>
        </w:rPr>
      </w:pPr>
      <w:bookmarkStart w:id="4184" w:name="_Toc51450141"/>
      <w:bookmarkStart w:id="4185" w:name="_Toc51574841"/>
      <w:bookmarkStart w:id="4186" w:name="_Toc51575689"/>
      <w:bookmarkStart w:id="4187" w:name="_Toc51578087"/>
      <w:bookmarkStart w:id="4188" w:name="_Toc51582960"/>
      <w:bookmarkStart w:id="4189" w:name="_Toc51583435"/>
      <w:bookmarkStart w:id="4190" w:name="_Toc51583525"/>
      <w:bookmarkStart w:id="4191" w:name="_Toc51583810"/>
      <w:bookmarkStart w:id="4192" w:name="_Toc51584000"/>
      <w:bookmarkStart w:id="4193" w:name="_Toc51583924"/>
      <w:bookmarkStart w:id="4194" w:name="_Toc51586242"/>
      <w:bookmarkStart w:id="4195" w:name="_Toc51594045"/>
      <w:bookmarkStart w:id="4196" w:name="_Toc51594371"/>
      <w:bookmarkStart w:id="4197" w:name="_Toc51595349"/>
      <w:bookmarkStart w:id="4198" w:name="_Toc51595599"/>
      <w:bookmarkStart w:id="4199" w:name="_Toc51595925"/>
      <w:bookmarkStart w:id="4200" w:name="_Toc51596088"/>
      <w:bookmarkStart w:id="4201" w:name="_Toc51596441"/>
      <w:bookmarkStart w:id="4202" w:name="_Toc52121576"/>
      <w:bookmarkStart w:id="4203" w:name="_Toc52122807"/>
      <w:bookmarkStart w:id="4204" w:name="_Toc52123924"/>
      <w:bookmarkStart w:id="4205" w:name="_Toc53405385"/>
      <w:bookmarkStart w:id="4206" w:name="_Toc53406172"/>
      <w:bookmarkStart w:id="4207" w:name="_Toc53407541"/>
      <w:bookmarkStart w:id="4208" w:name="_Toc53410985"/>
      <w:bookmarkStart w:id="4209" w:name="_Toc53412048"/>
      <w:bookmarkStart w:id="4210" w:name="_Toc53417295"/>
      <w:bookmarkStart w:id="4211" w:name="_Toc53417647"/>
      <w:bookmarkStart w:id="4212" w:name="_Toc53419882"/>
      <w:bookmarkStart w:id="4213" w:name="_Toc53434985"/>
      <w:bookmarkStart w:id="4214" w:name="_Toc53437124"/>
      <w:bookmarkStart w:id="4215" w:name="_Toc57291528"/>
      <w:r>
        <w:rPr>
          <w:noProof/>
        </w:rPr>
        <w:t>Skills and attractiveness of transport jobs</w:t>
      </w:r>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The success of EU transport largely </w:t>
      </w:r>
      <w:r>
        <w:rPr>
          <w:noProof/>
        </w:rPr>
        <w:t>depends</w:t>
      </w:r>
      <w:r>
        <w:rPr>
          <w:rFonts w:eastAsiaTheme="minorEastAsia"/>
          <w:noProof/>
          <w:lang w:eastAsia="ja-JP"/>
        </w:rPr>
        <w:t xml:space="preserve"> on the availability of a </w:t>
      </w:r>
      <w:r>
        <w:rPr>
          <w:rFonts w:eastAsiaTheme="minorEastAsia"/>
          <w:b/>
          <w:bCs/>
          <w:noProof/>
          <w:lang w:eastAsia="ja-JP"/>
        </w:rPr>
        <w:t>skilled workforce</w:t>
      </w:r>
      <w:r>
        <w:rPr>
          <w:rFonts w:eastAsiaTheme="minorEastAsia"/>
          <w:noProof/>
          <w:lang w:eastAsia="ja-JP"/>
        </w:rPr>
        <w:t>. There is a risk of skills mismatch for certain transport sectors already today and the workforce will need to keep pace with changing skill requirements caused by automation and digitalisation, as well as by transition to a more sustainable mobility. The availability of skilled workers may also be impacted by the COVID-19 pandemic</w:t>
      </w:r>
      <w:r>
        <w:rPr>
          <w:rStyle w:val="FootnoteReference"/>
          <w:noProof/>
          <w:color w:val="000000"/>
        </w:rPr>
        <w:footnoteReference w:id="535"/>
      </w:r>
      <w:r>
        <w:rPr>
          <w:rFonts w:eastAsiaTheme="minorEastAsia"/>
          <w:noProof/>
          <w:lang w:eastAsia="ja-JP"/>
        </w:rPr>
        <w:t xml:space="preserve"> which particularly hit the transport sector and its workers.</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Any shortage of transport workers</w:t>
      </w:r>
      <w:r>
        <w:rPr>
          <w:rStyle w:val="FootnoteReference"/>
          <w:rFonts w:eastAsiaTheme="minorEastAsia"/>
          <w:noProof/>
          <w:lang w:eastAsia="ja-JP"/>
        </w:rPr>
        <w:footnoteReference w:id="536"/>
      </w:r>
      <w:r>
        <w:rPr>
          <w:rFonts w:eastAsiaTheme="minorEastAsia"/>
          <w:noProof/>
          <w:lang w:eastAsia="ja-JP"/>
        </w:rPr>
        <w:t xml:space="preserve"> could compromise growth and reduce European connectivity. This risk exists in all modes with an ageing workforce (a third of workers are above 50 years old and mostly male</w:t>
      </w:r>
      <w:r>
        <w:rPr>
          <w:rStyle w:val="FootnoteReference"/>
          <w:rFonts w:eastAsiaTheme="minorEastAsia"/>
          <w:noProof/>
          <w:lang w:eastAsia="ja-JP"/>
        </w:rPr>
        <w:footnoteReference w:id="537"/>
      </w:r>
      <w:r>
        <w:rPr>
          <w:rFonts w:eastAsiaTheme="minorEastAsia"/>
          <w:noProof/>
          <w:lang w:eastAsia="ja-JP"/>
        </w:rPr>
        <w:t xml:space="preserve">). This is notably due to the lack of attractiveness of the sector, in particular for young people and women.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Furthermore, as explained in the previous section, the transport sector often suffers from </w:t>
      </w:r>
      <w:r>
        <w:rPr>
          <w:rFonts w:eastAsiaTheme="minorEastAsia"/>
          <w:b/>
          <w:bCs/>
          <w:noProof/>
          <w:lang w:eastAsia="ja-JP"/>
        </w:rPr>
        <w:t>harsh working conditions</w:t>
      </w:r>
      <w:r>
        <w:rPr>
          <w:rFonts w:eastAsiaTheme="minorEastAsia"/>
          <w:noProof/>
          <w:lang w:eastAsia="ja-JP"/>
        </w:rPr>
        <w:t xml:space="preserve">. These include atypical hours, long periods away from home or frequent problems of harassment and lead to a general </w:t>
      </w:r>
      <w:r>
        <w:rPr>
          <w:rFonts w:eastAsiaTheme="minorEastAsia"/>
          <w:b/>
          <w:bCs/>
          <w:noProof/>
          <w:lang w:eastAsia="ja-JP"/>
        </w:rPr>
        <w:t xml:space="preserve">lack of attractiveness </w:t>
      </w:r>
      <w:r>
        <w:rPr>
          <w:rFonts w:eastAsiaTheme="minorEastAsia"/>
          <w:noProof/>
          <w:lang w:eastAsia="ja-JP"/>
        </w:rPr>
        <w:t>of jobs in the transport sector.</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This lack of attractiveness and the need to make the transport sector more appealing to women were also raised by stakeholders in their responses to the public consultations on the ‘Sustainable and Smart Mobility Strategy’: a survey of more than 2,770 women transport workers from across Europe showed that “</w:t>
      </w:r>
      <w:r>
        <w:rPr>
          <w:rFonts w:eastAsiaTheme="minorEastAsia"/>
          <w:i/>
          <w:iCs/>
          <w:noProof/>
          <w:lang w:eastAsia="ja-JP"/>
        </w:rPr>
        <w:t>what is most needed in the transport sector is to eliminate the entrenched male culture, to provide safe workplaces where women are not exposed to violence and harassment by colleagues, superiors or customers, to have full access to proper sanitary facilities, to end unequal pay and to foster a good work-life balance</w:t>
      </w:r>
      <w:r>
        <w:rPr>
          <w:rFonts w:eastAsiaTheme="minorEastAsia"/>
          <w:noProof/>
          <w:lang w:eastAsia="ja-JP"/>
        </w:rPr>
        <w:t>”</w:t>
      </w:r>
      <w:r>
        <w:rPr>
          <w:rStyle w:val="FootnoteReference"/>
          <w:rFonts w:eastAsiaTheme="minorEastAsia"/>
          <w:noProof/>
          <w:lang w:eastAsia="ja-JP"/>
        </w:rPr>
        <w:footnoteReference w:id="538"/>
      </w:r>
      <w:r>
        <w:rPr>
          <w:rFonts w:eastAsiaTheme="minorEastAsia"/>
          <w:noProof/>
          <w:lang w:eastAsia="ja-JP"/>
        </w:rPr>
        <w:t xml:space="preserve">.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A further reason for not being appealing is the lack of information about what the sector does and what the career prospects are with sometimes reduced employability and overall attractiveness of careers due to very specific qualifications. The European sectoral social dialogue committees, the first Mobility Package proposed in 2017 and the ‘Women in Transport – EU Platform for change’</w:t>
      </w:r>
      <w:r>
        <w:rPr>
          <w:rStyle w:val="FootnoteReference"/>
          <w:rFonts w:eastAsiaTheme="minorEastAsia"/>
          <w:noProof/>
          <w:lang w:eastAsia="ja-JP"/>
        </w:rPr>
        <w:footnoteReference w:id="539"/>
      </w:r>
      <w:r>
        <w:rPr>
          <w:rFonts w:eastAsiaTheme="minorEastAsia"/>
          <w:noProof/>
          <w:lang w:eastAsia="ja-JP"/>
        </w:rPr>
        <w:t xml:space="preserve"> have started addressing these issues.</w:t>
      </w:r>
    </w:p>
    <w:p>
      <w:pPr>
        <w:pStyle w:val="LegalNumPar"/>
        <w:numPr>
          <w:ilvl w:val="0"/>
          <w:numId w:val="89"/>
        </w:numPr>
        <w:tabs>
          <w:tab w:val="left" w:pos="476"/>
        </w:tabs>
        <w:spacing w:line="240" w:lineRule="auto"/>
        <w:rPr>
          <w:rFonts w:eastAsiaTheme="minorEastAsia"/>
          <w:noProof/>
        </w:rPr>
      </w:pPr>
      <w:r>
        <w:rPr>
          <w:rFonts w:eastAsiaTheme="minorEastAsia"/>
          <w:noProof/>
        </w:rPr>
        <w:t xml:space="preserve">To fight today’s driver shortage, comprehensive measures are needed. For instance, for long distance road transport, the establishment of a comprehensive network of safe and secure parking will contribute to better working conditions and allow easier access to the profession for female drivers. The emerging highly automated driving technologies may help to address the issue of shortage and gender imbalance of drivers in the road sector. Driverless lorries in long-distance operations and remotely controlled vehicles may attract newcomers, including women, with the right skillsets required to operate or monitor such highly automated vehicles.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The </w:t>
      </w:r>
      <w:r>
        <w:rPr>
          <w:rFonts w:eastAsiaTheme="minorEastAsia"/>
          <w:noProof/>
        </w:rPr>
        <w:t>ageing</w:t>
      </w:r>
      <w:r>
        <w:rPr>
          <w:rFonts w:eastAsiaTheme="minorEastAsia"/>
          <w:noProof/>
          <w:lang w:eastAsia="ja-JP"/>
        </w:rPr>
        <w:t xml:space="preserve"> of the transport workforce also increases the need for developing lifelong learning programmes and increasing recruitment efforts for new technology-based skills and knowledge. In particular for key occupations such as train drivers this will be crucial to fully tap into the potential of digitalisation and automation.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Removing more and more staff from train technical functions will make them available for service jobs at terminals and station platforms or on board trains and may thus increase the quality and safety of services and help reducing cost. The opportunities offered by the technological innovation could help identifying ways to attract young people and women to the sector. Training and communication skills must adapt accordingly. The EU rules on the certification of train drivers is an important contribution in helping skillset to remain adequate in changing circumstances. Should these rules be revised, the impact of technological developments must be taken into account in order to shape the skills and job profile of future train drivers.</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In aviation, the level of attractiveness of the sector, which still remains generally high, has however been somewhat degraded over the past years due to fierce cost-based competition among market players. The situation is different in the segment of air traffic management workers, where wages remain attractive but working conditions may be affected locally by staff shortages and increasing requirements for flexibility in work organisation.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The attractiveness of waterborne transport suffers from harsh working conditions, such as atypical hours, long periods away from home, and reported cases of harassment. A further reason for the lack of appeal is the scarcity of information about what the sector does and what the career prospects are.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Maritime transport appears to have continuing difficulties in attracting European youngsters. One of the reasons include a general perception of harsh working and living conditions, and the absence of a modern working environment i.e. access to internet on board of vessels. The seafarer’s profession has also taken a reputational hit from reported experiences of forced labour, working under unacceptable conditions.</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Waterborne is a sector predominantly employing males, with women representing no more than 2% of seafarers globally. From a geographical perspective, the majority of seafarers originates from Asia (Philippines, India and Turkey) and Eastern Europe (Ukraine, Russia). In the EU, the main labour supplying countries are Romania, Bulgaria, Poland and Croatia.</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EU social policy in maritime transport aims at ensuring decent living and working conditions for seafarers, as well as adequate social protection to maintain the attractiveness of the profession; alongside enhancing adequate education levels. A main vehicle for Commission policy development of social issues in waterborne transport has also been the sectoral social dialogue between the social partners. However, as of today there is no systematic EU dialogue at expert level with Member State on these issues.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The Commission has initiated a number of projects and studies, among which the “SkillSea Project” under the “Blueprint for sectoral cooperation on skills”, to be concluded in 2023. The Commission also recently published a study on social aspects within maritime transport sector. The study examined policy achievements, gaps and shortcomings on social aspects since the ad-hoc Task Force on Maritime Employment and Competitiveness (2011) was set-up; its recommendations are being further discussed with European social partners and Member States.</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To increase the accessibility of transport, professionals also need to be trained on accessibility and on providing assistance to passengers with disabilities and reduced mobility. The legislative developments enhancing accessibility for persons with disabilities and reduced mobility and requiring the provision of assistance for these persons provide new business and job opportunities in these markets.</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The European Commission remains active at all international fora in discussions and actions on adapting the global regulation to new realities of the transport workforce, taking into account the pandemic crisis, as well as to make transport more resilient to any crisis in the future.</w:t>
      </w:r>
    </w:p>
    <w:p>
      <w:pPr>
        <w:pStyle w:val="Heading4"/>
        <w:numPr>
          <w:ilvl w:val="3"/>
          <w:numId w:val="98"/>
        </w:numPr>
        <w:rPr>
          <w:noProof/>
        </w:rPr>
      </w:pPr>
      <w:bookmarkStart w:id="4216" w:name="_Toc57291529"/>
      <w:r>
        <w:rPr>
          <w:noProof/>
        </w:rPr>
        <w:t>Access to transport: affordability, availability and accessibility</w:t>
      </w:r>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216"/>
    </w:p>
    <w:p>
      <w:pPr>
        <w:pStyle w:val="LegalNumPar"/>
        <w:numPr>
          <w:ilvl w:val="0"/>
          <w:numId w:val="89"/>
        </w:numPr>
        <w:tabs>
          <w:tab w:val="left" w:pos="476"/>
        </w:tabs>
        <w:spacing w:line="240" w:lineRule="auto"/>
        <w:rPr>
          <w:noProof/>
          <w:lang w:eastAsia="en-US"/>
        </w:rPr>
      </w:pPr>
      <w:r>
        <w:rPr>
          <w:b/>
          <w:bCs/>
          <w:noProof/>
          <w:lang w:eastAsia="en-US"/>
        </w:rPr>
        <w:t>Affordability</w:t>
      </w:r>
      <w:r>
        <w:rPr>
          <w:noProof/>
          <w:lang w:eastAsia="en-US"/>
        </w:rPr>
        <w:t xml:space="preserve"> of transport is a crucial issue. Indeed, whereas the Single Market in transport led to lower prices and more choices, increasing Europeans’ connectivity, mobility remains expensive for people who are more vulnerable. In fact, for users of transport services in the EU, consumer prices for operation of personal transport equipment and for transport services have increased at a faster pace between 2005 and 2018 than overall consumer price inflation.</w:t>
      </w:r>
      <w:r>
        <w:rPr>
          <w:noProof/>
          <w:vertAlign w:val="superscript"/>
          <w:lang w:eastAsia="en-US"/>
        </w:rPr>
        <w:footnoteReference w:id="540"/>
      </w:r>
      <w:r>
        <w:rPr>
          <w:noProof/>
          <w:vertAlign w:val="superscript"/>
          <w:lang w:eastAsia="en-US"/>
        </w:rPr>
        <w:t xml:space="preserve"> </w:t>
      </w:r>
      <w:r>
        <w:rPr>
          <w:noProof/>
          <w:lang w:eastAsia="en-US"/>
        </w:rPr>
        <w:t>Yet, the share of transport in final household expenditure on consumption has remained basically unchanged at 13% from 2005 to 2018. This figure varies depending on the Member State - in 2018, the share of household expenditure devoted to transport was largest in Slovenia (16.9%), ahead of Lithuania and Luxembourg (both 15.8%), and the smallest in Slovakia (6.8%), Croatia (9.7%) and Czechia (10.4%).</w:t>
      </w:r>
    </w:p>
    <w:p>
      <w:pPr>
        <w:pStyle w:val="LegalNumPar"/>
        <w:numPr>
          <w:ilvl w:val="0"/>
          <w:numId w:val="89"/>
        </w:numPr>
        <w:tabs>
          <w:tab w:val="left" w:pos="476"/>
        </w:tabs>
        <w:spacing w:line="240" w:lineRule="auto"/>
        <w:rPr>
          <w:noProof/>
        </w:rPr>
      </w:pPr>
      <w:r>
        <w:rPr>
          <w:noProof/>
        </w:rPr>
        <w:t>The price index for fuels and lubricants for the operation of personal transport equipment has increased by 9% from 2015 to 2019 (the price index for overall transport services, purchase and operation of personal transport equipment has increased by 8% over this period). The consumer price index for passenger transport services has also increased from 2015 to 2019, although differently for each mode: rail: + 5%; aviation: + 7%; waterborne: +4%; and road transport: +5%.</w:t>
      </w:r>
      <w:r>
        <w:rPr>
          <w:rStyle w:val="FootnoteReference"/>
          <w:noProof/>
        </w:rPr>
        <w:footnoteReference w:id="541"/>
      </w:r>
      <w:r>
        <w:rPr>
          <w:noProof/>
          <w:vertAlign w:val="superscript"/>
        </w:rPr>
        <w:t xml:space="preserve"> </w:t>
      </w:r>
      <w:r>
        <w:rPr>
          <w:noProof/>
        </w:rPr>
        <w:t>Yet, the share of transport in final household expenditure on consumption has remained basically unchanged at 13% from 2005 to 2018</w:t>
      </w:r>
      <w:r>
        <w:rPr>
          <w:noProof/>
          <w:lang w:eastAsia="en-US"/>
        </w:rPr>
        <w:t>.</w:t>
      </w:r>
    </w:p>
    <w:p>
      <w:pPr>
        <w:pStyle w:val="Caption"/>
        <w:keepNext/>
        <w:keepLines/>
        <w:jc w:val="center"/>
        <w:rPr>
          <w:i w:val="0"/>
          <w:noProof/>
        </w:rPr>
      </w:pPr>
      <w:bookmarkStart w:id="4217" w:name="_Toc51450054"/>
      <w:bookmarkStart w:id="4218" w:name="_Toc51593794"/>
      <w:bookmarkStart w:id="4219" w:name="_Toc51595261"/>
      <w:bookmarkStart w:id="4220" w:name="_Toc51595511"/>
      <w:bookmarkStart w:id="4221" w:name="_Toc51595837"/>
      <w:bookmarkStart w:id="4222" w:name="_Toc51596000"/>
      <w:bookmarkStart w:id="4223" w:name="_Toc52121487"/>
      <w:bookmarkStart w:id="4224" w:name="_Toc52122718"/>
      <w:bookmarkStart w:id="4225" w:name="_Toc53405282"/>
      <w:bookmarkStart w:id="4226" w:name="_Toc53406072"/>
      <w:bookmarkStart w:id="4227" w:name="_Toc53407438"/>
      <w:bookmarkStart w:id="4228" w:name="_Toc53410885"/>
      <w:bookmarkStart w:id="4229" w:name="_Toc53411948"/>
      <w:bookmarkStart w:id="4230" w:name="_Toc53417195"/>
      <w:bookmarkStart w:id="4231" w:name="_Toc53417547"/>
      <w:bookmarkStart w:id="4232" w:name="_Toc53419580"/>
      <w:bookmarkStart w:id="4233" w:name="_Toc53434885"/>
      <w:bookmarkStart w:id="4234" w:name="_Toc53437025"/>
      <w:bookmarkStart w:id="4235" w:name="_Toc57291684"/>
      <w:r>
        <w:rPr>
          <w:i w:val="0"/>
          <w:noProof/>
        </w:rPr>
        <w:t xml:space="preserve">Figure </w:t>
      </w:r>
      <w:r>
        <w:rPr>
          <w:noProof/>
        </w:rPr>
        <w:fldChar w:fldCharType="begin"/>
      </w:r>
      <w:r>
        <w:rPr>
          <w:i w:val="0"/>
          <w:noProof/>
        </w:rPr>
        <w:instrText xml:space="preserve"> SEQ Figure \* ARABIC </w:instrText>
      </w:r>
      <w:r>
        <w:rPr>
          <w:noProof/>
        </w:rPr>
        <w:fldChar w:fldCharType="separate"/>
      </w:r>
      <w:r>
        <w:rPr>
          <w:i w:val="0"/>
          <w:noProof/>
        </w:rPr>
        <w:t>40</w:t>
      </w:r>
      <w:r>
        <w:rPr>
          <w:noProof/>
        </w:rPr>
        <w:fldChar w:fldCharType="end"/>
      </w:r>
      <w:r>
        <w:rPr>
          <w:i w:val="0"/>
          <w:noProof/>
        </w:rPr>
        <w:t>: Share of different items in household consumption expenditure in the EU</w:t>
      </w:r>
      <w:r>
        <w:rPr>
          <w:i w:val="0"/>
          <w:noProof/>
          <w:vertAlign w:val="superscript"/>
        </w:rPr>
        <w:footnoteReference w:id="542"/>
      </w:r>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p>
    <w:p>
      <w:pPr>
        <w:rPr>
          <w:noProof/>
        </w:rPr>
      </w:pPr>
      <w:r>
        <w:rPr>
          <w:noProof/>
        </w:rPr>
        <w:drawing>
          <wp:inline distT="0" distB="0" distL="0" distR="0">
            <wp:extent cx="5400040" cy="3506665"/>
            <wp:effectExtent l="0" t="0" r="0" b="0"/>
            <wp:docPr id="11" name="Picture 11" descr="C:\Users\sulyoge\Documents\Picture37-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lyoge\Documents\Picture37-min.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400040" cy="3506665"/>
                    </a:xfrm>
                    <a:prstGeom prst="rect">
                      <a:avLst/>
                    </a:prstGeom>
                    <a:noFill/>
                    <a:ln>
                      <a:noFill/>
                    </a:ln>
                  </pic:spPr>
                </pic:pic>
              </a:graphicData>
            </a:graphic>
          </wp:inline>
        </w:drawing>
      </w:r>
    </w:p>
    <w:p>
      <w:pPr>
        <w:pStyle w:val="LegalNumPar"/>
        <w:tabs>
          <w:tab w:val="left" w:pos="476"/>
        </w:tabs>
        <w:spacing w:line="240" w:lineRule="auto"/>
        <w:ind w:left="476"/>
        <w:rPr>
          <w:noProof/>
          <w:szCs w:val="24"/>
          <w:lang w:eastAsia="en-US"/>
        </w:rPr>
      </w:pPr>
    </w:p>
    <w:p>
      <w:pPr>
        <w:pStyle w:val="LegalNumPar"/>
        <w:numPr>
          <w:ilvl w:val="0"/>
          <w:numId w:val="89"/>
        </w:numPr>
        <w:tabs>
          <w:tab w:val="left" w:pos="476"/>
        </w:tabs>
        <w:spacing w:line="240" w:lineRule="auto"/>
        <w:rPr>
          <w:noProof/>
          <w:lang w:eastAsia="en-US"/>
        </w:rPr>
      </w:pPr>
      <w:r>
        <w:rPr>
          <w:noProof/>
          <w:lang w:eastAsia="en-US"/>
        </w:rPr>
        <w:t>In the EU-27, 2.3 % of the population cannot afford public transport and in some Member States more than 5% of the population cannot afford public transport (e.g. Romania, Bulgaria). Low-income households struggle even more to afford public transport. On average, 5.4% of the population with the lowest income in the EU-27 cannot afford public transport, and in some Member States this share can reach up to 20 % (19.5% Bulgaria, 17.3% Hungary, 11.9 % Romania)</w:t>
      </w:r>
      <w:r>
        <w:rPr>
          <w:rStyle w:val="FootnoteReference"/>
          <w:noProof/>
          <w:lang w:eastAsia="en-US"/>
        </w:rPr>
        <w:footnoteReference w:id="543"/>
      </w:r>
      <w:r>
        <w:rPr>
          <w:noProof/>
          <w:lang w:eastAsia="en-US"/>
        </w:rPr>
        <w:t>.</w:t>
      </w:r>
    </w:p>
    <w:p>
      <w:pPr>
        <w:pStyle w:val="LegalNumPar"/>
        <w:numPr>
          <w:ilvl w:val="0"/>
          <w:numId w:val="89"/>
        </w:numPr>
        <w:tabs>
          <w:tab w:val="left" w:pos="476"/>
        </w:tabs>
        <w:spacing w:line="240" w:lineRule="auto"/>
        <w:rPr>
          <w:noProof/>
          <w:lang w:eastAsia="en-US"/>
        </w:rPr>
      </w:pPr>
      <w:r>
        <w:rPr>
          <w:noProof/>
          <w:lang w:eastAsia="en-US"/>
        </w:rPr>
        <w:t xml:space="preserve">In 2018, private households in the EU-27 spent EUR 931 billion or roughly 13% of their total consumption on transport-related items. Around 30 % of this sum (around EUR 262 billion) was used to purchase vehicles, around half (EUR 510 billion) was spent on the operation of personal transport equipment (e.g. to buy fuel for the car) and the rest (EUR 159 billion) was spent for transport services (e.g. bus, train, plane tickets). </w:t>
      </w:r>
    </w:p>
    <w:p>
      <w:pPr>
        <w:pStyle w:val="LegalNumPar"/>
        <w:numPr>
          <w:ilvl w:val="0"/>
          <w:numId w:val="89"/>
        </w:numPr>
        <w:tabs>
          <w:tab w:val="left" w:pos="476"/>
        </w:tabs>
        <w:spacing w:line="240" w:lineRule="auto"/>
        <w:rPr>
          <w:noProof/>
          <w:lang w:eastAsia="en-US"/>
        </w:rPr>
      </w:pPr>
      <w:r>
        <w:rPr>
          <w:noProof/>
          <w:lang w:eastAsia="en-US"/>
        </w:rPr>
        <w:t xml:space="preserve">As regards to private cars: the EU counts 531 cars per 1,000 inhabitants. Luxembourg has the highest car density in the EU (690 per 1,000 people) and Latvia the lowest (329). In Latvia, nearly half of all household (48.8%) do not own a car, while more than 31% of French families have two cars (ACEA Report, 2019). The daily use of cars is also closely related to income levels: respondents who almost never have difficulties paying bills are more likely to use a car on a daily basis (52%) than those who have difficulties paying their bills most of the time (37%), so car ownership and use can be correlated with income and wealth levels. On average, 6.5 % of all EU citizens cannot afford a car and in some countries, this share exceeds 20% (Hungary, Bulgaria and Romania).    </w:t>
      </w:r>
    </w:p>
    <w:p>
      <w:pPr>
        <w:pStyle w:val="LegalNumPar"/>
        <w:numPr>
          <w:ilvl w:val="0"/>
          <w:numId w:val="89"/>
        </w:numPr>
        <w:tabs>
          <w:tab w:val="left" w:pos="476"/>
        </w:tabs>
        <w:spacing w:line="240" w:lineRule="auto"/>
        <w:rPr>
          <w:noProof/>
        </w:rPr>
      </w:pPr>
      <w:r>
        <w:rPr>
          <w:noProof/>
          <w:lang w:eastAsia="en-US"/>
        </w:rPr>
        <w:t xml:space="preserve">When choosing between different transport modes, the unemployed are the most likely to use urban public transport: 23 % against an average of 19 % (Eurobarometer 406, 2013). In Brussels, 53% of households do not have access to a car.  Two thirds of the poorer households in Berlin do not have access to a car.  Policies aimed at addressing the “affordability of car use” therefore have a very different impact depending on whether they are addressing car use in urban or rural areas, where car use is much more prevalent.    </w:t>
      </w:r>
    </w:p>
    <w:p>
      <w:pPr>
        <w:pStyle w:val="LegalNumPar"/>
        <w:numPr>
          <w:ilvl w:val="0"/>
          <w:numId w:val="89"/>
        </w:numPr>
        <w:tabs>
          <w:tab w:val="left" w:pos="476"/>
        </w:tabs>
        <w:spacing w:line="240" w:lineRule="auto"/>
        <w:rPr>
          <w:noProof/>
        </w:rPr>
      </w:pPr>
      <w:r>
        <w:rPr>
          <w:noProof/>
        </w:rPr>
        <w:t>At-risk groups for transport poverty include households with low incomes, the unemployed, ethnic minority members, or households that have children, or members with reduced mobility (including persons with disabilities, elderly persons). Rural and peri-urban communities are more at risk because they lack access to alternatives to car-use.</w:t>
      </w:r>
    </w:p>
    <w:p>
      <w:pPr>
        <w:pStyle w:val="LegalNumPar"/>
        <w:numPr>
          <w:ilvl w:val="0"/>
          <w:numId w:val="89"/>
        </w:numPr>
        <w:tabs>
          <w:tab w:val="left" w:pos="476"/>
        </w:tabs>
        <w:spacing w:line="240" w:lineRule="auto"/>
        <w:rPr>
          <w:noProof/>
        </w:rPr>
      </w:pPr>
      <w:r>
        <w:rPr>
          <w:noProof/>
        </w:rPr>
        <w:t xml:space="preserve">Transport poverty increases social exclusion as citizens might not have the means to get to work, services, social networks, and to reach essential facilities they are entitled to. Lack of mobility can lead to social disadvantage and exclusion. In general, groups more at risk of social exclusion are especially subject to transport disadvantage.     </w:t>
      </w:r>
    </w:p>
    <w:p>
      <w:pPr>
        <w:pStyle w:val="LegalNumPar"/>
        <w:numPr>
          <w:ilvl w:val="0"/>
          <w:numId w:val="89"/>
        </w:numPr>
        <w:tabs>
          <w:tab w:val="left" w:pos="476"/>
        </w:tabs>
        <w:spacing w:line="240" w:lineRule="auto"/>
        <w:rPr>
          <w:noProof/>
        </w:rPr>
      </w:pPr>
      <w:r>
        <w:rPr>
          <w:noProof/>
        </w:rPr>
        <w:t>According to the European Social Policy Network (ESPN) report on “Access to essential services for people on low incomes in Europe”</w:t>
      </w:r>
      <w:r>
        <w:rPr>
          <w:rStyle w:val="FootnoteReference"/>
          <w:noProof/>
        </w:rPr>
        <w:footnoteReference w:id="544"/>
      </w:r>
      <w:r>
        <w:rPr>
          <w:noProof/>
        </w:rPr>
        <w:t>, the lack of availability and affordability are the two main barriers that affect access of people on low incomes to adequate public transport services in the EU. In those Member States where targeted measures are in place for low-income people, those include reduced tariffs, subsidies as well as social protection measures. The latter are often linked to minimum income schemes, also for eligibility. In addition, improving the quality of the infrastructures (e.g. improved physical accessibility) is one of the ways to improve access to essential transport services.</w:t>
      </w:r>
    </w:p>
    <w:p>
      <w:pPr>
        <w:pStyle w:val="LegalNumPar"/>
        <w:numPr>
          <w:ilvl w:val="0"/>
          <w:numId w:val="89"/>
        </w:numPr>
        <w:tabs>
          <w:tab w:val="left" w:pos="476"/>
        </w:tabs>
        <w:spacing w:line="240" w:lineRule="auto"/>
        <w:rPr>
          <w:noProof/>
        </w:rPr>
      </w:pPr>
      <w:r>
        <w:rPr>
          <w:noProof/>
        </w:rPr>
        <w:t>Unless done with due consideration to the people in vulnerable situations in our societies, including persons with disabilities and reduced mobility, i</w:t>
      </w:r>
      <w:r>
        <w:rPr>
          <w:noProof/>
          <w:lang w:eastAsia="en-US"/>
        </w:rPr>
        <w:t xml:space="preserve">nternalising external costs and more sustainable transport could, because of higher transport costs, raise concerns over the transport affordability and risk of connectivity’s loss in remote areas or for people on low incomes, especially where provision of public transport is poor. </w:t>
      </w:r>
    </w:p>
    <w:p>
      <w:pPr>
        <w:pStyle w:val="LegalNumPar"/>
        <w:numPr>
          <w:ilvl w:val="0"/>
          <w:numId w:val="89"/>
        </w:numPr>
        <w:tabs>
          <w:tab w:val="left" w:pos="476"/>
        </w:tabs>
        <w:spacing w:line="240" w:lineRule="auto"/>
        <w:rPr>
          <w:noProof/>
        </w:rPr>
      </w:pPr>
      <w:r>
        <w:rPr>
          <w:noProof/>
          <w:lang w:eastAsia="en-US"/>
        </w:rPr>
        <w:t xml:space="preserve">Price signals are important to incentivise greener options and choices. However, if transport is to remain affordable, this cannot only be about making polluting modes of transport more expensive by internalising external costs, but also about reducing the costs generally on more sustainable alternatives. Specific compensation schemes and the effective use of taxation and subsidy will be key to ensure a socially and geographically fair transition. </w:t>
      </w:r>
    </w:p>
    <w:p>
      <w:pPr>
        <w:pStyle w:val="LegalNumPar"/>
        <w:numPr>
          <w:ilvl w:val="0"/>
          <w:numId w:val="89"/>
        </w:numPr>
        <w:tabs>
          <w:tab w:val="left" w:pos="476"/>
        </w:tabs>
        <w:spacing w:line="240" w:lineRule="auto"/>
        <w:rPr>
          <w:noProof/>
        </w:rPr>
      </w:pPr>
      <w:r>
        <w:rPr>
          <w:noProof/>
        </w:rPr>
        <w:t>The importance of keeping transport affordable in a context of transition towards making it sustainable is illustrated by the respondents to the Eurobarometer on Mobility and Transport</w:t>
      </w:r>
      <w:r>
        <w:rPr>
          <w:rStyle w:val="FootnoteReference"/>
          <w:noProof/>
        </w:rPr>
        <w:footnoteReference w:id="545"/>
      </w:r>
      <w:r>
        <w:rPr>
          <w:noProof/>
        </w:rPr>
        <w:t xml:space="preserve"> who state that their switch to more environmentally friendly modes of transport would be subject to the condition of it not being more expensive.</w:t>
      </w:r>
    </w:p>
    <w:p>
      <w:pPr>
        <w:pStyle w:val="Caption"/>
        <w:keepNext/>
        <w:keepLines/>
        <w:jc w:val="center"/>
        <w:rPr>
          <w:i w:val="0"/>
          <w:noProof/>
        </w:rPr>
      </w:pPr>
      <w:bookmarkStart w:id="4236" w:name="_Toc51450055"/>
      <w:bookmarkStart w:id="4237" w:name="_Toc51593795"/>
      <w:bookmarkStart w:id="4238" w:name="_Toc51595262"/>
      <w:bookmarkStart w:id="4239" w:name="_Toc51595512"/>
      <w:bookmarkStart w:id="4240" w:name="_Toc51595838"/>
      <w:bookmarkStart w:id="4241" w:name="_Toc51596001"/>
      <w:bookmarkStart w:id="4242" w:name="_Toc52121488"/>
      <w:bookmarkStart w:id="4243" w:name="_Toc52122719"/>
      <w:bookmarkStart w:id="4244" w:name="_Toc53405283"/>
      <w:bookmarkStart w:id="4245" w:name="_Toc53406073"/>
      <w:bookmarkStart w:id="4246" w:name="_Toc53407439"/>
      <w:bookmarkStart w:id="4247" w:name="_Toc53410886"/>
      <w:bookmarkStart w:id="4248" w:name="_Toc53411949"/>
      <w:bookmarkStart w:id="4249" w:name="_Toc53417196"/>
      <w:bookmarkStart w:id="4250" w:name="_Toc53417548"/>
      <w:bookmarkStart w:id="4251" w:name="_Toc53419581"/>
      <w:bookmarkStart w:id="4252" w:name="_Toc53434886"/>
      <w:bookmarkStart w:id="4253" w:name="_Toc53437026"/>
      <w:bookmarkStart w:id="4254" w:name="_Toc57291685"/>
      <w:r>
        <w:rPr>
          <w:i w:val="0"/>
          <w:noProof/>
        </w:rPr>
        <w:t xml:space="preserve">Figure </w:t>
      </w:r>
      <w:r>
        <w:rPr>
          <w:noProof/>
        </w:rPr>
        <w:fldChar w:fldCharType="begin"/>
      </w:r>
      <w:r>
        <w:rPr>
          <w:i w:val="0"/>
          <w:noProof/>
        </w:rPr>
        <w:instrText xml:space="preserve"> SEQ Figure \* ARABIC </w:instrText>
      </w:r>
      <w:r>
        <w:rPr>
          <w:noProof/>
        </w:rPr>
        <w:fldChar w:fldCharType="separate"/>
      </w:r>
      <w:r>
        <w:rPr>
          <w:i w:val="0"/>
          <w:noProof/>
        </w:rPr>
        <w:t>41</w:t>
      </w:r>
      <w:r>
        <w:rPr>
          <w:noProof/>
        </w:rPr>
        <w:fldChar w:fldCharType="end"/>
      </w:r>
      <w:r>
        <w:rPr>
          <w:i w:val="0"/>
          <w:noProof/>
        </w:rPr>
        <w:t>: Conditions to switch to more environmentally friendly modes of transport</w:t>
      </w:r>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r>
        <w:rPr>
          <w:i w:val="0"/>
          <w:noProof/>
        </w:rPr>
        <w:t xml:space="preserve"> </w:t>
      </w:r>
    </w:p>
    <w:p>
      <w:pPr>
        <w:pStyle w:val="LegalNumPar"/>
        <w:tabs>
          <w:tab w:val="left" w:pos="476"/>
        </w:tabs>
        <w:spacing w:line="240" w:lineRule="auto"/>
        <w:ind w:left="476"/>
        <w:rPr>
          <w:rFonts w:eastAsiaTheme="minorEastAsia"/>
          <w:noProof/>
        </w:rPr>
      </w:pPr>
      <w:r>
        <w:rPr>
          <w:rFonts w:eastAsiaTheme="minorEastAsia"/>
          <w:noProof/>
        </w:rPr>
        <w:drawing>
          <wp:inline distT="0" distB="0" distL="0" distR="0">
            <wp:extent cx="5048250" cy="3531991"/>
            <wp:effectExtent l="0" t="0" r="0" b="0"/>
            <wp:docPr id="1657890229" name="Picture 1657890229" descr="\\NET1.cec.eu.int\homes\115\sulyoge\My Documents\White Paper\SWD\Figures\Pictur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T1.cec.eu.int\homes\115\sulyoge\My Documents\White Paper\SWD\Figures\Picture22.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051992" cy="3534609"/>
                    </a:xfrm>
                    <a:prstGeom prst="rect">
                      <a:avLst/>
                    </a:prstGeom>
                    <a:noFill/>
                    <a:ln>
                      <a:noFill/>
                    </a:ln>
                  </pic:spPr>
                </pic:pic>
              </a:graphicData>
            </a:graphic>
          </wp:inline>
        </w:drawing>
      </w:r>
    </w:p>
    <w:p>
      <w:pPr>
        <w:pStyle w:val="LegalNumPar"/>
        <w:numPr>
          <w:ilvl w:val="0"/>
          <w:numId w:val="89"/>
        </w:numPr>
        <w:tabs>
          <w:tab w:val="left" w:pos="476"/>
        </w:tabs>
        <w:spacing w:line="240" w:lineRule="auto"/>
        <w:rPr>
          <w:noProof/>
          <w:lang w:eastAsia="en-US"/>
        </w:rPr>
      </w:pPr>
      <w:r>
        <w:rPr>
          <w:rFonts w:eastAsiaTheme="minorEastAsia"/>
          <w:b/>
          <w:bCs/>
          <w:noProof/>
          <w:lang w:eastAsia="ja-JP"/>
        </w:rPr>
        <w:t>Availability</w:t>
      </w:r>
      <w:r>
        <w:rPr>
          <w:rFonts w:eastAsiaTheme="minorEastAsia"/>
          <w:noProof/>
          <w:lang w:eastAsia="ja-JP"/>
        </w:rPr>
        <w:t xml:space="preserve"> of transport is another key issue. </w:t>
      </w:r>
      <w:r>
        <w:rPr>
          <w:noProof/>
          <w:lang w:eastAsia="en-US"/>
        </w:rPr>
        <w:t>The Eurobarometer on Mobility and Transport</w:t>
      </w:r>
      <w:r>
        <w:rPr>
          <w:rStyle w:val="FootnoteReference"/>
          <w:noProof/>
          <w:lang w:eastAsia="en-US"/>
        </w:rPr>
        <w:footnoteReference w:id="546"/>
      </w:r>
      <w:r>
        <w:rPr>
          <w:noProof/>
          <w:lang w:eastAsia="en-US"/>
        </w:rPr>
        <w:t xml:space="preserve"> shows that the less urbanised the respondent’s environment is, the more likely they are to say there is no alternative to taking the car: 46% who live in rural villages say this, compared to 25% living in large towns. A study focusing on smart transport services in rural areas</w:t>
      </w:r>
      <w:r>
        <w:rPr>
          <w:noProof/>
          <w:vertAlign w:val="superscript"/>
        </w:rPr>
        <w:footnoteReference w:id="547"/>
      </w:r>
      <w:r>
        <w:rPr>
          <w:noProof/>
          <w:lang w:eastAsia="en-US"/>
        </w:rPr>
        <w:t xml:space="preserve">, concluded the predominant absence of specific policies for rural transport with very few obligations to provide </w:t>
      </w:r>
      <w:r>
        <w:rPr>
          <w:rFonts w:eastAsiaTheme="minorEastAsia"/>
          <w:noProof/>
          <w:lang w:eastAsia="en-US"/>
        </w:rPr>
        <w:t>rural</w:t>
      </w:r>
      <w:r>
        <w:rPr>
          <w:noProof/>
          <w:lang w:eastAsia="en-US"/>
        </w:rPr>
        <w:t xml:space="preserve"> mobility services. Organisational arrangements for rural shared mobility need to be strengthened.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Public services obligations (PSOs) play an essential role in ensuring connectivity, a high level of quality of service and in keeping transport affordable. Transport services provided under PSOs are socially, economically and politically very significant: most urban bus, metro and tram services; 2/3 of all passenger rail transport services; 180 air routes connecting peripheral and development regions; about 1% of EU GDP and of total employment. PSOs provides connectivity that is vital for EU remote regions: a 10% increase in connectivity stimulates GDP by an additional 0.5%</w:t>
      </w:r>
      <w:r>
        <w:rPr>
          <w:rFonts w:eastAsiaTheme="minorEastAsia"/>
          <w:noProof/>
          <w:vertAlign w:val="superscript"/>
        </w:rPr>
        <w:footnoteReference w:id="548"/>
      </w:r>
      <w:r>
        <w:rPr>
          <w:rFonts w:eastAsiaTheme="minorEastAsia"/>
          <w:noProof/>
          <w:lang w:eastAsia="ja-JP"/>
        </w:rPr>
        <w:t xml:space="preserve">.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While the principle and usefulness of PSOs as a tool to ensure affordable services and availability is generally acknowledged by all stakeholders across transport modes, the scope and specification of PSOs can be contentious and have a negative impact on the functioning of the internal market.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The tendering process is perceived burdensome and inflexible. Besides, stakeholders highlight a risk of non-genuine PSOs imposed by Member States. When the scope of the PSO goes beyond a real public need and/or covers services that can provided commercially, the compensation and/or exclusive rights granted to a specific operator for the provision of the public service can prevent market entry and distort competition. This issue was highlighted in the 2019 evaluation of Regulation n°1008/2008 on air services: unnecessary PSOs on routes that could be commercially viable may have the effect of driving away competitors, effectively reducing the connectivity of remote regions.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This is all the more problematic as a badly designed PSO may be subject to ex-post complaints (based on the infringement of sectorial and/or State aid rules) and possible annulments following intervention by the Commission or national courts. Such a scenario may result in a disruption of the public transport service. It may also have severe financial impact on the operator in charge of the public service: in application of State aid rules, a Commission Decision concluding that the PSO remit is incorrectly specified may result in the recovery of the entire compensation received by the operator.</w:t>
      </w:r>
    </w:p>
    <w:p>
      <w:pPr>
        <w:pStyle w:val="LegalNumPar"/>
        <w:numPr>
          <w:ilvl w:val="0"/>
          <w:numId w:val="89"/>
        </w:numPr>
        <w:tabs>
          <w:tab w:val="left" w:pos="476"/>
        </w:tabs>
        <w:spacing w:line="240" w:lineRule="auto"/>
        <w:rPr>
          <w:rFonts w:eastAsiaTheme="minorEastAsia"/>
          <w:noProof/>
        </w:rPr>
      </w:pPr>
      <w:r>
        <w:rPr>
          <w:rFonts w:eastAsiaTheme="minorEastAsia"/>
          <w:noProof/>
          <w:lang w:eastAsia="ja-JP"/>
        </w:rPr>
        <w:t>The</w:t>
      </w:r>
      <w:r>
        <w:rPr>
          <w:rFonts w:eastAsiaTheme="minorEastAsia"/>
          <w:noProof/>
        </w:rPr>
        <w:t xml:space="preserve"> </w:t>
      </w:r>
      <w:r>
        <w:rPr>
          <w:rFonts w:eastAsiaTheme="minorEastAsia"/>
          <w:noProof/>
          <w:lang w:eastAsia="ja-JP"/>
        </w:rPr>
        <w:t xml:space="preserve"> discretionary power enjoyed by Member States is limited by the sectorial rules developed at EU level as well as State aid rules applicable to services of general economic interest (SGEIs)</w:t>
      </w:r>
      <w:r>
        <w:rPr>
          <w:rStyle w:val="FootnoteReference"/>
          <w:rFonts w:eastAsiaTheme="minorEastAsia"/>
          <w:noProof/>
          <w:lang w:eastAsia="ja-JP"/>
        </w:rPr>
        <w:footnoteReference w:id="549"/>
      </w:r>
      <w:r>
        <w:rPr>
          <w:rFonts w:eastAsiaTheme="minorEastAsia"/>
          <w:noProof/>
          <w:lang w:eastAsia="ja-JP"/>
        </w:rPr>
        <w:t xml:space="preserve">. </w:t>
      </w:r>
    </w:p>
    <w:p>
      <w:pPr>
        <w:pStyle w:val="LegalNumPar"/>
        <w:numPr>
          <w:ilvl w:val="0"/>
          <w:numId w:val="89"/>
        </w:numPr>
        <w:tabs>
          <w:tab w:val="left" w:pos="476"/>
        </w:tabs>
        <w:spacing w:line="240" w:lineRule="auto"/>
        <w:rPr>
          <w:noProof/>
        </w:rPr>
      </w:pPr>
      <w:r>
        <w:rPr>
          <w:rFonts w:eastAsiaTheme="minorEastAsia"/>
          <w:noProof/>
          <w:lang w:eastAsia="ja-JP"/>
        </w:rPr>
        <w:t xml:space="preserve">In accordance with State rules applicable to SGEIs, sectorial provisions on PSOs and their specifications are currently laid down in Regulation (EC) n°1370/2007 on public passenger transport services by rail and by road, Regulation (EEC) n°3577/92 on maritime cabotage and Regulation (EC) n° 1008/2008 on air services. Although the concept of PSOs is in essence the same for all modes, there are some differences between these provisions, </w:t>
      </w:r>
      <w:r>
        <w:rPr>
          <w:rFonts w:eastAsiaTheme="minorEastAsia"/>
          <w:noProof/>
        </w:rPr>
        <w:t>for</w:t>
      </w:r>
      <w:r>
        <w:rPr>
          <w:rFonts w:eastAsiaTheme="minorEastAsia"/>
          <w:noProof/>
          <w:lang w:eastAsia="ja-JP"/>
        </w:rPr>
        <w:t xml:space="preserve"> example, Regulation (EC) n°1370/2007 specifically authorises the grouping of cost covering and non-covering services in the same public service contract, which is not specifically allowed under the other regulations. This feature is basically motivated by the network character of land transport services compared to point-to point services in air and maritime transport. Regulation (EC) n°1008/2008 imposes more constraints on Member States when they specify PSOs.</w:t>
      </w:r>
      <w:r>
        <w:rPr>
          <w:rFonts w:eastAsiaTheme="minorEastAsia"/>
          <w:noProof/>
        </w:rPr>
        <w:t xml:space="preserve"> </w:t>
      </w:r>
    </w:p>
    <w:p>
      <w:pPr>
        <w:pStyle w:val="LegalNumPar"/>
        <w:numPr>
          <w:ilvl w:val="0"/>
          <w:numId w:val="89"/>
        </w:numPr>
        <w:tabs>
          <w:tab w:val="left" w:pos="476"/>
        </w:tabs>
        <w:spacing w:line="240" w:lineRule="auto"/>
        <w:rPr>
          <w:noProof/>
        </w:rPr>
      </w:pPr>
      <w:r>
        <w:rPr>
          <w:rFonts w:eastAsiaTheme="minorEastAsia"/>
          <w:noProof/>
          <w:lang w:eastAsia="ja-JP"/>
        </w:rPr>
        <w:t xml:space="preserve">The increasing number of complaints regarding a possible manifest error in the definition of PSOs creates a threat to the legal certainty of the award procedures of public service contracts. This serious challenge calls for an increased effort by most public authorities to better design their economic intervention. That being said, this should ultimately help channel public financing to where it is more urgently needed (social aid, financing of infrastructure, etc…)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 As regards passenger rights, PSO could provide for a certain minimum standard for services that do not fall under mandatory rules on passenger rights. Currently, far more than half of the rail services are tendered under the PSOs rules, while mandatory rules on passenger rights apply only for parts of the services concerned (which is mostly due to exemptions applied by Member States in accordance with Regulation (EC) No1371/2007).</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Furthermore, even under the more specific PSO provisions of Regulation (EC) n°1008/2008, stakeholders have identified divergences in implementation of these provisions between Member States. They also highlight the complexity and burdensome nature of the procedure for the attribution of PSO (e.g. lack of time to prepare tenders, the complexity of the contracts).</w:t>
      </w:r>
    </w:p>
    <w:p>
      <w:pPr>
        <w:pStyle w:val="LegalNumPar"/>
        <w:numPr>
          <w:ilvl w:val="0"/>
          <w:numId w:val="89"/>
        </w:numPr>
        <w:tabs>
          <w:tab w:val="left" w:pos="476"/>
        </w:tabs>
        <w:spacing w:line="240" w:lineRule="auto"/>
        <w:rPr>
          <w:rFonts w:eastAsiaTheme="minorEastAsia"/>
          <w:noProof/>
        </w:rPr>
      </w:pPr>
      <w:r>
        <w:rPr>
          <w:rFonts w:eastAsiaTheme="minorEastAsia"/>
          <w:noProof/>
          <w:lang w:eastAsia="ja-JP"/>
        </w:rPr>
        <w:t>Finally, not all rules regarding PSOs refer specifically to environmental requirements. Such references are lacking in Regulation (EC) 1008/2008 and Regulation (EEC) 3577/92. Regulation (EC) 1370/2007 leaves competent authorities the possibility to establish social and qualitative criteria for PSO, which may also include criteria related to environmental protection (see 17</w:t>
      </w:r>
      <w:r>
        <w:rPr>
          <w:rFonts w:eastAsiaTheme="minorEastAsia"/>
          <w:noProof/>
          <w:vertAlign w:val="superscript"/>
          <w:lang w:eastAsia="ja-JP"/>
        </w:rPr>
        <w:t>th</w:t>
      </w:r>
      <w:r>
        <w:rPr>
          <w:rFonts w:eastAsiaTheme="minorEastAsia"/>
          <w:noProof/>
          <w:lang w:eastAsia="ja-JP"/>
        </w:rPr>
        <w:t xml:space="preserve"> recital).</w:t>
      </w:r>
    </w:p>
    <w:p>
      <w:pPr>
        <w:pStyle w:val="LegalNumPar"/>
        <w:numPr>
          <w:ilvl w:val="0"/>
          <w:numId w:val="89"/>
        </w:numPr>
        <w:tabs>
          <w:tab w:val="left" w:pos="476"/>
        </w:tabs>
        <w:spacing w:line="240" w:lineRule="auto"/>
        <w:rPr>
          <w:rFonts w:eastAsiaTheme="minorEastAsia"/>
          <w:noProof/>
          <w:lang w:eastAsia="ja-JP"/>
        </w:rPr>
      </w:pPr>
      <w:r>
        <w:rPr>
          <w:rFonts w:eastAsiaTheme="minorEastAsia"/>
          <w:b/>
          <w:bCs/>
          <w:noProof/>
          <w:lang w:eastAsia="ja-JP"/>
        </w:rPr>
        <w:t>Accessibility</w:t>
      </w:r>
      <w:r>
        <w:rPr>
          <w:rFonts w:eastAsiaTheme="minorEastAsia"/>
          <w:noProof/>
          <w:lang w:eastAsia="ja-JP"/>
        </w:rPr>
        <w:t xml:space="preserve"> to transport also remains a challenge. Persons with disabilities and reduced mobility face challenges to travel and limited access to transport. One in six people in the EU have a disability that ranges from mild to severe. Over one third of people aged over 75 have disabilities that </w:t>
      </w:r>
      <w:r>
        <w:rPr>
          <w:rFonts w:eastAsiaTheme="minorEastAsia"/>
          <w:noProof/>
          <w:lang w:eastAsia="en-US"/>
        </w:rPr>
        <w:t>restrict</w:t>
      </w:r>
      <w:r>
        <w:rPr>
          <w:rFonts w:eastAsiaTheme="minorEastAsia"/>
          <w:noProof/>
          <w:lang w:eastAsia="ja-JP"/>
        </w:rPr>
        <w:t xml:space="preserve"> their ability to move. These numbers are set to rise as the EU population grows progressively older. </w:t>
      </w:r>
      <w:r>
        <w:rPr>
          <w:noProof/>
        </w:rPr>
        <w:t>By 2070, 30.3% of the population is projected to be aged 65 years or older (compared to 20.3% in 2019) and 13.2% is projected to be aged 80 years or older (compared to 5.8% in 2019)</w:t>
      </w:r>
      <w:r>
        <w:rPr>
          <w:rStyle w:val="FootnoteReference"/>
          <w:noProof/>
        </w:rPr>
        <w:t xml:space="preserve"> </w:t>
      </w:r>
      <w:r>
        <w:rPr>
          <w:rStyle w:val="FootnoteReference"/>
          <w:noProof/>
        </w:rPr>
        <w:footnoteReference w:id="550"/>
      </w:r>
      <w:r>
        <w:rPr>
          <w:noProof/>
        </w:rPr>
        <w:t xml:space="preserve">. </w:t>
      </w:r>
    </w:p>
    <w:p>
      <w:pPr>
        <w:pStyle w:val="LegalNumPar"/>
        <w:numPr>
          <w:ilvl w:val="0"/>
          <w:numId w:val="89"/>
        </w:numPr>
        <w:tabs>
          <w:tab w:val="left" w:pos="476"/>
        </w:tabs>
        <w:spacing w:line="240" w:lineRule="auto"/>
        <w:rPr>
          <w:noProof/>
          <w:lang w:eastAsia="en-US"/>
        </w:rPr>
      </w:pPr>
      <w:r>
        <w:rPr>
          <w:rFonts w:eastAsiaTheme="minorEastAsia"/>
          <w:noProof/>
          <w:lang w:eastAsia="ja-JP"/>
        </w:rPr>
        <w:t xml:space="preserve">Our ageing society requires more emphasis on the provision of safe, secure, reliable and accessible transport services featuring appropriate solutions for users with disabilities and reduced mobility. In addition, specialised transport solutions are also required. For instance, one can expect higher demand for door-to-door mobility and driver assistance solutions. Public transport providers will have to adapt to an increasing amount of passengers with disabilities and reduced mobility, requiring investments in barrier-free infrastructure and rolling stock.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Digitalisation of the transport sector, while bringing many opportunities, also comes with challenges and can limit accessibility to transport for people with few digital skills, poor </w:t>
      </w:r>
      <w:r>
        <w:rPr>
          <w:noProof/>
        </w:rPr>
        <w:t>IT literacy or with limited access to internet</w:t>
      </w:r>
      <w:r>
        <w:rPr>
          <w:rFonts w:eastAsiaTheme="minorEastAsia"/>
          <w:noProof/>
          <w:lang w:eastAsia="ja-JP"/>
        </w:rPr>
        <w:t>.</w:t>
      </w:r>
      <w:r>
        <w:rPr>
          <w:noProof/>
        </w:rPr>
        <w:t xml:space="preserve"> In 2019, the percentage of people who have at least basic digital skills reached 58% (up from 55% in 2015). A large part of the EU population, however, still lacks basic digital skills</w:t>
      </w:r>
      <w:r>
        <w:rPr>
          <w:rStyle w:val="FootnoteReference"/>
          <w:noProof/>
        </w:rPr>
        <w:footnoteReference w:id="551"/>
      </w:r>
      <w:r>
        <w:rPr>
          <w:noProof/>
        </w:rPr>
        <w:t>.</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The EU passenger rights legislation (adopted mostly between 2004 and 2011) ensures that persons with disability and reduced mobility are not discriminated when they intend to use collective transport (air, rail, bus and coach and waterborne transport) and if necessary they receive special assistance free of charge to use those transport modes. Most recently, the Commission proposed to amend the regulation on rail passenger rights in 2017 to extend the rights of passengers with disabilities and reduced mobility to services which are not covered under the current rules. The reform had been provisionally agreed by the Council presidency and the European Parliament in October 2020</w:t>
      </w:r>
      <w:r>
        <w:rPr>
          <w:rStyle w:val="FootnoteReference"/>
          <w:rFonts w:eastAsiaTheme="minorEastAsia"/>
          <w:noProof/>
          <w:lang w:eastAsia="ja-JP"/>
        </w:rPr>
        <w:footnoteReference w:id="552"/>
      </w:r>
      <w:r>
        <w:rPr>
          <w:rFonts w:eastAsiaTheme="minorEastAsia"/>
          <w:noProof/>
          <w:lang w:eastAsia="ja-JP"/>
        </w:rPr>
        <w:t>. The Commission started to evaluate the legislation related to the three other modes of transport to assess whether amendment of those regulations are necessary. Persons with disabilities and reduced mobility demand enjoying their rights on equal basis with others in line with the UN Convention on the Rights of Persons with Disabilities.</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The Commission adopted Technical Specifications for the accessibility of the railway system for persons with reduced mobility to ensure the accessibility of rail infrastructure and rolling stock. This Regulation was amended in 2019, to ensure inventories of assets, including a website providing practical information about the accessibility of railway stations.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rFonts w:eastAsiaTheme="minorEastAsia"/>
          <w:noProof/>
          <w:lang w:eastAsia="ja-JP"/>
        </w:rPr>
        <w:t xml:space="preserve">The Trans-European Transport (TEN-T) Guidelines also contain provisions on the need to make accessible the TEN-T Network for users with disabilities and reduced mobility. One aim of the upcoming revision of the TEN-T Guidelines is to ensure that accessibility requirements are better reflected in the future development of the network.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bCs/>
          <w:noProof/>
          <w:lang w:eastAsia="en-US"/>
        </w:rPr>
        <w:t>Persons with disabilities,</w:t>
      </w:r>
      <w:r>
        <w:rPr>
          <w:b/>
          <w:bCs/>
          <w:noProof/>
          <w:lang w:eastAsia="en-US"/>
        </w:rPr>
        <w:t xml:space="preserve"> </w:t>
      </w:r>
      <w:r>
        <w:rPr>
          <w:noProof/>
          <w:lang w:eastAsia="en-US"/>
        </w:rPr>
        <w:t>especially in aviation ask for revision of safety rules to ensure that these would not conflict their rights to travel on equal basis with others.</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Finally, the European Accessibility Act</w:t>
      </w:r>
      <w:r>
        <w:rPr>
          <w:rStyle w:val="FootnoteReference"/>
          <w:rFonts w:eastAsiaTheme="minorEastAsia"/>
          <w:noProof/>
          <w:lang w:eastAsia="ja-JP"/>
        </w:rPr>
        <w:footnoteReference w:id="553"/>
      </w:r>
      <w:r>
        <w:rPr>
          <w:rFonts w:eastAsiaTheme="minorEastAsia"/>
          <w:noProof/>
          <w:lang w:eastAsia="ja-JP"/>
        </w:rPr>
        <w:t xml:space="preserve"> contains some accessibility requirements that can be used to render operational the general accessibility provisions, providing presumption of compliance. Additional accessibility requirements are needed to cover transport elements not covered by the European Accessibility Act. </w:t>
      </w:r>
    </w:p>
    <w:p>
      <w:pPr>
        <w:pStyle w:val="Heading4"/>
        <w:numPr>
          <w:ilvl w:val="3"/>
          <w:numId w:val="98"/>
        </w:numPr>
        <w:rPr>
          <w:noProof/>
        </w:rPr>
      </w:pPr>
      <w:bookmarkStart w:id="4255" w:name="_Toc51450139"/>
      <w:bookmarkStart w:id="4256" w:name="_Toc51574839"/>
      <w:bookmarkStart w:id="4257" w:name="_Toc51575687"/>
      <w:bookmarkStart w:id="4258" w:name="_Toc51578085"/>
      <w:bookmarkStart w:id="4259" w:name="_Toc51582958"/>
      <w:bookmarkStart w:id="4260" w:name="_Toc51583433"/>
      <w:bookmarkStart w:id="4261" w:name="_Toc51583523"/>
      <w:bookmarkStart w:id="4262" w:name="_Toc51583808"/>
      <w:bookmarkStart w:id="4263" w:name="_Toc51583998"/>
      <w:bookmarkStart w:id="4264" w:name="_Toc51583922"/>
      <w:bookmarkStart w:id="4265" w:name="_Toc51586240"/>
      <w:bookmarkStart w:id="4266" w:name="_Toc51594043"/>
      <w:bookmarkStart w:id="4267" w:name="_Toc51594369"/>
      <w:bookmarkStart w:id="4268" w:name="_Toc51595347"/>
      <w:bookmarkStart w:id="4269" w:name="_Toc51595597"/>
      <w:bookmarkStart w:id="4270" w:name="_Toc51595923"/>
      <w:bookmarkStart w:id="4271" w:name="_Toc51596086"/>
      <w:bookmarkStart w:id="4272" w:name="_Toc51596439"/>
      <w:bookmarkStart w:id="4273" w:name="_Toc52121574"/>
      <w:bookmarkStart w:id="4274" w:name="_Toc52122805"/>
      <w:bookmarkStart w:id="4275" w:name="_Toc52123922"/>
      <w:bookmarkStart w:id="4276" w:name="_Toc53405383"/>
      <w:bookmarkStart w:id="4277" w:name="_Toc53406170"/>
      <w:bookmarkStart w:id="4278" w:name="_Toc53407539"/>
      <w:bookmarkStart w:id="4279" w:name="_Toc53410983"/>
      <w:bookmarkStart w:id="4280" w:name="_Toc53412046"/>
      <w:bookmarkStart w:id="4281" w:name="_Toc53417293"/>
      <w:bookmarkStart w:id="4282" w:name="_Toc53417645"/>
      <w:bookmarkStart w:id="4283" w:name="_Toc53419880"/>
      <w:bookmarkStart w:id="4284" w:name="_Toc53434983"/>
      <w:bookmarkStart w:id="4285" w:name="_Toc53437122"/>
      <w:bookmarkStart w:id="4286" w:name="_Toc57291530"/>
      <w:r>
        <w:rPr>
          <w:noProof/>
        </w:rPr>
        <w:t>Protection of European passengers and consumers</w:t>
      </w:r>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p>
    <w:p>
      <w:pPr>
        <w:pStyle w:val="LegalNumPar"/>
        <w:numPr>
          <w:ilvl w:val="0"/>
          <w:numId w:val="89"/>
        </w:numPr>
        <w:tabs>
          <w:tab w:val="left" w:pos="476"/>
        </w:tabs>
        <w:spacing w:line="240" w:lineRule="auto"/>
        <w:rPr>
          <w:noProof/>
        </w:rPr>
      </w:pPr>
      <w:r>
        <w:rPr>
          <w:noProof/>
        </w:rPr>
        <w:t xml:space="preserve">The EU framework for </w:t>
      </w:r>
      <w:r>
        <w:rPr>
          <w:b/>
          <w:bCs/>
          <w:noProof/>
        </w:rPr>
        <w:t>passengers’ rights</w:t>
      </w:r>
      <w:r>
        <w:rPr>
          <w:noProof/>
        </w:rPr>
        <w:t xml:space="preserve"> provides a minimum level of protection for people using collective transport services. </w:t>
      </w:r>
      <w:r>
        <w:rPr>
          <w:rFonts w:eastAsiaTheme="minorEastAsia"/>
          <w:noProof/>
          <w:lang w:eastAsia="ja-JP"/>
        </w:rPr>
        <w:t xml:space="preserve">They protect passengers in cases of disruptions during all phases of the journey, promoting quality of services in all public transport modes (air, rail, waterborne, bus and coach). The framework has developed gradually from a mode-specific approach defining a comprehensive set of rules into a wider concept bringing common basic rights to the passengers to protect them against disruptions and poor transport service quality. It also minimises travel disruptions, improves passenger information and ensures service quality together with a level playing field for transport operators within and across modes, creating a European standard for passenger protection. Three key principles encompass </w:t>
      </w:r>
      <w:r>
        <w:rPr>
          <w:noProof/>
        </w:rPr>
        <w:t>the current rules on passenger rights: the non-discrimination of passengers; the availability of accurate, timely and accessible information to all passengers; and an immediate and proportionate assistance when required. Yet there are currently no specific rules for multimodal journeys, and some existing rules may require completion or updating.</w:t>
      </w:r>
      <w:r>
        <w:rPr>
          <w:rFonts w:eastAsiaTheme="minorEastAsia"/>
          <w:noProof/>
          <w:lang w:eastAsia="ja-JP"/>
        </w:rPr>
        <w:t xml:space="preserve">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Notwithstanding the substantial progress made in this area during the last fifteen years, some challenges remain. Despite the efforts of the Commission to raise awareness over the years in respect of passenger rights, such as through large-scale communication campaigns, there is a need for further improvement of passengers’ awareness about their rights and how to claim them, as passengers’ knowledge about the existence of EU passenger rights is still too low, according to a Eurobarometer</w:t>
      </w:r>
      <w:r>
        <w:rPr>
          <w:rStyle w:val="FootnoteReference"/>
          <w:rFonts w:eastAsiaTheme="minorEastAsia"/>
          <w:noProof/>
          <w:lang w:eastAsia="ja-JP"/>
        </w:rPr>
        <w:footnoteReference w:id="554"/>
      </w:r>
      <w:r>
        <w:rPr>
          <w:rFonts w:eastAsiaTheme="minorEastAsia"/>
          <w:noProof/>
          <w:lang w:eastAsia="ja-JP"/>
        </w:rPr>
        <w:t xml:space="preserve">, as highlighted by the graphic below. Diverging views remain on the perceived financial burden for carriers and the perceived administrative burden for passengers claiming their rights.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Enforcement is left mainly to national enforcement bodies (NEBs), the Commission facilitating the cooperation among NEBs from different countries. Owing partly to the significant differences across Member States, both in terms of the way NEBs are structured and organised, as well as the enforcement powers they have, inconsistencies remain when it comes to the application of the legislation by operators across Member States. There is also a sustained demand for legal clarity, as national courts keep asking the Court of Justice of the EU to interpret certain provisions of the passenger rights regulations, particularly in air passenger transport regarding issues related to financial compensations in the event of long delay or flight cancellation. Under the general consumer protection framework, joint actions can be taken under the new Consumer Protection Cooperation (CPC) Regulation (EU) 2017/2394 as of January 2020). Representative actions</w:t>
      </w:r>
      <w:r>
        <w:rPr>
          <w:rStyle w:val="FootnoteReference"/>
          <w:rFonts w:eastAsiaTheme="minorEastAsia"/>
          <w:noProof/>
          <w:lang w:eastAsia="ja-JP"/>
        </w:rPr>
        <w:footnoteReference w:id="555"/>
      </w:r>
      <w:r>
        <w:rPr>
          <w:rFonts w:eastAsiaTheme="minorEastAsia"/>
          <w:noProof/>
          <w:lang w:eastAsia="ja-JP"/>
        </w:rPr>
        <w:t xml:space="preserve"> in the collective interest of passengers are also expected to be possible within the next two years.</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Persons with disabilities and reduced mobility still consider that they do not enjoy equal access to public transport: they demand more accessibility and the elimination of the pre-notification requirement necessary to give assistance to them in case they cannot use independently public transport (or at least to shorten such periods which they consider extremely long at the moment). Regarding rail, this pre-notification will be reduced now from 48 to 24 hours.</w:t>
      </w:r>
      <w:r>
        <w:rPr>
          <w:rStyle w:val="FootnoteReference"/>
          <w:rFonts w:eastAsiaTheme="minorEastAsia"/>
          <w:noProof/>
          <w:lang w:eastAsia="ja-JP"/>
        </w:rPr>
        <w:footnoteReference w:id="556"/>
      </w:r>
    </w:p>
    <w:p>
      <w:pPr>
        <w:pStyle w:val="Caption"/>
        <w:keepNext/>
        <w:keepLines/>
        <w:jc w:val="center"/>
        <w:rPr>
          <w:i w:val="0"/>
          <w:noProof/>
        </w:rPr>
      </w:pPr>
      <w:r>
        <w:rPr>
          <w:i w:val="0"/>
          <w:noProof/>
        </w:rPr>
        <w:t>Figure 52: Passengers’ knowledge about the existence of EU passenger rights</w:t>
      </w:r>
    </w:p>
    <w:p>
      <w:pPr>
        <w:pStyle w:val="LegalNumPar"/>
        <w:tabs>
          <w:tab w:val="left" w:pos="476"/>
        </w:tabs>
        <w:ind w:left="476"/>
        <w:rPr>
          <w:rFonts w:eastAsiaTheme="minorEastAsia"/>
          <w:noProof/>
          <w:lang w:eastAsia="ja-JP"/>
        </w:rPr>
      </w:pPr>
      <w:r>
        <w:rPr>
          <w:rFonts w:eastAsiaTheme="minorEastAsia"/>
          <w:noProof/>
        </w:rPr>
        <w:drawing>
          <wp:inline distT="0" distB="0" distL="0" distR="0">
            <wp:extent cx="4457700" cy="2266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457700" cy="2266950"/>
                    </a:xfrm>
                    <a:prstGeom prst="rect">
                      <a:avLst/>
                    </a:prstGeom>
                    <a:noFill/>
                    <a:ln>
                      <a:noFill/>
                    </a:ln>
                  </pic:spPr>
                </pic:pic>
              </a:graphicData>
            </a:graphic>
          </wp:inline>
        </w:drawing>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The Commission has made proposals to consolidate air and rail passenger rights Regulations (namely in 2013 and 2017, respectively). The </w:t>
      </w:r>
      <w:r>
        <w:rPr>
          <w:noProof/>
          <w:sz w:val="22"/>
          <w:szCs w:val="22"/>
        </w:rPr>
        <w:t xml:space="preserve">Council and the European Parliament reached a provisional agreement on the </w:t>
      </w:r>
      <w:r>
        <w:rPr>
          <w:rFonts w:eastAsiaTheme="minorEastAsia"/>
          <w:noProof/>
          <w:lang w:eastAsia="ja-JP"/>
        </w:rPr>
        <w:t>Commission’s proposal for the recast of the rail passenger rights in October 2020. A study dated January 2020 gives a detailed view of the level of protection of air passenger rights in the EU</w:t>
      </w:r>
      <w:r>
        <w:rPr>
          <w:rStyle w:val="FootnoteReference"/>
          <w:rFonts w:eastAsiaTheme="minorEastAsia"/>
          <w:noProof/>
          <w:lang w:eastAsia="ja-JP"/>
        </w:rPr>
        <w:footnoteReference w:id="557"/>
      </w:r>
      <w:r>
        <w:rPr>
          <w:rFonts w:eastAsiaTheme="minorEastAsia"/>
          <w:noProof/>
          <w:lang w:eastAsia="ja-JP"/>
        </w:rPr>
        <w:t>.</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Currently there is no EU legislation guaranteeing the rights of passengers combining different modes of transport during their journey. In this context, the Commission published an external study on passenger rights in the multi-modal context last year</w:t>
      </w:r>
      <w:r>
        <w:rPr>
          <w:rStyle w:val="FootnoteReference"/>
          <w:rFonts w:eastAsiaTheme="minorEastAsia"/>
          <w:noProof/>
          <w:lang w:eastAsia="ja-JP"/>
        </w:rPr>
        <w:footnoteReference w:id="558"/>
      </w:r>
      <w:r>
        <w:rPr>
          <w:rFonts w:eastAsiaTheme="minorEastAsia"/>
          <w:noProof/>
          <w:lang w:eastAsia="ja-JP"/>
        </w:rPr>
        <w:t xml:space="preserve">. Evaluation studies of the waterborne, bus and coach and air PRM regulations are carried out in 2020-2021 as well as a review of the good practices in the field of passenger rights to get a full overview of the state of play across modes.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The COVID-19 pandemic and the related traffic collapse have reinforced the need for clarification of the passenger rights framework. The Commission adopted Interpretative Guidelines on 18 March 2020</w:t>
      </w:r>
      <w:r>
        <w:rPr>
          <w:rStyle w:val="FootnoteReference"/>
          <w:rFonts w:eastAsiaTheme="minorEastAsia"/>
          <w:noProof/>
          <w:lang w:eastAsia="ja-JP"/>
        </w:rPr>
        <w:footnoteReference w:id="559"/>
      </w:r>
      <w:r>
        <w:rPr>
          <w:rFonts w:eastAsiaTheme="minorEastAsia"/>
          <w:noProof/>
          <w:lang w:eastAsia="ja-JP"/>
        </w:rPr>
        <w:t xml:space="preserve"> as well as a Recommendation on vouchers (EU) 2020/648 on 13 May 2020</w:t>
      </w:r>
      <w:r>
        <w:rPr>
          <w:rStyle w:val="FootnoteReference"/>
          <w:rFonts w:eastAsiaTheme="minorEastAsia"/>
          <w:noProof/>
          <w:lang w:eastAsia="ja-JP"/>
        </w:rPr>
        <w:footnoteReference w:id="560"/>
      </w:r>
      <w:r>
        <w:rPr>
          <w:rFonts w:eastAsiaTheme="minorEastAsia"/>
          <w:noProof/>
          <w:lang w:eastAsia="ja-JP"/>
        </w:rPr>
        <w:t>, which confirmed that EU passenger rights continue to apply during the pandemic. In this Recommendation, which was part of a package of guidelines and recommendations on how to safely revive transport services and connectivity</w:t>
      </w:r>
      <w:r>
        <w:rPr>
          <w:rStyle w:val="FootnoteReference"/>
          <w:rFonts w:eastAsiaTheme="minorEastAsia"/>
          <w:noProof/>
          <w:lang w:eastAsia="ja-JP"/>
        </w:rPr>
        <w:footnoteReference w:id="561"/>
      </w:r>
      <w:r>
        <w:rPr>
          <w:rFonts w:eastAsiaTheme="minorEastAsia"/>
          <w:noProof/>
          <w:lang w:eastAsia="ja-JP"/>
        </w:rPr>
        <w:t xml:space="preserve">, the Commission reiterated that passengers have the right to choose between reimbursements in cash or to accept a voucher offered by the carrier in the event of travel service cancellation. It also sets out key features to ensure that vouchers are fair for consumers if they are offered instead of reimbursement. In particular, (i) vouchers should be valid for at least 12 months; (ii) if the voucher is not redeemed after the period of validity, carriers should automatically reimburse its amount within 14 days; (iii) vouchers could be used for payments related to new bookings before the voucher’s expiry date, even where the new service is to be performed by another carrier who forms part of the same group of companies; and (iv) vouchers should be transferable to another person at no additional cost. To make the vouchers more attractive to passengers, carriers could even issue them for a higher value than the amount due to be reimbursed in cash. Where vouchers and transport tickets could be backed by a certain guarantee scheme (which is already a solution in a few Member States), such operation-reassuring aspects would have positive implications on the actors in the transport sector – in cases where extraordinary events, such as the COVID-19 pandemic, would lead to significant travel disruptions. </w:t>
      </w:r>
    </w:p>
    <w:p>
      <w:pPr>
        <w:pStyle w:val="LegalNumPar"/>
        <w:numPr>
          <w:ilvl w:val="0"/>
          <w:numId w:val="89"/>
        </w:numPr>
        <w:tabs>
          <w:tab w:val="left" w:pos="476"/>
        </w:tabs>
        <w:spacing w:line="240" w:lineRule="auto"/>
        <w:rPr>
          <w:noProof/>
        </w:rPr>
      </w:pPr>
      <w:r>
        <w:rPr>
          <w:noProof/>
        </w:rPr>
        <w:t xml:space="preserve">Regarding </w:t>
      </w:r>
      <w:r>
        <w:rPr>
          <w:b/>
          <w:bCs/>
          <w:noProof/>
        </w:rPr>
        <w:t>consumer protection</w:t>
      </w:r>
      <w:r>
        <w:rPr>
          <w:noProof/>
        </w:rPr>
        <w:t xml:space="preserve">, whereas the EU is equipped with a strong and protective legal framework, some loopholes have been identified in the transport sector, including in the areas of bankruptcies, </w:t>
      </w:r>
      <w:r>
        <w:rPr>
          <w:rFonts w:eastAsiaTheme="minorEastAsia"/>
          <w:noProof/>
          <w:lang w:eastAsia="ja-JP"/>
        </w:rPr>
        <w:t>odometer</w:t>
      </w:r>
      <w:r>
        <w:rPr>
          <w:noProof/>
        </w:rPr>
        <w:t xml:space="preserve"> or mileage fraud and unclear pricing practices in aviation.</w:t>
      </w:r>
    </w:p>
    <w:p>
      <w:pPr>
        <w:pStyle w:val="LegalNumPar"/>
        <w:numPr>
          <w:ilvl w:val="0"/>
          <w:numId w:val="89"/>
        </w:numPr>
        <w:tabs>
          <w:tab w:val="left" w:pos="476"/>
        </w:tabs>
        <w:spacing w:line="240" w:lineRule="auto"/>
        <w:rPr>
          <w:noProof/>
        </w:rPr>
      </w:pPr>
      <w:r>
        <w:rPr>
          <w:b/>
          <w:bCs/>
          <w:i/>
          <w:iCs/>
          <w:noProof/>
        </w:rPr>
        <w:t>Bankruptcies</w:t>
      </w:r>
      <w:r>
        <w:rPr>
          <w:b/>
          <w:bCs/>
          <w:noProof/>
        </w:rPr>
        <w:t xml:space="preserve"> </w:t>
      </w:r>
      <w:r>
        <w:rPr>
          <w:noProof/>
        </w:rPr>
        <w:t>of transport carriers are a source of very significant damages which are difficult to anticipate and which can leave passengers in distress and without any protection. In air transport, since 2011, 87 airline bankruptcies have occurred in Europe, which has led to a consolidation of the European airline industry. Bankruptcies of air carriers result in disruption for passengers, workers (bankruptcies are estimated to have affected around 37,000 jobs) and competitors. To better predict difficulties and monitor the financial health of air carriers, EU rules require competent licensing authorities to monitor compliance of airlines, notably with financial requirements. In case of financial difficulty and to avoid the high levels of disruption caused by a sudden revocation of the operating licence, airlines may be granted a temporary licence for a maximum duration of twelve months if there are realistic prospects of financial restructuration. However, recently temporary licences are seldom used by Member States, as generally not recognised to be the most effective solution to rescue airlines from and insolvency.</w:t>
      </w:r>
      <w:r>
        <w:rPr>
          <w:rStyle w:val="FootnoteReference"/>
          <w:noProof/>
        </w:rPr>
        <w:t xml:space="preserve"> </w:t>
      </w:r>
      <w:r>
        <w:rPr>
          <w:rStyle w:val="FootnoteReference"/>
          <w:noProof/>
        </w:rPr>
        <w:footnoteReference w:id="562"/>
      </w:r>
      <w:r>
        <w:rPr>
          <w:noProof/>
        </w:rPr>
        <w:t xml:space="preserve"> In the context of the COVID-19 pandemic, Regulation 2020/696 has recognised this issue and temporarily allowed the possibility, under certain conditions, for a Member State to maintain the operating license (as opposed to issuing a temporary license). </w:t>
      </w:r>
      <w:r>
        <w:rPr>
          <w:rStyle w:val="FootnoteReference"/>
          <w:noProof/>
        </w:rPr>
        <w:footnoteReference w:id="563"/>
      </w:r>
      <w:r>
        <w:rPr>
          <w:noProof/>
        </w:rPr>
        <w:t xml:space="preserve">    </w:t>
      </w:r>
    </w:p>
    <w:p>
      <w:pPr>
        <w:pStyle w:val="LegalNumPar"/>
        <w:numPr>
          <w:ilvl w:val="0"/>
          <w:numId w:val="89"/>
        </w:numPr>
        <w:tabs>
          <w:tab w:val="left" w:pos="476"/>
        </w:tabs>
        <w:spacing w:line="240" w:lineRule="auto"/>
        <w:rPr>
          <w:noProof/>
        </w:rPr>
      </w:pPr>
      <w:r>
        <w:rPr>
          <w:noProof/>
        </w:rPr>
        <w:t>There is currently no specific protection of passengers for the purchase of stand-alone tickets in the event of insolvency / bankruptcy of the carriers under any EU passenger rights’ regulations. By contrast, travellers buying a package travel, combining transport and hotel for instance, are protected to a certain degree, under the Package Travel Directive (PTD).</w:t>
      </w:r>
    </w:p>
    <w:p>
      <w:pPr>
        <w:pStyle w:val="LegalNumPar"/>
        <w:numPr>
          <w:ilvl w:val="0"/>
          <w:numId w:val="89"/>
        </w:numPr>
        <w:tabs>
          <w:tab w:val="left" w:pos="476"/>
        </w:tabs>
        <w:spacing w:line="240" w:lineRule="auto"/>
        <w:rPr>
          <w:noProof/>
        </w:rPr>
      </w:pPr>
      <w:r>
        <w:rPr>
          <w:noProof/>
        </w:rPr>
        <w:t xml:space="preserve">As far as stand-alone tickets are concerned (which are the major part of tickets by far), across Europe, there only exist partial solutions for the protection of passengers in the case of the carrier’s insolvency. </w:t>
      </w:r>
    </w:p>
    <w:p>
      <w:pPr>
        <w:pStyle w:val="LegalNumPar"/>
        <w:numPr>
          <w:ilvl w:val="0"/>
          <w:numId w:val="89"/>
        </w:numPr>
        <w:tabs>
          <w:tab w:val="left" w:pos="476"/>
        </w:tabs>
        <w:spacing w:line="240" w:lineRule="auto"/>
        <w:rPr>
          <w:noProof/>
        </w:rPr>
      </w:pPr>
      <w:r>
        <w:rPr>
          <w:noProof/>
        </w:rPr>
        <w:t xml:space="preserve"> In 2013, the Commission adopted, together with the proposal for amending Regulation 261/2004 on air passenger rights, a Communication on passenger protection in the event of airline insolvency. After the recent insolvencies the Commission services assessed the situation again: the study on air passenger rights, published January 2020, estimated that in total, between 2011 and 2019, 5.6 million passengers were impacted by airline insolvencies in some way. During the 2011-19 period 0.04% of total EU passengers were somehow affected by airline bankruptcies. In 2019 this percentage peaked to 0.14% due to the bankruptcies of Thomas Cook, Germania, Aigle Azur and WOW air</w:t>
      </w:r>
      <w:r>
        <w:rPr>
          <w:rStyle w:val="FootnoteReference"/>
          <w:noProof/>
        </w:rPr>
        <w:footnoteReference w:id="564"/>
      </w:r>
      <w:r>
        <w:rPr>
          <w:noProof/>
        </w:rPr>
        <w:t xml:space="preserve">. </w:t>
      </w:r>
    </w:p>
    <w:p>
      <w:pPr>
        <w:pStyle w:val="LegalNumPar"/>
        <w:numPr>
          <w:ilvl w:val="0"/>
          <w:numId w:val="89"/>
        </w:numPr>
        <w:tabs>
          <w:tab w:val="left" w:pos="476"/>
        </w:tabs>
        <w:spacing w:line="240" w:lineRule="auto"/>
        <w:rPr>
          <w:noProof/>
        </w:rPr>
      </w:pPr>
      <w:r>
        <w:rPr>
          <w:noProof/>
        </w:rPr>
        <w:t>2020, marked by the COVID-19 pandemic, is expected to be particularly difficult on that front. Some regional and charter airlines already filed for administration or liquidation earlier this year, especially within the regional airlines segment, while network carriers may do better thanks to national governments’ support. The other modes face similar challenges.</w:t>
      </w:r>
    </w:p>
    <w:p>
      <w:pPr>
        <w:pStyle w:val="LegalNumPar"/>
        <w:numPr>
          <w:ilvl w:val="0"/>
          <w:numId w:val="89"/>
        </w:numPr>
        <w:tabs>
          <w:tab w:val="left" w:pos="476"/>
        </w:tabs>
        <w:spacing w:line="240" w:lineRule="auto"/>
        <w:rPr>
          <w:noProof/>
        </w:rPr>
      </w:pPr>
      <w:r>
        <w:rPr>
          <w:noProof/>
        </w:rPr>
        <w:t xml:space="preserve">In 2019, the European Parliament called in a Resolution on the Commission to carry out a stocktaking of the existing EU legislation in relation to airline bankruptcy, consumer protection, travel packages, passenger rights in light of the recent collapse of the Thomas Cook Group in order to evaluate the possible need for legislative clarification and improvement and other measures required to avoid similar situations in the future. The analysis was performed by January 2020 in air transport and further thinking is in progress, in the context of COVID-19 pandemic. In particular, insolvencies are not covered and should be addressed from the perspective of the passengers (reimbursement of the price of the ticket or repatriation) for all modes of transport. </w:t>
      </w:r>
    </w:p>
    <w:p>
      <w:pPr>
        <w:pStyle w:val="LegalNumPar"/>
        <w:numPr>
          <w:ilvl w:val="0"/>
          <w:numId w:val="89"/>
        </w:numPr>
        <w:tabs>
          <w:tab w:val="left" w:pos="476"/>
        </w:tabs>
        <w:spacing w:line="240" w:lineRule="auto"/>
        <w:rPr>
          <w:noProof/>
        </w:rPr>
      </w:pPr>
      <w:r>
        <w:rPr>
          <w:noProof/>
        </w:rPr>
        <w:t>The Commission has been following up to its Communication on passenger protection in the event of airline insolvency, notably by encouraging the national authorities competent for air services and those competent for passengers rights to coordinate their actions to ensure appropriate monitoring of the financial position of air carriers and where necessary adopt a coordinated approach to the suspension of their operations to minimise the impact on passengers. The Commission also engaged with EU air transport associations to formalise the existing voluntary agreements on the provision of rescue fares and their effective promotion.</w:t>
      </w:r>
    </w:p>
    <w:p>
      <w:pPr>
        <w:pStyle w:val="LegalNumPar"/>
        <w:numPr>
          <w:ilvl w:val="0"/>
          <w:numId w:val="89"/>
        </w:numPr>
        <w:tabs>
          <w:tab w:val="left" w:pos="476"/>
        </w:tabs>
        <w:spacing w:line="240" w:lineRule="auto"/>
        <w:rPr>
          <w:noProof/>
        </w:rPr>
      </w:pPr>
      <w:r>
        <w:rPr>
          <w:noProof/>
        </w:rPr>
        <w:t>In its recent Recommendation on vouchers, the Commission has proposed that Member States find solutions for the insolvency protection of vouchers for travel packages as well as stand-alone transport tickets. Some Member States have decided to extend their insolvency protection schemes for travel packages also to vouchers issued in the context of the COVID-19 pandemic.</w:t>
      </w:r>
    </w:p>
    <w:p>
      <w:pPr>
        <w:pStyle w:val="LegalNumPar"/>
        <w:numPr>
          <w:ilvl w:val="0"/>
          <w:numId w:val="89"/>
        </w:numPr>
        <w:tabs>
          <w:tab w:val="left" w:pos="476"/>
        </w:tabs>
        <w:spacing w:line="240" w:lineRule="auto"/>
        <w:rPr>
          <w:noProof/>
        </w:rPr>
      </w:pPr>
      <w:r>
        <w:rPr>
          <w:noProof/>
        </w:rPr>
        <w:t xml:space="preserve">Some stakeholders expressed their views regarding the insolvency protection for transport tickets and vouchers in the context of COVID-19 pandemic. In particular, consumer and passenger associations advocate for traveller guarantee funds or other means to better protect passengers’ financial interests against carriers’ bankruptcies (e.g. limitation of pre-payments, “pay as you check in”). In recital 13 of the Commission Recommendation (EU) 2020/648 on vouchers, it was also highlighted that </w:t>
      </w:r>
      <w:r>
        <w:rPr>
          <w:noProof/>
          <w:shd w:val="clear" w:color="auto" w:fill="FFFFFF"/>
        </w:rPr>
        <w:t xml:space="preserve">the burden sharing between </w:t>
      </w:r>
      <w:r>
        <w:rPr>
          <w:noProof/>
        </w:rPr>
        <w:t xml:space="preserve">the different actors </w:t>
      </w:r>
      <w:r>
        <w:rPr>
          <w:noProof/>
          <w:shd w:val="clear" w:color="auto" w:fill="FFFFFF"/>
        </w:rPr>
        <w:t xml:space="preserve">in the </w:t>
      </w:r>
      <w:r>
        <w:rPr>
          <w:noProof/>
        </w:rPr>
        <w:t>travel supply chain</w:t>
      </w:r>
      <w:r>
        <w:rPr>
          <w:noProof/>
          <w:shd w:val="clear" w:color="auto" w:fill="FFFFFF"/>
        </w:rPr>
        <w:t xml:space="preserve"> is unfair and </w:t>
      </w:r>
      <w:r>
        <w:rPr>
          <w:noProof/>
        </w:rPr>
        <w:t>financially not sustainable. For example, i</w:t>
      </w:r>
      <w:r>
        <w:rPr>
          <w:noProof/>
          <w:shd w:val="clear" w:color="auto" w:fill="FFFFFF"/>
        </w:rPr>
        <w:t xml:space="preserve">f a traveller, who booked a package with a flight component, cancels the package travel contract in accordance with the Package Travel Directive, the organiser has to </w:t>
      </w:r>
      <w:r>
        <w:rPr>
          <w:noProof/>
        </w:rPr>
        <w:t xml:space="preserve">refund the traveller the full price, irrespective of whether or not he still holds the money or will be able to recover it from the airline, </w:t>
      </w:r>
      <w:r>
        <w:rPr>
          <w:noProof/>
          <w:shd w:val="clear" w:color="auto" w:fill="FFFFFF"/>
        </w:rPr>
        <w:t xml:space="preserve">if the flight was operated.    </w:t>
      </w:r>
    </w:p>
    <w:p>
      <w:pPr>
        <w:pStyle w:val="LegalNumPar"/>
        <w:numPr>
          <w:ilvl w:val="0"/>
          <w:numId w:val="89"/>
        </w:numPr>
        <w:tabs>
          <w:tab w:val="left" w:pos="476"/>
        </w:tabs>
        <w:spacing w:line="240" w:lineRule="auto"/>
        <w:rPr>
          <w:noProof/>
        </w:rPr>
      </w:pPr>
      <w:r>
        <w:rPr>
          <w:noProof/>
        </w:rPr>
        <w:t xml:space="preserve">Mileage or </w:t>
      </w:r>
      <w:r>
        <w:rPr>
          <w:b/>
          <w:bCs/>
          <w:i/>
          <w:iCs/>
          <w:noProof/>
        </w:rPr>
        <w:t>odometer fraud</w:t>
      </w:r>
      <w:r>
        <w:rPr>
          <w:noProof/>
        </w:rPr>
        <w:t xml:space="preserve"> is also a problem that affects consumers who buy second-hand vehicles. The distance that a vehicle has travelled is one of the major factors that influence the value and the price of a vehicle. Odometer fraud involves selling a vehicle for a higher price than its real value after winding back the odometer. Beside the financial harm caused directly, odometer fraud also may also entail a road safety aspect. A vehicle with less mileage may be perceived to be in a better condition than it actually is, so the owner might take the vehicle for a check later or important maintenance may be delayed, leading to higher risk in road safety.</w:t>
      </w:r>
      <w:r>
        <w:rPr>
          <w:rFonts w:asciiTheme="minorHAnsi" w:hAnsiTheme="minorHAnsi" w:cstheme="minorBidi"/>
          <w:i/>
          <w:iCs/>
          <w:noProof/>
          <w:sz w:val="22"/>
          <w:szCs w:val="22"/>
        </w:rPr>
        <w:t xml:space="preserve"> </w:t>
      </w:r>
      <w:r>
        <w:rPr>
          <w:noProof/>
        </w:rPr>
        <w:t>According to a European Parliament study, the malpractice is particularly relevant in cross-border trade of used vehicles. Cars with rolled-back odometers were estimated to account for between 30% and 50% of the total number of vehicles traded across borders. The resulting financial losses are estimated to be very high</w:t>
      </w:r>
      <w:r>
        <w:rPr>
          <w:rStyle w:val="FootnoteReference"/>
          <w:noProof/>
        </w:rPr>
        <w:footnoteReference w:id="565"/>
      </w:r>
      <w:r>
        <w:rPr>
          <w:noProof/>
        </w:rPr>
        <w:t xml:space="preserve">. </w:t>
      </w:r>
    </w:p>
    <w:p>
      <w:pPr>
        <w:pStyle w:val="LegalNumPar"/>
        <w:numPr>
          <w:ilvl w:val="0"/>
          <w:numId w:val="89"/>
        </w:numPr>
        <w:tabs>
          <w:tab w:val="left" w:pos="476"/>
        </w:tabs>
        <w:spacing w:line="240" w:lineRule="auto"/>
        <w:rPr>
          <w:noProof/>
        </w:rPr>
      </w:pPr>
      <w:r>
        <w:rPr>
          <w:noProof/>
        </w:rPr>
        <w:t xml:space="preserve">The EU-wide rules on roadworthiness that came into force in 2018 support the fight against odometer fraud. During roadworthiness tests, authorities have to check the odometer reading, register the data and make it available for the inspector at the next test. This facilitates the detection of fraud. </w:t>
      </w:r>
    </w:p>
    <w:p>
      <w:pPr>
        <w:pStyle w:val="LegalNumPar"/>
        <w:numPr>
          <w:ilvl w:val="0"/>
          <w:numId w:val="89"/>
        </w:numPr>
        <w:tabs>
          <w:tab w:val="left" w:pos="476"/>
        </w:tabs>
        <w:spacing w:line="240" w:lineRule="auto"/>
        <w:rPr>
          <w:noProof/>
        </w:rPr>
      </w:pPr>
      <w:r>
        <w:rPr>
          <w:noProof/>
        </w:rPr>
        <w:t xml:space="preserve">Data exchange reduces the opportunity for odometer fraud in cross-border, second-hand car sales. There could indeed be significant benefits in mandating the cross-border exchange of odometer data between national authorities at EU level. As a first step, a pilot programme and exchanges of test data have started in 2019 with a number of volunteering Member States that are keen to progress in this field. The pilot will run until the end of 2020. The technical specifications are ready and Member States were invited to start their development to connect. </w:t>
      </w:r>
    </w:p>
    <w:p>
      <w:pPr>
        <w:pStyle w:val="LegalNumPar"/>
        <w:numPr>
          <w:ilvl w:val="0"/>
          <w:numId w:val="89"/>
        </w:numPr>
        <w:tabs>
          <w:tab w:val="left" w:pos="476"/>
        </w:tabs>
        <w:spacing w:line="240" w:lineRule="auto"/>
        <w:rPr>
          <w:rFonts w:eastAsiaTheme="minorEastAsia"/>
          <w:noProof/>
          <w:lang w:eastAsia="ja-JP"/>
        </w:rPr>
      </w:pPr>
      <w:r>
        <w:rPr>
          <w:rFonts w:eastAsiaTheme="minorEastAsia"/>
          <w:b/>
          <w:bCs/>
          <w:noProof/>
          <w:lang w:eastAsia="ja-JP"/>
        </w:rPr>
        <w:t>Poor quality of services</w:t>
      </w:r>
      <w:r>
        <w:rPr>
          <w:rFonts w:eastAsiaTheme="minorEastAsia"/>
          <w:noProof/>
          <w:lang w:eastAsia="ja-JP"/>
        </w:rPr>
        <w:t xml:space="preserve"> also affects attractiveness of certain transport modes for users. Although improvement in the quality of the infrastructure networks in the last decades is not disputable, the management of disruptions overall looks sub-optimal. There remains a growing concern with the predictability of transport services: e.g. lack of accurate information, traffic jams, delays and waiting times, last minute cancellation of transport service, lack of definition of minimum service level.</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 xml:space="preserve">While there have been some EU initiatives, including legal rules, to enable real-time travel and traffic information services, there is scope for improvement </w:t>
      </w:r>
      <w:r>
        <w:rPr>
          <w:rFonts w:eastAsiaTheme="minorEastAsia"/>
          <w:noProof/>
        </w:rPr>
        <w:t xml:space="preserve">as regards </w:t>
      </w:r>
      <w:r>
        <w:rPr>
          <w:rFonts w:eastAsiaTheme="minorEastAsia"/>
          <w:noProof/>
          <w:lang w:eastAsia="ja-JP"/>
        </w:rPr>
        <w:t xml:space="preserve">the amount, access and accuracy of information across the whole EU transport network. Enabling tools and technologies (intelligent transport systems, artificial intelligence, sensors, high power computing, etc.) are needed to improving the quality of information services. </w:t>
      </w:r>
    </w:p>
    <w:p>
      <w:pPr>
        <w:pStyle w:val="LegalNumPar"/>
        <w:numPr>
          <w:ilvl w:val="0"/>
          <w:numId w:val="89"/>
        </w:numPr>
        <w:tabs>
          <w:tab w:val="left" w:pos="476"/>
        </w:tabs>
        <w:spacing w:line="240" w:lineRule="auto"/>
        <w:rPr>
          <w:noProof/>
        </w:rPr>
      </w:pPr>
      <w:r>
        <w:rPr>
          <w:rFonts w:eastAsiaTheme="minorEastAsia"/>
          <w:noProof/>
          <w:lang w:eastAsia="ja-JP"/>
        </w:rPr>
        <w:t xml:space="preserve">Discontinuity in service may notably result from weather or major public-health related issues or from human-made disruptions. Disruptions to transport services may also be a result of industrial actions. Workers and employers, or their respective organisations, have, in accordance with Union law and national laws and practices, the right to negotiate and conclude collective agreements at the appropriate levels and, in cases of conflicts of interest, to take collective action to defend their interests, including strike action. </w:t>
      </w:r>
      <w:r>
        <w:rPr>
          <w:noProof/>
        </w:rPr>
        <w:t>According to Eurofound</w:t>
      </w:r>
      <w:r>
        <w:rPr>
          <w:noProof/>
          <w:vertAlign w:val="superscript"/>
        </w:rPr>
        <w:footnoteReference w:id="566"/>
      </w:r>
      <w:r>
        <w:rPr>
          <w:noProof/>
        </w:rPr>
        <w:t xml:space="preserve">, the transport sector is one of the sectors most affected by disputes of national significance, in particular the railway and air transport sectors. </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Whereas the right to strike is a fundamental right of workers and must be protected, industrial actions may have a significant impact of the provision of transport services. For example, in 2014, strikes in aviation contributed to 13.4% of total en-route delays that year. In addition, the additional distance flown in the European airspace to circumvent the areas affected by strikes in the period 2014-2015 amounted to 2.2 million kilometres, contributing to degraded environmental performance, and raising the costs of airlines with increased fuel consumption. Industrial actions also result in flight cancellations for passengers, which in turn decreases the revenue of airlines. Although the occurrence of strikes has significantly decreased in the past 5 years, it is still necessary to mitigate their detrimental impact on passengers and the economy.</w:t>
      </w:r>
    </w:p>
    <w:p>
      <w:pPr>
        <w:pStyle w:val="LegalNumPar"/>
        <w:numPr>
          <w:ilvl w:val="0"/>
          <w:numId w:val="89"/>
        </w:numPr>
        <w:tabs>
          <w:tab w:val="left" w:pos="476"/>
        </w:tabs>
        <w:spacing w:line="240" w:lineRule="auto"/>
        <w:rPr>
          <w:rFonts w:eastAsiaTheme="minorEastAsia"/>
          <w:noProof/>
          <w:lang w:eastAsia="ja-JP"/>
        </w:rPr>
      </w:pPr>
      <w:r>
        <w:rPr>
          <w:rFonts w:eastAsiaTheme="minorEastAsia"/>
          <w:noProof/>
          <w:lang w:eastAsia="ja-JP"/>
        </w:rPr>
        <w:t>In 2016, the Commission issued a study</w:t>
      </w:r>
      <w:r>
        <w:rPr>
          <w:rStyle w:val="FootnoteReference"/>
          <w:rFonts w:eastAsiaTheme="minorEastAsia"/>
          <w:noProof/>
          <w:lang w:eastAsia="ja-JP"/>
        </w:rPr>
        <w:footnoteReference w:id="567"/>
      </w:r>
      <w:r>
        <w:rPr>
          <w:rFonts w:eastAsiaTheme="minorEastAsia"/>
          <w:noProof/>
          <w:lang w:eastAsia="ja-JP"/>
        </w:rPr>
        <w:t xml:space="preserve"> to identify options for improving Air Traffic Management service continuity in the event of strikes. Building on the results, the Commission published a Staff Working Document</w:t>
      </w:r>
      <w:r>
        <w:rPr>
          <w:rStyle w:val="FootnoteReference"/>
          <w:rFonts w:eastAsiaTheme="minorEastAsia"/>
          <w:noProof/>
          <w:lang w:eastAsia="ja-JP"/>
        </w:rPr>
        <w:footnoteReference w:id="568"/>
      </w:r>
      <w:r>
        <w:rPr>
          <w:rFonts w:eastAsiaTheme="minorEastAsia"/>
          <w:noProof/>
          <w:lang w:eastAsia="ja-JP"/>
        </w:rPr>
        <w:t xml:space="preserve"> with a set of recommended mitigation measures. These reflect best practices used in some Member States. The Commission has also mandated the Network Manager to mitigate the impact of strikes on flight delays network wide. The Network Manager fulfils this mission by maintaining a register of best practices collected from the air navigation service providers, and with a reinforced coordination of network operations during the strikes.</w:t>
      </w:r>
    </w:p>
    <w:p>
      <w:pPr>
        <w:pStyle w:val="Heading3"/>
        <w:numPr>
          <w:ilvl w:val="2"/>
          <w:numId w:val="98"/>
        </w:numPr>
        <w:rPr>
          <w:noProof/>
        </w:rPr>
      </w:pPr>
      <w:bookmarkStart w:id="4287" w:name="_Toc51450142"/>
      <w:bookmarkStart w:id="4288" w:name="_Ref51536715"/>
      <w:bookmarkStart w:id="4289" w:name="_Ref51573823"/>
      <w:bookmarkStart w:id="4290" w:name="_Toc51574842"/>
      <w:bookmarkStart w:id="4291" w:name="_Toc51575690"/>
      <w:bookmarkStart w:id="4292" w:name="_Toc51578088"/>
      <w:bookmarkStart w:id="4293" w:name="_Toc51582961"/>
      <w:bookmarkStart w:id="4294" w:name="_Toc51583436"/>
      <w:bookmarkStart w:id="4295" w:name="_Toc51583526"/>
      <w:bookmarkStart w:id="4296" w:name="_Toc51583811"/>
      <w:bookmarkStart w:id="4297" w:name="_Toc51584001"/>
      <w:bookmarkStart w:id="4298" w:name="_Toc51583925"/>
      <w:bookmarkStart w:id="4299" w:name="_Toc51586243"/>
      <w:bookmarkStart w:id="4300" w:name="_Toc51594046"/>
      <w:bookmarkStart w:id="4301" w:name="_Toc51594372"/>
      <w:bookmarkStart w:id="4302" w:name="_Toc51595350"/>
      <w:bookmarkStart w:id="4303" w:name="_Toc51595600"/>
      <w:bookmarkStart w:id="4304" w:name="_Toc51595926"/>
      <w:bookmarkStart w:id="4305" w:name="_Toc51596089"/>
      <w:bookmarkStart w:id="4306" w:name="_Toc51596442"/>
      <w:bookmarkStart w:id="4307" w:name="_Toc52121577"/>
      <w:bookmarkStart w:id="4308" w:name="_Toc52122808"/>
      <w:bookmarkStart w:id="4309" w:name="_Toc52123925"/>
      <w:bookmarkStart w:id="4310" w:name="_Toc53405386"/>
      <w:bookmarkStart w:id="4311" w:name="_Toc53406173"/>
      <w:bookmarkStart w:id="4312" w:name="_Toc53407542"/>
      <w:bookmarkStart w:id="4313" w:name="_Toc53410986"/>
      <w:bookmarkStart w:id="4314" w:name="_Toc53412049"/>
      <w:bookmarkStart w:id="4315" w:name="_Toc53417296"/>
      <w:bookmarkStart w:id="4316" w:name="_Toc53417648"/>
      <w:bookmarkStart w:id="4317" w:name="_Toc53419883"/>
      <w:bookmarkStart w:id="4318" w:name="_Toc53434986"/>
      <w:bookmarkStart w:id="4319" w:name="_Toc53437125"/>
      <w:bookmarkStart w:id="4320" w:name="_Toc57291531"/>
      <w:r>
        <w:rPr>
          <w:noProof/>
        </w:rPr>
        <w:t>Safety and security</w:t>
      </w:r>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p>
    <w:p>
      <w:pPr>
        <w:pStyle w:val="LegalNumPar"/>
        <w:numPr>
          <w:ilvl w:val="0"/>
          <w:numId w:val="89"/>
        </w:numPr>
        <w:tabs>
          <w:tab w:val="left" w:pos="476"/>
        </w:tabs>
        <w:spacing w:line="240" w:lineRule="auto"/>
        <w:rPr>
          <w:noProof/>
        </w:rPr>
      </w:pPr>
      <w:r>
        <w:rPr>
          <w:noProof/>
        </w:rPr>
        <w:t>Safety and security are at the heart of the transport system and are the pre-condition to any sustainable transport system. Fatalities as well as life-changing injuries, whether due to safety or security reasons cause grief and suffering. They are burdensome for the society and affect the public’s trust in transport. They may also have significant environmental impacts. Further increasing the level of safety with a holistic “Safe System” approach</w:t>
      </w:r>
      <w:r>
        <w:rPr>
          <w:rStyle w:val="FootnoteReference"/>
          <w:noProof/>
        </w:rPr>
        <w:footnoteReference w:id="569"/>
      </w:r>
      <w:r>
        <w:rPr>
          <w:noProof/>
        </w:rPr>
        <w:t xml:space="preserve"> and strengthening the resilience of transport in Europe must therefore remain the first priority both for regulators and for the industry</w:t>
      </w:r>
      <w:r>
        <w:rPr>
          <w:rStyle w:val="FootnoteReference"/>
          <w:noProof/>
        </w:rPr>
        <w:footnoteReference w:id="570"/>
      </w:r>
      <w:r>
        <w:rPr>
          <w:noProof/>
        </w:rPr>
        <w:t xml:space="preserve">. </w:t>
      </w:r>
    </w:p>
    <w:p>
      <w:pPr>
        <w:pStyle w:val="LegalNumPar"/>
        <w:numPr>
          <w:ilvl w:val="0"/>
          <w:numId w:val="89"/>
        </w:numPr>
        <w:tabs>
          <w:tab w:val="left" w:pos="476"/>
        </w:tabs>
        <w:spacing w:line="240" w:lineRule="auto"/>
        <w:rPr>
          <w:noProof/>
        </w:rPr>
      </w:pPr>
      <w:r>
        <w:rPr>
          <w:noProof/>
        </w:rPr>
        <w:t xml:space="preserve">European mobility enjoys </w:t>
      </w:r>
      <w:r>
        <w:rPr>
          <w:noProof/>
          <w:lang w:eastAsia="en-US"/>
        </w:rPr>
        <w:t>today</w:t>
      </w:r>
      <w:r>
        <w:rPr>
          <w:noProof/>
        </w:rPr>
        <w:t xml:space="preserve"> an unprecedented high level of safety and security. Yet, it must further improve to secure the confidence of passengers in all modes of transport and to successfully address increasingly complex challenges.</w:t>
      </w:r>
    </w:p>
    <w:p>
      <w:pPr>
        <w:pStyle w:val="LegalNumPar"/>
        <w:numPr>
          <w:ilvl w:val="0"/>
          <w:numId w:val="89"/>
        </w:numPr>
        <w:tabs>
          <w:tab w:val="left" w:pos="476"/>
        </w:tabs>
        <w:spacing w:line="240" w:lineRule="auto"/>
        <w:rPr>
          <w:noProof/>
        </w:rPr>
      </w:pPr>
      <w:r>
        <w:rPr>
          <w:b/>
          <w:bCs/>
          <w:noProof/>
          <w:lang w:eastAsia="en-US"/>
        </w:rPr>
        <w:t>Roads</w:t>
      </w:r>
      <w:r>
        <w:rPr>
          <w:noProof/>
          <w:lang w:eastAsia="en-US"/>
        </w:rPr>
        <w:t xml:space="preserve"> in Europe are the safest in the world. The EU in 2019 had about 51 deaths annually per million inhabitants, against 182 deaths per million globally, 110 deaths per million in the USA and 93 deaths per million in geographical Europe. But e</w:t>
      </w:r>
      <w:r>
        <w:rPr>
          <w:noProof/>
        </w:rPr>
        <w:t>very fatality is one too many on the way to “Vision Zero”, the EU’s goal to eliminate all fatalities and serious injuries from road transport by 2050.</w:t>
      </w:r>
    </w:p>
    <w:p>
      <w:pPr>
        <w:pStyle w:val="LegalNumPar"/>
        <w:numPr>
          <w:ilvl w:val="0"/>
          <w:numId w:val="89"/>
        </w:numPr>
        <w:tabs>
          <w:tab w:val="left" w:pos="476"/>
        </w:tabs>
        <w:spacing w:line="240" w:lineRule="auto"/>
        <w:rPr>
          <w:noProof/>
          <w:lang w:eastAsia="en-US"/>
        </w:rPr>
      </w:pPr>
      <w:r>
        <w:rPr>
          <w:noProof/>
          <w:lang w:eastAsia="en-US"/>
        </w:rPr>
        <w:t>EU-wide progress over the past two decades has been remarkable: the number of people killed in road crashes fell by 43% between 2000 and 2010 and by another 23% between 2010 and 2019. This shows that progress has been made and can still be made. Yet, even with this progress, in 2019, an estimated 22,700 road traffic fatalities were recorded in the 27 EU Member States and about five times as many serious injuries, which often have life-changing consequences. And while the underlying trend remains downward, progress has slowed sharply in most countries since 2013, some countries are seeing fatalities even increasing again, and the EU target of halving the number of road deaths by 2020 (relative to the 2010 baseline) will not be met</w:t>
      </w:r>
      <w:r>
        <w:rPr>
          <w:rStyle w:val="FootnoteReference"/>
          <w:noProof/>
          <w:lang w:eastAsia="en-US"/>
        </w:rPr>
        <w:footnoteReference w:id="571"/>
      </w:r>
      <w:r>
        <w:rPr>
          <w:noProof/>
          <w:lang w:eastAsia="en-US"/>
        </w:rPr>
        <w:t xml:space="preserve">. </w:t>
      </w:r>
    </w:p>
    <w:p>
      <w:pPr>
        <w:pStyle w:val="Caption"/>
        <w:keepNext/>
        <w:keepLines/>
        <w:jc w:val="center"/>
        <w:rPr>
          <w:i w:val="0"/>
          <w:noProof/>
        </w:rPr>
      </w:pPr>
      <w:bookmarkStart w:id="4321" w:name="_Toc51450056"/>
      <w:bookmarkStart w:id="4322" w:name="_Toc51593796"/>
      <w:bookmarkStart w:id="4323" w:name="_Toc51595263"/>
      <w:bookmarkStart w:id="4324" w:name="_Toc51595513"/>
      <w:bookmarkStart w:id="4325" w:name="_Toc51595839"/>
      <w:bookmarkStart w:id="4326" w:name="_Toc51596002"/>
      <w:bookmarkStart w:id="4327" w:name="_Toc52121489"/>
      <w:bookmarkStart w:id="4328" w:name="_Toc52122720"/>
      <w:bookmarkStart w:id="4329" w:name="_Toc53405284"/>
      <w:bookmarkStart w:id="4330" w:name="_Toc53406074"/>
      <w:bookmarkStart w:id="4331" w:name="_Toc53407440"/>
      <w:bookmarkStart w:id="4332" w:name="_Toc53410887"/>
      <w:bookmarkStart w:id="4333" w:name="_Toc53411950"/>
      <w:bookmarkStart w:id="4334" w:name="_Toc53417197"/>
      <w:bookmarkStart w:id="4335" w:name="_Toc53417549"/>
      <w:bookmarkStart w:id="4336" w:name="_Toc53419582"/>
      <w:bookmarkStart w:id="4337" w:name="_Toc53434887"/>
      <w:bookmarkStart w:id="4338" w:name="_Toc53437027"/>
      <w:bookmarkStart w:id="4339" w:name="_Toc57291686"/>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42</w:t>
      </w:r>
      <w:r>
        <w:rPr>
          <w:noProof/>
        </w:rPr>
        <w:fldChar w:fldCharType="end"/>
      </w:r>
      <w:r>
        <w:rPr>
          <w:i w:val="0"/>
          <w:noProof/>
        </w:rPr>
        <w:t>: Road fatalities in the EU and current target</w:t>
      </w:r>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p>
    <w:p>
      <w:pPr>
        <w:pStyle w:val="LegalNumPar"/>
        <w:tabs>
          <w:tab w:val="left" w:pos="476"/>
        </w:tabs>
        <w:spacing w:line="240" w:lineRule="auto"/>
        <w:ind w:left="476"/>
        <w:rPr>
          <w:noProof/>
        </w:rPr>
      </w:pPr>
      <w:r>
        <w:rPr>
          <w:noProof/>
        </w:rPr>
        <w:drawing>
          <wp:inline distT="0" distB="0" distL="0" distR="0">
            <wp:extent cx="4912995" cy="3355340"/>
            <wp:effectExtent l="0" t="0" r="1905" b="0"/>
            <wp:docPr id="1657890230" name="Picture 1657890230" descr="C:\Users\sulyoge\Documents\Pict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ulyoge\Documents\Picture12.jpg"/>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4912995" cy="3355340"/>
                    </a:xfrm>
                    <a:prstGeom prst="rect">
                      <a:avLst/>
                    </a:prstGeom>
                    <a:noFill/>
                    <a:ln>
                      <a:noFill/>
                    </a:ln>
                  </pic:spPr>
                </pic:pic>
              </a:graphicData>
            </a:graphic>
          </wp:inline>
        </w:drawing>
      </w:r>
    </w:p>
    <w:p>
      <w:pPr>
        <w:pStyle w:val="LegalNumPar"/>
        <w:numPr>
          <w:ilvl w:val="0"/>
          <w:numId w:val="89"/>
        </w:numPr>
        <w:tabs>
          <w:tab w:val="left" w:pos="476"/>
        </w:tabs>
        <w:spacing w:line="240" w:lineRule="auto"/>
        <w:rPr>
          <w:noProof/>
        </w:rPr>
      </w:pPr>
      <w:r>
        <w:rPr>
          <w:noProof/>
          <w:lang w:eastAsia="en-US"/>
        </w:rPr>
        <w:t xml:space="preserve">The EU average of 51 road deaths per million inhabitants also masks significant differences between Member States. While the performance gap between the Member States has narrowed significantly since the year 2000, there are still proportionally four times more road deaths in the worst performing country than in the best one. </w:t>
      </w:r>
    </w:p>
    <w:p>
      <w:pPr>
        <w:pStyle w:val="Caption"/>
        <w:keepNext/>
        <w:keepLines/>
        <w:jc w:val="center"/>
        <w:rPr>
          <w:i w:val="0"/>
          <w:noProof/>
        </w:rPr>
      </w:pPr>
      <w:bookmarkStart w:id="4340" w:name="_Toc51450057"/>
      <w:bookmarkStart w:id="4341" w:name="_Toc51593797"/>
      <w:bookmarkStart w:id="4342" w:name="_Toc51595264"/>
      <w:bookmarkStart w:id="4343" w:name="_Toc51595514"/>
      <w:bookmarkStart w:id="4344" w:name="_Toc51595840"/>
      <w:bookmarkStart w:id="4345" w:name="_Toc51596003"/>
      <w:bookmarkStart w:id="4346" w:name="_Toc52121490"/>
      <w:bookmarkStart w:id="4347" w:name="_Toc52122721"/>
      <w:bookmarkStart w:id="4348" w:name="_Toc53405285"/>
      <w:bookmarkStart w:id="4349" w:name="_Toc53406075"/>
      <w:bookmarkStart w:id="4350" w:name="_Toc53407441"/>
      <w:bookmarkStart w:id="4351" w:name="_Toc53410888"/>
      <w:bookmarkStart w:id="4352" w:name="_Toc53411951"/>
      <w:bookmarkStart w:id="4353" w:name="_Toc53417198"/>
      <w:bookmarkStart w:id="4354" w:name="_Toc53417550"/>
      <w:bookmarkStart w:id="4355" w:name="_Toc53419583"/>
      <w:bookmarkStart w:id="4356" w:name="_Toc53434888"/>
      <w:bookmarkStart w:id="4357" w:name="_Toc53437028"/>
      <w:bookmarkStart w:id="4358" w:name="_Toc57291687"/>
      <w:r>
        <w:rPr>
          <w:i w:val="0"/>
          <w:noProof/>
        </w:rPr>
        <w:t xml:space="preserve">Figure </w:t>
      </w:r>
      <w:r>
        <w:rPr>
          <w:noProof/>
        </w:rPr>
        <w:fldChar w:fldCharType="begin"/>
      </w:r>
      <w:r>
        <w:rPr>
          <w:i w:val="0"/>
          <w:noProof/>
        </w:rPr>
        <w:instrText xml:space="preserve"> SEQ Figure \* ARABIC </w:instrText>
      </w:r>
      <w:r>
        <w:rPr>
          <w:noProof/>
        </w:rPr>
        <w:fldChar w:fldCharType="separate"/>
      </w:r>
      <w:r>
        <w:rPr>
          <w:i w:val="0"/>
          <w:noProof/>
        </w:rPr>
        <w:t>43</w:t>
      </w:r>
      <w:r>
        <w:rPr>
          <w:noProof/>
        </w:rPr>
        <w:fldChar w:fldCharType="end"/>
      </w:r>
      <w:r>
        <w:rPr>
          <w:i w:val="0"/>
          <w:noProof/>
        </w:rPr>
        <w:t>: Trend in road deaths per million inhabitants</w:t>
      </w:r>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r>
        <w:rPr>
          <w:i w:val="0"/>
          <w:noProof/>
        </w:rPr>
        <w:t xml:space="preserve"> 2010-2019</w:t>
      </w:r>
      <w:bookmarkEnd w:id="4358"/>
    </w:p>
    <w:p>
      <w:pPr>
        <w:pStyle w:val="LegalNumPar"/>
        <w:tabs>
          <w:tab w:val="left" w:pos="476"/>
        </w:tabs>
        <w:spacing w:line="240" w:lineRule="auto"/>
        <w:ind w:left="476"/>
        <w:jc w:val="center"/>
        <w:rPr>
          <w:noProof/>
        </w:rPr>
      </w:pPr>
      <w:r>
        <w:rPr>
          <w:noProof/>
        </w:rPr>
        <w:drawing>
          <wp:inline distT="0" distB="0" distL="0" distR="0">
            <wp:extent cx="4610735" cy="2983230"/>
            <wp:effectExtent l="0" t="0" r="0" b="7620"/>
            <wp:docPr id="1657890231" name="Picture 1657890231" descr="C:\Users\sulyoge\Documents\Pictur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ulyoge\Documents\Picture13.jpg"/>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4610735" cy="2983230"/>
                    </a:xfrm>
                    <a:prstGeom prst="rect">
                      <a:avLst/>
                    </a:prstGeom>
                    <a:noFill/>
                    <a:ln>
                      <a:noFill/>
                    </a:ln>
                  </pic:spPr>
                </pic:pic>
              </a:graphicData>
            </a:graphic>
          </wp:inline>
        </w:drawing>
      </w:r>
    </w:p>
    <w:p>
      <w:pPr>
        <w:pStyle w:val="LegalNumPar"/>
        <w:tabs>
          <w:tab w:val="left" w:pos="476"/>
        </w:tabs>
        <w:spacing w:line="240" w:lineRule="auto"/>
        <w:ind w:left="476"/>
        <w:rPr>
          <w:noProof/>
        </w:rPr>
      </w:pPr>
      <w:r>
        <w:rPr>
          <w:noProof/>
          <w:lang w:eastAsia="en-US"/>
        </w:rPr>
        <w:t>More than half (53%) of all road fatalities in the EU occur on rural roads and 8% on motorways. However, 38% of the fatalities occur in urban areas where vulnerable road users’ account for 70% of road deaths, with pedestrians being the most affected group.  While road deaths fell by more than 20% between 2010 and 2018</w:t>
      </w:r>
      <w:r>
        <w:rPr>
          <w:rStyle w:val="FootnoteReference"/>
          <w:noProof/>
          <w:lang w:eastAsia="en-US"/>
        </w:rPr>
        <w:footnoteReference w:id="572"/>
      </w:r>
      <w:r>
        <w:rPr>
          <w:noProof/>
          <w:lang w:eastAsia="en-US"/>
        </w:rPr>
        <w:t>, the number of cyclists killed actually increased by 6% in urban areas.</w:t>
      </w:r>
    </w:p>
    <w:p>
      <w:pPr>
        <w:pStyle w:val="Caption"/>
        <w:keepNext/>
        <w:keepLines/>
        <w:jc w:val="center"/>
        <w:rPr>
          <w:i w:val="0"/>
          <w:noProof/>
        </w:rPr>
      </w:pPr>
      <w:r>
        <w:rPr>
          <w:i w:val="0"/>
          <w:noProof/>
        </w:rPr>
        <w:t xml:space="preserve">Figure 55: Percentage of road fatalities in the EU by transport mode, 2018 </w:t>
      </w:r>
    </w:p>
    <w:p>
      <w:pPr>
        <w:pStyle w:val="LegalNumPar"/>
        <w:tabs>
          <w:tab w:val="num" w:pos="360"/>
          <w:tab w:val="left" w:pos="476"/>
        </w:tabs>
        <w:jc w:val="center"/>
        <w:rPr>
          <w:noProof/>
        </w:rPr>
      </w:pPr>
      <w:r>
        <w:rPr>
          <w:noProof/>
        </w:rPr>
        <w:drawing>
          <wp:inline distT="0" distB="0" distL="0" distR="0">
            <wp:extent cx="3256927" cy="2981325"/>
            <wp:effectExtent l="0" t="0" r="635" b="0"/>
            <wp:docPr id="213588312" name="Picture 213588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259301" cy="2983498"/>
                    </a:xfrm>
                    <a:prstGeom prst="rect">
                      <a:avLst/>
                    </a:prstGeom>
                    <a:noFill/>
                  </pic:spPr>
                </pic:pic>
              </a:graphicData>
            </a:graphic>
          </wp:inline>
        </w:drawing>
      </w:r>
    </w:p>
    <w:p>
      <w:pPr>
        <w:ind w:firstLine="476"/>
        <w:rPr>
          <w:i/>
          <w:noProof/>
          <w:sz w:val="16"/>
          <w:szCs w:val="16"/>
        </w:rPr>
      </w:pPr>
      <w:r>
        <w:rPr>
          <w:i/>
          <w:iCs/>
          <w:noProof/>
          <w:sz w:val="16"/>
          <w:szCs w:val="16"/>
        </w:rPr>
        <w:t>Source: CARE database</w:t>
      </w:r>
    </w:p>
    <w:p>
      <w:pPr>
        <w:pStyle w:val="LegalNumPar"/>
        <w:numPr>
          <w:ilvl w:val="0"/>
          <w:numId w:val="89"/>
        </w:numPr>
        <w:tabs>
          <w:tab w:val="left" w:pos="0"/>
        </w:tabs>
        <w:spacing w:line="240" w:lineRule="auto"/>
        <w:rPr>
          <w:noProof/>
        </w:rPr>
      </w:pPr>
      <w:r>
        <w:rPr>
          <w:noProof/>
          <w:lang w:eastAsia="en-US"/>
        </w:rPr>
        <w:t xml:space="preserve">Compared to road, </w:t>
      </w:r>
      <w:r>
        <w:rPr>
          <w:b/>
          <w:bCs/>
          <w:noProof/>
          <w:lang w:eastAsia="en-US"/>
        </w:rPr>
        <w:t>rail</w:t>
      </w:r>
      <w:r>
        <w:rPr>
          <w:noProof/>
          <w:lang w:eastAsia="en-US"/>
        </w:rPr>
        <w:t xml:space="preserve"> is a very safe mode of transport, although there are still too many fatalities involving railways. Altogether 1 721 significant accidents, 885 fatalities and 760 serious injuries were recorded in the EU-28 countries in 2018. A steady decrease in significant accidents and resulting casualties has been recorded in the period 2010-2018, for which harmonised data are available across the Union. </w:t>
      </w:r>
    </w:p>
    <w:p>
      <w:pPr>
        <w:pStyle w:val="Caption"/>
        <w:keepNext/>
        <w:keepLines/>
        <w:ind w:left="476"/>
        <w:rPr>
          <w:i w:val="0"/>
          <w:noProof/>
        </w:rPr>
      </w:pPr>
      <w:r>
        <w:rPr>
          <w:i w:val="0"/>
          <w:noProof/>
        </w:rPr>
        <w:t>Figure 56: Number of significant accidents, fatalities, and serious injuries in rail</w:t>
      </w:r>
      <w:r>
        <w:rPr>
          <w:rStyle w:val="FootnoteReference"/>
          <w:i w:val="0"/>
          <w:noProof/>
        </w:rPr>
        <w:footnoteReference w:id="573"/>
      </w:r>
    </w:p>
    <w:p>
      <w:pPr>
        <w:pStyle w:val="LegalNumPar"/>
        <w:tabs>
          <w:tab w:val="left" w:pos="142"/>
        </w:tabs>
        <w:spacing w:line="240" w:lineRule="auto"/>
        <w:jc w:val="center"/>
        <w:rPr>
          <w:noProof/>
        </w:rPr>
      </w:pPr>
      <w:r>
        <w:rPr>
          <w:noProof/>
        </w:rPr>
        <w:drawing>
          <wp:inline distT="0" distB="0" distL="0" distR="0">
            <wp:extent cx="5400040" cy="37014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5400040" cy="3701415"/>
                    </a:xfrm>
                    <a:prstGeom prst="rect">
                      <a:avLst/>
                    </a:prstGeom>
                  </pic:spPr>
                </pic:pic>
              </a:graphicData>
            </a:graphic>
          </wp:inline>
        </w:drawing>
      </w:r>
    </w:p>
    <w:p>
      <w:pPr>
        <w:pStyle w:val="LegalNumPar"/>
        <w:numPr>
          <w:ilvl w:val="0"/>
          <w:numId w:val="89"/>
        </w:numPr>
        <w:tabs>
          <w:tab w:val="left" w:pos="476"/>
        </w:tabs>
        <w:spacing w:line="240" w:lineRule="auto"/>
        <w:rPr>
          <w:noProof/>
        </w:rPr>
      </w:pPr>
      <w:r>
        <w:rPr>
          <w:noProof/>
          <w:lang w:eastAsia="en-US"/>
        </w:rPr>
        <w:t xml:space="preserve">Regarding </w:t>
      </w:r>
      <w:r>
        <w:rPr>
          <w:b/>
          <w:bCs/>
          <w:noProof/>
          <w:lang w:eastAsia="en-US"/>
        </w:rPr>
        <w:t>aviation</w:t>
      </w:r>
      <w:r>
        <w:rPr>
          <w:noProof/>
          <w:lang w:eastAsia="en-US"/>
        </w:rPr>
        <w:t>, which is the safest mode of transport, whereas 2018 (14 fatal accidents with 534 fatalities worldwide) was globally worse than 2017 (9 fatal accidents with 67 fatalities worldwide), 2019 showed 268 fatalities in 13 fatal accidents</w:t>
      </w:r>
      <w:r>
        <w:rPr>
          <w:rStyle w:val="FootnoteReference"/>
          <w:noProof/>
          <w:lang w:eastAsia="en-US"/>
        </w:rPr>
        <w:footnoteReference w:id="574"/>
      </w:r>
      <w:r>
        <w:rPr>
          <w:noProof/>
          <w:lang w:eastAsia="en-US"/>
        </w:rPr>
        <w:t>. No fatal accidents involving EU Member States airlines occurred since 2016</w:t>
      </w:r>
      <w:r>
        <w:rPr>
          <w:rStyle w:val="FootnoteReference"/>
          <w:noProof/>
          <w:lang w:eastAsia="en-US"/>
        </w:rPr>
        <w:footnoteReference w:id="575"/>
      </w:r>
      <w:r>
        <w:rPr>
          <w:noProof/>
          <w:lang w:eastAsia="en-US"/>
        </w:rPr>
        <w:t>.</w:t>
      </w:r>
    </w:p>
    <w:p>
      <w:pPr>
        <w:pStyle w:val="Caption"/>
        <w:keepNext/>
        <w:keepLines/>
        <w:jc w:val="center"/>
        <w:rPr>
          <w:i w:val="0"/>
          <w:noProof/>
        </w:rPr>
      </w:pPr>
      <w:r>
        <w:rPr>
          <w:i w:val="0"/>
          <w:noProof/>
        </w:rPr>
        <w:t>Figure 56: Fatal accidents involving large aeroplane passenger and cargo operations</w:t>
      </w:r>
    </w:p>
    <w:p>
      <w:pPr>
        <w:jc w:val="center"/>
        <w:rPr>
          <w:noProof/>
        </w:rPr>
      </w:pPr>
      <w:r>
        <w:rPr>
          <w:noProof/>
        </w:rPr>
        <w:drawing>
          <wp:inline distT="0" distB="0" distL="0" distR="0">
            <wp:extent cx="4573531" cy="291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4573531" cy="2916000"/>
                    </a:xfrm>
                    <a:prstGeom prst="rect">
                      <a:avLst/>
                    </a:prstGeom>
                  </pic:spPr>
                </pic:pic>
              </a:graphicData>
            </a:graphic>
          </wp:inline>
        </w:drawing>
      </w:r>
    </w:p>
    <w:p>
      <w:pPr>
        <w:rPr>
          <w:i/>
          <w:noProof/>
          <w:sz w:val="16"/>
          <w:szCs w:val="16"/>
        </w:rPr>
      </w:pPr>
      <w:r>
        <w:rPr>
          <w:i/>
          <w:iCs/>
          <w:noProof/>
          <w:sz w:val="16"/>
          <w:szCs w:val="16"/>
        </w:rPr>
        <w:t>Source: EASA Annual Safety Review 2020</w:t>
      </w:r>
    </w:p>
    <w:p>
      <w:pPr>
        <w:pStyle w:val="LegalNumPar"/>
        <w:numPr>
          <w:ilvl w:val="0"/>
          <w:numId w:val="89"/>
        </w:numPr>
        <w:tabs>
          <w:tab w:val="left" w:pos="476"/>
        </w:tabs>
        <w:spacing w:line="240" w:lineRule="auto"/>
        <w:rPr>
          <w:noProof/>
        </w:rPr>
      </w:pPr>
      <w:r>
        <w:rPr>
          <w:noProof/>
        </w:rPr>
        <w:t xml:space="preserve">In </w:t>
      </w:r>
      <w:r>
        <w:rPr>
          <w:b/>
          <w:bCs/>
          <w:noProof/>
        </w:rPr>
        <w:t>maritime</w:t>
      </w:r>
      <w:r>
        <w:rPr>
          <w:noProof/>
        </w:rPr>
        <w:t xml:space="preserve"> transport, during the 2011-2018 period, a total of 696 lives were lost. The decrease observed since 2015 was reversed in 2018. Crew have been the most impacted category of victims over this period with 566 fatalities. The number of fatalities recorded in 2018 is 53. As to occurrences, 3,174 were reported in 2018, and the average per year over the past five years is of 3,239 marine casualties or incidents.</w:t>
      </w:r>
      <w:r>
        <w:rPr>
          <w:rStyle w:val="FootnoteReference"/>
          <w:noProof/>
        </w:rPr>
        <w:footnoteReference w:id="576"/>
      </w:r>
    </w:p>
    <w:p>
      <w:pPr>
        <w:pStyle w:val="Heading4"/>
        <w:numPr>
          <w:ilvl w:val="3"/>
          <w:numId w:val="98"/>
        </w:numPr>
        <w:rPr>
          <w:noProof/>
        </w:rPr>
      </w:pPr>
      <w:bookmarkStart w:id="4359" w:name="_Toc51450143"/>
      <w:bookmarkStart w:id="4360" w:name="_Toc51574843"/>
      <w:bookmarkStart w:id="4361" w:name="_Toc51575691"/>
      <w:bookmarkStart w:id="4362" w:name="_Toc51578089"/>
      <w:bookmarkStart w:id="4363" w:name="_Toc51582962"/>
      <w:bookmarkStart w:id="4364" w:name="_Toc51583437"/>
      <w:bookmarkStart w:id="4365" w:name="_Toc51583527"/>
      <w:bookmarkStart w:id="4366" w:name="_Toc51583812"/>
      <w:bookmarkStart w:id="4367" w:name="_Toc51584002"/>
      <w:bookmarkStart w:id="4368" w:name="_Toc51583926"/>
      <w:bookmarkStart w:id="4369" w:name="_Toc51586244"/>
      <w:bookmarkStart w:id="4370" w:name="_Toc51594047"/>
      <w:bookmarkStart w:id="4371" w:name="_Toc51594373"/>
      <w:bookmarkStart w:id="4372" w:name="_Toc51595351"/>
      <w:bookmarkStart w:id="4373" w:name="_Toc51595601"/>
      <w:bookmarkStart w:id="4374" w:name="_Toc51595927"/>
      <w:bookmarkStart w:id="4375" w:name="_Toc51596090"/>
      <w:bookmarkStart w:id="4376" w:name="_Toc51596443"/>
      <w:bookmarkStart w:id="4377" w:name="_Toc52121578"/>
      <w:bookmarkStart w:id="4378" w:name="_Toc52122809"/>
      <w:bookmarkStart w:id="4379" w:name="_Toc52123926"/>
      <w:bookmarkStart w:id="4380" w:name="_Toc53405387"/>
      <w:bookmarkStart w:id="4381" w:name="_Toc53406174"/>
      <w:bookmarkStart w:id="4382" w:name="_Toc53407543"/>
      <w:bookmarkStart w:id="4383" w:name="_Toc53410987"/>
      <w:bookmarkStart w:id="4384" w:name="_Toc53412050"/>
      <w:bookmarkStart w:id="4385" w:name="_Toc53417297"/>
      <w:bookmarkStart w:id="4386" w:name="_Toc53417649"/>
      <w:bookmarkStart w:id="4387" w:name="_Toc53419884"/>
      <w:bookmarkStart w:id="4388" w:name="_Toc53434987"/>
      <w:bookmarkStart w:id="4389" w:name="_Toc53437126"/>
      <w:bookmarkStart w:id="4390" w:name="_Toc57291532"/>
      <w:r>
        <w:rPr>
          <w:noProof/>
        </w:rPr>
        <w:t>Ever evolving challenges</w:t>
      </w:r>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p>
    <w:p>
      <w:pPr>
        <w:pStyle w:val="LegalNumPar"/>
        <w:numPr>
          <w:ilvl w:val="0"/>
          <w:numId w:val="89"/>
        </w:numPr>
        <w:tabs>
          <w:tab w:val="left" w:pos="476"/>
        </w:tabs>
        <w:spacing w:line="240" w:lineRule="auto"/>
        <w:rPr>
          <w:noProof/>
          <w:lang w:eastAsia="en-US"/>
        </w:rPr>
      </w:pPr>
      <w:r>
        <w:rPr>
          <w:noProof/>
          <w:lang w:eastAsia="en-US"/>
        </w:rPr>
        <w:t>Few could have predicted the enormous</w:t>
      </w:r>
      <w:r>
        <w:rPr>
          <w:b/>
          <w:bCs/>
          <w:noProof/>
          <w:lang w:eastAsia="en-US"/>
        </w:rPr>
        <w:t xml:space="preserve"> health safety challenge </w:t>
      </w:r>
      <w:r>
        <w:rPr>
          <w:noProof/>
          <w:lang w:eastAsia="en-US"/>
        </w:rPr>
        <w:t>that the coronavirus pandemic has posed to the transport sector. New health protocols and guidelines on the operation of transport services</w:t>
      </w:r>
      <w:r>
        <w:rPr>
          <w:rStyle w:val="FootnoteReference"/>
          <w:noProof/>
          <w:lang w:eastAsia="en-US"/>
        </w:rPr>
        <w:footnoteReference w:id="577"/>
      </w:r>
      <w:r>
        <w:rPr>
          <w:noProof/>
          <w:lang w:eastAsia="en-US"/>
        </w:rPr>
        <w:t xml:space="preserve"> had to be issued, operations and equipment had to be drastically changed and revamped. Yet, most collective modes still struggle to regain the trust of passengers, be that in public transport, high-speed rail, coaches or flying.</w:t>
      </w:r>
    </w:p>
    <w:p>
      <w:pPr>
        <w:pStyle w:val="LegalNumPar"/>
        <w:numPr>
          <w:ilvl w:val="0"/>
          <w:numId w:val="89"/>
        </w:numPr>
        <w:tabs>
          <w:tab w:val="left" w:pos="476"/>
        </w:tabs>
        <w:spacing w:line="240" w:lineRule="auto"/>
        <w:rPr>
          <w:noProof/>
          <w:lang w:eastAsia="en-US"/>
        </w:rPr>
      </w:pPr>
      <w:r>
        <w:rPr>
          <w:noProof/>
          <w:lang w:eastAsia="en-US"/>
        </w:rPr>
        <w:t xml:space="preserve">Unfortunately this latest development is just one of the </w:t>
      </w:r>
      <w:r>
        <w:rPr>
          <w:b/>
          <w:bCs/>
          <w:noProof/>
          <w:lang w:eastAsia="en-US"/>
        </w:rPr>
        <w:t>constantly evolving challenges</w:t>
      </w:r>
      <w:r>
        <w:rPr>
          <w:noProof/>
          <w:lang w:eastAsia="en-US"/>
        </w:rPr>
        <w:t xml:space="preserve"> that the transport sector has to face, and demonstrates the need for a flexible and varied framework that can be easily adapted and offers a diverse range of solutions so as to cope with the different kinds of challenges that may arise. For example, the transport sector remains an attractive target for terrorists and criminals. The main challenge is to reconcile the security of persons and goods with the openness and efficiency of the transport system. Security needs to be taken into account at the design stage of the process for vehicles and infrastructures, in order to make them resilient to ever evolving threats. However, in many cases, transport is lacking rapid and efficient certification processes. </w:t>
      </w:r>
    </w:p>
    <w:p>
      <w:pPr>
        <w:pStyle w:val="LegalNumPar"/>
        <w:numPr>
          <w:ilvl w:val="0"/>
          <w:numId w:val="89"/>
        </w:numPr>
        <w:tabs>
          <w:tab w:val="left" w:pos="476"/>
        </w:tabs>
        <w:spacing w:line="240" w:lineRule="auto"/>
        <w:rPr>
          <w:noProof/>
          <w:lang w:eastAsia="en-US"/>
        </w:rPr>
      </w:pPr>
      <w:r>
        <w:rPr>
          <w:noProof/>
          <w:lang w:eastAsia="en-US"/>
        </w:rPr>
        <w:t xml:space="preserve">The introduction of </w:t>
      </w:r>
      <w:r>
        <w:rPr>
          <w:b/>
          <w:bCs/>
          <w:noProof/>
          <w:lang w:eastAsia="en-US"/>
        </w:rPr>
        <w:t>new technologies</w:t>
      </w:r>
      <w:r>
        <w:rPr>
          <w:noProof/>
          <w:lang w:eastAsia="en-US"/>
        </w:rPr>
        <w:t xml:space="preserve"> (e.g. drones, e-scooters, Hyperloop) can also affect the safety and security of transport and its users. These include new technologies that are key to enable a more sustainable transport system (e.g. alternative fuels, electric vehicles) and that may involve increased risk for safety and for security. These should be addressed in order to make the twin transition towards sustainability and digitalisation successful.</w:t>
      </w:r>
    </w:p>
    <w:p>
      <w:pPr>
        <w:pStyle w:val="LegalNumPar"/>
        <w:numPr>
          <w:ilvl w:val="0"/>
          <w:numId w:val="89"/>
        </w:numPr>
        <w:tabs>
          <w:tab w:val="left" w:pos="476"/>
        </w:tabs>
        <w:spacing w:line="240" w:lineRule="auto"/>
        <w:rPr>
          <w:noProof/>
          <w:lang w:eastAsia="en-US"/>
        </w:rPr>
      </w:pPr>
      <w:r>
        <w:rPr>
          <w:noProof/>
        </w:rPr>
        <w:t>Drones</w:t>
      </w:r>
      <w:r>
        <w:rPr>
          <w:noProof/>
          <w:lang w:eastAsia="en-US"/>
        </w:rPr>
        <w:t xml:space="preserve"> create new services, can contribute to decarbonisation and bring value to many businesses, including airports operations, but put in the wrong hands, they can pose serious safety and security concerns – as recent high profile incidents demonstrated. In 2018, more than 10 million mass market drones and 1.3 million specialised drones were sold globally. In 2022 these figures are expected to be respectively be 35 million and 9.2 million. Since September 2018, the EU has the responsibility for ensuring that these drones operations are safe, secure, green and respectful of people privacy. EU-wide rules adopted in 2019 will make it easier for local authorities to restrict operations in sensitive areas, next to airports or prisons for instance. They will also greatly facilitate the identification and localisation of a drone and its pilot, with important provisions such as mandatory registration, marking and remote identification. And they will ensure that drones operations are as safe as those in manned aviation. </w:t>
      </w:r>
    </w:p>
    <w:p>
      <w:pPr>
        <w:pStyle w:val="LegalNumPar"/>
        <w:numPr>
          <w:ilvl w:val="0"/>
          <w:numId w:val="89"/>
        </w:numPr>
        <w:tabs>
          <w:tab w:val="left" w:pos="476"/>
        </w:tabs>
        <w:spacing w:line="240" w:lineRule="auto"/>
        <w:rPr>
          <w:noProof/>
          <w:lang w:eastAsia="en-US"/>
        </w:rPr>
      </w:pPr>
      <w:r>
        <w:rPr>
          <w:noProof/>
          <w:lang w:eastAsia="en-US"/>
        </w:rPr>
        <w:t xml:space="preserve">More legislative work is required as certification requirements for the drone, the operator and the remote pilot need to be defined. There is also a need to ensure that large scale drone operations in the very low level airspace remain safe and secure. Further initiatives in the field of Drone Traffic Management, the so-called ‘U-space’ should enable drones to be adequately separated from each other and protect all other airspace users, as well as people, animals and buildings on the ground from hazardous proximity. Further work is also needed to ensure that European airports are well prepared to deal with unauthorised drones’ incursions, so that closure and diversions remain a last-resort measure only. This also raises the issue of counter-drones technologies, i.e. how to “take-down” a hostile drone. But it is imperative that these technologies do not threaten other legitimate airspace users, such as airliners. </w:t>
      </w:r>
    </w:p>
    <w:p>
      <w:pPr>
        <w:pStyle w:val="LegalNumPar"/>
        <w:numPr>
          <w:ilvl w:val="0"/>
          <w:numId w:val="89"/>
        </w:numPr>
        <w:tabs>
          <w:tab w:val="left" w:pos="476"/>
        </w:tabs>
        <w:spacing w:line="240" w:lineRule="auto"/>
        <w:rPr>
          <w:noProof/>
          <w:lang w:eastAsia="en-US"/>
        </w:rPr>
      </w:pPr>
      <w:r>
        <w:rPr>
          <w:noProof/>
          <w:lang w:eastAsia="en-US"/>
        </w:rPr>
        <w:t xml:space="preserve">On urban roads, sharing schemes of bicycles and especially of </w:t>
      </w:r>
      <w:r>
        <w:rPr>
          <w:noProof/>
        </w:rPr>
        <w:t>e-scooters</w:t>
      </w:r>
      <w:r>
        <w:rPr>
          <w:noProof/>
          <w:lang w:eastAsia="en-US"/>
        </w:rPr>
        <w:t>, have mushroomed rapidly. In some cities, up to 8 different operators have deployed e-scooters. Although the sector was severely hit by the COVID-19 pandemic, e-scooters remain easily accessible and popular and have the potential to reduce car trips, and thereby congestion and emissions. They might usefully complement public transport, potentially resulting in wider use and acceptance of the latter. At this point, however, reliable and comparable statistics are missing.</w:t>
      </w:r>
    </w:p>
    <w:p>
      <w:pPr>
        <w:pStyle w:val="LegalNumPar"/>
        <w:numPr>
          <w:ilvl w:val="0"/>
          <w:numId w:val="89"/>
        </w:numPr>
        <w:tabs>
          <w:tab w:val="left" w:pos="476"/>
        </w:tabs>
        <w:spacing w:line="240" w:lineRule="auto"/>
        <w:rPr>
          <w:noProof/>
          <w:lang w:eastAsia="en-US"/>
        </w:rPr>
      </w:pPr>
      <w:r>
        <w:rPr>
          <w:noProof/>
          <w:lang w:eastAsia="en-US"/>
        </w:rPr>
        <w:t>At the same time, new personal mobility devices also raise a number of serious concerns – some related to the safety of the devices themselves, some to their safe use in traffic, some to the operation of the sharing schemes (use of public space and sustainability). Comparable data across Member States is still missing, but first data released by some Member States</w:t>
      </w:r>
      <w:r>
        <w:rPr>
          <w:rStyle w:val="FootnoteReference"/>
          <w:noProof/>
          <w:lang w:eastAsia="en-US"/>
        </w:rPr>
        <w:footnoteReference w:id="578"/>
      </w:r>
      <w:r>
        <w:rPr>
          <w:noProof/>
          <w:lang w:eastAsia="en-US"/>
        </w:rPr>
        <w:t xml:space="preserve"> and anecdotal evidence from medical sources points to a lot of injuries, including fatal ones. </w:t>
      </w:r>
    </w:p>
    <w:p>
      <w:pPr>
        <w:pStyle w:val="LegalNumPar"/>
        <w:numPr>
          <w:ilvl w:val="0"/>
          <w:numId w:val="89"/>
        </w:numPr>
        <w:tabs>
          <w:tab w:val="left" w:pos="476"/>
        </w:tabs>
        <w:spacing w:line="240" w:lineRule="auto"/>
        <w:rPr>
          <w:noProof/>
          <w:lang w:eastAsia="en-US"/>
        </w:rPr>
      </w:pPr>
      <w:r>
        <w:rPr>
          <w:noProof/>
          <w:lang w:eastAsia="en-US"/>
        </w:rPr>
        <w:t>Currently, only few Member States have regulations in place. Regulatory divergence makes it difficult for visitors to follow local rules correctly (e-scooters in particular are popular with tourists), and negatively affects sharing scheme operators that wish to operate in more than one country.</w:t>
      </w:r>
    </w:p>
    <w:p>
      <w:pPr>
        <w:pStyle w:val="LegalNumPar"/>
        <w:numPr>
          <w:ilvl w:val="0"/>
          <w:numId w:val="89"/>
        </w:numPr>
        <w:tabs>
          <w:tab w:val="left" w:pos="476"/>
        </w:tabs>
        <w:spacing w:line="240" w:lineRule="auto"/>
        <w:rPr>
          <w:noProof/>
          <w:lang w:eastAsia="en-US"/>
        </w:rPr>
      </w:pPr>
      <w:r>
        <w:rPr>
          <w:noProof/>
          <w:lang w:eastAsia="en-US"/>
        </w:rPr>
        <w:t>A solid statistical basis – for both safety/crash data and mobility patterns (modal share, substitution of rides previously made on other modes, etc.) – is needed. Crash injury data would mostly be needed from hospitals. In many countries, cooperation between the police and the medical sector on data gathering is not yet working very well. Mobility pattern data needs to be gathered more systematically from operators of sharing schemes and verified as far as possible.</w:t>
      </w:r>
    </w:p>
    <w:p>
      <w:pPr>
        <w:pStyle w:val="LegalNumPar"/>
        <w:numPr>
          <w:ilvl w:val="0"/>
          <w:numId w:val="89"/>
        </w:numPr>
        <w:tabs>
          <w:tab w:val="left" w:pos="476"/>
        </w:tabs>
        <w:spacing w:line="240" w:lineRule="auto"/>
        <w:rPr>
          <w:noProof/>
          <w:lang w:eastAsia="en-US"/>
        </w:rPr>
      </w:pPr>
      <w:r>
        <w:rPr>
          <w:noProof/>
          <w:lang w:eastAsia="en-US"/>
        </w:rPr>
        <w:t>For the devices themselves, there are a number of EU tools to influence safety. An EU framework for certification and market surveillance could be considered, be it in the framework of type approval, the machinery directive or a standard in order to ensure that the devices themselves fulfil certain safety requirements. A study into these issues is ongoing, with results expected in early 2021.</w:t>
      </w:r>
    </w:p>
    <w:p>
      <w:pPr>
        <w:pStyle w:val="LegalNumPar"/>
        <w:numPr>
          <w:ilvl w:val="0"/>
          <w:numId w:val="89"/>
        </w:numPr>
        <w:tabs>
          <w:tab w:val="left" w:pos="476"/>
        </w:tabs>
        <w:spacing w:line="240" w:lineRule="auto"/>
        <w:rPr>
          <w:noProof/>
          <w:lang w:eastAsia="en-US"/>
        </w:rPr>
      </w:pPr>
      <w:r>
        <w:rPr>
          <w:noProof/>
          <w:lang w:eastAsia="en-US"/>
        </w:rPr>
        <w:t>Regarding their use, the EU has no competence to set traffic rules. However, the Commission could issue guidance to Member States (on vehicle classification, which infrastructure they are entitled to use (i.e. sharing walking/cycling infrastructure), minimum age, helmet, insurance) and urge Member States to coordinate their policies.</w:t>
      </w:r>
    </w:p>
    <w:p>
      <w:pPr>
        <w:pStyle w:val="LegalNumPar"/>
        <w:numPr>
          <w:ilvl w:val="0"/>
          <w:numId w:val="89"/>
        </w:numPr>
        <w:tabs>
          <w:tab w:val="left" w:pos="476"/>
        </w:tabs>
        <w:spacing w:line="240" w:lineRule="auto"/>
        <w:rPr>
          <w:noProof/>
          <w:lang w:eastAsia="en-US"/>
        </w:rPr>
      </w:pPr>
      <w:r>
        <w:rPr>
          <w:noProof/>
          <w:lang w:eastAsia="en-US"/>
        </w:rPr>
        <w:t>Finally, shared new mobility services in general should in any case be part of a local transport plan. Since 2013, the Commission provides a concept on Sustainable Urban Mobility Planning (SUMP), with related European guidelines. These guidelines, intended for local authorities, have recently been revised and include, among others, a dedicated guide on Integration of Shared Mobility Approaches in Sustainable Urban Mobility Planning</w:t>
      </w:r>
      <w:r>
        <w:rPr>
          <w:rStyle w:val="FootnoteReference"/>
          <w:noProof/>
          <w:lang w:eastAsia="en-US"/>
        </w:rPr>
        <w:footnoteReference w:id="579"/>
      </w:r>
      <w:r>
        <w:rPr>
          <w:noProof/>
          <w:lang w:eastAsia="en-US"/>
        </w:rPr>
        <w:t xml:space="preserve">. Exchange of experience and good practices between cities could be fostered, involving relevant city networks. These and related safety and sustainability issues are also being considered in the context of the revision of the Urban Mobility Package. </w:t>
      </w:r>
    </w:p>
    <w:p>
      <w:pPr>
        <w:pStyle w:val="LegalNumPar"/>
        <w:numPr>
          <w:ilvl w:val="0"/>
          <w:numId w:val="89"/>
        </w:numPr>
        <w:tabs>
          <w:tab w:val="left" w:pos="476"/>
        </w:tabs>
        <w:spacing w:line="240" w:lineRule="auto"/>
        <w:rPr>
          <w:noProof/>
          <w:lang w:eastAsia="en-US"/>
        </w:rPr>
      </w:pPr>
      <w:r>
        <w:rPr>
          <w:noProof/>
          <w:lang w:eastAsia="en-US"/>
        </w:rPr>
        <w:t xml:space="preserve">Third area of evolving challenges is exponential </w:t>
      </w:r>
      <w:r>
        <w:rPr>
          <w:b/>
          <w:bCs/>
          <w:noProof/>
          <w:lang w:eastAsia="en-US"/>
        </w:rPr>
        <w:t>growth of traffic</w:t>
      </w:r>
      <w:r>
        <w:rPr>
          <w:noProof/>
          <w:lang w:eastAsia="en-US"/>
        </w:rPr>
        <w:t xml:space="preserve"> and congestion as it becomes increasingly complex in certain modes of transport to maintain high levels of safety and security in a context of congested and gridlocked traffic. In addition, rapid growth brings risk of cutting corners on security/safety.</w:t>
      </w:r>
    </w:p>
    <w:p>
      <w:pPr>
        <w:pStyle w:val="LegalNumPar"/>
        <w:numPr>
          <w:ilvl w:val="0"/>
          <w:numId w:val="89"/>
        </w:numPr>
        <w:tabs>
          <w:tab w:val="left" w:pos="476"/>
        </w:tabs>
        <w:spacing w:line="240" w:lineRule="auto"/>
        <w:rPr>
          <w:noProof/>
          <w:lang w:eastAsia="en-US"/>
        </w:rPr>
      </w:pPr>
      <w:r>
        <w:rPr>
          <w:noProof/>
          <w:lang w:eastAsia="en-US"/>
        </w:rPr>
        <w:t>With traffic growth, the challenge is to always enhance the level of safety in order to sustain the growth with no additional incident or accident. The safety factor is then key for infrastructure development and planning for the future.</w:t>
      </w:r>
    </w:p>
    <w:p>
      <w:pPr>
        <w:pStyle w:val="LegalNumPar"/>
        <w:numPr>
          <w:ilvl w:val="0"/>
          <w:numId w:val="89"/>
        </w:numPr>
        <w:tabs>
          <w:tab w:val="left" w:pos="476"/>
        </w:tabs>
        <w:spacing w:line="240" w:lineRule="auto"/>
        <w:rPr>
          <w:noProof/>
          <w:lang w:eastAsia="en-US"/>
        </w:rPr>
      </w:pPr>
      <w:r>
        <w:rPr>
          <w:noProof/>
          <w:lang w:eastAsia="en-US"/>
        </w:rPr>
        <w:t xml:space="preserve">In terms of air navigation, a system to enable the de-confliction of trajectories is a vital tool to mitigate the risk of a collision between aircraft, notably in situations of high air traffic controllers’ workload. When fed by numerous data exchange between the aircraft and ATM, technology is essential to assist the human in its tasks, in providing options and contingency plan to avoid mid-air collision. </w:t>
      </w:r>
    </w:p>
    <w:p>
      <w:pPr>
        <w:pStyle w:val="LegalNumPar"/>
        <w:numPr>
          <w:ilvl w:val="0"/>
          <w:numId w:val="89"/>
        </w:numPr>
        <w:tabs>
          <w:tab w:val="left" w:pos="476"/>
        </w:tabs>
        <w:spacing w:line="240" w:lineRule="auto"/>
        <w:rPr>
          <w:noProof/>
          <w:lang w:eastAsia="en-US"/>
        </w:rPr>
      </w:pPr>
      <w:r>
        <w:rPr>
          <w:noProof/>
          <w:lang w:eastAsia="en-US"/>
        </w:rPr>
        <w:t xml:space="preserve">In airports, where a lot of movements from different vehicles occurs, the biggest safety threat is the runway incursion during a landing or take-off phase. Also on the apron, contact between vehicles and aircraft can cause hidden damages on an aircraft fuselage, putting at risk the flight when the cabin will be pressurised. With dozens of movement per hours on a runway, every vehicle must be adequately controlled and followed to avoid collision on the ground. </w:t>
      </w:r>
    </w:p>
    <w:p>
      <w:pPr>
        <w:pStyle w:val="LegalNumPar"/>
        <w:numPr>
          <w:ilvl w:val="0"/>
          <w:numId w:val="89"/>
        </w:numPr>
        <w:tabs>
          <w:tab w:val="left" w:pos="476"/>
        </w:tabs>
        <w:spacing w:line="240" w:lineRule="auto"/>
        <w:rPr>
          <w:noProof/>
          <w:lang w:eastAsia="en-US"/>
        </w:rPr>
      </w:pPr>
      <w:r>
        <w:rPr>
          <w:noProof/>
          <w:lang w:eastAsia="en-US"/>
        </w:rPr>
        <w:t>Regular maintenance and management of air navigation aids is a major challenge as it is the guarantee for precise guidance of aircraft. Both for en-route and approach phases, ground or satellite based guidance stations need to be carefully maintained to provide a high level of reliance.</w:t>
      </w:r>
    </w:p>
    <w:p>
      <w:pPr>
        <w:pStyle w:val="LegalNumPar"/>
        <w:numPr>
          <w:ilvl w:val="0"/>
          <w:numId w:val="89"/>
        </w:numPr>
        <w:tabs>
          <w:tab w:val="left" w:pos="476"/>
        </w:tabs>
        <w:spacing w:line="240" w:lineRule="auto"/>
        <w:rPr>
          <w:noProof/>
          <w:lang w:eastAsia="en-US"/>
        </w:rPr>
      </w:pPr>
      <w:r>
        <w:rPr>
          <w:noProof/>
          <w:lang w:eastAsia="en-US"/>
        </w:rPr>
        <w:t xml:space="preserve">In addition, as all transport modes become increasingly technology-dependent, resilience against </w:t>
      </w:r>
      <w:r>
        <w:rPr>
          <w:bCs/>
          <w:noProof/>
          <w:lang w:eastAsia="en-US"/>
        </w:rPr>
        <w:t>cyber-attacks</w:t>
      </w:r>
      <w:r>
        <w:rPr>
          <w:noProof/>
          <w:lang w:eastAsia="en-US"/>
        </w:rPr>
        <w:t xml:space="preserve"> is essential. From a legislative point of view, </w:t>
      </w:r>
      <w:r>
        <w:rPr>
          <w:b/>
          <w:noProof/>
          <w:lang w:eastAsia="en-US"/>
        </w:rPr>
        <w:t>cybersecurity</w:t>
      </w:r>
      <w:r>
        <w:rPr>
          <w:noProof/>
          <w:lang w:eastAsia="en-US"/>
        </w:rPr>
        <w:t xml:space="preserve"> is primarily addressed at EU level by a horizontal framework composed of the Directive on security of network and information systems (NIS Directive) and the Cybersecurity Act. The latter will create the first-EU wide certification framework for ICT products, processes and services, which could have significance for transport (for instance by addressing 5G security). As for the NIS Directive, it required Member States to designate “Operators of Essential Services” (OES) across all economic sectors. These OES are required to take some cybersecurity measures (both technical and organisational) and to notify serious incidents to the national authority. This approach however has led to some inconsistencies among Member States. This was documented in a report published by the Commission on 28 October 2019. To close those gaps, the Commission has announced its intention to review the NIS Directive in Q4 2020. An impact assessment will investigate various policy options, including possible regulatory interventions (e.g. amending the existing Directive or proposing a new legislative act by repealing the current one), soft law measures (e.g. guidelines on the identification of OES) as well as a combination of the two.</w:t>
      </w:r>
    </w:p>
    <w:p>
      <w:pPr>
        <w:pStyle w:val="LegalNumPar"/>
        <w:numPr>
          <w:ilvl w:val="0"/>
          <w:numId w:val="89"/>
        </w:numPr>
        <w:tabs>
          <w:tab w:val="left" w:pos="476"/>
        </w:tabs>
        <w:spacing w:line="240" w:lineRule="auto"/>
        <w:rPr>
          <w:noProof/>
          <w:lang w:eastAsia="en-US"/>
        </w:rPr>
      </w:pPr>
      <w:r>
        <w:rPr>
          <w:noProof/>
          <w:lang w:eastAsia="en-US"/>
        </w:rPr>
        <w:t>For the transport sector, the NIS Directive is an important baseline and step forward in cybersecurity. At the same time, it can be less adapted to a sector like transport, which is a “system of systems” and prone to loopholes stemming from divergent Member State implementation. In aviation, for example, the evolution of the international framework (ICAO Annex 17 on Security) has already required the adoption of secondary legislation on cybersecurity in aviation security (Implementing Regulation 2019/1583). EASA has also launched two rule-making tasks to address cybersecurity from a safety angle. In maritime, there have been some advances at the level of the IMO, and some mandatory rules touching on cybersecurity are set in EU maritime security legislation.</w:t>
      </w:r>
    </w:p>
    <w:p>
      <w:pPr>
        <w:pStyle w:val="LegalNumPar"/>
        <w:numPr>
          <w:ilvl w:val="0"/>
          <w:numId w:val="89"/>
        </w:numPr>
        <w:tabs>
          <w:tab w:val="left" w:pos="476"/>
        </w:tabs>
        <w:spacing w:line="240" w:lineRule="auto"/>
        <w:rPr>
          <w:noProof/>
          <w:lang w:eastAsia="en-US"/>
        </w:rPr>
      </w:pPr>
      <w:r>
        <w:rPr>
          <w:noProof/>
          <w:lang w:eastAsia="en-US"/>
        </w:rPr>
        <w:t>The specificities of the sector therefore need to be addressed in consultation with transport stakeholders, taking into account existing obligations, as well as avoiding duplication and excessive burden on Member States. We should also ensure that critical transport infrastructure is cyber secure by design, and continue to improve digital skills and cyber-awareness among the labour force, so that all employees can really be the first line of defence against cyber-attacks.</w:t>
      </w:r>
    </w:p>
    <w:p>
      <w:pPr>
        <w:pStyle w:val="LegalNumPar"/>
        <w:numPr>
          <w:ilvl w:val="0"/>
          <w:numId w:val="89"/>
        </w:numPr>
        <w:tabs>
          <w:tab w:val="left" w:pos="476"/>
        </w:tabs>
        <w:spacing w:line="240" w:lineRule="auto"/>
        <w:rPr>
          <w:noProof/>
          <w:lang w:eastAsia="en-US"/>
        </w:rPr>
      </w:pPr>
      <w:r>
        <w:rPr>
          <w:noProof/>
          <w:lang w:eastAsia="en-US"/>
        </w:rPr>
        <w:t>Civil aviation remains an attractive target for terrorist activity in today's geopolitical situation. The speed at which the EU is able to adapt aviation security rules to evolving threats to civil aviation is a critical element in tackling this risk.</w:t>
      </w:r>
    </w:p>
    <w:p>
      <w:pPr>
        <w:pStyle w:val="LegalNumPar"/>
        <w:numPr>
          <w:ilvl w:val="0"/>
          <w:numId w:val="89"/>
        </w:numPr>
        <w:tabs>
          <w:tab w:val="left" w:pos="476"/>
        </w:tabs>
        <w:spacing w:line="240" w:lineRule="auto"/>
        <w:rPr>
          <w:noProof/>
          <w:lang w:eastAsia="en-US"/>
        </w:rPr>
      </w:pPr>
      <w:r>
        <w:rPr>
          <w:noProof/>
          <w:lang w:eastAsia="en-US"/>
        </w:rPr>
        <w:t>The purpose is to investigate existing mechanisms and explore future options for the adaptability of aviation security in response to an act or an anticipated imminent act of unlawful interference against civil aviation in order to protect air passengers travelling outbound from EU airports and to protect air passengers travelling inbound to the EU from third countries. This should also cover cases such as the overflight of conflict zones and cybersecurity.</w:t>
      </w:r>
    </w:p>
    <w:p>
      <w:pPr>
        <w:pStyle w:val="LegalNumPar"/>
        <w:numPr>
          <w:ilvl w:val="0"/>
          <w:numId w:val="89"/>
        </w:numPr>
        <w:tabs>
          <w:tab w:val="left" w:pos="476"/>
        </w:tabs>
        <w:spacing w:line="240" w:lineRule="auto"/>
        <w:rPr>
          <w:noProof/>
          <w:lang w:eastAsia="en-US"/>
        </w:rPr>
      </w:pPr>
      <w:r>
        <w:rPr>
          <w:noProof/>
          <w:lang w:eastAsia="en-US"/>
        </w:rPr>
        <w:t>The objective is to assess how EU Member States and air transport operators are today placed to act upon time-critical threat information that requires adapting aviation security measures to ensure an adequate level of protection for air passengers.</w:t>
      </w:r>
    </w:p>
    <w:p>
      <w:pPr>
        <w:pStyle w:val="LegalNumPar"/>
        <w:numPr>
          <w:ilvl w:val="0"/>
          <w:numId w:val="89"/>
        </w:numPr>
        <w:tabs>
          <w:tab w:val="left" w:pos="476"/>
        </w:tabs>
        <w:spacing w:line="240" w:lineRule="auto"/>
        <w:rPr>
          <w:noProof/>
          <w:lang w:eastAsia="en-US"/>
        </w:rPr>
      </w:pPr>
      <w:r>
        <w:rPr>
          <w:noProof/>
          <w:lang w:eastAsia="en-US"/>
        </w:rPr>
        <w:t>As such, options should be identified for the design and administration of mechanisms that can adapt to protect air passengers travelling outbound from EU airports and air passengers travelling inbound to the EU from third countries (including the overflight of their territories) from imminent acts of unlawful interference against civil aviation.</w:t>
      </w:r>
    </w:p>
    <w:p>
      <w:pPr>
        <w:pStyle w:val="LegalNumPar"/>
        <w:numPr>
          <w:ilvl w:val="0"/>
          <w:numId w:val="89"/>
        </w:numPr>
        <w:tabs>
          <w:tab w:val="left" w:pos="476"/>
        </w:tabs>
        <w:spacing w:line="240" w:lineRule="auto"/>
        <w:rPr>
          <w:noProof/>
          <w:lang w:eastAsia="en-US"/>
        </w:rPr>
      </w:pPr>
      <w:r>
        <w:rPr>
          <w:noProof/>
          <w:lang w:eastAsia="en-US"/>
        </w:rPr>
        <w:t>Furthermore, with climate change, the extreme climate events will multiply. Lack of resilience/robustness/contingency measures to resist severe weather events or traffic disruptions affect safety and resilience of the transport system.</w:t>
      </w:r>
      <w:r>
        <w:rPr>
          <w:noProof/>
          <w:szCs w:val="24"/>
          <w:lang w:eastAsia="en-US"/>
        </w:rPr>
        <w:tab/>
      </w:r>
    </w:p>
    <w:p>
      <w:pPr>
        <w:pStyle w:val="Heading4"/>
        <w:numPr>
          <w:ilvl w:val="3"/>
          <w:numId w:val="98"/>
        </w:numPr>
        <w:rPr>
          <w:noProof/>
        </w:rPr>
      </w:pPr>
      <w:bookmarkStart w:id="4391" w:name="_Toc51450144"/>
      <w:bookmarkStart w:id="4392" w:name="_Toc51574844"/>
      <w:bookmarkStart w:id="4393" w:name="_Toc51575692"/>
      <w:bookmarkStart w:id="4394" w:name="_Toc51578090"/>
      <w:bookmarkStart w:id="4395" w:name="_Toc51582963"/>
      <w:bookmarkStart w:id="4396" w:name="_Toc51583438"/>
      <w:bookmarkStart w:id="4397" w:name="_Toc51583528"/>
      <w:bookmarkStart w:id="4398" w:name="_Toc51583813"/>
      <w:bookmarkStart w:id="4399" w:name="_Toc51584003"/>
      <w:bookmarkStart w:id="4400" w:name="_Toc51583927"/>
      <w:bookmarkStart w:id="4401" w:name="_Toc51586245"/>
      <w:bookmarkStart w:id="4402" w:name="_Toc51594048"/>
      <w:bookmarkStart w:id="4403" w:name="_Toc51594374"/>
      <w:bookmarkStart w:id="4404" w:name="_Toc51595352"/>
      <w:bookmarkStart w:id="4405" w:name="_Toc51595602"/>
      <w:bookmarkStart w:id="4406" w:name="_Toc51595928"/>
      <w:bookmarkStart w:id="4407" w:name="_Toc51596091"/>
      <w:bookmarkStart w:id="4408" w:name="_Toc51596444"/>
      <w:bookmarkStart w:id="4409" w:name="_Toc52121579"/>
      <w:bookmarkStart w:id="4410" w:name="_Toc52122810"/>
      <w:bookmarkStart w:id="4411" w:name="_Toc52123927"/>
      <w:bookmarkStart w:id="4412" w:name="_Toc53405388"/>
      <w:bookmarkStart w:id="4413" w:name="_Toc53406175"/>
      <w:bookmarkStart w:id="4414" w:name="_Toc53407544"/>
      <w:bookmarkStart w:id="4415" w:name="_Toc53410988"/>
      <w:bookmarkStart w:id="4416" w:name="_Toc53412051"/>
      <w:bookmarkStart w:id="4417" w:name="_Toc53417298"/>
      <w:bookmarkStart w:id="4418" w:name="_Toc53417650"/>
      <w:bookmarkStart w:id="4419" w:name="_Toc53419885"/>
      <w:bookmarkStart w:id="4420" w:name="_Toc53434988"/>
      <w:bookmarkStart w:id="4421" w:name="_Toc53437127"/>
      <w:bookmarkStart w:id="4422" w:name="_Toc57291533"/>
      <w:r>
        <w:rPr>
          <w:noProof/>
        </w:rPr>
        <w:t>Safe and secure infrastructure</w:t>
      </w:r>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p>
    <w:p>
      <w:pPr>
        <w:pStyle w:val="LegalNumPar"/>
        <w:numPr>
          <w:ilvl w:val="0"/>
          <w:numId w:val="89"/>
        </w:numPr>
        <w:tabs>
          <w:tab w:val="left" w:pos="476"/>
        </w:tabs>
        <w:spacing w:line="240" w:lineRule="auto"/>
        <w:rPr>
          <w:noProof/>
          <w:lang w:eastAsia="en-US"/>
        </w:rPr>
      </w:pPr>
      <w:r>
        <w:rPr>
          <w:noProof/>
          <w:lang w:eastAsia="en-US"/>
        </w:rPr>
        <w:t xml:space="preserve">Ensuring safe and secure infrastructure is also a challenge and a pre-requisite for sustainable mobility, notably where a specific infrastructure is needed to enable traffic of low emissions vehicles. Many pieces of </w:t>
      </w:r>
      <w:r>
        <w:rPr>
          <w:b/>
          <w:bCs/>
          <w:noProof/>
          <w:lang w:eastAsia="en-US"/>
        </w:rPr>
        <w:t xml:space="preserve">transport infrastructure are ageing or lacking maintenance, </w:t>
      </w:r>
      <w:r>
        <w:rPr>
          <w:noProof/>
          <w:lang w:eastAsia="en-US"/>
        </w:rPr>
        <w:t xml:space="preserve">which is a major safety concern. </w:t>
      </w:r>
    </w:p>
    <w:p>
      <w:pPr>
        <w:pStyle w:val="LegalNumPar"/>
        <w:numPr>
          <w:ilvl w:val="0"/>
          <w:numId w:val="89"/>
        </w:numPr>
        <w:tabs>
          <w:tab w:val="left" w:pos="476"/>
        </w:tabs>
        <w:spacing w:line="240" w:lineRule="auto"/>
        <w:rPr>
          <w:noProof/>
          <w:lang w:eastAsia="en-US"/>
        </w:rPr>
      </w:pPr>
      <w:r>
        <w:rPr>
          <w:noProof/>
          <w:lang w:eastAsia="en-US"/>
        </w:rPr>
        <w:t>Lack of information on the state of maintenance and repair of the EU’s transport infrastructure does not permit necessary preventive actions to be taken which could avoid disasters from occurring. In addition, there are no EU-wide applicable standards for construction of certain transport infrastructure, in particular roads and bridges (each country sets its own standards). When building or upgrading infrastructure, future maintenance should be taken into account, in line with the lifecycle approach; sensors installed in the infrastructure could for instance facilitate the assessment of maintenance needs.</w:t>
      </w:r>
    </w:p>
    <w:p>
      <w:pPr>
        <w:pStyle w:val="LegalNumPar"/>
        <w:numPr>
          <w:ilvl w:val="0"/>
          <w:numId w:val="89"/>
        </w:numPr>
        <w:tabs>
          <w:tab w:val="left" w:pos="476"/>
        </w:tabs>
        <w:spacing w:line="240" w:lineRule="auto"/>
        <w:rPr>
          <w:noProof/>
          <w:lang w:eastAsia="en-US"/>
        </w:rPr>
      </w:pPr>
      <w:r>
        <w:rPr>
          <w:noProof/>
          <w:lang w:eastAsia="en-US"/>
        </w:rPr>
        <w:t>The collapse of Genoa’s Morandi bridge highlighted the lack of reliable information on the state of maintenance or repair of much of the EU’s transport infrastructure. The EU has a significant proportion of ageing structures as part of its transport network but no common approach on ensuring that the appropriate levels of maintenance are being undertaken.</w:t>
      </w:r>
    </w:p>
    <w:p>
      <w:pPr>
        <w:pStyle w:val="LegalNumPar"/>
        <w:numPr>
          <w:ilvl w:val="0"/>
          <w:numId w:val="89"/>
        </w:numPr>
        <w:tabs>
          <w:tab w:val="left" w:pos="476"/>
        </w:tabs>
        <w:spacing w:line="240" w:lineRule="auto"/>
        <w:rPr>
          <w:noProof/>
          <w:lang w:eastAsia="en-US"/>
        </w:rPr>
      </w:pPr>
      <w:r>
        <w:rPr>
          <w:noProof/>
          <w:lang w:eastAsia="en-US"/>
        </w:rPr>
        <w:t>The EU Tunnel Safety Directive</w:t>
      </w:r>
      <w:r>
        <w:rPr>
          <w:noProof/>
          <w:vertAlign w:val="superscript"/>
          <w:lang w:eastAsia="en-US"/>
        </w:rPr>
        <w:footnoteReference w:id="580"/>
      </w:r>
      <w:r>
        <w:rPr>
          <w:noProof/>
          <w:lang w:eastAsia="en-US"/>
        </w:rPr>
        <w:t xml:space="preserve"> sets EU-wide minimum safety requirements for long road tunnels on the TEN-T network to ensure that they are adequate for the volume of traffic and have emergency exits to prevent them from becoming death traps in an accident. These rules, in force since 2004, have been found to still be fit for purpose, in spite of some implementation difficulties in a few countries. However, no comparable rules for auditing, inspecting and reporting on infrastructure quality (e.g. structural quality or quality over lifetime) exist for bridges or other sensitive infrastructure.</w:t>
      </w:r>
    </w:p>
    <w:p>
      <w:pPr>
        <w:pStyle w:val="LegalNumPar"/>
        <w:numPr>
          <w:ilvl w:val="0"/>
          <w:numId w:val="89"/>
        </w:numPr>
        <w:tabs>
          <w:tab w:val="left" w:pos="476"/>
        </w:tabs>
        <w:spacing w:line="240" w:lineRule="auto"/>
        <w:rPr>
          <w:noProof/>
          <w:lang w:eastAsia="en-US"/>
        </w:rPr>
      </w:pPr>
      <w:r>
        <w:rPr>
          <w:noProof/>
          <w:lang w:eastAsia="en-US"/>
        </w:rPr>
        <w:t>The revised Road Infrastructure Safety Management Directive</w:t>
      </w:r>
      <w:r>
        <w:rPr>
          <w:noProof/>
          <w:vertAlign w:val="superscript"/>
          <w:lang w:eastAsia="en-US"/>
        </w:rPr>
        <w:footnoteReference w:id="581"/>
      </w:r>
      <w:r>
        <w:rPr>
          <w:noProof/>
          <w:lang w:eastAsia="en-US"/>
        </w:rPr>
        <w:t xml:space="preserve"> obliges Member States to systematically assess the safety risks for using TEN-T roads, motorways and primary roads as well as all EU-funded roads and, on that basis, to establish a risk-based prioritised action plan. EU funding support needs to be well aligned with the outcomes of this process. Funding should also be foreseen for tunnel upgrades. The revision of the TEN-T guidelines offers the opportunity to consider infrastructure quality and EU-wide safety standards as well as the resilience of infrastructure.     </w:t>
      </w:r>
    </w:p>
    <w:p>
      <w:pPr>
        <w:pStyle w:val="LegalNumPar"/>
        <w:numPr>
          <w:ilvl w:val="0"/>
          <w:numId w:val="89"/>
        </w:numPr>
        <w:tabs>
          <w:tab w:val="left" w:pos="476"/>
        </w:tabs>
        <w:spacing w:line="240" w:lineRule="auto"/>
        <w:rPr>
          <w:noProof/>
          <w:lang w:eastAsia="en-US"/>
        </w:rPr>
      </w:pPr>
      <w:r>
        <w:rPr>
          <w:noProof/>
          <w:lang w:eastAsia="en-US"/>
        </w:rPr>
        <w:t>In an era of increasing automation, safe interaction between the vehicle and the physical and digital infrastructure is required. For road traffic, reliable physical infrastructure including clear road signs and markings will remain indispensable. In order to enable in vehicle driver assistance systems like Intelligent Speed Assistance and Lane Keeping Assistance (see below) to function properly across Europe and to prepare a safe roll-out of more highly automated vehicles, EU-wide minimum specifications for properly reading and detecting road signs and markings are necessary. Moreover, discrepancies between physical and digital infrastructure (e.g. physical road signs indicating different speed limits from information available digitally for example in navigators) need to be prevented.</w:t>
      </w:r>
    </w:p>
    <w:p>
      <w:pPr>
        <w:pStyle w:val="LegalNumPar"/>
        <w:numPr>
          <w:ilvl w:val="0"/>
          <w:numId w:val="89"/>
        </w:numPr>
        <w:tabs>
          <w:tab w:val="left" w:pos="476"/>
        </w:tabs>
        <w:spacing w:line="240" w:lineRule="auto"/>
        <w:rPr>
          <w:noProof/>
        </w:rPr>
      </w:pPr>
      <w:r>
        <w:rPr>
          <w:noProof/>
        </w:rPr>
        <w:t xml:space="preserve">Crashes at rail-road level crossings account for a small proportion of road crashes (up to 2% of road fatalities), but for some 30% of fatalities from the railways perspective. Frequent causes of crashes include bad evaluation of risk, lack of attention, and misunderstanding of road signs. Increasing the safety of level crossings (where they cannot be removed) is a shared responsibility for both road and rail operators. At EU level, the Commission is working on closer cooperation between Member States and between the road and rail sector in the collection and analysis of crash data as well as in elaborating safety criteria for investment. In addition, exchanges of good practice are helpful for example as regards preventive design, new technologies (in particular C-ITS services) and collaboration in enforcement. </w:t>
      </w:r>
    </w:p>
    <w:p>
      <w:pPr>
        <w:pStyle w:val="LegalNumPar"/>
        <w:numPr>
          <w:ilvl w:val="0"/>
          <w:numId w:val="89"/>
        </w:numPr>
        <w:tabs>
          <w:tab w:val="left" w:pos="476"/>
        </w:tabs>
        <w:spacing w:line="240" w:lineRule="auto"/>
        <w:rPr>
          <w:noProof/>
        </w:rPr>
      </w:pPr>
      <w:r>
        <w:rPr>
          <w:noProof/>
        </w:rPr>
        <w:t xml:space="preserve">Ensuring security of transport infrastructure is also essential, notably to ensure passengers’ confidence and it has strong financial and logistical for the sector. In aviation, rules on security have improved the consistency of security standards implemented across Europe and helped in levelling the playing field for the benefit of better traveling experience and security. However, according to Airports Council International (ACI - Europe) the aviation security system has also become over the years “a layer cake” of security measures, the overall complexity of which might create imbalances in the security system. To their views it is questionable whether the EU and Member States can continue to rely on the continued accumulation of security measures to mitigate the threat effectively. They call for a need for a more systematic cost-benefit approach with impact assessment conducted on each new piece of legislation adopted in the field of security in order to ensure it is sustainable and efficient. </w:t>
      </w:r>
    </w:p>
    <w:p>
      <w:pPr>
        <w:pStyle w:val="Heading4"/>
        <w:numPr>
          <w:ilvl w:val="3"/>
          <w:numId w:val="98"/>
        </w:numPr>
        <w:rPr>
          <w:noProof/>
        </w:rPr>
      </w:pPr>
      <w:bookmarkStart w:id="4423" w:name="_Toc51450145"/>
      <w:bookmarkStart w:id="4424" w:name="_Toc51574845"/>
      <w:bookmarkStart w:id="4425" w:name="_Toc51575693"/>
      <w:bookmarkStart w:id="4426" w:name="_Toc51578091"/>
      <w:bookmarkStart w:id="4427" w:name="_Toc51582964"/>
      <w:bookmarkStart w:id="4428" w:name="_Toc51583439"/>
      <w:bookmarkStart w:id="4429" w:name="_Toc51583529"/>
      <w:bookmarkStart w:id="4430" w:name="_Toc51583814"/>
      <w:bookmarkStart w:id="4431" w:name="_Toc51584004"/>
      <w:bookmarkStart w:id="4432" w:name="_Toc51583928"/>
      <w:bookmarkStart w:id="4433" w:name="_Toc51586246"/>
      <w:bookmarkStart w:id="4434" w:name="_Toc51594049"/>
      <w:bookmarkStart w:id="4435" w:name="_Toc51594375"/>
      <w:bookmarkStart w:id="4436" w:name="_Toc51595353"/>
      <w:bookmarkStart w:id="4437" w:name="_Toc51595603"/>
      <w:bookmarkStart w:id="4438" w:name="_Toc51595929"/>
      <w:bookmarkStart w:id="4439" w:name="_Toc51596092"/>
      <w:bookmarkStart w:id="4440" w:name="_Toc51596445"/>
      <w:bookmarkStart w:id="4441" w:name="_Toc52121580"/>
      <w:bookmarkStart w:id="4442" w:name="_Toc52122811"/>
      <w:bookmarkStart w:id="4443" w:name="_Toc52123928"/>
      <w:bookmarkStart w:id="4444" w:name="_Toc53405389"/>
      <w:bookmarkStart w:id="4445" w:name="_Toc53406176"/>
      <w:bookmarkStart w:id="4446" w:name="_Toc53407545"/>
      <w:bookmarkStart w:id="4447" w:name="_Toc53410989"/>
      <w:bookmarkStart w:id="4448" w:name="_Toc53412052"/>
      <w:bookmarkStart w:id="4449" w:name="_Toc53417299"/>
      <w:bookmarkStart w:id="4450" w:name="_Toc53417651"/>
      <w:bookmarkStart w:id="4451" w:name="_Toc53419886"/>
      <w:bookmarkStart w:id="4452" w:name="_Toc53434989"/>
      <w:bookmarkStart w:id="4453" w:name="_Toc53437128"/>
      <w:bookmarkStart w:id="4454" w:name="_Toc57291534"/>
      <w:r>
        <w:rPr>
          <w:noProof/>
        </w:rPr>
        <w:t>Vehicle safety</w:t>
      </w:r>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p>
    <w:p>
      <w:pPr>
        <w:pStyle w:val="LegalNumPar"/>
        <w:numPr>
          <w:ilvl w:val="0"/>
          <w:numId w:val="89"/>
        </w:numPr>
        <w:tabs>
          <w:tab w:val="left" w:pos="476"/>
        </w:tabs>
        <w:spacing w:line="240" w:lineRule="auto"/>
        <w:rPr>
          <w:noProof/>
        </w:rPr>
      </w:pPr>
      <w:r>
        <w:rPr>
          <w:noProof/>
        </w:rPr>
        <w:t>Innovations in road vehicle technology can help both mitigate the severity of crashes and reduce the likelihood of crashes. Thanks to successive iterations of the Vehicle General Safety Regulation and the Pedestrian Safety Regulation, the EU has had a big impact in improving the safety of road vehicles.</w:t>
      </w:r>
    </w:p>
    <w:p>
      <w:pPr>
        <w:pStyle w:val="LegalNumPar"/>
        <w:numPr>
          <w:ilvl w:val="0"/>
          <w:numId w:val="89"/>
        </w:numPr>
        <w:tabs>
          <w:tab w:val="left" w:pos="476"/>
        </w:tabs>
        <w:spacing w:line="240" w:lineRule="auto"/>
        <w:rPr>
          <w:noProof/>
        </w:rPr>
      </w:pPr>
      <w:r>
        <w:rPr>
          <w:noProof/>
        </w:rPr>
        <w:t>The revision of the Vehicle General Safety Regulation, adopted in early 2019</w:t>
      </w:r>
      <w:r>
        <w:rPr>
          <w:rStyle w:val="FootnoteReference"/>
          <w:noProof/>
        </w:rPr>
        <w:footnoteReference w:id="582"/>
      </w:r>
      <w:r>
        <w:rPr>
          <w:noProof/>
        </w:rPr>
        <w:t>, which mandates a range of new advanced safety features (including Intelligent Speed Assistance, Emergency Lane Keeping System, Direct Vision requirements for buses and lorries as well as new requirements for tyres, is conservatively estimated to save at least 7,300 lives and avoid 38,900 serious injuries by 2030. It is crucial to maintain the high level of ambition of the regulation in all implementing legislation, which is in the process of being developed. The possibilities of retrofitting of existing fleets with certain safety features, for example pedestrian and cyclist detection for lorries and buses, should be further explored.</w:t>
      </w:r>
    </w:p>
    <w:p>
      <w:pPr>
        <w:pStyle w:val="LegalNumPar"/>
        <w:numPr>
          <w:ilvl w:val="0"/>
          <w:numId w:val="89"/>
        </w:numPr>
        <w:tabs>
          <w:tab w:val="left" w:pos="476"/>
        </w:tabs>
        <w:spacing w:line="240" w:lineRule="auto"/>
        <w:rPr>
          <w:noProof/>
        </w:rPr>
      </w:pPr>
      <w:r>
        <w:rPr>
          <w:noProof/>
        </w:rPr>
        <w:t>The General Safety Regulation will also help for crash investigation, as all new vehicles will be required to be fitted with event data recorders. Possibilities to compile this data, access rights and usage modalities need to be explored. Moreover, it needs to be considered if and how the collection of anonymised data on the safety performance of automation technologies should be regulated in order to allow for road safety research and development. This involves important data access and protection issues.</w:t>
      </w:r>
    </w:p>
    <w:p>
      <w:pPr>
        <w:pStyle w:val="LegalNumPar"/>
        <w:numPr>
          <w:ilvl w:val="0"/>
          <w:numId w:val="89"/>
        </w:numPr>
        <w:tabs>
          <w:tab w:val="left" w:pos="476"/>
        </w:tabs>
        <w:spacing w:line="240" w:lineRule="auto"/>
        <w:rPr>
          <w:noProof/>
        </w:rPr>
      </w:pPr>
      <w:r>
        <w:rPr>
          <w:noProof/>
        </w:rPr>
        <w:t>Vehicle procurement also presents an interesting opportunity to positively influence road safety and fast-track the introduction of new safety technology. This holds for private owners of large vehicle fleets and companies requiring logistics services, but also for public procurement. The EU is exploring how it can financially assist initiatives for fleet safety upgrades in the context of the “Safer Transport Platform” (see above).</w:t>
      </w:r>
    </w:p>
    <w:p>
      <w:pPr>
        <w:pStyle w:val="LegalNumPar"/>
        <w:numPr>
          <w:ilvl w:val="0"/>
          <w:numId w:val="89"/>
        </w:numPr>
        <w:tabs>
          <w:tab w:val="left" w:pos="476"/>
        </w:tabs>
        <w:spacing w:line="240" w:lineRule="auto"/>
        <w:rPr>
          <w:noProof/>
        </w:rPr>
      </w:pPr>
      <w:r>
        <w:rPr>
          <w:noProof/>
        </w:rPr>
        <w:t xml:space="preserve">The EU-wide eCall, a system that automatically dials Europe's single emergency number 112 in the event of a serious road crash and communicates the vehicle's location to the emergency services, has been mandatory for all new car models since 2018. It can speed up emergency response times by 40% in urban areas and 50% in the countryside. According to the applicable type approval legislation (Article 12 of Regulation (EU) 2015/758), the Commission is to investigate the need to equip other categories of vehicles with eCall, such as heavy goods vehicles, buses and coaches, powered two-wheelers, and agricultural tractors, and present if appropriate a legislative proposal to that effect. Preparatory actions have already been launched and are well advanced or completed, such as support to European standardisation organisations to define the necessary technical specifications for these categories of vehicles, and support to testing for this extension and for aftermarket through CEF-funded projects such as </w:t>
      </w:r>
      <w:hyperlink r:id="rId69">
        <w:r>
          <w:rPr>
            <w:noProof/>
          </w:rPr>
          <w:t>i_HeERO</w:t>
        </w:r>
      </w:hyperlink>
      <w:r>
        <w:rPr>
          <w:rStyle w:val="FootnoteReference"/>
          <w:noProof/>
        </w:rPr>
        <w:footnoteReference w:id="583"/>
      </w:r>
      <w:r>
        <w:rPr>
          <w:noProof/>
        </w:rPr>
        <w:t xml:space="preserve"> and sAFE</w:t>
      </w:r>
      <w:r>
        <w:rPr>
          <w:rStyle w:val="FootnoteReference"/>
          <w:noProof/>
        </w:rPr>
        <w:footnoteReference w:id="584"/>
      </w:r>
      <w:r>
        <w:rPr>
          <w:noProof/>
        </w:rPr>
        <w:t>. The extension of eCall is expected to bring about considerable benefits, e.g. for Powered Two-Wheelers a 3 to 8% reduction in fatalities and a reduction of up to 10% in serious injuries</w:t>
      </w:r>
      <w:r>
        <w:rPr>
          <w:rStyle w:val="FootnoteReference"/>
          <w:noProof/>
        </w:rPr>
        <w:footnoteReference w:id="585"/>
      </w:r>
      <w:r>
        <w:rPr>
          <w:noProof/>
        </w:rPr>
        <w:t>. The eCall legal framework needs also to evolve to adapt to new telecommunication technologies (packet-switched networks).</w:t>
      </w:r>
    </w:p>
    <w:p>
      <w:pPr>
        <w:pStyle w:val="Heading4"/>
        <w:numPr>
          <w:ilvl w:val="3"/>
          <w:numId w:val="98"/>
        </w:numPr>
        <w:rPr>
          <w:noProof/>
        </w:rPr>
      </w:pPr>
      <w:bookmarkStart w:id="4455" w:name="_Toc51450146"/>
      <w:bookmarkStart w:id="4456" w:name="_Toc51574846"/>
      <w:bookmarkStart w:id="4457" w:name="_Toc51575694"/>
      <w:bookmarkStart w:id="4458" w:name="_Toc51578092"/>
      <w:bookmarkStart w:id="4459" w:name="_Toc51582965"/>
      <w:bookmarkStart w:id="4460" w:name="_Toc51583440"/>
      <w:bookmarkStart w:id="4461" w:name="_Toc51583530"/>
      <w:bookmarkStart w:id="4462" w:name="_Toc51583815"/>
      <w:bookmarkStart w:id="4463" w:name="_Toc51584005"/>
      <w:bookmarkStart w:id="4464" w:name="_Toc51583929"/>
      <w:bookmarkStart w:id="4465" w:name="_Toc51586247"/>
      <w:bookmarkStart w:id="4466" w:name="_Toc51594050"/>
      <w:bookmarkStart w:id="4467" w:name="_Toc51594376"/>
      <w:bookmarkStart w:id="4468" w:name="_Toc51595354"/>
      <w:bookmarkStart w:id="4469" w:name="_Toc51595604"/>
      <w:bookmarkStart w:id="4470" w:name="_Toc51595930"/>
      <w:bookmarkStart w:id="4471" w:name="_Toc51596093"/>
      <w:bookmarkStart w:id="4472" w:name="_Toc51596446"/>
      <w:bookmarkStart w:id="4473" w:name="_Toc52121581"/>
      <w:bookmarkStart w:id="4474" w:name="_Toc52122812"/>
      <w:bookmarkStart w:id="4475" w:name="_Toc52123929"/>
      <w:bookmarkStart w:id="4476" w:name="_Toc53405390"/>
      <w:bookmarkStart w:id="4477" w:name="_Toc53406177"/>
      <w:bookmarkStart w:id="4478" w:name="_Toc53407546"/>
      <w:bookmarkStart w:id="4479" w:name="_Toc53410990"/>
      <w:bookmarkStart w:id="4480" w:name="_Toc53412053"/>
      <w:bookmarkStart w:id="4481" w:name="_Toc53417300"/>
      <w:bookmarkStart w:id="4482" w:name="_Toc53417652"/>
      <w:bookmarkStart w:id="4483" w:name="_Toc53419887"/>
      <w:bookmarkStart w:id="4484" w:name="_Toc53434990"/>
      <w:bookmarkStart w:id="4485" w:name="_Toc53437129"/>
      <w:bookmarkStart w:id="4486" w:name="_Toc57291535"/>
      <w:r>
        <w:rPr>
          <w:noProof/>
        </w:rPr>
        <w:t>The human factor</w:t>
      </w:r>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r>
        <w:rPr>
          <w:noProof/>
        </w:rPr>
        <w:tab/>
      </w:r>
    </w:p>
    <w:p>
      <w:pPr>
        <w:pStyle w:val="LegalNumPar"/>
        <w:numPr>
          <w:ilvl w:val="0"/>
          <w:numId w:val="89"/>
        </w:numPr>
        <w:tabs>
          <w:tab w:val="left" w:pos="476"/>
        </w:tabs>
        <w:spacing w:line="240" w:lineRule="auto"/>
        <w:rPr>
          <w:noProof/>
          <w:lang w:eastAsia="en-US"/>
        </w:rPr>
      </w:pPr>
      <w:r>
        <w:rPr>
          <w:noProof/>
          <w:lang w:eastAsia="en-US"/>
        </w:rPr>
        <w:t>Addressing the human factor is also essential to ensure safe and secure transport. Indeed, human behaviour affects transport safety, be it the consumption of drugs or alcohol, distraction when driving or speed. Traffic crashes related to alcohol consumption are a major cause for concern. Dangerous distractions caused by the use of mobile phones and other devices have strongly increased.</w:t>
      </w:r>
    </w:p>
    <w:p>
      <w:pPr>
        <w:pStyle w:val="LegalNumPar"/>
        <w:numPr>
          <w:ilvl w:val="0"/>
          <w:numId w:val="89"/>
        </w:numPr>
        <w:tabs>
          <w:tab w:val="left" w:pos="476"/>
        </w:tabs>
        <w:spacing w:after="240" w:line="240" w:lineRule="auto"/>
        <w:rPr>
          <w:noProof/>
          <w:lang w:eastAsia="en-US"/>
        </w:rPr>
      </w:pPr>
      <w:r>
        <w:rPr>
          <w:noProof/>
          <w:lang w:eastAsia="en-US"/>
        </w:rPr>
        <w:t xml:space="preserve">About one third of fatal road crashes are (partly) caused by </w:t>
      </w:r>
      <w:r>
        <w:rPr>
          <w:b/>
          <w:bCs/>
          <w:noProof/>
          <w:lang w:eastAsia="en-US"/>
        </w:rPr>
        <w:t>excessive or inappropriate speed</w:t>
      </w:r>
      <w:r>
        <w:rPr>
          <w:noProof/>
          <w:lang w:eastAsia="en-US"/>
        </w:rPr>
        <w:t>. And higher speed crashes lead to far more damage than lower speed ones. Based on research results,</w:t>
      </w:r>
      <w:r>
        <w:rPr>
          <w:rStyle w:val="FootnoteReference"/>
          <w:noProof/>
          <w:lang w:eastAsia="en-US"/>
        </w:rPr>
        <w:footnoteReference w:id="586"/>
      </w:r>
      <w:r>
        <w:rPr>
          <w:noProof/>
          <w:lang w:eastAsia="en-US"/>
        </w:rPr>
        <w:t xml:space="preserve"> the European Transport Safety Council (ETSC) has calculated that if mean speeds were to drop by only 1 km/h on all roads across the EU, more than 2,200 road deaths could be prevented every year. The problem of </w:t>
      </w:r>
      <w:r>
        <w:rPr>
          <w:b/>
          <w:bCs/>
          <w:noProof/>
          <w:lang w:eastAsia="en-US"/>
        </w:rPr>
        <w:t>drink-driving</w:t>
      </w:r>
      <w:r>
        <w:rPr>
          <w:noProof/>
          <w:lang w:eastAsia="en-US"/>
        </w:rPr>
        <w:t xml:space="preserve"> is difficult to quantify (data collection methods vary widely), but it is realistic to estimate that alcohol is involved in around 25% of all road deaths</w:t>
      </w:r>
      <w:r>
        <w:rPr>
          <w:rStyle w:val="FootnoteReference"/>
          <w:noProof/>
        </w:rPr>
        <w:footnoteReference w:id="587"/>
      </w:r>
      <w:r>
        <w:rPr>
          <w:noProof/>
          <w:lang w:eastAsia="en-US"/>
        </w:rPr>
        <w:t>. According to the EU strategy supporting Member States in reducing alcohol related harm</w:t>
      </w:r>
      <w:r>
        <w:rPr>
          <w:rStyle w:val="FootnoteReference"/>
          <w:noProof/>
          <w:lang w:eastAsia="en-US"/>
        </w:rPr>
        <w:footnoteReference w:id="588"/>
      </w:r>
      <w:r>
        <w:rPr>
          <w:noProof/>
          <w:lang w:eastAsia="en-US"/>
        </w:rPr>
        <w:t xml:space="preserve">, about one crash in four can be linked to alcohol consumption. The magnitude of the influence of </w:t>
      </w:r>
      <w:r>
        <w:rPr>
          <w:b/>
          <w:bCs/>
          <w:noProof/>
          <w:lang w:eastAsia="en-US"/>
        </w:rPr>
        <w:t>drugs</w:t>
      </w:r>
      <w:r>
        <w:rPr>
          <w:noProof/>
          <w:lang w:eastAsia="en-US"/>
        </w:rPr>
        <w:t xml:space="preserve"> is even more difficult to ascertain, as no harmonised test methods exist and data is not yet collected systematically. However, it has been shown that driving under the influence of some prescription drugs and illegal drugs can multiply the risk of a crash by a factor of 2 to 7</w:t>
      </w:r>
      <w:r>
        <w:rPr>
          <w:rStyle w:val="FootnoteReference"/>
          <w:noProof/>
          <w:lang w:eastAsia="en-US"/>
        </w:rPr>
        <w:footnoteReference w:id="589"/>
      </w:r>
      <w:r>
        <w:rPr>
          <w:noProof/>
          <w:lang w:eastAsia="en-US"/>
        </w:rPr>
        <w:t xml:space="preserve">. In addition, a growing amount of evidence suggests that </w:t>
      </w:r>
      <w:r>
        <w:rPr>
          <w:b/>
          <w:bCs/>
          <w:noProof/>
          <w:lang w:eastAsia="en-US"/>
        </w:rPr>
        <w:t>distraction</w:t>
      </w:r>
      <w:r>
        <w:rPr>
          <w:noProof/>
          <w:lang w:eastAsia="en-US"/>
        </w:rPr>
        <w:t xml:space="preserve"> whilst driving, in particular by mobile devices like smartphones, but also by electronic systems integrated in vehicles, is a major factor in causing crashes. Research found that the risk of being involved in a crash is increased by 12.2 times when dialling and 6.1 times when texting</w:t>
      </w:r>
      <w:r>
        <w:rPr>
          <w:rStyle w:val="FootnoteReference"/>
          <w:noProof/>
          <w:lang w:eastAsia="en-US"/>
        </w:rPr>
        <w:footnoteReference w:id="590"/>
      </w:r>
      <w:r>
        <w:rPr>
          <w:noProof/>
          <w:lang w:eastAsia="en-US"/>
        </w:rPr>
        <w:t>. In epidemiological research, about 5 to 25% of car crashes have been attributed to driver distraction.</w:t>
      </w:r>
      <w:r>
        <w:rPr>
          <w:rStyle w:val="FootnoteReference"/>
          <w:noProof/>
          <w:lang w:eastAsia="en-US"/>
        </w:rPr>
        <w:footnoteReference w:id="591"/>
      </w:r>
      <w:r>
        <w:rPr>
          <w:noProof/>
          <w:lang w:eastAsia="en-US"/>
        </w:rPr>
        <w:t xml:space="preserve"> On the technical level, the revised Vehicle General Safety Regulation will introduce driver drowsiness and distraction warning technology, assessing the driver's alertness and warning the driver if needed, to be installed in vehicles on a mandatory basis. </w:t>
      </w:r>
    </w:p>
    <w:p>
      <w:pPr>
        <w:pStyle w:val="LegalNumPar"/>
        <w:numPr>
          <w:ilvl w:val="0"/>
          <w:numId w:val="89"/>
        </w:numPr>
        <w:tabs>
          <w:tab w:val="left" w:pos="476"/>
        </w:tabs>
        <w:spacing w:after="240" w:line="240" w:lineRule="auto"/>
        <w:rPr>
          <w:noProof/>
          <w:lang w:eastAsia="en-US"/>
        </w:rPr>
      </w:pPr>
      <w:r>
        <w:rPr>
          <w:noProof/>
          <w:lang w:eastAsia="en-US"/>
        </w:rPr>
        <w:t>On all of the above, the Commission works closely with Member States as these matters have traditionally been dealt with at national or even sub-national level. Focusing on general education and awareness has been shown to have limited effect, but driver licensing, targeted education and awareness raising, supported by strong and sustained compliance and enforcement regimes, all have an important role to play. The EU Driving Licence Directive</w:t>
      </w:r>
      <w:r>
        <w:rPr>
          <w:rStyle w:val="FootnoteReference"/>
          <w:noProof/>
          <w:lang w:eastAsia="en-US"/>
        </w:rPr>
        <w:footnoteReference w:id="592"/>
      </w:r>
      <w:r>
        <w:rPr>
          <w:noProof/>
          <w:lang w:eastAsia="en-US"/>
        </w:rPr>
        <w:t>, which established a harmonised EU licence model and introduced minimum requirements for obtaining licences, will have to be kept up to date with developments in vehicle and infrastructure technology. Current cross-border enforcement legislation</w:t>
      </w:r>
      <w:r>
        <w:rPr>
          <w:rStyle w:val="FootnoteReference"/>
          <w:noProof/>
          <w:lang w:eastAsia="en-US"/>
        </w:rPr>
        <w:footnoteReference w:id="593"/>
      </w:r>
      <w:r>
        <w:rPr>
          <w:noProof/>
          <w:lang w:eastAsia="en-US"/>
        </w:rPr>
        <w:t xml:space="preserve">, which tackles the biggest offences including speeding, running red lights, failure to use safety belts and drink driving, is limited to the exchange of information between authorities on traffic offences committed abroad. The Commission services are currently assessing how it could be made more effective. Another question to examine is whether the mutual recognition of driving disqualifications and of penalty points between countries (where a penalty point system exists) could also be feasible and add value. </w:t>
      </w:r>
    </w:p>
    <w:p>
      <w:pPr>
        <w:pStyle w:val="LegalNumPar"/>
        <w:numPr>
          <w:ilvl w:val="0"/>
          <w:numId w:val="89"/>
        </w:numPr>
        <w:tabs>
          <w:tab w:val="left" w:pos="476"/>
        </w:tabs>
        <w:spacing w:line="240" w:lineRule="auto"/>
        <w:rPr>
          <w:noProof/>
          <w:lang w:eastAsia="en-US"/>
        </w:rPr>
      </w:pPr>
      <w:r>
        <w:rPr>
          <w:noProof/>
          <w:lang w:eastAsia="en-US"/>
        </w:rPr>
        <w:t>In addition, EU level recommendations such as the Recommendation on the maximum permitted blood alcohol content for drivers</w:t>
      </w:r>
      <w:r>
        <w:rPr>
          <w:rStyle w:val="FootnoteReference"/>
          <w:noProof/>
          <w:lang w:eastAsia="en-US"/>
        </w:rPr>
        <w:footnoteReference w:id="594"/>
      </w:r>
      <w:r>
        <w:rPr>
          <w:noProof/>
          <w:lang w:eastAsia="en-US"/>
        </w:rPr>
        <w:t xml:space="preserve"> from 2001 have had clear positive impact. A possible update of this Recommendation would benefit from the addition of guidance on the fitting of alcohol interlock devices (linking in with the General Safety Regulation, which facilitates the installation of these devices). Similar recommendations or guidance in other areas concerning road user safety such as speed are under active consideration. </w:t>
      </w:r>
    </w:p>
    <w:p>
      <w:pPr>
        <w:pStyle w:val="LegalNumPar"/>
        <w:numPr>
          <w:ilvl w:val="0"/>
          <w:numId w:val="89"/>
        </w:numPr>
        <w:tabs>
          <w:tab w:val="left" w:pos="476"/>
        </w:tabs>
        <w:spacing w:line="240" w:lineRule="auto"/>
        <w:rPr>
          <w:noProof/>
          <w:lang w:eastAsia="en-US"/>
        </w:rPr>
      </w:pPr>
      <w:r>
        <w:rPr>
          <w:noProof/>
          <w:lang w:eastAsia="en-US"/>
        </w:rPr>
        <w:t>While bringing many opportunities for safety improvements,</w:t>
      </w:r>
      <w:r>
        <w:rPr>
          <w:b/>
          <w:bCs/>
          <w:noProof/>
          <w:lang w:eastAsia="en-US"/>
        </w:rPr>
        <w:t xml:space="preserve"> automation</w:t>
      </w:r>
      <w:r>
        <w:rPr>
          <w:noProof/>
          <w:lang w:eastAsia="en-US"/>
        </w:rPr>
        <w:t xml:space="preserve"> also carries new challenges for safety and security. It notably requires adapted training. The phase in which drivers are expected to be ready to take back control suddenly is extremely problematic. </w:t>
      </w:r>
    </w:p>
    <w:p>
      <w:pPr>
        <w:pStyle w:val="LegalNumPar"/>
        <w:numPr>
          <w:ilvl w:val="0"/>
          <w:numId w:val="89"/>
        </w:numPr>
        <w:tabs>
          <w:tab w:val="left" w:pos="476"/>
        </w:tabs>
        <w:spacing w:line="240" w:lineRule="auto"/>
        <w:rPr>
          <w:noProof/>
          <w:lang w:eastAsia="en-US"/>
        </w:rPr>
      </w:pPr>
      <w:r>
        <w:rPr>
          <w:noProof/>
          <w:lang w:eastAsia="en-US"/>
        </w:rPr>
        <w:t>Increasing levels of automation in transport carry the promise of diminishing the potential harm of mistakes and deliberate misbehaviour of human drivers. However, unless entire transport systems are fully automated (and humans banned from driving), there will always be a human factor to take into account, which will become particularly acute in mixed traffic between highly automated vehicles and “traditional” vehicles. Even in fully automated systems, non-motorised transport users like pedestrians and cyclists will need to be protected.</w:t>
      </w:r>
    </w:p>
    <w:p>
      <w:pPr>
        <w:pStyle w:val="LegalNumPar"/>
        <w:numPr>
          <w:ilvl w:val="0"/>
          <w:numId w:val="89"/>
        </w:numPr>
        <w:tabs>
          <w:tab w:val="left" w:pos="476"/>
        </w:tabs>
        <w:spacing w:line="240" w:lineRule="auto"/>
        <w:rPr>
          <w:noProof/>
          <w:lang w:eastAsia="en-US"/>
        </w:rPr>
      </w:pPr>
      <w:r>
        <w:rPr>
          <w:noProof/>
          <w:lang w:eastAsia="en-US"/>
        </w:rPr>
        <w:t>Risks may also arise from employees whose role provides them with privileged access to secured locations, secured items or security sensitive information, thus giving them a potential tactical advantage in perpetrating or facilitating an act of unlawful interference (</w:t>
      </w:r>
      <w:r>
        <w:rPr>
          <w:b/>
          <w:bCs/>
          <w:noProof/>
          <w:lang w:eastAsia="en-US"/>
        </w:rPr>
        <w:t>insider threat</w:t>
      </w:r>
      <w:r>
        <w:rPr>
          <w:noProof/>
          <w:lang w:eastAsia="en-US"/>
        </w:rPr>
        <w:t>). Efficient and effective rules on whistle-blowing are here an important aspect.</w:t>
      </w:r>
    </w:p>
    <w:p>
      <w:pPr>
        <w:pStyle w:val="Heading4"/>
        <w:numPr>
          <w:ilvl w:val="3"/>
          <w:numId w:val="98"/>
        </w:numPr>
        <w:rPr>
          <w:noProof/>
        </w:rPr>
      </w:pPr>
      <w:bookmarkStart w:id="4487" w:name="_Toc57291536"/>
      <w:bookmarkStart w:id="4488" w:name="_Toc51450147"/>
      <w:bookmarkStart w:id="4489" w:name="_Toc51574847"/>
      <w:bookmarkStart w:id="4490" w:name="_Toc51575695"/>
      <w:bookmarkStart w:id="4491" w:name="_Toc51578093"/>
      <w:bookmarkStart w:id="4492" w:name="_Toc51582966"/>
      <w:bookmarkStart w:id="4493" w:name="_Toc51583441"/>
      <w:bookmarkStart w:id="4494" w:name="_Toc51583531"/>
      <w:bookmarkStart w:id="4495" w:name="_Toc51583816"/>
      <w:bookmarkStart w:id="4496" w:name="_Toc51584006"/>
      <w:bookmarkStart w:id="4497" w:name="_Toc51583930"/>
      <w:bookmarkStart w:id="4498" w:name="_Toc51586248"/>
      <w:bookmarkStart w:id="4499" w:name="_Toc51594051"/>
      <w:bookmarkStart w:id="4500" w:name="_Toc51594377"/>
      <w:bookmarkStart w:id="4501" w:name="_Toc51595355"/>
      <w:bookmarkStart w:id="4502" w:name="_Toc51595605"/>
      <w:bookmarkStart w:id="4503" w:name="_Toc51595931"/>
      <w:bookmarkStart w:id="4504" w:name="_Toc51596094"/>
      <w:bookmarkStart w:id="4505" w:name="_Toc51596447"/>
      <w:bookmarkStart w:id="4506" w:name="_Toc52121582"/>
      <w:bookmarkStart w:id="4507" w:name="_Toc52122813"/>
      <w:bookmarkStart w:id="4508" w:name="_Toc52123930"/>
      <w:bookmarkStart w:id="4509" w:name="_Toc53405391"/>
      <w:bookmarkStart w:id="4510" w:name="_Toc53406178"/>
      <w:bookmarkStart w:id="4511" w:name="_Toc53407547"/>
      <w:bookmarkStart w:id="4512" w:name="_Toc53410991"/>
      <w:bookmarkStart w:id="4513" w:name="_Toc53412054"/>
      <w:bookmarkStart w:id="4514" w:name="_Toc53417301"/>
      <w:bookmarkStart w:id="4515" w:name="_Toc53417653"/>
      <w:bookmarkStart w:id="4516" w:name="_Toc53419888"/>
      <w:bookmarkStart w:id="4517" w:name="_Toc53434991"/>
      <w:bookmarkStart w:id="4518" w:name="_Toc53437130"/>
      <w:r>
        <w:rPr>
          <w:noProof/>
        </w:rPr>
        <w:t>Ensuring a high and equal level of safety and security across modes</w:t>
      </w:r>
      <w:bookmarkEnd w:id="4487"/>
      <w:r>
        <w:rPr>
          <w:noProof/>
        </w:rPr>
        <w:t xml:space="preserve"> </w:t>
      </w:r>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p>
    <w:p>
      <w:pPr>
        <w:pStyle w:val="LegalNumPar"/>
        <w:numPr>
          <w:ilvl w:val="0"/>
          <w:numId w:val="89"/>
        </w:numPr>
        <w:tabs>
          <w:tab w:val="left" w:pos="476"/>
        </w:tabs>
        <w:spacing w:line="240" w:lineRule="auto"/>
        <w:rPr>
          <w:noProof/>
          <w:lang w:eastAsia="en-US"/>
        </w:rPr>
      </w:pPr>
      <w:r>
        <w:rPr>
          <w:noProof/>
          <w:lang w:eastAsia="en-US"/>
        </w:rPr>
        <w:t xml:space="preserve">There is </w:t>
      </w:r>
      <w:r>
        <w:rPr>
          <w:b/>
          <w:bCs/>
          <w:noProof/>
          <w:lang w:eastAsia="en-US"/>
        </w:rPr>
        <w:t>an uneven level of safety</w:t>
      </w:r>
      <w:r>
        <w:rPr>
          <w:noProof/>
          <w:lang w:eastAsia="en-US"/>
        </w:rPr>
        <w:t xml:space="preserve"> across modes: it is much more mature in some modes than in others. When considering the existence of safety culture in the various transport modes, it is fair to say that it has reached a level of mature development in air transport; has progressed, in comparison to the past, in the maritime sector; is still at an early stage in the rail; and with a lot of development ahead for the road transport sector, although we are now committed to delivering the Safe System (also known as Vision Zero) approach (which borrows particularly from aviation) in road safety, in line with international best practices. This is compounded by an equally uneven level of security risk assessment across modes.</w:t>
      </w:r>
    </w:p>
    <w:p>
      <w:pPr>
        <w:pStyle w:val="LegalNumPar"/>
        <w:numPr>
          <w:ilvl w:val="0"/>
          <w:numId w:val="89"/>
        </w:numPr>
        <w:tabs>
          <w:tab w:val="left" w:pos="476"/>
        </w:tabs>
        <w:spacing w:line="240" w:lineRule="auto"/>
        <w:rPr>
          <w:noProof/>
          <w:lang w:eastAsia="en-US"/>
        </w:rPr>
      </w:pPr>
      <w:r>
        <w:rPr>
          <w:noProof/>
          <w:lang w:eastAsia="en-US"/>
        </w:rPr>
        <w:t>Half of all goods moved inside the EU and more of 80% of passengers are transported by road. Whereas the relative crash risk in the different transport modes tends to be skewed in public perception, road fatalities constitute 97% of all transport deaths in the EU (around 23,000 a year) and generate a yearly cost of EUR 282 billion, or 2% of GDP. In addition, road safety levels vary widely across the EU. The worst performing countries record nearly four times as many fatalities per million inhabitants as the best performing countries. EU legislation and best practices exchange have already helped facilitate convergence, but more efforts are needed.</w:t>
      </w:r>
    </w:p>
    <w:p>
      <w:pPr>
        <w:pStyle w:val="LegalNumPar"/>
        <w:numPr>
          <w:ilvl w:val="0"/>
          <w:numId w:val="89"/>
        </w:numPr>
        <w:tabs>
          <w:tab w:val="left" w:pos="476"/>
        </w:tabs>
        <w:spacing w:line="240" w:lineRule="auto"/>
        <w:rPr>
          <w:noProof/>
          <w:lang w:eastAsia="en-US"/>
        </w:rPr>
      </w:pPr>
      <w:r>
        <w:rPr>
          <w:noProof/>
          <w:lang w:eastAsia="en-US"/>
        </w:rPr>
        <w:t>Improved data collection and analysis of accidents and incidents in all modes as well as closer cooperation across modes can help to better understand the causes of crashes and to identify the best remedies. Issues in relation to human-machine interface also present similarities across modes.</w:t>
      </w:r>
    </w:p>
    <w:p>
      <w:pPr>
        <w:pStyle w:val="LegalNumPar"/>
        <w:numPr>
          <w:ilvl w:val="0"/>
          <w:numId w:val="89"/>
        </w:numPr>
        <w:tabs>
          <w:tab w:val="left" w:pos="476"/>
        </w:tabs>
        <w:spacing w:line="240" w:lineRule="auto"/>
        <w:rPr>
          <w:noProof/>
          <w:lang w:eastAsia="en-US"/>
        </w:rPr>
      </w:pPr>
      <w:r>
        <w:rPr>
          <w:noProof/>
          <w:lang w:eastAsia="en-US"/>
        </w:rPr>
        <w:t xml:space="preserve">In aviation, EU rules impose on Member States to conduct investigation in cases of accidents or serious incidents. In addition, occurrences are required to be reported, analysed and followed up with adequate safety actions.    </w:t>
      </w:r>
    </w:p>
    <w:p>
      <w:pPr>
        <w:pStyle w:val="LegalNumPar"/>
        <w:numPr>
          <w:ilvl w:val="0"/>
          <w:numId w:val="89"/>
        </w:numPr>
        <w:tabs>
          <w:tab w:val="left" w:pos="476"/>
        </w:tabs>
        <w:spacing w:line="240" w:lineRule="auto"/>
        <w:rPr>
          <w:noProof/>
          <w:lang w:eastAsia="en-US"/>
        </w:rPr>
      </w:pPr>
      <w:r>
        <w:rPr>
          <w:noProof/>
          <w:lang w:eastAsia="en-US"/>
        </w:rPr>
        <w:t>As regards road safety, harmonised reporting of fatalities and serious injuries in the CARE group is an example of excellent cooperation between Member States, going beyond what is legally required. However, there are still difficulties with the reporting of serious injuries according to the agreed common definition, and only very few Member States carry out systematic in-depth investigation of road crashes. An in-depth investigation system at EU level, gathering data on road and rail crashes, especially one focused on unpacking the causal factors of deaths and fatal injuries in a particular crash would greatly assist safety authorities in developing further safety policies and, in the long run, an occurrence reporting and investigation approach similar to the one established in aviation. This would require clear rules on the access and use of data generated by vehicles and connected infrastructure, as well as additional capacity at EU level.</w:t>
      </w:r>
    </w:p>
    <w:p>
      <w:pPr>
        <w:pStyle w:val="LegalNumPar"/>
        <w:numPr>
          <w:ilvl w:val="0"/>
          <w:numId w:val="89"/>
        </w:numPr>
        <w:tabs>
          <w:tab w:val="left" w:pos="476"/>
        </w:tabs>
        <w:spacing w:line="240" w:lineRule="auto"/>
        <w:rPr>
          <w:noProof/>
          <w:lang w:eastAsia="en-US"/>
        </w:rPr>
      </w:pPr>
      <w:r>
        <w:rPr>
          <w:noProof/>
          <w:lang w:eastAsia="en-US"/>
        </w:rPr>
        <w:t>The main share of cargo crime in road transport (around 70%) occurs when lorries are parked at non-secured parking areas. Such crimes are affecting the overall supply chain and it impacts drivers, who reportedly – at a rate of 25% - have been exposed to attacks or violence when resting in their cabins. Regrettably, it has been estimated that there is a serious lack of safe and secure parking areas of around 100,000 spaces in the EU. Such safe and secure parking areas could considerably reduce cargo crime and they could at the same time provide drivers with better and safer resting conditions, which are crucial for road safety and more generally for the social well-being of drivers</w:t>
      </w:r>
      <w:r>
        <w:rPr>
          <w:rStyle w:val="FootnoteReference"/>
          <w:noProof/>
          <w:lang w:eastAsia="en-US"/>
        </w:rPr>
        <w:footnoteReference w:id="595"/>
      </w:r>
      <w:r>
        <w:rPr>
          <w:noProof/>
          <w:lang w:eastAsia="en-US"/>
        </w:rPr>
        <w:t>.</w:t>
      </w:r>
    </w:p>
    <w:p>
      <w:pPr>
        <w:pStyle w:val="LegalNumPar"/>
        <w:numPr>
          <w:ilvl w:val="0"/>
          <w:numId w:val="89"/>
        </w:numPr>
        <w:tabs>
          <w:tab w:val="left" w:pos="476"/>
        </w:tabs>
        <w:spacing w:line="240" w:lineRule="auto"/>
        <w:rPr>
          <w:noProof/>
          <w:lang w:eastAsia="en-US"/>
        </w:rPr>
      </w:pPr>
      <w:r>
        <w:rPr>
          <w:noProof/>
          <w:lang w:eastAsia="en-US"/>
        </w:rPr>
        <w:t>In maritime, third country flagged vessels can call into any EU port. It is therefore essential to have a robust and harmonised system of vessel inspections independent of their flag to verify the competency of the officers and crew on board, the condition of the ship and its equipment, its compliance with the requirements of the international conventions on safety and environmental protection and that the vessel is manned and operated in compliance with applicable international law. This is currently achieved through Port State control</w:t>
      </w:r>
      <w:r>
        <w:rPr>
          <w:noProof/>
          <w:vertAlign w:val="superscript"/>
        </w:rPr>
        <w:footnoteReference w:id="596"/>
      </w:r>
      <w:r>
        <w:rPr>
          <w:noProof/>
          <w:lang w:eastAsia="en-US"/>
        </w:rPr>
        <w:t xml:space="preserve"> (PSC) but it has been observed that over the last ten years more environmental checks (related to sulphur</w:t>
      </w:r>
      <w:r>
        <w:rPr>
          <w:rStyle w:val="FootnoteReference"/>
          <w:noProof/>
          <w:lang w:eastAsia="en-US"/>
        </w:rPr>
        <w:footnoteReference w:id="597"/>
      </w:r>
      <w:r>
        <w:rPr>
          <w:noProof/>
          <w:lang w:eastAsia="en-US"/>
        </w:rPr>
        <w:t>, GHG emissions, ship-recycling) are being added to the inspection requirements (either at the international or EU level) and it is expected that this will further increase in the medium term. It will therefore be necessary to try to support the inspection effort of the competent authorities in the Member States.</w:t>
      </w:r>
    </w:p>
    <w:p>
      <w:pPr>
        <w:pStyle w:val="LegalNumPar"/>
        <w:numPr>
          <w:ilvl w:val="0"/>
          <w:numId w:val="89"/>
        </w:numPr>
        <w:tabs>
          <w:tab w:val="left" w:pos="476"/>
        </w:tabs>
        <w:spacing w:line="240" w:lineRule="auto"/>
        <w:rPr>
          <w:noProof/>
          <w:lang w:eastAsia="en-US"/>
        </w:rPr>
      </w:pPr>
      <w:r>
        <w:rPr>
          <w:noProof/>
          <w:lang w:eastAsia="en-US"/>
        </w:rPr>
        <w:t>To improve the inspection process more use should be made of existing and future capabilities in the field of electronic information (e-certificates etc.) to allow for more targeted inspections concentrating on operational issues rather than documentation. The more information is provided to inspection authorities (both to inspectors and port State control officers) in an agreed electronic format in advance of inspection, the more efficient and targeted it can be. Consideration could also be given to the idea of developing an incentive mechanism for further enhancing EU quality shipping taking inspiration from e.g. the US Coast Guard “Qualship21” programme.</w:t>
      </w:r>
    </w:p>
    <w:p>
      <w:pPr>
        <w:pStyle w:val="LegalNumPar"/>
        <w:numPr>
          <w:ilvl w:val="0"/>
          <w:numId w:val="89"/>
        </w:numPr>
        <w:tabs>
          <w:tab w:val="left" w:pos="476"/>
        </w:tabs>
        <w:spacing w:line="240" w:lineRule="auto"/>
        <w:rPr>
          <w:noProof/>
          <w:lang w:eastAsia="en-US"/>
        </w:rPr>
      </w:pPr>
      <w:r>
        <w:rPr>
          <w:noProof/>
          <w:lang w:eastAsia="en-US"/>
        </w:rPr>
        <w:t xml:space="preserve">Containers lost at sea pose a problem for both navigational safety and the marine environment. While the number of containers lost overboard is relatively small the impact can be large. As a first step, it is important that the size of the problem is understood and it is therefore proposed that a single mandatory global reporting system for lost containers based on the EU model is pursued at IMO level. As it seems that there are significant problems with the verified gross mass (VGM) of containers it is proposed that a single system for VGM linked with third part verification of VGM is trialled and that third party verification of container contents (on a sample basis) could be considered, this also links with the growing problem of container fires due to undeclared or wrongly declared cargos.    Consideration also needs to be given to the issues of container standards, their stacked strength and periodic inspection. </w:t>
      </w:r>
    </w:p>
    <w:p>
      <w:pPr>
        <w:pStyle w:val="LegalNumPar"/>
        <w:numPr>
          <w:ilvl w:val="0"/>
          <w:numId w:val="89"/>
        </w:numPr>
        <w:tabs>
          <w:tab w:val="left" w:pos="476"/>
        </w:tabs>
        <w:spacing w:line="240" w:lineRule="auto"/>
        <w:rPr>
          <w:noProof/>
          <w:lang w:eastAsia="en-US"/>
        </w:rPr>
      </w:pPr>
      <w:r>
        <w:rPr>
          <w:noProof/>
          <w:lang w:eastAsia="en-US"/>
        </w:rPr>
        <w:t>An important aspect of improving maritime safety is the investigation of maritime accidents so that lessons can be learned. Currently Directive 2009/18/EC incorporates the principles underlying the relevant international requirements (IMO) into EU law. This being said the establishment of a permanent accident investigation body is seen as a heavy resource burden for smaller member States and states with small fleets. It may be opportune to identify means to support to Member States in the exercise of their accident investigation obligations either by sharing and/or pooling resources, making use of the European Maritime Safety Agency (EMSA) and benefitting from EU-wide facilities.</w:t>
      </w:r>
    </w:p>
    <w:p>
      <w:pPr>
        <w:pStyle w:val="LegalNumPar"/>
        <w:numPr>
          <w:ilvl w:val="0"/>
          <w:numId w:val="89"/>
        </w:numPr>
        <w:tabs>
          <w:tab w:val="left" w:pos="476"/>
        </w:tabs>
        <w:spacing w:line="240" w:lineRule="auto"/>
        <w:rPr>
          <w:noProof/>
          <w:lang w:eastAsia="en-US"/>
        </w:rPr>
      </w:pPr>
      <w:r>
        <w:rPr>
          <w:noProof/>
          <w:lang w:eastAsia="en-US"/>
        </w:rPr>
        <w:t>Safety in sea ports is closely related to evolutions in the shipping sector. Social partners have raised concerns about increased safety risks posed by mega-sized vessels or the growing number of overweight and mis-declared containers. Attention should also be brought to the need to increase the safety of port workers handling cargo on-board ships. The question of safety for workers at ship recycling facilities is also a source of concern. The EU Ship Recycling Regulation sets out criteria in that respect, which need to be complied with by shipowners of vessels flying an EU flag and yards included in the EU list of ship recycling facilities</w:t>
      </w:r>
      <w:r>
        <w:rPr>
          <w:rStyle w:val="FootnoteReference"/>
          <w:noProof/>
          <w:lang w:eastAsia="en-US"/>
        </w:rPr>
        <w:footnoteReference w:id="598"/>
      </w:r>
      <w:r>
        <w:rPr>
          <w:noProof/>
          <w:lang w:eastAsia="en-US"/>
        </w:rPr>
        <w:t xml:space="preserve">.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In line with the evolution of international rules and technological change of the waterborne sector, the overall safety framework (</w:t>
      </w:r>
      <w:r>
        <w:rPr>
          <w:noProof/>
        </w:rPr>
        <w:t>Directives on flag state responsibilities, port state control and accident investigation)</w:t>
      </w:r>
      <w:r>
        <w:rPr>
          <w:noProof/>
          <w:lang w:eastAsia="en-US"/>
        </w:rPr>
        <w:t xml:space="preserve"> there may be a need to review, in particular as regards the role and responsibilities of States as Flag States, to ensure internal coherence and external fitness of such rules. </w:t>
      </w:r>
    </w:p>
    <w:p>
      <w:pPr>
        <w:pStyle w:val="LegalNumPar"/>
        <w:numPr>
          <w:ilvl w:val="0"/>
          <w:numId w:val="89"/>
        </w:numPr>
        <w:tabs>
          <w:tab w:val="left" w:pos="476"/>
        </w:tabs>
        <w:spacing w:line="240" w:lineRule="auto"/>
        <w:rPr>
          <w:noProof/>
          <w:lang w:eastAsia="en-US"/>
        </w:rPr>
      </w:pPr>
      <w:r>
        <w:rPr>
          <w:noProof/>
          <w:lang w:eastAsia="en-US"/>
        </w:rPr>
        <w:t>Another important aspect of safe and sustainable maritime shipping relates to conditions within which ships are treated at their end of their life-cycle. The EU Ship Recycling Regulation aims, among others, to prevent, reduce, minimise and, to the extent practicable, eliminate accidents, injuries and other adverse effects on human health and the environment caused by ship recycling. It also aims to facilitate the ratification of the 2009 Hong Kong International Convention for the Safe and Environmentally Sound Recycling of Ships. The EU Ship Recycling Regulation may need to be revised and strengthened in order to ensure that its objectives are fully achieved in practice.</w:t>
      </w:r>
    </w:p>
    <w:p>
      <w:pPr>
        <w:pStyle w:val="LegalNumPar"/>
        <w:numPr>
          <w:ilvl w:val="0"/>
          <w:numId w:val="89"/>
        </w:numPr>
        <w:tabs>
          <w:tab w:val="left" w:pos="476"/>
        </w:tabs>
        <w:spacing w:line="240" w:lineRule="auto"/>
        <w:rPr>
          <w:noProof/>
          <w:lang w:eastAsia="en-US"/>
        </w:rPr>
      </w:pPr>
      <w:r>
        <w:rPr>
          <w:noProof/>
          <w:lang w:eastAsia="en-US"/>
        </w:rPr>
        <w:t>In inland navigation, harmonised technical standards have been put in place (technical requirements for vessels and professional requirements for crew members) but there is still a lack of common rules for inspection bodies ensuring an equal high level of service as in other modes of transport. Similarly, the lack of uniform criteria concerning the conditions for registering inland navigation vessels does not guarantee a minimum level of quality of national registries.</w:t>
      </w:r>
    </w:p>
    <w:p>
      <w:pPr>
        <w:pStyle w:val="LegalNumPar"/>
        <w:numPr>
          <w:ilvl w:val="0"/>
          <w:numId w:val="89"/>
        </w:numPr>
        <w:tabs>
          <w:tab w:val="left" w:pos="476"/>
        </w:tabs>
        <w:spacing w:line="240" w:lineRule="auto"/>
        <w:rPr>
          <w:noProof/>
          <w:lang w:eastAsia="en-US"/>
        </w:rPr>
      </w:pPr>
      <w:r>
        <w:rPr>
          <w:noProof/>
          <w:lang w:eastAsia="en-US"/>
        </w:rPr>
        <w:t xml:space="preserve">Finally, although air transport stands out as an exception in view of the robust safety oversight system it has developed, </w:t>
      </w:r>
      <w:r>
        <w:rPr>
          <w:b/>
          <w:bCs/>
          <w:noProof/>
          <w:lang w:eastAsia="en-US"/>
        </w:rPr>
        <w:t>weak Member State enforcement</w:t>
      </w:r>
      <w:r>
        <w:rPr>
          <w:noProof/>
          <w:lang w:eastAsia="en-US"/>
        </w:rPr>
        <w:t xml:space="preserve"> of applicable rules also pose safety and security challenges in the transport sector. In the EU, there are insufficient resources dedicated to performing oversight, which affects the ability of authorities to enforce EU rules on safety and security. In addition, in maritime transport there is a lack of a comprehensive framework that would ensure that every single ship trading in EU waters, regardless of its flag, would meet the applicable internationally agreed requirements. And in some areas, rules and oversight are very fragmented (e.g. rules on the use of personal mobility devices).</w:t>
      </w:r>
    </w:p>
    <w:p>
      <w:pPr>
        <w:pStyle w:val="LegalNumPar"/>
        <w:numPr>
          <w:ilvl w:val="0"/>
          <w:numId w:val="89"/>
        </w:numPr>
        <w:tabs>
          <w:tab w:val="left" w:pos="476"/>
        </w:tabs>
        <w:spacing w:line="240" w:lineRule="auto"/>
        <w:rPr>
          <w:noProof/>
          <w:lang w:eastAsia="en-US"/>
        </w:rPr>
      </w:pPr>
      <w:r>
        <w:rPr>
          <w:noProof/>
          <w:lang w:eastAsia="en-US"/>
        </w:rPr>
        <w:t>In road transport, the Cross-Border Enforcement Directive</w:t>
      </w:r>
      <w:r>
        <w:rPr>
          <w:noProof/>
          <w:vertAlign w:val="superscript"/>
          <w:lang w:eastAsia="en-US"/>
        </w:rPr>
        <w:footnoteReference w:id="599"/>
      </w:r>
      <w:r>
        <w:rPr>
          <w:noProof/>
          <w:lang w:eastAsia="en-US"/>
        </w:rPr>
        <w:t xml:space="preserve"> provides Member State authorities with access to each other’s vehicle registers via an electronic information system that enables the identification of the presumed non-resident offender in cases where it was impossible to stop the vehicle and/or identify the driver. However, an evaluation of the Directive showed that approximately half of the detected road traffic offences committed by non-residents were not investigated and approximately half of the financial penalties for those road traffic offences by non-residents that had been investigated were not successfully enforced. Practically all offences where offenders refused to pay financial penalties were not enforced. Therefore, the Directive needs to be made more effective. In addition, the mutual recognition of driving disqualifications might be considered.</w:t>
      </w:r>
    </w:p>
    <w:p>
      <w:pPr>
        <w:pStyle w:val="LegalNumPar"/>
        <w:numPr>
          <w:ilvl w:val="0"/>
          <w:numId w:val="89"/>
        </w:numPr>
        <w:tabs>
          <w:tab w:val="left" w:pos="476"/>
        </w:tabs>
        <w:spacing w:line="240" w:lineRule="auto"/>
        <w:rPr>
          <w:noProof/>
          <w:lang w:eastAsia="en-US"/>
        </w:rPr>
      </w:pPr>
      <w:r>
        <w:rPr>
          <w:noProof/>
          <w:lang w:eastAsia="en-US"/>
        </w:rPr>
        <w:t>Regulation (EC) No 391/2009 on the ship inspection and certification companies, the so-called “recognised organisations” (ROs), has brought about in the last 11 years significant improvements in maritime safety. This was achieved by enhanced monitoring of ROs to which EU flags entrust the safety inspections of their fleet. However, after 11 years the Regulation is showing some limitations. A significant number of third-country ships calling at EU ports (around 10% of all ships calling) is still inspected by non-EU recognised organisations. Therefore, third flags using ROs are escaping the scrutiny imposed to the rest of the ships. There are also conflicts of interest in the provision of consultancy services. The ROs are increasingly providing consultancy services in parallel with inspection and certification. This has created instances whereby the ROs are advisers to the same ship-owner whose ships are afterwards being inspected. In addition, the Regulation does not regulate a new phenomenon appeared in the last 11 years under which the ROs are entering into agreements between themselves to conduct work on behalf of each other leading to a full certification issued by a RO without itself    conducting the inspection.</w:t>
      </w:r>
    </w:p>
    <w:p>
      <w:pPr>
        <w:pStyle w:val="LegalNumPar"/>
        <w:numPr>
          <w:ilvl w:val="0"/>
          <w:numId w:val="89"/>
        </w:numPr>
        <w:tabs>
          <w:tab w:val="left" w:pos="476"/>
        </w:tabs>
        <w:spacing w:line="240" w:lineRule="auto"/>
        <w:rPr>
          <w:noProof/>
          <w:lang w:eastAsia="en-US"/>
        </w:rPr>
      </w:pPr>
      <w:r>
        <w:rPr>
          <w:noProof/>
          <w:lang w:eastAsia="en-US"/>
        </w:rPr>
        <w:t xml:space="preserve">Remote inspections already existed before the COVID-19 pandemic and have now become the norm for around 40% of the inspections tacking place. The provision of remote inspections leading to full certification is regulated neither in EU legislation nor by way of international conventions. </w:t>
      </w:r>
    </w:p>
    <w:p>
      <w:pPr>
        <w:pStyle w:val="LegalNumPar"/>
        <w:numPr>
          <w:ilvl w:val="0"/>
          <w:numId w:val="89"/>
        </w:numPr>
        <w:tabs>
          <w:tab w:val="left" w:pos="476"/>
        </w:tabs>
        <w:spacing w:line="240" w:lineRule="auto"/>
        <w:rPr>
          <w:noProof/>
          <w:lang w:eastAsia="en-US"/>
        </w:rPr>
      </w:pPr>
      <w:r>
        <w:rPr>
          <w:noProof/>
          <w:lang w:eastAsia="en-US"/>
        </w:rPr>
        <w:t>In addition, and in accordance with Article 14 (1) of Regulation (EC) 2009/391, the Commission is empowered to adopt criteria to measure the effectiveness of the rules and procedures of the ROs. This is the only missing piece of the revamp of the legislative framework introduced in 2009 regarding the monitoring and oversight of ROs. These criteria could reflect at EU level relevant criteria and standards (Goal based standards for the rules of classification societies) agreed at the IMO level, allowing an assessment of ROs at an additional level: whether their rules are meeting the internationally agreed standards or not. Furthermore, Commission decision 2009/491/EC on criteria to measure performance of ROs could also be updated, to determine when such performance is to be considered an unacceptable threat to safety or the environment.</w:t>
      </w:r>
    </w:p>
    <w:p>
      <w:pPr>
        <w:pStyle w:val="LegalNumPar"/>
        <w:numPr>
          <w:ilvl w:val="0"/>
          <w:numId w:val="89"/>
        </w:numPr>
        <w:tabs>
          <w:tab w:val="left" w:pos="476"/>
        </w:tabs>
        <w:spacing w:line="240" w:lineRule="auto"/>
        <w:rPr>
          <w:noProof/>
        </w:rPr>
      </w:pPr>
      <w:r>
        <w:rPr>
          <w:b/>
          <w:bCs/>
          <w:noProof/>
          <w:lang w:eastAsia="en-US"/>
        </w:rPr>
        <w:t>Transition to risk based approach</w:t>
      </w:r>
      <w:r>
        <w:rPr>
          <w:noProof/>
          <w:lang w:eastAsia="en-US"/>
        </w:rPr>
        <w:t xml:space="preserve"> also brings challenges, notably for oversight, as it moves away from rules compliance checking. It </w:t>
      </w:r>
      <w:r>
        <w:rPr>
          <w:rFonts w:cstheme="minorBidi"/>
          <w:noProof/>
        </w:rPr>
        <w:t xml:space="preserve">is a new way for competent authorities and industry, based on known risks and safety performance, to discharge their responsibilities and find a way to better target the safety areas of greater concern or need. It is a way of performing surveillance based on the risk profile where, besides the insurance of compliance with the regulations, a focus is on the management of operational risk(s). This in turn requires a mechanism for better identifying hazards, measuring associated risks as well as providing a way to demonstrate how these risk(s) can effectively be mitigated. </w:t>
      </w:r>
      <w:r>
        <w:rPr>
          <w:noProof/>
        </w:rPr>
        <w:t xml:space="preserve">This approach can </w:t>
      </w:r>
      <w:r>
        <w:rPr>
          <w:rFonts w:cstheme="minorBidi"/>
          <w:noProof/>
        </w:rPr>
        <w:t>enable the competent authorities and industry to focus their attention on organisations and/or transport activities that require additional or higher attention, i.e. making best use of limited resources. A key enabler for this approach to be catered for in the regulatory framework, is the ability and capability to collect, analyse and exchange safety data. Access to data is essential to support a risk-based approach as part of an effective (safety) management system.</w:t>
      </w:r>
    </w:p>
    <w:p>
      <w:pPr>
        <w:pStyle w:val="LegalNumPar"/>
        <w:numPr>
          <w:ilvl w:val="0"/>
          <w:numId w:val="89"/>
        </w:numPr>
        <w:tabs>
          <w:tab w:val="left" w:pos="476"/>
        </w:tabs>
        <w:spacing w:line="240" w:lineRule="auto"/>
        <w:rPr>
          <w:noProof/>
        </w:rPr>
      </w:pPr>
      <w:r>
        <w:rPr>
          <w:noProof/>
          <w:lang w:eastAsia="en-US"/>
        </w:rPr>
        <w:t>In this context, the i</w:t>
      </w:r>
      <w:r>
        <w:rPr>
          <w:rFonts w:cstheme="minorBidi"/>
          <w:noProof/>
        </w:rPr>
        <w:t xml:space="preserve">ncreased focus on strengthened inter-modality across the various modes of </w:t>
      </w:r>
      <w:r>
        <w:rPr>
          <w:noProof/>
          <w:lang w:eastAsia="en-US"/>
        </w:rPr>
        <w:t>transport</w:t>
      </w:r>
      <w:r>
        <w:rPr>
          <w:rFonts w:cstheme="minorBidi"/>
          <w:noProof/>
        </w:rPr>
        <w:t xml:space="preserve"> constitutes a catalyst for developing a ‘harmonised’ approach to safety oversight and management</w:t>
      </w:r>
      <w:r>
        <w:rPr>
          <w:noProof/>
          <w:lang w:eastAsia="en-US"/>
        </w:rPr>
        <w:t>.</w:t>
      </w:r>
    </w:p>
    <w:p>
      <w:pPr>
        <w:pStyle w:val="LegalNumPar"/>
        <w:tabs>
          <w:tab w:val="left" w:pos="476"/>
        </w:tabs>
        <w:spacing w:line="240" w:lineRule="auto"/>
        <w:ind w:left="476"/>
        <w:rPr>
          <w:noProof/>
        </w:rPr>
      </w:pPr>
    </w:p>
    <w:p>
      <w:pPr>
        <w:spacing w:after="0" w:line="240" w:lineRule="auto"/>
        <w:jc w:val="left"/>
        <w:rPr>
          <w:noProof/>
          <w:sz w:val="24"/>
        </w:rPr>
      </w:pPr>
      <w:r>
        <w:rPr>
          <w:noProof/>
        </w:rPr>
        <w:br w:type="page"/>
      </w:r>
    </w:p>
    <w:p>
      <w:pPr>
        <w:pStyle w:val="Heading2"/>
        <w:numPr>
          <w:ilvl w:val="1"/>
          <w:numId w:val="98"/>
        </w:numPr>
        <w:rPr>
          <w:noProof/>
        </w:rPr>
      </w:pPr>
      <w:bookmarkStart w:id="4519" w:name="_Toc51450148"/>
      <w:bookmarkStart w:id="4520" w:name="_Toc51574848"/>
      <w:bookmarkStart w:id="4521" w:name="_Toc51575696"/>
      <w:bookmarkStart w:id="4522" w:name="_Toc51578094"/>
      <w:bookmarkStart w:id="4523" w:name="_Toc51582967"/>
      <w:bookmarkStart w:id="4524" w:name="_Toc51583442"/>
      <w:bookmarkStart w:id="4525" w:name="_Toc51583532"/>
      <w:bookmarkStart w:id="4526" w:name="_Toc51583817"/>
      <w:bookmarkStart w:id="4527" w:name="_Toc51584007"/>
      <w:bookmarkStart w:id="4528" w:name="_Toc51584026"/>
      <w:bookmarkStart w:id="4529" w:name="_Toc51586249"/>
      <w:bookmarkStart w:id="4530" w:name="_Toc51594052"/>
      <w:bookmarkStart w:id="4531" w:name="_Toc51594378"/>
      <w:bookmarkStart w:id="4532" w:name="_Toc51595356"/>
      <w:bookmarkStart w:id="4533" w:name="_Toc51595606"/>
      <w:bookmarkStart w:id="4534" w:name="_Toc51595932"/>
      <w:bookmarkStart w:id="4535" w:name="_Toc51596095"/>
      <w:bookmarkStart w:id="4536" w:name="_Toc51596448"/>
      <w:bookmarkStart w:id="4537" w:name="_Toc52121583"/>
      <w:bookmarkStart w:id="4538" w:name="_Toc52122814"/>
      <w:bookmarkStart w:id="4539" w:name="_Toc52123931"/>
      <w:bookmarkStart w:id="4540" w:name="_Toc53405392"/>
      <w:bookmarkStart w:id="4541" w:name="_Toc53406179"/>
      <w:bookmarkStart w:id="4542" w:name="_Toc53407548"/>
      <w:bookmarkStart w:id="4543" w:name="_Toc53410992"/>
      <w:bookmarkStart w:id="4544" w:name="_Toc53412055"/>
      <w:bookmarkStart w:id="4545" w:name="_Toc53417302"/>
      <w:bookmarkStart w:id="4546" w:name="_Toc53417654"/>
      <w:bookmarkStart w:id="4547" w:name="_Toc53419889"/>
      <w:bookmarkStart w:id="4548" w:name="_Toc53434992"/>
      <w:bookmarkStart w:id="4549" w:name="_Toc53437131"/>
      <w:bookmarkStart w:id="4550" w:name="_Toc57291537"/>
      <w:r>
        <w:rPr>
          <w:noProof/>
        </w:rPr>
        <w:t>External dimension</w:t>
      </w:r>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p>
    <w:p>
      <w:pPr>
        <w:pStyle w:val="LegalNumPar"/>
        <w:numPr>
          <w:ilvl w:val="0"/>
          <w:numId w:val="89"/>
        </w:numPr>
        <w:tabs>
          <w:tab w:val="left" w:pos="476"/>
        </w:tabs>
        <w:spacing w:line="240" w:lineRule="auto"/>
        <w:rPr>
          <w:noProof/>
        </w:rPr>
      </w:pPr>
      <w:r>
        <w:rPr>
          <w:noProof/>
        </w:rPr>
        <w:t xml:space="preserve">Transport is international by nature. Broad and deep transport connectivity strengthens our economies and helps our societies prosper. Transport plays a crucial role in connecting the EU with its neighbours and ensuring safe, efficient and sustainable mobility for people and goods. In an increasingly globalised world, it is the lifeblood of our economies. With most third countries, machinery and transport equipment represents 40-50% of total exports. Transport services accounts on average for 17 % of total services exports. EU transport policy is influenced - and in many areas determined - by the global regulatory framework. And with emerging global powers consolidating their economic and regulatory reach, the EU is </w:t>
      </w:r>
      <w:r>
        <w:rPr>
          <w:b/>
          <w:bCs/>
          <w:noProof/>
        </w:rPr>
        <w:t>confronted with a more diverse global arena</w:t>
      </w:r>
      <w:r>
        <w:rPr>
          <w:noProof/>
        </w:rPr>
        <w:t xml:space="preserve"> to assert its transport agenda. Although its economic power and influence in international transport organisations remain significant, on the global stage the EU is facing more </w:t>
      </w:r>
      <w:r>
        <w:rPr>
          <w:b/>
          <w:bCs/>
          <w:noProof/>
        </w:rPr>
        <w:t>challenges in exercising a global role that is commensurate with its regulatory, economic and technical strengths</w:t>
      </w:r>
      <w:r>
        <w:rPr>
          <w:noProof/>
        </w:rPr>
        <w:t xml:space="preserve">. </w:t>
      </w:r>
    </w:p>
    <w:p>
      <w:pPr>
        <w:pStyle w:val="LegalNumPar"/>
        <w:numPr>
          <w:ilvl w:val="0"/>
          <w:numId w:val="89"/>
        </w:numPr>
        <w:tabs>
          <w:tab w:val="left" w:pos="476"/>
        </w:tabs>
        <w:spacing w:line="240" w:lineRule="auto"/>
        <w:rPr>
          <w:noProof/>
        </w:rPr>
      </w:pPr>
      <w:r>
        <w:rPr>
          <w:noProof/>
        </w:rPr>
        <w:t xml:space="preserve">This is notably the case in areas of aviation and maritime transport, which inherently have a strong global dimension, and where the ambitious EU approach is often questioned, especially on topics such as </w:t>
      </w:r>
      <w:r>
        <w:rPr>
          <w:b/>
          <w:bCs/>
          <w:noProof/>
        </w:rPr>
        <w:t>sustainability, competition, social matters and the rule of law</w:t>
      </w:r>
      <w:r>
        <w:rPr>
          <w:noProof/>
        </w:rPr>
        <w:t xml:space="preserve">. For land transport, there is an evident need for more effective coordination of international rules, as well as a need to strengthen the EU position and influence in the ongoing harmonisation of rail transport. </w:t>
      </w:r>
    </w:p>
    <w:p>
      <w:pPr>
        <w:pStyle w:val="LegalNumPar"/>
        <w:numPr>
          <w:ilvl w:val="0"/>
          <w:numId w:val="89"/>
        </w:numPr>
        <w:tabs>
          <w:tab w:val="left" w:pos="476"/>
        </w:tabs>
        <w:spacing w:line="240" w:lineRule="auto"/>
        <w:rPr>
          <w:noProof/>
        </w:rPr>
      </w:pPr>
      <w:r>
        <w:rPr>
          <w:noProof/>
        </w:rPr>
        <w:t xml:space="preserve">It is essential that road transport operators established in non-EU countries apply equivalent high social standards when operating transport services on the territory of the EU. This would prevent distortions of competition between EU operators and non EU-operators and ensure that all workers carrying out activities on the EU territory benefit from the same minimum rights. The rules governing, in general, the transport operations for non-EU operators under AETR (Accord Européen sur les Transports Routiers) are only partially aligned with the EU social rules for the road transport sector. The EU has been discussing with the AETR non-EU countries the alignment of requirements on installation and use of smart tachograph in commercial vehicles operating on and through the EU territory. </w:t>
      </w:r>
    </w:p>
    <w:p>
      <w:pPr>
        <w:pStyle w:val="LegalNumPar"/>
        <w:numPr>
          <w:ilvl w:val="0"/>
          <w:numId w:val="89"/>
        </w:numPr>
        <w:tabs>
          <w:tab w:val="left" w:pos="476"/>
        </w:tabs>
        <w:spacing w:line="240" w:lineRule="auto"/>
        <w:rPr>
          <w:noProof/>
        </w:rPr>
      </w:pPr>
      <w:r>
        <w:rPr>
          <w:noProof/>
        </w:rPr>
        <w:t xml:space="preserve">At more fundamental level, recent </w:t>
      </w:r>
      <w:r>
        <w:rPr>
          <w:b/>
          <w:bCs/>
          <w:noProof/>
        </w:rPr>
        <w:t>geopolitical developments</w:t>
      </w:r>
      <w:r>
        <w:rPr>
          <w:noProof/>
        </w:rPr>
        <w:t xml:space="preserve"> are challenging some of the core principles around which the global multilateral system was built, thus putting global trade and transport under increased pressure. In addition, the </w:t>
      </w:r>
      <w:r>
        <w:rPr>
          <w:b/>
          <w:bCs/>
          <w:noProof/>
        </w:rPr>
        <w:t>distortions of competition</w:t>
      </w:r>
      <w:r>
        <w:rPr>
          <w:noProof/>
        </w:rPr>
        <w:t xml:space="preserve"> and the state-driven strategies of some among the EU’s global partners have meant the EU has had to have a tighter grip on </w:t>
      </w:r>
      <w:r>
        <w:rPr>
          <w:b/>
          <w:bCs/>
          <w:noProof/>
        </w:rPr>
        <w:t>defending its strategic interests</w:t>
      </w:r>
      <w:r>
        <w:rPr>
          <w:noProof/>
        </w:rPr>
        <w:t xml:space="preserve"> at home and abroad. Foreign ownership and investment projects at home bearing on strategic transport nodes and infrastructure are thus being subject to closer scrutiny. The EU has already equipped itself to face security and public order threats:  Regulation (EU) 2019/452</w:t>
      </w:r>
      <w:r>
        <w:rPr>
          <w:rStyle w:val="FootnoteReference"/>
          <w:noProof/>
        </w:rPr>
        <w:footnoteReference w:id="600"/>
      </w:r>
      <w:r>
        <w:rPr>
          <w:noProof/>
        </w:rPr>
        <w:t xml:space="preserve"> has introduced a framework under which Member States can screen foreign direct investments into the EU on the grounds of security or public order. It provides a mechanism for cooperation between Member States, and between Member States and the Commission, with regard to foreign direct investments likely to affect security or public order; and gives the Commission the possibility to issue an opinion on such investments. To further improve the protection of a level playing field and safeguard strategic interests in the transport sector, there might be a need to establish clearer rules for all owners of strategic transport infrastructure in terms of non-discriminatory access for users, availability for public service needs, requirements for dual use, respect of technical standards, etc. At the same time, where restrictions exist to foreign investments in the EU (e.g. ownership and control of airlines), they could limit the ability of EU companies to compete globally.</w:t>
      </w:r>
    </w:p>
    <w:p>
      <w:pPr>
        <w:pStyle w:val="LegalNumPar"/>
        <w:numPr>
          <w:ilvl w:val="0"/>
          <w:numId w:val="89"/>
        </w:numPr>
        <w:tabs>
          <w:tab w:val="left" w:pos="476"/>
        </w:tabs>
        <w:spacing w:line="240" w:lineRule="auto"/>
        <w:rPr>
          <w:rFonts w:eastAsia="MS Mincho"/>
          <w:noProof/>
        </w:rPr>
      </w:pPr>
      <w:r>
        <w:rPr>
          <w:noProof/>
        </w:rPr>
        <w:t>More widely, better coordination and integration of the EU's  external transport agenda with other external policy goals, including in trade and cooperation, can create synergy effects, lead to mutual reinforcement and improve effectiveness in achieving external policy objectives in these policy areas.</w:t>
      </w:r>
    </w:p>
    <w:p>
      <w:pPr>
        <w:pStyle w:val="Heading3"/>
        <w:numPr>
          <w:ilvl w:val="2"/>
          <w:numId w:val="98"/>
        </w:numPr>
        <w:rPr>
          <w:noProof/>
        </w:rPr>
      </w:pPr>
      <w:bookmarkStart w:id="4551" w:name="_Toc51450149"/>
      <w:bookmarkStart w:id="4552" w:name="_Toc51574849"/>
      <w:bookmarkStart w:id="4553" w:name="_Toc51575697"/>
      <w:bookmarkStart w:id="4554" w:name="_Toc51578095"/>
      <w:bookmarkStart w:id="4555" w:name="_Toc51582968"/>
      <w:bookmarkStart w:id="4556" w:name="_Toc51583443"/>
      <w:bookmarkStart w:id="4557" w:name="_Toc51583533"/>
      <w:bookmarkStart w:id="4558" w:name="_Toc51583818"/>
      <w:bookmarkStart w:id="4559" w:name="_Toc51584008"/>
      <w:bookmarkStart w:id="4560" w:name="_Toc51584027"/>
      <w:bookmarkStart w:id="4561" w:name="_Toc51586250"/>
      <w:bookmarkStart w:id="4562" w:name="_Toc51594053"/>
      <w:bookmarkStart w:id="4563" w:name="_Toc51594379"/>
      <w:bookmarkStart w:id="4564" w:name="_Toc51595357"/>
      <w:bookmarkStart w:id="4565" w:name="_Toc51595607"/>
      <w:bookmarkStart w:id="4566" w:name="_Toc51595933"/>
      <w:bookmarkStart w:id="4567" w:name="_Toc51596096"/>
      <w:bookmarkStart w:id="4568" w:name="_Toc51596449"/>
      <w:bookmarkStart w:id="4569" w:name="_Toc52121584"/>
      <w:bookmarkStart w:id="4570" w:name="_Toc52122815"/>
      <w:bookmarkStart w:id="4571" w:name="_Toc52123932"/>
      <w:bookmarkStart w:id="4572" w:name="_Toc53405393"/>
      <w:bookmarkStart w:id="4573" w:name="_Toc53406180"/>
      <w:bookmarkStart w:id="4574" w:name="_Toc53407549"/>
      <w:bookmarkStart w:id="4575" w:name="_Toc53410993"/>
      <w:bookmarkStart w:id="4576" w:name="_Toc53412056"/>
      <w:bookmarkStart w:id="4577" w:name="_Toc53417303"/>
      <w:bookmarkStart w:id="4578" w:name="_Toc53417655"/>
      <w:bookmarkStart w:id="4579" w:name="_Toc53419890"/>
      <w:bookmarkStart w:id="4580" w:name="_Toc53434993"/>
      <w:bookmarkStart w:id="4581" w:name="_Toc53437132"/>
      <w:bookmarkStart w:id="4582" w:name="_Toc57291538"/>
      <w:r>
        <w:rPr>
          <w:noProof/>
        </w:rPr>
        <w:t>EU leadership</w:t>
      </w:r>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p>
    <w:p>
      <w:pPr>
        <w:pStyle w:val="LegalNumPar"/>
        <w:numPr>
          <w:ilvl w:val="0"/>
          <w:numId w:val="89"/>
        </w:numPr>
        <w:tabs>
          <w:tab w:val="left" w:pos="476"/>
        </w:tabs>
        <w:spacing w:line="240" w:lineRule="auto"/>
        <w:rPr>
          <w:noProof/>
        </w:rPr>
      </w:pPr>
      <w:r>
        <w:rPr>
          <w:noProof/>
        </w:rPr>
        <w:t xml:space="preserve">The EU’s ability to be heard internationally and follow through its intent depends on its </w:t>
      </w:r>
      <w:r>
        <w:rPr>
          <w:b/>
          <w:bCs/>
          <w:noProof/>
        </w:rPr>
        <w:t>ability to influence</w:t>
      </w:r>
      <w:r>
        <w:rPr>
          <w:noProof/>
        </w:rPr>
        <w:t>, as such, the global standard setting in transport. The 2017 Singapore Opinion of the European Court of Justice</w:t>
      </w:r>
      <w:r>
        <w:rPr>
          <w:rStyle w:val="FootnoteReference"/>
          <w:noProof/>
        </w:rPr>
        <w:footnoteReference w:id="601"/>
      </w:r>
      <w:r>
        <w:rPr>
          <w:noProof/>
        </w:rPr>
        <w:t xml:space="preserve"> largely clarified the EU's external competences in the field of transport, also as regards the issue of exclusive external competence. In 2011 the EU acceded to the Convention concerning International Carriage by Rail (COTIF), and joined the intergovernmental organization dedicated to such carriage (OTIF). This is the first accession of this kind in the area of transport.</w:t>
      </w:r>
    </w:p>
    <w:p>
      <w:pPr>
        <w:pStyle w:val="LegalNumPar"/>
        <w:numPr>
          <w:ilvl w:val="0"/>
          <w:numId w:val="89"/>
        </w:numPr>
        <w:tabs>
          <w:tab w:val="left" w:pos="476"/>
        </w:tabs>
        <w:spacing w:line="240" w:lineRule="auto"/>
        <w:rPr>
          <w:noProof/>
        </w:rPr>
      </w:pPr>
      <w:r>
        <w:rPr>
          <w:noProof/>
        </w:rPr>
        <w:t>In the rail sector, the EU model is the basis of the OTIF technical legislation and is also taken as the starting point by various countries and in global fora (e.g. OTIF technical legislation) for the development of safety and interoperability regulations. The European Rail Traffic Management System (ERTMS) is also implemented beyond the Union and has the potential to become a global reference.</w:t>
      </w:r>
    </w:p>
    <w:p>
      <w:pPr>
        <w:pStyle w:val="LegalNumPar"/>
        <w:numPr>
          <w:ilvl w:val="0"/>
          <w:numId w:val="89"/>
        </w:numPr>
        <w:tabs>
          <w:tab w:val="left" w:pos="476"/>
        </w:tabs>
        <w:spacing w:line="240" w:lineRule="auto"/>
        <w:rPr>
          <w:noProof/>
        </w:rPr>
      </w:pPr>
      <w:r>
        <w:rPr>
          <w:noProof/>
        </w:rPr>
        <w:t xml:space="preserve">In the maritime sector, the EU plays a key role in driving forward the safety and environmental standards set at global level by the International Maritime Organization (IMO). Capacity building and outreach to developing countries, namely LDCs and SIDS, is a pre-requisite for an inclusive global transition to sustainable shipping. Among others, the EU therefore funds the Global Maritime Technology Cooperation Centres, promoting technologies and operations to improve energy efficiency in the maritime sector and help navigate shipping into a low-carbon future. </w:t>
      </w:r>
    </w:p>
    <w:p>
      <w:pPr>
        <w:pStyle w:val="LegalNumPar"/>
        <w:numPr>
          <w:ilvl w:val="0"/>
          <w:numId w:val="89"/>
        </w:numPr>
        <w:tabs>
          <w:tab w:val="left" w:pos="476"/>
        </w:tabs>
        <w:spacing w:line="240" w:lineRule="auto"/>
        <w:rPr>
          <w:noProof/>
        </w:rPr>
      </w:pPr>
      <w:r>
        <w:rPr>
          <w:noProof/>
        </w:rPr>
        <w:t>In the inland waterways sector, the EU cooperates with other international organisations, such as the UN-ECE, CCNR</w:t>
      </w:r>
      <w:r>
        <w:rPr>
          <w:rStyle w:val="FootnoteReference"/>
          <w:noProof/>
        </w:rPr>
        <w:footnoteReference w:id="602"/>
      </w:r>
      <w:r>
        <w:rPr>
          <w:noProof/>
        </w:rPr>
        <w:t xml:space="preserve"> or the Danube Commission on various topics related to standards and safety. These organisations have members from both the EU and non-EU countries: this can facilitate integration and harmonisation of approaches between EU and non-EU states.</w:t>
      </w:r>
    </w:p>
    <w:p>
      <w:pPr>
        <w:pStyle w:val="LegalNumPar"/>
        <w:numPr>
          <w:ilvl w:val="0"/>
          <w:numId w:val="89"/>
        </w:numPr>
        <w:tabs>
          <w:tab w:val="left" w:pos="476"/>
        </w:tabs>
        <w:spacing w:line="240" w:lineRule="auto"/>
        <w:rPr>
          <w:noProof/>
        </w:rPr>
      </w:pPr>
      <w:r>
        <w:rPr>
          <w:noProof/>
        </w:rPr>
        <w:t xml:space="preserve">The EU is a world leader in road safety, with </w:t>
      </w:r>
      <w:r>
        <w:rPr>
          <w:noProof/>
          <w:lang w:eastAsia="en-US"/>
        </w:rPr>
        <w:t>just 2% of the estimated 1.35 million fatalities per year occurring on EU roads. The EU’s example is often cited, and know-how and good practice from the EU and its Member States is in high demand. The EU takes its leadership role seriously, for example in supporting the road safety work of its immediate neighbours (Western Balkans and Eastern Partnership), in intensified cooperation with Africa (following the work of the EU-Africa Taskforce on Transport) and in contributing to UN Road Safety Fund</w:t>
      </w:r>
      <w:r>
        <w:rPr>
          <w:rStyle w:val="FootnoteReference"/>
          <w:noProof/>
          <w:lang w:eastAsia="en-US"/>
        </w:rPr>
        <w:footnoteReference w:id="603"/>
      </w:r>
      <w:r>
        <w:rPr>
          <w:noProof/>
          <w:lang w:eastAsia="en-US"/>
        </w:rPr>
        <w:t xml:space="preserve">. The EU also plays a strong role vis-à-vis the United Nations Economic Commission for Europe (UNECE), in particular as regards vehicle regulations (World Forum for Harmonisation of Vehicle Regulations, Working Party 29). It is assessing how its role could also be reinforced as regards traffic rules (Global Forum for Road Traffic Safety, Working Party 1). </w:t>
      </w:r>
      <w:r>
        <w:rPr>
          <w:noProof/>
        </w:rPr>
        <w:t>As an example both the recent testing cycle and the on-road tests for the emission type approvals of cars were developed with the leadership of the Union, represented by the Commission. A stronger EU role as regards traffic rules in UNECE could also be beneficial.</w:t>
      </w:r>
    </w:p>
    <w:p>
      <w:pPr>
        <w:pStyle w:val="LegalNumPar"/>
        <w:numPr>
          <w:ilvl w:val="0"/>
          <w:numId w:val="89"/>
        </w:numPr>
        <w:tabs>
          <w:tab w:val="left" w:pos="476"/>
        </w:tabs>
        <w:spacing w:line="240" w:lineRule="auto"/>
        <w:rPr>
          <w:noProof/>
        </w:rPr>
      </w:pPr>
      <w:r>
        <w:rPr>
          <w:noProof/>
        </w:rPr>
        <w:t>When it comes to urban mobility, the EU concept of sustainable urban mobility planning (with dedicated guidelines) has become a point of reference worldwide, with many cities beyond the EU getting inspired by the EU SUMP approach and translating the guidelines into local languages. In addition, an EU-funded project - MobiliseYourCity - has become the leading global partnership for sustainable urban mobility planning, with more than 60 member cities in 32 countries with a combined population of over 75 million people. It accelerates the transition to sustainable urban mobility in countries of the Global South by disseminating knowledge, tools and guidelines based on the Commission’s SUMP concept</w:t>
      </w:r>
      <w:r>
        <w:rPr>
          <w:rStyle w:val="FootnoteReference"/>
          <w:noProof/>
        </w:rPr>
        <w:footnoteReference w:id="604"/>
      </w:r>
      <w:r>
        <w:rPr>
          <w:noProof/>
        </w:rPr>
        <w:t xml:space="preserve">.    </w:t>
      </w:r>
    </w:p>
    <w:p>
      <w:pPr>
        <w:pStyle w:val="LegalNumPar"/>
        <w:numPr>
          <w:ilvl w:val="0"/>
          <w:numId w:val="89"/>
        </w:numPr>
        <w:tabs>
          <w:tab w:val="left" w:pos="476"/>
        </w:tabs>
        <w:spacing w:line="240" w:lineRule="auto"/>
        <w:rPr>
          <w:noProof/>
        </w:rPr>
      </w:pPr>
      <w:r>
        <w:rPr>
          <w:noProof/>
        </w:rPr>
        <w:t>Similarly, when it comes to campaigns raising awareness and promoting behavioural change in urban mobility, European Mobility Week</w:t>
      </w:r>
      <w:r>
        <w:rPr>
          <w:rStyle w:val="FootnoteReference"/>
          <w:noProof/>
        </w:rPr>
        <w:footnoteReference w:id="605"/>
      </w:r>
      <w:r>
        <w:rPr>
          <w:noProof/>
        </w:rPr>
        <w:t xml:space="preserve"> is the world-wide leader and a point of reference. It gradually attracts more and more cities from outside of the EU, with over 2,945 cities from 53 countries covering almost all continents registered in 2020 edition.    </w:t>
      </w:r>
    </w:p>
    <w:p>
      <w:pPr>
        <w:pStyle w:val="LegalNumPar"/>
        <w:numPr>
          <w:ilvl w:val="0"/>
          <w:numId w:val="89"/>
        </w:numPr>
        <w:tabs>
          <w:tab w:val="left" w:pos="476"/>
        </w:tabs>
        <w:spacing w:line="240" w:lineRule="auto"/>
        <w:rPr>
          <w:noProof/>
        </w:rPr>
      </w:pPr>
      <w:r>
        <w:rPr>
          <w:noProof/>
        </w:rPr>
        <w:t xml:space="preserve">In the field of aviation, all EU Member States are members of ICAO. In areas of Union competence, the positions of the Union are established in accordance with the Treaties and  are binding on the Union Member States. On a more operational level, there are existing ties with ICAO through the EU-ICAO Memorandum of Cooperation. Technical cooperation offered by the EU to ICAO and ICAO States in areas of key importance such as safety, security and environment also plays a fundamental role in building the EU’s influence in the decision making spheres at global level. </w:t>
      </w:r>
    </w:p>
    <w:p>
      <w:pPr>
        <w:pStyle w:val="LegalNumPar"/>
        <w:numPr>
          <w:ilvl w:val="0"/>
          <w:numId w:val="89"/>
        </w:numPr>
        <w:tabs>
          <w:tab w:val="left" w:pos="476"/>
        </w:tabs>
        <w:spacing w:line="240" w:lineRule="auto"/>
        <w:rPr>
          <w:noProof/>
        </w:rPr>
      </w:pPr>
      <w:r>
        <w:rPr>
          <w:noProof/>
        </w:rPr>
        <w:t xml:space="preserve">The EU is funding </w:t>
      </w:r>
      <w:r>
        <w:rPr>
          <w:b/>
          <w:bCs/>
          <w:noProof/>
        </w:rPr>
        <w:t>technical cooperation</w:t>
      </w:r>
      <w:r>
        <w:rPr>
          <w:noProof/>
        </w:rPr>
        <w:t xml:space="preserve"> projects in a number of third-countries. Third country cooperation takes place also via EU agencies such as EMSA or EASA, which play a key role in technical cooperation activities; for example through EMSA’s capacity building activities to non-EU countries bordering the Black and Caspian Sea, to name a notable example.</w:t>
      </w:r>
    </w:p>
    <w:p>
      <w:pPr>
        <w:pStyle w:val="LegalNumPar"/>
        <w:numPr>
          <w:ilvl w:val="0"/>
          <w:numId w:val="89"/>
        </w:numPr>
        <w:tabs>
          <w:tab w:val="left" w:pos="476"/>
        </w:tabs>
        <w:spacing w:line="240" w:lineRule="auto"/>
        <w:rPr>
          <w:noProof/>
        </w:rPr>
      </w:pPr>
      <w:r>
        <w:rPr>
          <w:noProof/>
        </w:rPr>
        <w:t xml:space="preserve">The EU has also a long-standing tradition in promoting international cooperation via </w:t>
      </w:r>
      <w:r>
        <w:rPr>
          <w:b/>
          <w:bCs/>
          <w:noProof/>
        </w:rPr>
        <w:t>R&amp;I</w:t>
      </w:r>
      <w:r>
        <w:rPr>
          <w:noProof/>
        </w:rPr>
        <w:t xml:space="preserve"> programs. With the overarching objective of international cooperation, the R&amp;I programmes set high-level objectives of strengthening EU science in technology, fostering EU industrial competitiveness and innovation performance, or delivering on the EU’s strategic priorities, such as the Paris Agreement on climate and tackling global challenges that affect the quality of our daily lives. However, the programmes are sometimes missing further sector and project specific goals for global and industrial competitiveness. </w:t>
      </w:r>
    </w:p>
    <w:p>
      <w:pPr>
        <w:pStyle w:val="Heading3"/>
        <w:numPr>
          <w:ilvl w:val="2"/>
          <w:numId w:val="98"/>
        </w:numPr>
        <w:rPr>
          <w:noProof/>
        </w:rPr>
      </w:pPr>
      <w:bookmarkStart w:id="4583" w:name="_Toc51450150"/>
      <w:bookmarkStart w:id="4584" w:name="_Toc51574850"/>
      <w:bookmarkStart w:id="4585" w:name="_Toc51575698"/>
      <w:bookmarkStart w:id="4586" w:name="_Toc51578096"/>
      <w:bookmarkStart w:id="4587" w:name="_Toc51582969"/>
      <w:bookmarkStart w:id="4588" w:name="_Toc51583444"/>
      <w:bookmarkStart w:id="4589" w:name="_Toc51583534"/>
      <w:bookmarkStart w:id="4590" w:name="_Toc51583819"/>
      <w:bookmarkStart w:id="4591" w:name="_Toc51584009"/>
      <w:bookmarkStart w:id="4592" w:name="_Toc51584028"/>
      <w:bookmarkStart w:id="4593" w:name="_Toc51586251"/>
      <w:bookmarkStart w:id="4594" w:name="_Toc51594054"/>
      <w:bookmarkStart w:id="4595" w:name="_Toc51594380"/>
      <w:bookmarkStart w:id="4596" w:name="_Toc51595358"/>
      <w:bookmarkStart w:id="4597" w:name="_Toc51595608"/>
      <w:bookmarkStart w:id="4598" w:name="_Toc51595934"/>
      <w:bookmarkStart w:id="4599" w:name="_Toc51596097"/>
      <w:bookmarkStart w:id="4600" w:name="_Toc51596450"/>
      <w:bookmarkStart w:id="4601" w:name="_Toc52121585"/>
      <w:bookmarkStart w:id="4602" w:name="_Toc52122816"/>
      <w:bookmarkStart w:id="4603" w:name="_Toc52123933"/>
      <w:bookmarkStart w:id="4604" w:name="_Toc53405394"/>
      <w:bookmarkStart w:id="4605" w:name="_Toc53406181"/>
      <w:bookmarkStart w:id="4606" w:name="_Toc53407550"/>
      <w:bookmarkStart w:id="4607" w:name="_Toc53410994"/>
      <w:bookmarkStart w:id="4608" w:name="_Toc53412057"/>
      <w:bookmarkStart w:id="4609" w:name="_Toc53417304"/>
      <w:bookmarkStart w:id="4610" w:name="_Toc53417656"/>
      <w:bookmarkStart w:id="4611" w:name="_Toc53419891"/>
      <w:bookmarkStart w:id="4612" w:name="_Toc53434994"/>
      <w:bookmarkStart w:id="4613" w:name="_Toc53437133"/>
      <w:bookmarkStart w:id="4614" w:name="_Toc57291539"/>
      <w:r>
        <w:rPr>
          <w:noProof/>
        </w:rPr>
        <w:t>EU global competitiveness</w:t>
      </w:r>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p>
    <w:p>
      <w:pPr>
        <w:pStyle w:val="LegalNumPar"/>
        <w:numPr>
          <w:ilvl w:val="0"/>
          <w:numId w:val="89"/>
        </w:numPr>
        <w:tabs>
          <w:tab w:val="left" w:pos="476"/>
        </w:tabs>
        <w:spacing w:line="240" w:lineRule="auto"/>
        <w:rPr>
          <w:noProof/>
        </w:rPr>
      </w:pPr>
      <w:r>
        <w:rPr>
          <w:noProof/>
        </w:rPr>
        <w:t>Promoting high EU standards that ensure safe, secure, smart and sustainable transport is a key international cooperation goal.    It is instrumental in supporting EU industry access to foreign markets, but more importantly, it is the only way to successfully address major challenges such as the decarbonisation and digitalisation of transport. For instance, the EU has state of the art aviation safety, security and air traffic management regulatory frameworks. The joint and coordinated promotion of EU’s regulatory standards in the safety, interoperability, social, employment and environmental fields on one side, and the consolidation of EU technical standards as global references on the other side can create synergies and have beneficial effects. They can reinforce each other in ensuring that the “EU model” keeps its attractiveness and is applied widely beyond the EU borders. This would also support ensuring a level-playing field with non-EU countries.</w:t>
      </w:r>
    </w:p>
    <w:p>
      <w:pPr>
        <w:pStyle w:val="LegalNumPar"/>
        <w:numPr>
          <w:ilvl w:val="0"/>
          <w:numId w:val="89"/>
        </w:numPr>
        <w:tabs>
          <w:tab w:val="left" w:pos="476"/>
        </w:tabs>
        <w:spacing w:line="240" w:lineRule="auto"/>
        <w:rPr>
          <w:noProof/>
        </w:rPr>
      </w:pPr>
      <w:r>
        <w:rPr>
          <w:noProof/>
        </w:rPr>
        <w:t>This is especially relevant for the aviation industry. Whether it is in the area of standardisation, innovative technologies or regulations, the promotion of EU standards at global level has many advantages. It contributes to harmonisation of the regulatory frameworks for global aviation, meaning that the industry can operate in more world regions with the same standards. Secondly, it allows European industry more easily to reach new markets and tap into the growth of other regions of the world.</w:t>
      </w:r>
    </w:p>
    <w:p>
      <w:pPr>
        <w:pStyle w:val="LegalNumPar"/>
        <w:numPr>
          <w:ilvl w:val="0"/>
          <w:numId w:val="89"/>
        </w:numPr>
        <w:tabs>
          <w:tab w:val="left" w:pos="476"/>
        </w:tabs>
        <w:spacing w:line="240" w:lineRule="auto"/>
        <w:rPr>
          <w:noProof/>
        </w:rPr>
      </w:pPr>
      <w:r>
        <w:rPr>
          <w:noProof/>
        </w:rPr>
        <w:t>However, in the area of technical standards, the EU and its companies are not yet playing a role commensurate with their industrial importance, e.g. in areas such as ATM, drones and cyber security. EU standards bodies such as EUROCAE are playing a key role and could help the EU industry to be better represented in leading international standard-setting bodies.</w:t>
      </w:r>
    </w:p>
    <w:p>
      <w:pPr>
        <w:pStyle w:val="LegalNumPar"/>
        <w:numPr>
          <w:ilvl w:val="0"/>
          <w:numId w:val="89"/>
        </w:numPr>
        <w:tabs>
          <w:tab w:val="left" w:pos="476"/>
        </w:tabs>
        <w:spacing w:line="240" w:lineRule="auto"/>
        <w:rPr>
          <w:noProof/>
          <w:lang w:eastAsia="en-US"/>
        </w:rPr>
      </w:pPr>
      <w:r>
        <w:rPr>
          <w:noProof/>
          <w:lang w:eastAsia="en-US"/>
        </w:rPr>
        <w:t xml:space="preserve">Ensuring a level playing field on global markets will be a key challenge for the EU to secure a prosperous and successful environment for its transport sector, but also to achieve the key policies and ambitions the EU has set out in this sector – including sustainability. Today, there appears to be two main problems associated with this. Problems arising from the degree of market access available to European suppliers of transport equipment and/or service providers as compared to those of third countries; and issues of level playing field, where European transport operators do not compete under comparable conditions, in particular as regards regulatory requirements (e.g. technical, social, safety and environmental standards, State aid or financial rules) as those of third country operators serving the same markets. This objective can be achieved by promoting international standards in different fora or through the negotiation of bilateral agreements between the EU and the respective third country. International standards can prove to be valuable in promoting environmental and social sustainability globally and ensuring a level playing field for European companies. Most notably, the ILO’s Maritime Labour Convention of 2006 and its occupational safety and health standards serve as a good basis for promoting a level playing field. </w:t>
      </w:r>
    </w:p>
    <w:p>
      <w:pPr>
        <w:pStyle w:val="LegalNumPar"/>
        <w:numPr>
          <w:ilvl w:val="0"/>
          <w:numId w:val="89"/>
        </w:numPr>
        <w:tabs>
          <w:tab w:val="left" w:pos="476"/>
        </w:tabs>
        <w:spacing w:line="240" w:lineRule="auto"/>
        <w:rPr>
          <w:noProof/>
        </w:rPr>
      </w:pPr>
      <w:r>
        <w:rPr>
          <w:noProof/>
        </w:rPr>
        <w:t>In addition, the Union adopted a regulation</w:t>
      </w:r>
      <w:r>
        <w:rPr>
          <w:rStyle w:val="FootnoteReference"/>
          <w:noProof/>
        </w:rPr>
        <w:footnoteReference w:id="606"/>
      </w:r>
      <w:r>
        <w:rPr>
          <w:noProof/>
        </w:rPr>
        <w:t xml:space="preserve"> on safeguarding competition in air transport in 2019. This regulation lays down rules on the conduct of investigations by the Commission and on the adoption of redressive measures, relating to practices distorting competition between Union air carriers and third-country air carriers and causing, or threatening to cause, injury to Union air carriers.</w:t>
      </w:r>
    </w:p>
    <w:p>
      <w:pPr>
        <w:pStyle w:val="Heading3"/>
        <w:numPr>
          <w:ilvl w:val="2"/>
          <w:numId w:val="98"/>
        </w:numPr>
        <w:rPr>
          <w:noProof/>
        </w:rPr>
      </w:pPr>
      <w:bookmarkStart w:id="4615" w:name="_Toc51450151"/>
      <w:bookmarkStart w:id="4616" w:name="_Toc51574851"/>
      <w:bookmarkStart w:id="4617" w:name="_Toc51575699"/>
      <w:bookmarkStart w:id="4618" w:name="_Toc51578097"/>
      <w:bookmarkStart w:id="4619" w:name="_Toc51582970"/>
      <w:bookmarkStart w:id="4620" w:name="_Toc51583445"/>
      <w:bookmarkStart w:id="4621" w:name="_Toc51583535"/>
      <w:bookmarkStart w:id="4622" w:name="_Toc51583820"/>
      <w:bookmarkStart w:id="4623" w:name="_Toc51584010"/>
      <w:bookmarkStart w:id="4624" w:name="_Toc51584029"/>
      <w:bookmarkStart w:id="4625" w:name="_Toc51586252"/>
      <w:bookmarkStart w:id="4626" w:name="_Toc51594055"/>
      <w:bookmarkStart w:id="4627" w:name="_Toc51594381"/>
      <w:bookmarkStart w:id="4628" w:name="_Toc51595359"/>
      <w:bookmarkStart w:id="4629" w:name="_Toc51595609"/>
      <w:bookmarkStart w:id="4630" w:name="_Toc51595935"/>
      <w:bookmarkStart w:id="4631" w:name="_Toc51596098"/>
      <w:bookmarkStart w:id="4632" w:name="_Toc51596451"/>
      <w:bookmarkStart w:id="4633" w:name="_Toc52121586"/>
      <w:bookmarkStart w:id="4634" w:name="_Toc52122817"/>
      <w:bookmarkStart w:id="4635" w:name="_Toc52123934"/>
      <w:bookmarkStart w:id="4636" w:name="_Toc53405395"/>
      <w:bookmarkStart w:id="4637" w:name="_Toc53406182"/>
      <w:bookmarkStart w:id="4638" w:name="_Toc53407551"/>
      <w:bookmarkStart w:id="4639" w:name="_Toc53410995"/>
      <w:bookmarkStart w:id="4640" w:name="_Toc53412058"/>
      <w:bookmarkStart w:id="4641" w:name="_Toc53417305"/>
      <w:bookmarkStart w:id="4642" w:name="_Toc53417657"/>
      <w:bookmarkStart w:id="4643" w:name="_Toc53419892"/>
      <w:bookmarkStart w:id="4644" w:name="_Toc53434995"/>
      <w:bookmarkStart w:id="4645" w:name="_Toc53437134"/>
      <w:bookmarkStart w:id="4646" w:name="_Toc57291540"/>
      <w:r>
        <w:rPr>
          <w:noProof/>
        </w:rPr>
        <w:t>External connectivity</w:t>
      </w:r>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p>
    <w:p>
      <w:pPr>
        <w:pStyle w:val="LegalNumPar"/>
        <w:numPr>
          <w:ilvl w:val="0"/>
          <w:numId w:val="89"/>
        </w:numPr>
        <w:tabs>
          <w:tab w:val="left" w:pos="476"/>
        </w:tabs>
        <w:spacing w:line="240" w:lineRule="auto"/>
        <w:rPr>
          <w:noProof/>
        </w:rPr>
      </w:pPr>
      <w:r>
        <w:rPr>
          <w:noProof/>
        </w:rPr>
        <w:t>In addition to participation in multilateral organisations, the EU pursues its global transport agenda via bilateral</w:t>
      </w:r>
      <w:r>
        <w:rPr>
          <w:b/>
          <w:bCs/>
          <w:noProof/>
        </w:rPr>
        <w:t xml:space="preserve"> and multilateral agreements</w:t>
      </w:r>
      <w:r>
        <w:rPr>
          <w:noProof/>
        </w:rPr>
        <w:t xml:space="preserve">. There are several horizontal trade or cooperation agreements with third countries, which cover also transport, including the provision of transport services (e.g. maritime transport services). Waterborne transport is particularly important accounting for the transport of 75% of extra-EU trade. Given its importance for connectivity and cargo, a chapter on international maritime transport services, which includes maritime auxiliary services as well as ports services, is hence provided for in EU trade deals, generally Free-Trade-Agreements (FTAs). The EU has recently concluded important trade deals with a maritime transport component, such as with Canada, Singapore, and Vietnam; the EU is currently negotiating trade deals with maritime transport provisions also with Australia, New Zealand, China etc. </w:t>
      </w:r>
    </w:p>
    <w:p>
      <w:pPr>
        <w:pStyle w:val="LegalNumPar"/>
        <w:numPr>
          <w:ilvl w:val="0"/>
          <w:numId w:val="89"/>
        </w:numPr>
        <w:tabs>
          <w:tab w:val="left" w:pos="476"/>
        </w:tabs>
        <w:spacing w:line="240" w:lineRule="auto"/>
        <w:rPr>
          <w:noProof/>
        </w:rPr>
      </w:pPr>
      <w:r>
        <w:rPr>
          <w:noProof/>
        </w:rPr>
        <w:t xml:space="preserve"> The above mentioned 2017 Singapore Opinion of the European Court of Justice has clarified a number of competence-related issues, in particular issues of external competence, including in the area of maritime transport. </w:t>
      </w:r>
    </w:p>
    <w:p>
      <w:pPr>
        <w:pStyle w:val="LegalNumPar"/>
        <w:numPr>
          <w:ilvl w:val="0"/>
          <w:numId w:val="89"/>
        </w:numPr>
        <w:tabs>
          <w:tab w:val="left" w:pos="476"/>
        </w:tabs>
        <w:spacing w:line="240" w:lineRule="auto"/>
        <w:rPr>
          <w:noProof/>
        </w:rPr>
      </w:pPr>
      <w:r>
        <w:rPr>
          <w:noProof/>
        </w:rPr>
        <w:t xml:space="preserve">Furthermore sectoral transport agreements already exist with several strategic third countries, in particular in the aviation sector, but also the road and maritime sectors (EU – China Maritime Transport Agreement). It may be explored with which third countries the EU should negotiate new transport agreements, for example in order to promote regulatory alignment.     </w:t>
      </w:r>
    </w:p>
    <w:p>
      <w:pPr>
        <w:pStyle w:val="LegalNumPar"/>
        <w:numPr>
          <w:ilvl w:val="0"/>
          <w:numId w:val="89"/>
        </w:numPr>
        <w:tabs>
          <w:tab w:val="left" w:pos="476"/>
        </w:tabs>
        <w:spacing w:line="240" w:lineRule="auto"/>
        <w:rPr>
          <w:noProof/>
          <w:lang w:eastAsia="en-US"/>
        </w:rPr>
      </w:pPr>
      <w:r>
        <w:rPr>
          <w:noProof/>
          <w:lang w:eastAsia="en-US"/>
        </w:rPr>
        <w:t xml:space="preserve">Like the EU’s internal market, the extra-EU market has seen growing competition </w:t>
      </w:r>
      <w:r>
        <w:rPr>
          <w:noProof/>
        </w:rPr>
        <w:t>with</w:t>
      </w:r>
      <w:r>
        <w:rPr>
          <w:noProof/>
          <w:lang w:eastAsia="en-US"/>
        </w:rPr>
        <w:t xml:space="preserve"> emerging carriers from third countries rapidly developing their market shares. This accrued new competition creates challenges for traditional EU carriers to adapt where non-EU airlines have expanded their international operations considerably. Such airlines have benefitted from geography, strategic support from their respective home countries and, in some cases, a rapidly-growing domestic market. </w:t>
      </w:r>
    </w:p>
    <w:p>
      <w:pPr>
        <w:pStyle w:val="LegalNumPar"/>
        <w:numPr>
          <w:ilvl w:val="0"/>
          <w:numId w:val="89"/>
        </w:numPr>
        <w:tabs>
          <w:tab w:val="left" w:pos="476"/>
        </w:tabs>
        <w:spacing w:line="240" w:lineRule="auto"/>
        <w:rPr>
          <w:noProof/>
          <w:lang w:eastAsia="en-US"/>
        </w:rPr>
      </w:pPr>
      <w:r>
        <w:rPr>
          <w:noProof/>
          <w:lang w:eastAsia="en-US"/>
        </w:rPr>
        <w:t xml:space="preserve">Whereas the emergence of such airlines has enlarged choices for passengers, they also represent a challenge to the connectivity provided by network carriers based in the EU. Market access for air services is governed by a complex web of bilateral air services agreements with little role for ICAO. The EU has developed and signed comprehensive agreements with a number of key aviation partners. These EU-level agreements provide a comprehensive framework governing the aviation relationship between the third country and all EU Member States together. They cover already 45% of all external air traffic from the EU. Experience shows that significant benefits arise from such agreements, notably in terms of connectivity and affordability. </w:t>
      </w:r>
      <w:r>
        <w:rPr>
          <w:noProof/>
        </w:rPr>
        <w:t>T</w:t>
      </w:r>
      <w:r>
        <w:rPr>
          <w:noProof/>
          <w:lang w:val="en-IE"/>
        </w:rPr>
        <w:t>he EU’s comprehensive aviation agreements therefore seek to establish a broad ranging relationship going well beyond traffic rights, to include technical cooperation and ambitious competition, social and environmental standards. Liberalisation of air services markets is strongly linked with a more level playing field.</w:t>
      </w:r>
    </w:p>
    <w:p>
      <w:pPr>
        <w:pStyle w:val="LegalNumPar"/>
        <w:numPr>
          <w:ilvl w:val="0"/>
          <w:numId w:val="89"/>
        </w:numPr>
        <w:tabs>
          <w:tab w:val="left" w:pos="476"/>
        </w:tabs>
        <w:spacing w:line="240" w:lineRule="auto"/>
        <w:rPr>
          <w:noProof/>
          <w:lang w:val="en-US"/>
        </w:rPr>
      </w:pPr>
      <w:r>
        <w:rPr>
          <w:noProof/>
        </w:rPr>
        <w:t>Recently negotiated new agreements such as with Qatar have set a new model for the EU’s external aviation relations, and have strengthened the confidence of EU Member States in a joint approach towards third country partners. Further engagement is essential between the EU and third countries of strategic interest where an EU comprehensive agreement adds value. This has also been recognised by the European associations collectively representing the entire European aviation. Their urgent call and accompanying report considers that the EU and Member States should continue to promote a competitive EU aviation industry globally, including through EU negotiated bilateral and multilateral aviation agreements where added value and economic benefits have been demonstrated for the EU aviation ecosystem, as well as consumers, based on fair competition and high standards in areas such as safety, consumer protection, environment and social rights.</w:t>
      </w:r>
      <w:r>
        <w:rPr>
          <w:noProof/>
          <w:vertAlign w:val="superscript"/>
        </w:rPr>
        <w:footnoteReference w:id="607"/>
      </w:r>
      <w:r>
        <w:rPr>
          <w:noProof/>
        </w:rPr>
        <w:t xml:space="preserve">  </w:t>
      </w:r>
    </w:p>
    <w:p>
      <w:pPr>
        <w:pStyle w:val="LegalNumPar"/>
        <w:numPr>
          <w:ilvl w:val="0"/>
          <w:numId w:val="89"/>
        </w:numPr>
        <w:tabs>
          <w:tab w:val="left" w:pos="476"/>
        </w:tabs>
        <w:spacing w:line="240" w:lineRule="auto"/>
        <w:rPr>
          <w:rStyle w:val="None"/>
          <w:noProof/>
        </w:rPr>
      </w:pPr>
      <w:r>
        <w:rPr>
          <w:rStyle w:val="None"/>
          <w:noProof/>
        </w:rPr>
        <w:t xml:space="preserve">Transport is a key component of policies and instruments under the enlargement process (Western Balkans) and under the EU neighbourhood policy (Eastern Partnership and Union for the Mediterranean). Connectivity in these regions at the EU borders is pursued through the extension of the TEN-T policy and networks, with two interlinked objectives: </w:t>
      </w:r>
      <w:r>
        <w:rPr>
          <w:rStyle w:val="None"/>
          <w:i/>
          <w:noProof/>
        </w:rPr>
        <w:t>(i)</w:t>
      </w:r>
      <w:r>
        <w:rPr>
          <w:rStyle w:val="None"/>
          <w:noProof/>
        </w:rPr>
        <w:t xml:space="preserve"> ensuring consistency and effectiveness of an integrated multimodal connectivity </w:t>
      </w:r>
      <w:r>
        <w:rPr>
          <w:noProof/>
        </w:rPr>
        <w:t>between</w:t>
      </w:r>
      <w:r>
        <w:rPr>
          <w:rStyle w:val="None"/>
          <w:noProof/>
        </w:rPr>
        <w:t xml:space="preserve"> the networks of the EU and of its partners; </w:t>
      </w:r>
      <w:r>
        <w:rPr>
          <w:rStyle w:val="None"/>
          <w:i/>
          <w:noProof/>
        </w:rPr>
        <w:t>(ii)</w:t>
      </w:r>
      <w:r>
        <w:rPr>
          <w:rStyle w:val="None"/>
          <w:noProof/>
        </w:rPr>
        <w:t xml:space="preserve"> focusing EU cooperation (including as regards financial support, e.g. through the Investment Action Plan in the Eastern Partnership).</w:t>
      </w:r>
    </w:p>
    <w:p>
      <w:pPr>
        <w:pStyle w:val="LegalNumPar"/>
        <w:numPr>
          <w:ilvl w:val="0"/>
          <w:numId w:val="89"/>
        </w:numPr>
        <w:tabs>
          <w:tab w:val="left" w:pos="476"/>
        </w:tabs>
        <w:spacing w:line="240" w:lineRule="auto"/>
        <w:rPr>
          <w:rStyle w:val="None"/>
          <w:noProof/>
        </w:rPr>
      </w:pPr>
      <w:r>
        <w:rPr>
          <w:rStyle w:val="None"/>
          <w:noProof/>
        </w:rPr>
        <w:t xml:space="preserve">At this stage, the EU has reached an agreement to extend the TEN-T network to the </w:t>
      </w:r>
      <w:r>
        <w:rPr>
          <w:rStyle w:val="None"/>
          <w:b/>
          <w:bCs/>
          <w:noProof/>
        </w:rPr>
        <w:t>Western</w:t>
      </w:r>
      <w:r>
        <w:rPr>
          <w:rStyle w:val="None"/>
          <w:noProof/>
        </w:rPr>
        <w:t xml:space="preserve"> </w:t>
      </w:r>
      <w:r>
        <w:rPr>
          <w:rStyle w:val="None"/>
          <w:b/>
          <w:bCs/>
          <w:noProof/>
        </w:rPr>
        <w:t>Balkans</w:t>
      </w:r>
      <w:r>
        <w:rPr>
          <w:rStyle w:val="None"/>
          <w:noProof/>
        </w:rPr>
        <w:t xml:space="preserve">, the </w:t>
      </w:r>
      <w:r>
        <w:rPr>
          <w:rStyle w:val="None"/>
          <w:b/>
          <w:bCs/>
          <w:noProof/>
        </w:rPr>
        <w:t>Eastern Partnership</w:t>
      </w:r>
      <w:r>
        <w:rPr>
          <w:rStyle w:val="None"/>
          <w:b/>
          <w:bCs/>
          <w:noProof/>
          <w:vertAlign w:val="superscript"/>
        </w:rPr>
        <w:footnoteReference w:id="608"/>
      </w:r>
      <w:r>
        <w:rPr>
          <w:rStyle w:val="None"/>
          <w:noProof/>
        </w:rPr>
        <w:t xml:space="preserve"> and the comprehensive network in </w:t>
      </w:r>
      <w:r>
        <w:rPr>
          <w:rStyle w:val="None"/>
          <w:b/>
          <w:bCs/>
          <w:noProof/>
        </w:rPr>
        <w:t>Turkey</w:t>
      </w:r>
      <w:r>
        <w:rPr>
          <w:rStyle w:val="None"/>
          <w:noProof/>
        </w:rPr>
        <w:t xml:space="preserve">. Work of the </w:t>
      </w:r>
      <w:r>
        <w:rPr>
          <w:rStyle w:val="None"/>
          <w:b/>
          <w:bCs/>
          <w:noProof/>
        </w:rPr>
        <w:t>Southern Mediterranean</w:t>
      </w:r>
      <w:r>
        <w:rPr>
          <w:rStyle w:val="None"/>
          <w:noProof/>
        </w:rPr>
        <w:t xml:space="preserve"> partners</w:t>
      </w:r>
      <w:r>
        <w:rPr>
          <w:rStyle w:val="None"/>
          <w:noProof/>
          <w:vertAlign w:val="superscript"/>
        </w:rPr>
        <w:footnoteReference w:id="609"/>
      </w:r>
      <w:r>
        <w:rPr>
          <w:rStyle w:val="None"/>
          <w:noProof/>
        </w:rPr>
        <w:t xml:space="preserve"> on a Trans-Mediterranean Transport Network is underway, pending the approval still awaited by some non-EU countries in the region. Also </w:t>
      </w:r>
      <w:r>
        <w:rPr>
          <w:rStyle w:val="None"/>
          <w:b/>
          <w:bCs/>
          <w:noProof/>
        </w:rPr>
        <w:t>Norway</w:t>
      </w:r>
      <w:r>
        <w:rPr>
          <w:rStyle w:val="None"/>
          <w:noProof/>
        </w:rPr>
        <w:t xml:space="preserve">, </w:t>
      </w:r>
      <w:r>
        <w:rPr>
          <w:rStyle w:val="None"/>
          <w:b/>
          <w:bCs/>
          <w:noProof/>
        </w:rPr>
        <w:t>Iceland</w:t>
      </w:r>
      <w:r>
        <w:rPr>
          <w:rStyle w:val="None"/>
          <w:noProof/>
        </w:rPr>
        <w:t xml:space="preserve"> and </w:t>
      </w:r>
      <w:r>
        <w:rPr>
          <w:rStyle w:val="None"/>
          <w:b/>
          <w:bCs/>
          <w:noProof/>
        </w:rPr>
        <w:t>Liechtenstein</w:t>
      </w:r>
      <w:r>
        <w:rPr>
          <w:rStyle w:val="None"/>
          <w:noProof/>
        </w:rPr>
        <w:t xml:space="preserve"> (EFTA-EEA countries) are covered by the extended TEN-T networks, through the European </w:t>
      </w:r>
      <w:r>
        <w:rPr>
          <w:noProof/>
        </w:rPr>
        <w:t>Economic</w:t>
      </w:r>
      <w:r>
        <w:rPr>
          <w:rStyle w:val="None"/>
          <w:noProof/>
        </w:rPr>
        <w:t xml:space="preserve"> Area Agreement.</w:t>
      </w:r>
    </w:p>
    <w:p>
      <w:pPr>
        <w:pStyle w:val="LegalNumPar"/>
        <w:numPr>
          <w:ilvl w:val="0"/>
          <w:numId w:val="89"/>
        </w:numPr>
        <w:tabs>
          <w:tab w:val="left" w:pos="476"/>
        </w:tabs>
        <w:spacing w:line="240" w:lineRule="auto"/>
        <w:rPr>
          <w:rStyle w:val="None"/>
          <w:noProof/>
        </w:rPr>
      </w:pPr>
      <w:r>
        <w:rPr>
          <w:rStyle w:val="None"/>
          <w:noProof/>
        </w:rPr>
        <w:t xml:space="preserve">On soft measures, the EU actively supports regulatory reforms and convergence and strengthened technical dialogue. </w:t>
      </w:r>
      <w:r>
        <w:rPr>
          <w:noProof/>
        </w:rPr>
        <w:t>This</w:t>
      </w:r>
      <w:r>
        <w:rPr>
          <w:rStyle w:val="None"/>
          <w:noProof/>
        </w:rPr>
        <w:t xml:space="preserve"> addresses notably safety, sustainable connectivity and high-level and rules-based standards in all transport modes, with the operational involvement of the European Transport Agencies. </w:t>
      </w:r>
    </w:p>
    <w:p>
      <w:pPr>
        <w:pStyle w:val="LegalNumPar"/>
        <w:numPr>
          <w:ilvl w:val="0"/>
          <w:numId w:val="89"/>
        </w:numPr>
        <w:tabs>
          <w:tab w:val="left" w:pos="476"/>
        </w:tabs>
        <w:spacing w:line="240" w:lineRule="auto"/>
        <w:rPr>
          <w:rStyle w:val="None"/>
          <w:noProof/>
        </w:rPr>
      </w:pPr>
      <w:r>
        <w:rPr>
          <w:rStyle w:val="None"/>
          <w:noProof/>
        </w:rPr>
        <w:t xml:space="preserve">In particular, the </w:t>
      </w:r>
      <w:r>
        <w:rPr>
          <w:rStyle w:val="None"/>
          <w:b/>
          <w:noProof/>
        </w:rPr>
        <w:t>Transport Community Treaty</w:t>
      </w:r>
      <w:r>
        <w:rPr>
          <w:rStyle w:val="None"/>
          <w:noProof/>
        </w:rPr>
        <w:t xml:space="preserve"> with the six Western Balkans (WB6) countries constitutes a high level of policy integration in the transport sector. Through this international agreement, the EU and WB6 aim at progressive access to the EU transport market for all modes of transport, except aviation which is covered by the European Common Aviation Area Agreement (ECAA), in exchange for applying EU </w:t>
      </w:r>
      <w:r>
        <w:rPr>
          <w:noProof/>
        </w:rPr>
        <w:t>norms</w:t>
      </w:r>
      <w:r>
        <w:rPr>
          <w:rStyle w:val="None"/>
          <w:noProof/>
        </w:rPr>
        <w:t xml:space="preserve"> and at an integrated regional market through specific action plans focusing on rail, road safety and cross-border facilitation. The TCT Permanent Secretariat was established in 2019 and became fully operational in 2020 following the ongoing recruitment process conducted with the support of the Commission.</w:t>
      </w:r>
    </w:p>
    <w:p>
      <w:pPr>
        <w:pStyle w:val="LegalNumPar"/>
        <w:numPr>
          <w:ilvl w:val="0"/>
          <w:numId w:val="89"/>
        </w:numPr>
        <w:tabs>
          <w:tab w:val="left" w:pos="476"/>
        </w:tabs>
        <w:spacing w:line="240" w:lineRule="auto"/>
        <w:rPr>
          <w:rStyle w:val="None"/>
          <w:noProof/>
        </w:rPr>
      </w:pPr>
      <w:r>
        <w:rPr>
          <w:rStyle w:val="None"/>
          <w:noProof/>
        </w:rPr>
        <w:t xml:space="preserve">Over 90% of world economic growth over the next decade will occur outside Europe. Ensuring adequate links (through political, economic and regulatory cooperation) with these growth centres by promoting connectivity, the uptake of highly advanced and modern EU standards (on safety, security, social, environmental and other requirements) and boosting the role of European stakeholders, especially the EU transport industry, can benefit the EU and its global partners. Due to its impressive growth, there has been, over the last few years, considerable focus on </w:t>
      </w:r>
      <w:r>
        <w:rPr>
          <w:rStyle w:val="None"/>
          <w:b/>
          <w:noProof/>
        </w:rPr>
        <w:t>ASEAN</w:t>
      </w:r>
      <w:r>
        <w:rPr>
          <w:rStyle w:val="None"/>
          <w:noProof/>
        </w:rPr>
        <w:t xml:space="preserve"> as a region. There is now a well-established Transport Dialogue at the highest technical level, with the EU being the only non-Asian Transport Dialogue partner of ASEAN. There is also a Transport Dialogue with </w:t>
      </w:r>
      <w:r>
        <w:rPr>
          <w:rStyle w:val="None"/>
          <w:b/>
          <w:noProof/>
        </w:rPr>
        <w:t>Singapore</w:t>
      </w:r>
      <w:r>
        <w:rPr>
          <w:rStyle w:val="None"/>
          <w:noProof/>
        </w:rPr>
        <w:t xml:space="preserve">, considering it is an important transport hub and world leader in digitalisation and decarbonisation of transport, as well as with </w:t>
      </w:r>
      <w:r>
        <w:rPr>
          <w:rStyle w:val="None"/>
          <w:b/>
          <w:noProof/>
        </w:rPr>
        <w:t>Japan</w:t>
      </w:r>
      <w:r>
        <w:rPr>
          <w:rStyle w:val="None"/>
          <w:noProof/>
        </w:rPr>
        <w:t xml:space="preserve">. Taking into account technological developments, discussions are also on-going on deepening transport relations with Australia. The Republic of </w:t>
      </w:r>
      <w:r>
        <w:rPr>
          <w:rStyle w:val="None"/>
          <w:b/>
          <w:noProof/>
        </w:rPr>
        <w:t>Korea</w:t>
      </w:r>
      <w:r>
        <w:rPr>
          <w:rStyle w:val="None"/>
          <w:noProof/>
        </w:rPr>
        <w:t xml:space="preserve">, as another key transport innovator and leader, e.g. in hydrogen technology, and the </w:t>
      </w:r>
      <w:r>
        <w:rPr>
          <w:rStyle w:val="None"/>
          <w:b/>
          <w:noProof/>
        </w:rPr>
        <w:t xml:space="preserve">Gulf Cooperation Countries </w:t>
      </w:r>
      <w:r>
        <w:rPr>
          <w:rStyle w:val="None"/>
          <w:noProof/>
        </w:rPr>
        <w:t xml:space="preserve">also need to be prioritised as partners for the implementation of the EU's global transport policies. </w:t>
      </w:r>
    </w:p>
    <w:p>
      <w:pPr>
        <w:pStyle w:val="LegalNumPar"/>
        <w:numPr>
          <w:ilvl w:val="0"/>
          <w:numId w:val="89"/>
        </w:numPr>
        <w:tabs>
          <w:tab w:val="left" w:pos="476"/>
        </w:tabs>
        <w:spacing w:line="240" w:lineRule="auto"/>
        <w:rPr>
          <w:noProof/>
        </w:rPr>
      </w:pPr>
      <w:r>
        <w:rPr>
          <w:rStyle w:val="None"/>
          <w:noProof/>
        </w:rPr>
        <w:t xml:space="preserve">Considering the global nature of transport operations in many modes, especially aviation and maritime transport, deepening relationship with other key global partners can be beneficial. </w:t>
      </w:r>
      <w:r>
        <w:rPr>
          <w:noProof/>
          <w:lang w:eastAsia="en-US"/>
        </w:rPr>
        <w:t xml:space="preserve">Depending on resources and future developments, deepened and </w:t>
      </w:r>
      <w:r>
        <w:rPr>
          <w:rStyle w:val="None"/>
          <w:noProof/>
        </w:rPr>
        <w:t>structured</w:t>
      </w:r>
      <w:r>
        <w:rPr>
          <w:noProof/>
          <w:lang w:eastAsia="en-US"/>
        </w:rPr>
        <w:t xml:space="preserve"> relations could also be considered with Mexico, India, China, Colombia and others. </w:t>
      </w:r>
    </w:p>
    <w:p>
      <w:pPr>
        <w:pStyle w:val="LegalNumPar"/>
        <w:numPr>
          <w:ilvl w:val="0"/>
          <w:numId w:val="89"/>
        </w:numPr>
        <w:tabs>
          <w:tab w:val="left" w:pos="476"/>
        </w:tabs>
        <w:spacing w:line="240" w:lineRule="auto"/>
        <w:rPr>
          <w:rFonts w:eastAsia="Calibri"/>
          <w:noProof/>
        </w:rPr>
      </w:pPr>
      <w:r>
        <w:rPr>
          <w:rStyle w:val="None"/>
          <w:noProof/>
        </w:rPr>
        <w:t xml:space="preserve">Strengthening ties with countries in </w:t>
      </w:r>
      <w:r>
        <w:rPr>
          <w:rStyle w:val="None"/>
          <w:b/>
          <w:bCs/>
          <w:noProof/>
        </w:rPr>
        <w:t>Africa</w:t>
      </w:r>
      <w:r>
        <w:rPr>
          <w:rStyle w:val="None"/>
          <w:noProof/>
        </w:rPr>
        <w:t xml:space="preserve"> is another area were efforts are being prioritised. In transport, the </w:t>
      </w:r>
      <w:r>
        <w:rPr>
          <w:noProof/>
        </w:rPr>
        <w:t xml:space="preserve">building on </w:t>
      </w:r>
      <w:r>
        <w:rPr>
          <w:rStyle w:val="None"/>
          <w:b/>
          <w:bCs/>
          <w:noProof/>
        </w:rPr>
        <w:t>existing transport cooperation</w:t>
      </w:r>
      <w:r>
        <w:rPr>
          <w:noProof/>
        </w:rPr>
        <w:t xml:space="preserve"> in areas of common concerns (e.g. aviation safety and security, maritime security, maritime transport and sustainability of international transport) and on the </w:t>
      </w:r>
      <w:r>
        <w:rPr>
          <w:rStyle w:val="None"/>
          <w:b/>
          <w:bCs/>
          <w:noProof/>
        </w:rPr>
        <w:t xml:space="preserve">recommendations </w:t>
      </w:r>
      <w:r>
        <w:rPr>
          <w:rStyle w:val="None"/>
          <w:noProof/>
        </w:rPr>
        <w:t>of the</w:t>
      </w:r>
      <w:r>
        <w:rPr>
          <w:noProof/>
        </w:rPr>
        <w:t xml:space="preserve"> ‘</w:t>
      </w:r>
      <w:r>
        <w:rPr>
          <w:rStyle w:val="None"/>
          <w:noProof/>
        </w:rPr>
        <w:t>Africa-Europe Alliance Task Force on Transport and Connectivity’</w:t>
      </w:r>
      <w:r>
        <w:rPr>
          <w:rStyle w:val="None"/>
          <w:b/>
          <w:bCs/>
          <w:noProof/>
        </w:rPr>
        <w:t xml:space="preserve"> </w:t>
      </w:r>
      <w:r>
        <w:rPr>
          <w:rStyle w:val="None"/>
          <w:noProof/>
        </w:rPr>
        <w:t>on aviation</w:t>
      </w:r>
      <w:r>
        <w:rPr>
          <w:noProof/>
        </w:rPr>
        <w:t xml:space="preserve">, </w:t>
      </w:r>
      <w:r>
        <w:rPr>
          <w:rStyle w:val="None"/>
          <w:noProof/>
        </w:rPr>
        <w:t>road safety</w:t>
      </w:r>
      <w:r>
        <w:rPr>
          <w:noProof/>
        </w:rPr>
        <w:t xml:space="preserve"> and </w:t>
      </w:r>
      <w:r>
        <w:rPr>
          <w:rStyle w:val="None"/>
          <w:noProof/>
        </w:rPr>
        <w:t>sustainable infrastructure connectivity, which should be now implemented, can be bilaterally beneficial.</w:t>
      </w:r>
      <w:r>
        <w:rPr>
          <w:rStyle w:val="None"/>
          <w:b/>
          <w:bCs/>
          <w:noProof/>
        </w:rPr>
        <w:t xml:space="preserve"> </w:t>
      </w:r>
      <w:r>
        <w:rPr>
          <w:noProof/>
        </w:rPr>
        <w:t xml:space="preserve">Integrated transport systems and infrastructure corridors at continental level are an essential pre-condition for the </w:t>
      </w:r>
      <w:r>
        <w:rPr>
          <w:rStyle w:val="None"/>
          <w:noProof/>
        </w:rPr>
        <w:t>African Continental Free Trade Area</w:t>
      </w:r>
      <w:r>
        <w:rPr>
          <w:noProof/>
        </w:rPr>
        <w:t xml:space="preserve"> (AfCFTA). The EU can share its experience as regards the development and implementation of a continental single </w:t>
      </w:r>
      <w:r>
        <w:rPr>
          <w:rStyle w:val="None"/>
          <w:noProof/>
        </w:rPr>
        <w:t>market</w:t>
      </w:r>
      <w:r>
        <w:rPr>
          <w:noProof/>
        </w:rPr>
        <w:t xml:space="preserve"> and sustainable transport, including through support for sectoral initiatives such as the Single African Aviation Transport Market (SAATM). Currently, the EU is negotiating the Post-Cotonou Agreement with the </w:t>
      </w:r>
      <w:r>
        <w:rPr>
          <w:noProof/>
          <w:lang w:eastAsia="en-US"/>
        </w:rPr>
        <w:t>African-Caribbean-Pacific</w:t>
      </w:r>
      <w:r>
        <w:rPr>
          <w:noProof/>
        </w:rPr>
        <w:t xml:space="preserve"> countries (ACP). The EU – ACP negotiations also contain a maritime transport component with the aim of continuing to ensure non-discriminatory access to international maritime transport markets vis-à-vis the ACP. </w:t>
      </w:r>
    </w:p>
    <w:p>
      <w:pPr>
        <w:pStyle w:val="LegalNumPar"/>
        <w:numPr>
          <w:ilvl w:val="0"/>
          <w:numId w:val="89"/>
        </w:numPr>
        <w:tabs>
          <w:tab w:val="left" w:pos="476"/>
        </w:tabs>
        <w:spacing w:line="240" w:lineRule="auto"/>
        <w:rPr>
          <w:rStyle w:val="None"/>
          <w:rFonts w:eastAsia="Calibri"/>
          <w:noProof/>
        </w:rPr>
      </w:pPr>
      <w:r>
        <w:rPr>
          <w:noProof/>
        </w:rPr>
        <w:t xml:space="preserve">In addition to focusing on developing relations with new transport partners, in light of geopolitical, economic and other developments, and in particular the challenges faced by all nations (including climate change or the COVID-19 pandemic), the EU needs to strengthen its engagement with its global strategic partners, in particular the </w:t>
      </w:r>
      <w:r>
        <w:rPr>
          <w:b/>
          <w:bCs/>
          <w:noProof/>
        </w:rPr>
        <w:t>US, China and Japan</w:t>
      </w:r>
      <w:r>
        <w:rPr>
          <w:noProof/>
        </w:rPr>
        <w:t xml:space="preserve">. </w:t>
      </w:r>
      <w:r>
        <w:rPr>
          <w:rStyle w:val="None"/>
          <w:noProof/>
        </w:rPr>
        <w:t xml:space="preserve">A wide range of issues and topics across all transport modes (safety, security, market access, technical standards, decarbonisation, digitalisation, connectivity) are covered in the close relations that are forged with the EU’s major trading partners and competitors in the global market. In addition to existing agreements with the US (e.g. the air transport "Open Sky" agreement) and China (safety &amp; maritime agreements), </w:t>
      </w:r>
      <w:r>
        <w:rPr>
          <w:noProof/>
          <w:lang w:eastAsia="en-US"/>
        </w:rPr>
        <w:t xml:space="preserve">efforts should be continued to </w:t>
      </w:r>
      <w:r>
        <w:rPr>
          <w:rStyle w:val="None"/>
          <w:noProof/>
        </w:rPr>
        <w:t xml:space="preserve">reinforce engagement through various sectoral dialogues (e.g. on safety and security with the US), enhance exchanges on connectivity policies (e.g. within the </w:t>
      </w:r>
      <w:r>
        <w:rPr>
          <w:rStyle w:val="None"/>
          <w:b/>
          <w:bCs/>
          <w:noProof/>
        </w:rPr>
        <w:t>EU-China Connectivity Platform</w:t>
      </w:r>
      <w:r>
        <w:rPr>
          <w:rStyle w:val="FootnoteReference"/>
          <w:b/>
          <w:bCs/>
          <w:noProof/>
        </w:rPr>
        <w:footnoteReference w:id="610"/>
      </w:r>
      <w:r>
        <w:rPr>
          <w:rStyle w:val="None"/>
          <w:b/>
          <w:bCs/>
          <w:noProof/>
        </w:rPr>
        <w:t xml:space="preserve"> </w:t>
      </w:r>
      <w:r>
        <w:rPr>
          <w:rStyle w:val="None"/>
          <w:bCs/>
          <w:noProof/>
        </w:rPr>
        <w:t>which is looking at possible synergies between the TEN-T and China’s Belt and Road Initiative with the main goal being transparency, reciprocity and a level playing field as we strive towards sustainable and interoperable transport links between Asia and Europe</w:t>
      </w:r>
      <w:r>
        <w:rPr>
          <w:rStyle w:val="None"/>
          <w:noProof/>
        </w:rPr>
        <w:t xml:space="preserve">), and re-invigorate the long-established cross-modal dialogues (e.g. with Japan and China). A Joint Study on Sustainable Railway-based corridors is to be launched and co-financed with China that will evaluate the most sustainable links between Europe and China in the broadest sense (economic, financial, fiscal, environmental and social). Throughout the implementation of the study, wide stakeholder consultations will be conducted with all countries concerned, EU Member States, industry representatives, civil society and relevant international organisations. Currently, EU – China negotiations on a bilateral investment agreement are on-going. These negotiations include provisions on maritime transport with the aim to align with certain aspects of the existing bilateral maritime transport relations developed under the EU – China Maritime Transport Agreement. </w:t>
      </w:r>
    </w:p>
    <w:p>
      <w:pPr>
        <w:pStyle w:val="LegalNumPar"/>
        <w:numPr>
          <w:ilvl w:val="0"/>
          <w:numId w:val="89"/>
        </w:numPr>
        <w:tabs>
          <w:tab w:val="left" w:pos="476"/>
        </w:tabs>
        <w:spacing w:line="240" w:lineRule="auto"/>
        <w:rPr>
          <w:noProof/>
        </w:rPr>
      </w:pPr>
      <w:r>
        <w:rPr>
          <w:noProof/>
        </w:rPr>
        <w:t xml:space="preserve">Finally, it is of high importance that the EU and the UK to conclude </w:t>
      </w:r>
      <w:r>
        <w:rPr>
          <w:b/>
          <w:bCs/>
          <w:noProof/>
        </w:rPr>
        <w:t>an agreement on the EU-UK partnership</w:t>
      </w:r>
      <w:r>
        <w:rPr>
          <w:noProof/>
        </w:rPr>
        <w:t>, including transport. The ongoing EU – UK negotiations on a future agreement include ambitious transport components. The chapters on air and road transport are key to ensure connectivity after the end of the transition period foreseen by the EU-UK Withdrawal Agreement. As regards maritime transport, EU – UK international markets and trade are currently open. In order to ensure that market access is maintained and that there is no discriminatory treatment, the EU proposed to include in the agreement a chapter on international maritime transport services. The EU also proposed transport-specific rules on level playing field in the air and road transport chapters.</w:t>
      </w:r>
    </w:p>
    <w:p>
      <w:pPr>
        <w:rPr>
          <w:noProof/>
          <w:lang w:eastAsia="en-US"/>
        </w:rPr>
      </w:pPr>
    </w:p>
    <w:p>
      <w:pPr>
        <w:spacing w:after="0" w:line="240" w:lineRule="auto"/>
        <w:jc w:val="left"/>
        <w:rPr>
          <w:b/>
          <w:smallCaps/>
          <w:noProof/>
          <w:sz w:val="26"/>
        </w:rPr>
      </w:pPr>
      <w:bookmarkStart w:id="4647" w:name="_Toc50227193"/>
      <w:bookmarkStart w:id="4648" w:name="_Toc50413815"/>
      <w:bookmarkStart w:id="4649" w:name="_Toc50413933"/>
      <w:bookmarkStart w:id="4650" w:name="_Toc50414144"/>
      <w:bookmarkStart w:id="4651" w:name="_Toc50414733"/>
      <w:bookmarkStart w:id="4652" w:name="_Toc50415314"/>
      <w:bookmarkStart w:id="4653" w:name="_Toc50417186"/>
      <w:bookmarkStart w:id="4654" w:name="_Toc50417728"/>
      <w:bookmarkStart w:id="4655" w:name="_Toc50418371"/>
      <w:bookmarkStart w:id="4656" w:name="_Toc50453223"/>
      <w:bookmarkStart w:id="4657" w:name="_Toc50456075"/>
      <w:bookmarkStart w:id="4658" w:name="_Toc50457023"/>
      <w:bookmarkStart w:id="4659" w:name="_Toc50457605"/>
      <w:bookmarkStart w:id="4660" w:name="_Toc50457888"/>
      <w:bookmarkStart w:id="4661" w:name="_Toc50458003"/>
      <w:bookmarkStart w:id="4662" w:name="_Toc50458908"/>
      <w:bookmarkStart w:id="4663" w:name="_Toc50459222"/>
      <w:bookmarkStart w:id="4664" w:name="_Toc50459359"/>
      <w:bookmarkStart w:id="4665" w:name="_Toc50459442"/>
      <w:bookmarkStart w:id="4666" w:name="_Toc50459729"/>
      <w:bookmarkStart w:id="4667" w:name="_Toc50459812"/>
      <w:bookmarkStart w:id="4668" w:name="_Toc50227194"/>
      <w:bookmarkStart w:id="4669" w:name="_Toc50413816"/>
      <w:bookmarkStart w:id="4670" w:name="_Toc50413934"/>
      <w:bookmarkStart w:id="4671" w:name="_Toc50414145"/>
      <w:bookmarkStart w:id="4672" w:name="_Toc50414734"/>
      <w:bookmarkStart w:id="4673" w:name="_Toc50415315"/>
      <w:bookmarkStart w:id="4674" w:name="_Toc50417187"/>
      <w:bookmarkStart w:id="4675" w:name="_Toc50417729"/>
      <w:bookmarkStart w:id="4676" w:name="_Toc50418372"/>
      <w:bookmarkStart w:id="4677" w:name="_Toc50453224"/>
      <w:bookmarkStart w:id="4678" w:name="_Toc50456076"/>
      <w:bookmarkStart w:id="4679" w:name="_Toc50457024"/>
      <w:bookmarkStart w:id="4680" w:name="_Toc50457606"/>
      <w:bookmarkStart w:id="4681" w:name="_Toc50457889"/>
      <w:bookmarkStart w:id="4682" w:name="_Toc50458004"/>
      <w:bookmarkStart w:id="4683" w:name="_Toc50458909"/>
      <w:bookmarkStart w:id="4684" w:name="_Toc50459223"/>
      <w:bookmarkStart w:id="4685" w:name="_Toc50459360"/>
      <w:bookmarkStart w:id="4686" w:name="_Toc50459443"/>
      <w:bookmarkStart w:id="4687" w:name="_Toc50459730"/>
      <w:bookmarkStart w:id="4688" w:name="_Toc50459813"/>
      <w:bookmarkStart w:id="4689" w:name="_Ref51581015"/>
      <w:bookmarkStart w:id="4690" w:name="_Toc46312175"/>
      <w:bookmarkStart w:id="4691" w:name="_Ref47374246"/>
      <w:bookmarkStart w:id="4692" w:name="_Ref47388742"/>
      <w:bookmarkStart w:id="4693" w:name="_Toc50044875"/>
      <w:bookmarkStart w:id="4694" w:name="_Toc50048989"/>
      <w:bookmarkStart w:id="4695" w:name="_Toc50415316"/>
      <w:bookmarkStart w:id="4696" w:name="_Toc50416595"/>
      <w:bookmarkStart w:id="4697" w:name="_Toc50417730"/>
      <w:bookmarkStart w:id="4698" w:name="_Toc50418373"/>
      <w:bookmarkStart w:id="4699" w:name="_Toc50459951"/>
      <w:bookmarkStart w:id="4700" w:name="_Toc50466158"/>
      <w:bookmarkStart w:id="4701" w:name="_Toc50473598"/>
      <w:bookmarkStart w:id="4702" w:name="_Toc50473718"/>
      <w:bookmarkStart w:id="4703" w:name="_Toc50474769"/>
      <w:bookmarkStart w:id="4704" w:name="_Toc50565119"/>
      <w:bookmarkStart w:id="4705" w:name="_Toc50568727"/>
      <w:bookmarkStart w:id="4706" w:name="_Toc50629466"/>
      <w:bookmarkStart w:id="4707" w:name="_Toc50630298"/>
      <w:bookmarkStart w:id="4708" w:name="_Toc50631023"/>
      <w:bookmarkStart w:id="4709" w:name="_Toc50633867"/>
      <w:bookmarkStart w:id="4710" w:name="_Toc50634109"/>
      <w:bookmarkStart w:id="4711" w:name="_Toc42783920"/>
      <w:bookmarkEnd w:id="3551"/>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r>
        <w:rPr>
          <w:noProof/>
        </w:rPr>
        <w:br w:type="page"/>
      </w:r>
      <w:bookmarkEnd w:id="4689"/>
    </w:p>
    <w:p>
      <w:pPr>
        <w:pStyle w:val="Heading1"/>
        <w:rPr>
          <w:noProof/>
        </w:rPr>
      </w:pPr>
      <w:bookmarkStart w:id="4712" w:name="_Toc50646558"/>
      <w:bookmarkStart w:id="4713" w:name="_Toc50646692"/>
      <w:bookmarkStart w:id="4714" w:name="_Toc50649511"/>
      <w:bookmarkStart w:id="4715" w:name="_Toc50650818"/>
      <w:bookmarkStart w:id="4716" w:name="_Toc51574852"/>
      <w:bookmarkStart w:id="4717" w:name="_Toc51575700"/>
      <w:bookmarkStart w:id="4718" w:name="_Toc51578098"/>
      <w:bookmarkStart w:id="4719" w:name="_Ref51581059"/>
      <w:bookmarkStart w:id="4720" w:name="_Ref51581582"/>
      <w:bookmarkStart w:id="4721" w:name="_Toc51582971"/>
      <w:bookmarkStart w:id="4722" w:name="_Toc51583446"/>
      <w:bookmarkStart w:id="4723" w:name="_Toc51583536"/>
      <w:bookmarkStart w:id="4724" w:name="_Toc51583821"/>
      <w:bookmarkStart w:id="4725" w:name="_Toc51584011"/>
      <w:bookmarkStart w:id="4726" w:name="_Toc51584030"/>
      <w:bookmarkStart w:id="4727" w:name="_Toc51586253"/>
      <w:bookmarkStart w:id="4728" w:name="_Toc51594056"/>
      <w:bookmarkStart w:id="4729" w:name="_Toc51594382"/>
      <w:bookmarkStart w:id="4730" w:name="_Toc51595360"/>
      <w:bookmarkStart w:id="4731" w:name="_Toc51595610"/>
      <w:bookmarkStart w:id="4732" w:name="_Toc51595936"/>
      <w:bookmarkStart w:id="4733" w:name="_Toc51596099"/>
      <w:bookmarkStart w:id="4734" w:name="_Toc51596452"/>
      <w:bookmarkStart w:id="4735" w:name="_Toc52121587"/>
      <w:bookmarkStart w:id="4736" w:name="_Toc52122818"/>
      <w:bookmarkStart w:id="4737" w:name="_Toc52123935"/>
      <w:bookmarkStart w:id="4738" w:name="_Toc53405396"/>
      <w:bookmarkStart w:id="4739" w:name="_Toc53406183"/>
      <w:bookmarkStart w:id="4740" w:name="_Toc53407552"/>
      <w:bookmarkStart w:id="4741" w:name="_Toc53410996"/>
      <w:bookmarkStart w:id="4742" w:name="_Toc53412059"/>
      <w:bookmarkStart w:id="4743" w:name="_Toc53417306"/>
      <w:bookmarkStart w:id="4744" w:name="_Toc53417658"/>
      <w:bookmarkStart w:id="4745" w:name="_Toc53419893"/>
      <w:bookmarkStart w:id="4746" w:name="_Toc53434996"/>
      <w:bookmarkStart w:id="4747" w:name="_Toc53437135"/>
      <w:bookmarkStart w:id="4748" w:name="_Toc57291541"/>
      <w:r>
        <w:rPr>
          <w:noProof/>
        </w:rPr>
        <w:t>Description of the pathways/scenarios</w:t>
      </w:r>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p>
    <w:p>
      <w:pPr>
        <w:pStyle w:val="Heading2"/>
        <w:rPr>
          <w:noProof/>
        </w:rPr>
      </w:pPr>
      <w:bookmarkStart w:id="4749" w:name="_Toc57291542"/>
      <w:bookmarkStart w:id="4750" w:name="_Toc51574853"/>
      <w:bookmarkStart w:id="4751" w:name="_Toc51575701"/>
      <w:bookmarkStart w:id="4752" w:name="_Toc51578099"/>
      <w:bookmarkStart w:id="4753" w:name="_Toc51582972"/>
      <w:bookmarkStart w:id="4754" w:name="_Toc51583447"/>
      <w:bookmarkStart w:id="4755" w:name="_Toc51583537"/>
      <w:bookmarkStart w:id="4756" w:name="_Toc51583822"/>
      <w:bookmarkStart w:id="4757" w:name="_Toc51584012"/>
      <w:bookmarkStart w:id="4758" w:name="_Toc51584031"/>
      <w:bookmarkStart w:id="4759" w:name="_Toc51586254"/>
      <w:bookmarkStart w:id="4760" w:name="_Toc51594057"/>
      <w:bookmarkStart w:id="4761" w:name="_Toc51594383"/>
      <w:bookmarkStart w:id="4762" w:name="_Toc51595361"/>
      <w:bookmarkStart w:id="4763" w:name="_Toc51595611"/>
      <w:bookmarkStart w:id="4764" w:name="_Toc51595937"/>
      <w:bookmarkStart w:id="4765" w:name="_Toc51596100"/>
      <w:bookmarkStart w:id="4766" w:name="_Toc51596453"/>
      <w:bookmarkStart w:id="4767" w:name="_Toc52121588"/>
      <w:bookmarkStart w:id="4768" w:name="_Toc52122819"/>
      <w:bookmarkStart w:id="4769" w:name="_Toc52123936"/>
      <w:bookmarkStart w:id="4770" w:name="_Toc53405397"/>
      <w:bookmarkStart w:id="4771" w:name="_Toc53406184"/>
      <w:bookmarkStart w:id="4772" w:name="_Toc53407553"/>
      <w:bookmarkStart w:id="4773" w:name="_Toc53410997"/>
      <w:bookmarkStart w:id="4774" w:name="_Toc53412060"/>
      <w:bookmarkStart w:id="4775" w:name="_Toc53417307"/>
      <w:bookmarkStart w:id="4776" w:name="_Toc53417659"/>
      <w:bookmarkStart w:id="4777" w:name="_Toc53419894"/>
      <w:bookmarkStart w:id="4778" w:name="_Toc53434997"/>
      <w:bookmarkStart w:id="4779" w:name="_Toc53437136"/>
      <w:bookmarkEnd w:id="4711"/>
      <w:r>
        <w:rPr>
          <w:noProof/>
        </w:rPr>
        <w:t>Scenario design</w:t>
      </w:r>
      <w:bookmarkEnd w:id="4749"/>
      <w:r>
        <w:rPr>
          <w:noProof/>
        </w:rPr>
        <w:t xml:space="preserve"> </w:t>
      </w:r>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p>
    <w:p>
      <w:pPr>
        <w:pStyle w:val="LegalNumPar"/>
        <w:numPr>
          <w:ilvl w:val="0"/>
          <w:numId w:val="89"/>
        </w:numPr>
        <w:tabs>
          <w:tab w:val="left" w:pos="476"/>
        </w:tabs>
        <w:spacing w:line="240" w:lineRule="auto"/>
        <w:rPr>
          <w:rStyle w:val="None"/>
          <w:noProof/>
        </w:rPr>
      </w:pPr>
      <w:r>
        <w:rPr>
          <w:noProof/>
        </w:rPr>
        <w:t xml:space="preserve">Section 2.2 showed that with existing policies (in the Baseline scenario), a declining trend in emissions from transport including </w:t>
      </w:r>
      <w:r>
        <w:rPr>
          <w:noProof/>
          <w:szCs w:val="24"/>
        </w:rPr>
        <w:t xml:space="preserve">intra-EU </w:t>
      </w:r>
      <w:r>
        <w:rPr>
          <w:noProof/>
        </w:rPr>
        <w:t xml:space="preserve">aviation </w:t>
      </w:r>
      <w:r>
        <w:rPr>
          <w:noProof/>
          <w:szCs w:val="24"/>
        </w:rPr>
        <w:t xml:space="preserve">and intra-EU </w:t>
      </w:r>
      <w:r>
        <w:rPr>
          <w:noProof/>
        </w:rPr>
        <w:t>maritime is expected by 2030 and 2050 (</w:t>
      </w:r>
      <w:r>
        <w:rPr>
          <w:noProof/>
          <w:szCs w:val="24"/>
        </w:rPr>
        <w:t>18</w:t>
      </w:r>
      <w:r>
        <w:rPr>
          <w:noProof/>
        </w:rPr>
        <w:t xml:space="preserve">% reduction for 2005-2030 and </w:t>
      </w:r>
      <w:r>
        <w:rPr>
          <w:noProof/>
          <w:szCs w:val="24"/>
        </w:rPr>
        <w:t>40</w:t>
      </w:r>
      <w:r>
        <w:rPr>
          <w:noProof/>
        </w:rPr>
        <w:t>% for 2005-2050)</w:t>
      </w:r>
      <w:r>
        <w:rPr>
          <w:b/>
          <w:bCs/>
          <w:noProof/>
        </w:rPr>
        <w:t xml:space="preserve"> </w:t>
      </w:r>
      <w:r>
        <w:rPr>
          <w:noProof/>
        </w:rPr>
        <w:t>but</w:t>
      </w:r>
      <w:r>
        <w:rPr>
          <w:b/>
          <w:bCs/>
          <w:noProof/>
        </w:rPr>
        <w:t xml:space="preserve"> </w:t>
      </w:r>
      <w:r>
        <w:rPr>
          <w:noProof/>
        </w:rPr>
        <w:t xml:space="preserve">greater efforts are needed to deliver the transport contribution to the 2030 Climate Target Plan and to the European Green Deal. This </w:t>
      </w:r>
      <w:r>
        <w:rPr>
          <w:rStyle w:val="None"/>
          <w:noProof/>
        </w:rPr>
        <w:t>section</w:t>
      </w:r>
      <w:r>
        <w:rPr>
          <w:noProof/>
        </w:rPr>
        <w:t xml:space="preserve"> describes several stylised pathways/scenarios addressing the challenges identified in section 4. All scenarios described below close the gap needed to deliver the transport contribution to the 2030 Climate Target Plan and the climate neutrality by 2050.</w:t>
      </w:r>
    </w:p>
    <w:p>
      <w:pPr>
        <w:pStyle w:val="LegalNumPar"/>
        <w:numPr>
          <w:ilvl w:val="0"/>
          <w:numId w:val="89"/>
        </w:numPr>
        <w:tabs>
          <w:tab w:val="left" w:pos="476"/>
        </w:tabs>
        <w:spacing w:line="240" w:lineRule="auto"/>
        <w:rPr>
          <w:rStyle w:val="None"/>
          <w:noProof/>
        </w:rPr>
      </w:pPr>
      <w:r>
        <w:rPr>
          <w:rStyle w:val="None"/>
          <w:noProof/>
        </w:rPr>
        <w:t>The pathways/scenarios described in this section have been developed in the context of the impact assessment underpinning the 2030 Climate Target Plan</w:t>
      </w:r>
      <w:r>
        <w:rPr>
          <w:rStyle w:val="None"/>
          <w:noProof/>
          <w:vertAlign w:val="superscript"/>
        </w:rPr>
        <w:footnoteReference w:id="611"/>
      </w:r>
      <w:r>
        <w:rPr>
          <w:rStyle w:val="None"/>
          <w:noProof/>
        </w:rPr>
        <w:t xml:space="preserve">. They cover all sectors of the economy and at the same time include a range of transport policies that address the challenges of sustainable, smart and resilient mobility. This ensures full consistency between the analytical work underpinning the 2030 Climate Target Plan and the Sustainable and Smart Mobility Strategy. </w:t>
      </w:r>
    </w:p>
    <w:p>
      <w:pPr>
        <w:pStyle w:val="LegalNumPar"/>
        <w:numPr>
          <w:ilvl w:val="0"/>
          <w:numId w:val="89"/>
        </w:numPr>
        <w:tabs>
          <w:tab w:val="left" w:pos="476"/>
        </w:tabs>
        <w:spacing w:line="240" w:lineRule="auto"/>
        <w:rPr>
          <w:rStyle w:val="None"/>
          <w:noProof/>
        </w:rPr>
      </w:pPr>
      <w:r>
        <w:rPr>
          <w:rStyle w:val="None"/>
          <w:noProof/>
        </w:rPr>
        <w:t xml:space="preserve">This section provides a description of the scenario setup, drawing on the impact assessment accompanying the 2030 Climate Target Plan, focusing on the scenarios and variants most relevant for the transport sector. A full description of all scenarios and sectors concerned is provided in the impact assessment accompanying the 2030 Climate Target Plan.        </w:t>
      </w:r>
    </w:p>
    <w:p>
      <w:pPr>
        <w:pStyle w:val="LegalNumPar"/>
        <w:numPr>
          <w:ilvl w:val="0"/>
          <w:numId w:val="89"/>
        </w:numPr>
        <w:tabs>
          <w:tab w:val="left" w:pos="476"/>
        </w:tabs>
        <w:spacing w:line="240" w:lineRule="auto"/>
        <w:rPr>
          <w:rStyle w:val="None"/>
          <w:noProof/>
        </w:rPr>
      </w:pPr>
      <w:r>
        <w:rPr>
          <w:rStyle w:val="None"/>
          <w:noProof/>
        </w:rPr>
        <w:t>The PRIMES-GAINS-GLOBIOM economic modelling toolset used for assessing the scenarios covers in detail all sectors of the EU economy and their related GHG emissions and CO</w:t>
      </w:r>
      <w:r>
        <w:rPr>
          <w:rStyle w:val="None"/>
          <w:noProof/>
          <w:vertAlign w:val="subscript"/>
        </w:rPr>
        <w:t>2</w:t>
      </w:r>
      <w:r>
        <w:rPr>
          <w:rStyle w:val="None"/>
          <w:noProof/>
        </w:rPr>
        <w:t xml:space="preserve"> absorptions. Energy and industrial CO2 emissions are assessed with the PRIMES model, including the PRIMES-TREMOVE model for the transport sector. Non-CO</w:t>
      </w:r>
      <w:r>
        <w:rPr>
          <w:rStyle w:val="None"/>
          <w:noProof/>
          <w:vertAlign w:val="subscript"/>
        </w:rPr>
        <w:t>2</w:t>
      </w:r>
      <w:r>
        <w:rPr>
          <w:rStyle w:val="None"/>
          <w:noProof/>
        </w:rPr>
        <w:t xml:space="preserve"> emissions (CH</w:t>
      </w:r>
      <w:r>
        <w:rPr>
          <w:rStyle w:val="None"/>
          <w:noProof/>
          <w:vertAlign w:val="subscript"/>
        </w:rPr>
        <w:t>4</w:t>
      </w:r>
      <w:r>
        <w:rPr>
          <w:rStyle w:val="None"/>
          <w:noProof/>
        </w:rPr>
        <w:t>, N</w:t>
      </w:r>
      <w:r>
        <w:rPr>
          <w:rStyle w:val="None"/>
          <w:noProof/>
          <w:vertAlign w:val="subscript"/>
        </w:rPr>
        <w:t>2</w:t>
      </w:r>
      <w:r>
        <w:rPr>
          <w:rStyle w:val="None"/>
          <w:noProof/>
        </w:rPr>
        <w:t xml:space="preserve">O and F-gases) of the waste, energy, agriculture and industry sectors are assessed with the GAINS model. Land use emissions and removals are assessed with the GLOBIOM model. See Annex I for more detailed information on this modelling suite. </w:t>
      </w:r>
    </w:p>
    <w:p>
      <w:pPr>
        <w:pStyle w:val="LegalNumPar"/>
        <w:numPr>
          <w:ilvl w:val="0"/>
          <w:numId w:val="89"/>
        </w:numPr>
        <w:tabs>
          <w:tab w:val="left" w:pos="476"/>
        </w:tabs>
        <w:spacing w:line="240" w:lineRule="auto"/>
        <w:rPr>
          <w:rStyle w:val="None"/>
          <w:noProof/>
        </w:rPr>
      </w:pPr>
      <w:r>
        <w:rPr>
          <w:rStyle w:val="None"/>
          <w:noProof/>
        </w:rPr>
        <w:t>The scenarios were constructed around a set of specific policies that either focus on carbon pricing (e.g. through inclusion of new sectors in the ETS) or focus on regulatory measures (e.g. CO</w:t>
      </w:r>
      <w:r>
        <w:rPr>
          <w:rStyle w:val="None"/>
          <w:noProof/>
          <w:vertAlign w:val="subscript"/>
        </w:rPr>
        <w:t>2</w:t>
      </w:r>
      <w:r>
        <w:rPr>
          <w:rStyle w:val="None"/>
          <w:noProof/>
        </w:rPr>
        <w:t xml:space="preserve"> emission standards for vehicles, blending mandates for renewable and low carbon fuels in transport, renovation requirements, support for electrification of transport and heating, etc.) or combine the two types of instruments. Stylised modelling applying these general policy incentives allows to discover where there is emissions reduction potential and how policies interact. This approach allows to compare the different sets of policy options, the resulting synergies and trade-offs in a coherent framework. On the other hand, there are inherent limitations in such modelling exercise, notably in terms of detailed representation of specific policies, differentiated impacts on economic actors as well as specific challenges that will be encountered in the implementation of these polices.</w:t>
      </w:r>
    </w:p>
    <w:p>
      <w:pPr>
        <w:pStyle w:val="LegalNumPar"/>
        <w:numPr>
          <w:ilvl w:val="0"/>
          <w:numId w:val="89"/>
        </w:numPr>
        <w:tabs>
          <w:tab w:val="left" w:pos="476"/>
        </w:tabs>
        <w:spacing w:line="240" w:lineRule="auto"/>
        <w:rPr>
          <w:rStyle w:val="None"/>
          <w:noProof/>
        </w:rPr>
      </w:pPr>
      <w:r>
        <w:rPr>
          <w:rStyle w:val="None"/>
          <w:noProof/>
        </w:rPr>
        <w:t>The following scenarios were developed</w:t>
      </w:r>
      <w:r>
        <w:rPr>
          <w:rStyle w:val="FootnoteReference"/>
          <w:noProof/>
        </w:rPr>
        <w:footnoteReference w:id="612"/>
      </w:r>
      <w:r>
        <w:rPr>
          <w:rStyle w:val="None"/>
          <w:noProof/>
        </w:rPr>
        <w:t xml:space="preserve">: </w:t>
      </w:r>
    </w:p>
    <w:p>
      <w:pPr>
        <w:pStyle w:val="BodyA"/>
        <w:numPr>
          <w:ilvl w:val="0"/>
          <w:numId w:val="96"/>
        </w:numPr>
        <w:spacing w:after="60" w:line="240" w:lineRule="auto"/>
        <w:jc w:val="both"/>
        <w:rPr>
          <w:rFonts w:ascii="Times New Roman" w:hAnsi="Times New Roman" w:cs="Times New Roman"/>
          <w:noProof/>
          <w:sz w:val="24"/>
          <w:szCs w:val="24"/>
          <w:lang w:val="en-GB"/>
        </w:rPr>
      </w:pPr>
      <w:r>
        <w:rPr>
          <w:rFonts w:ascii="Times New Roman" w:hAnsi="Times New Roman" w:cs="Times New Roman"/>
          <w:b/>
          <w:bCs/>
          <w:noProof/>
          <w:sz w:val="24"/>
          <w:szCs w:val="24"/>
          <w:lang w:val="en-GB"/>
        </w:rPr>
        <w:t xml:space="preserve">BSL </w:t>
      </w:r>
      <w:r>
        <w:rPr>
          <w:rFonts w:ascii="Times New Roman" w:hAnsi="Times New Roman" w:cs="Times New Roman"/>
          <w:noProof/>
          <w:sz w:val="24"/>
          <w:szCs w:val="24"/>
          <w:lang w:val="en-GB"/>
        </w:rPr>
        <w:t>(Baseline scenario), achieving the existing 2030 GHG emissions, renewables and energy efficiency EU targets. The baseline scenario covers the transport policies adopted up to the end of 2019, as described in section 2.2;</w:t>
      </w:r>
    </w:p>
    <w:p>
      <w:pPr>
        <w:pStyle w:val="ListParagraph"/>
        <w:numPr>
          <w:ilvl w:val="0"/>
          <w:numId w:val="96"/>
        </w:numPr>
        <w:rPr>
          <w:noProof/>
          <w:sz w:val="24"/>
          <w:szCs w:val="24"/>
        </w:rPr>
      </w:pPr>
      <w:r>
        <w:rPr>
          <w:b/>
          <w:bCs/>
          <w:noProof/>
          <w:sz w:val="24"/>
          <w:szCs w:val="24"/>
        </w:rPr>
        <w:t>REG</w:t>
      </w:r>
      <w:r>
        <w:rPr>
          <w:noProof/>
          <w:sz w:val="24"/>
          <w:szCs w:val="24"/>
        </w:rPr>
        <w:t>, a regulatory-based measures scenario that achieves around 55% GHG reductions. It assumes high increase of the ambition of energy efficiency, renewables and transport policies, while keeping the EU ETS scope unchanged</w:t>
      </w:r>
      <w:r>
        <w:rPr>
          <w:rStyle w:val="FootnoteReference"/>
          <w:noProof/>
          <w:sz w:val="24"/>
          <w:szCs w:val="24"/>
        </w:rPr>
        <w:footnoteReference w:id="613"/>
      </w:r>
      <w:r>
        <w:rPr>
          <w:noProof/>
          <w:sz w:val="24"/>
          <w:szCs w:val="24"/>
        </w:rPr>
        <w:t>. This scenario thus does not expand carbon pricing</w:t>
      </w:r>
      <w:r>
        <w:rPr>
          <w:rStyle w:val="FootnoteReference"/>
          <w:noProof/>
          <w:sz w:val="24"/>
          <w:szCs w:val="24"/>
        </w:rPr>
        <w:footnoteReference w:id="614"/>
      </w:r>
      <w:r>
        <w:rPr>
          <w:noProof/>
          <w:sz w:val="24"/>
          <w:szCs w:val="24"/>
        </w:rPr>
        <w:t xml:space="preserve"> and relies mostly on other policies;</w:t>
      </w:r>
    </w:p>
    <w:p>
      <w:pPr>
        <w:pStyle w:val="ListParagraph"/>
        <w:numPr>
          <w:ilvl w:val="0"/>
          <w:numId w:val="96"/>
        </w:numPr>
        <w:rPr>
          <w:noProof/>
          <w:sz w:val="24"/>
          <w:szCs w:val="24"/>
        </w:rPr>
      </w:pPr>
      <w:r>
        <w:rPr>
          <w:b/>
          <w:bCs/>
          <w:noProof/>
          <w:sz w:val="24"/>
          <w:szCs w:val="24"/>
        </w:rPr>
        <w:t>CPRICE</w:t>
      </w:r>
      <w:r>
        <w:rPr>
          <w:noProof/>
          <w:sz w:val="24"/>
          <w:szCs w:val="24"/>
        </w:rPr>
        <w:t>, a carbon-pricing based scenario that achieves around 55% GHG reductions. It assumes strengthening and further expanding of carbon pricing, be it via EU ETS or other carbon pricing instruments, to the transport and buildings sectors, combined with low intensification of transport policies while not intensifying energy efficiency and renewables policies;</w:t>
      </w:r>
    </w:p>
    <w:p>
      <w:pPr>
        <w:pStyle w:val="ListParagraph"/>
        <w:numPr>
          <w:ilvl w:val="0"/>
          <w:numId w:val="96"/>
        </w:numPr>
        <w:rPr>
          <w:noProof/>
          <w:sz w:val="24"/>
          <w:szCs w:val="24"/>
        </w:rPr>
      </w:pPr>
      <w:r>
        <w:rPr>
          <w:b/>
          <w:bCs/>
          <w:noProof/>
          <w:sz w:val="24"/>
          <w:szCs w:val="24"/>
        </w:rPr>
        <w:t>MIX</w:t>
      </w:r>
      <w:r>
        <w:rPr>
          <w:noProof/>
          <w:sz w:val="24"/>
          <w:szCs w:val="24"/>
        </w:rPr>
        <w:t>, following a combined approach of REG and CPRICE, which achieves around 55% GHG reductions, both expanding carbon pricing and moderately increasing the ambition of policies, but the latter to a lesser extent than in REG;</w:t>
      </w:r>
    </w:p>
    <w:p>
      <w:pPr>
        <w:pStyle w:val="ListParagraph"/>
        <w:numPr>
          <w:ilvl w:val="0"/>
          <w:numId w:val="96"/>
        </w:numPr>
        <w:rPr>
          <w:noProof/>
          <w:sz w:val="24"/>
          <w:szCs w:val="24"/>
        </w:rPr>
      </w:pPr>
      <w:r>
        <w:rPr>
          <w:b/>
          <w:bCs/>
          <w:noProof/>
          <w:sz w:val="24"/>
          <w:szCs w:val="24"/>
        </w:rPr>
        <w:t>MIX-50</w:t>
      </w:r>
      <w:r>
        <w:rPr>
          <w:noProof/>
          <w:sz w:val="24"/>
          <w:szCs w:val="24"/>
        </w:rPr>
        <w:t>, an increased ambition scenario achieving at least 50% GHG reductions, similar to MIX in that it combines both expanding carbon pricing and increasing the ambition of energy and transport policies but to a more limited extent than in MIX;</w:t>
      </w:r>
    </w:p>
    <w:p>
      <w:pPr>
        <w:pStyle w:val="ListParagraph"/>
        <w:numPr>
          <w:ilvl w:val="0"/>
          <w:numId w:val="96"/>
        </w:numPr>
        <w:rPr>
          <w:noProof/>
          <w:sz w:val="24"/>
          <w:szCs w:val="24"/>
        </w:rPr>
      </w:pPr>
      <w:r>
        <w:rPr>
          <w:b/>
          <w:bCs/>
          <w:noProof/>
          <w:sz w:val="24"/>
          <w:szCs w:val="24"/>
        </w:rPr>
        <w:t>ALLBNK</w:t>
      </w:r>
      <w:r>
        <w:rPr>
          <w:noProof/>
          <w:sz w:val="24"/>
          <w:szCs w:val="24"/>
        </w:rPr>
        <w:t>, the most ambitious scenario in GHG emissions reduction, based on MIX and further intensifying fuel mandates for aviation and maritime sectors in a response to the extended scope of GHG reductions covering all aviation and maritime.</w:t>
      </w:r>
    </w:p>
    <w:p>
      <w:pPr>
        <w:pStyle w:val="LegalNumPar"/>
        <w:numPr>
          <w:ilvl w:val="0"/>
          <w:numId w:val="89"/>
        </w:numPr>
        <w:tabs>
          <w:tab w:val="left" w:pos="476"/>
        </w:tabs>
        <w:spacing w:line="240" w:lineRule="auto"/>
        <w:rPr>
          <w:rStyle w:val="None"/>
          <w:noProof/>
        </w:rPr>
      </w:pPr>
      <w:r>
        <w:rPr>
          <w:rStyle w:val="None"/>
          <w:noProof/>
        </w:rPr>
        <w:t xml:space="preserve">In addition, </w:t>
      </w:r>
      <w:r>
        <w:rPr>
          <w:rStyle w:val="None"/>
          <w:b/>
          <w:noProof/>
        </w:rPr>
        <w:t>EU-</w:t>
      </w:r>
      <w:r>
        <w:rPr>
          <w:rStyle w:val="None"/>
          <w:rFonts w:eastAsia="Calibri" w:cs="Calibri"/>
          <w:b/>
          <w:noProof/>
          <w:color w:val="000000"/>
          <w:bdr w:val="nil"/>
          <w:lang w:eastAsia="fr-BE"/>
        </w:rPr>
        <w:t>NECP</w:t>
      </w:r>
      <w:r>
        <w:rPr>
          <w:rStyle w:val="None"/>
          <w:rFonts w:eastAsia="Calibri" w:cs="Calibri"/>
          <w:noProof/>
          <w:color w:val="000000"/>
          <w:bdr w:val="nil"/>
          <w:lang w:eastAsia="fr-BE"/>
        </w:rPr>
        <w:t xml:space="preserve"> is a variant of BSL, reflecting in a stylised manner and to the extent possible the aggregate ambition expressed by Member State in the final National Energy and Climate Plans. Furthermore, </w:t>
      </w:r>
      <w:r>
        <w:rPr>
          <w:rStyle w:val="None"/>
          <w:b/>
          <w:noProof/>
        </w:rPr>
        <w:t>COVID-BSL</w:t>
      </w:r>
      <w:r>
        <w:rPr>
          <w:rStyle w:val="None"/>
          <w:noProof/>
        </w:rPr>
        <w:t xml:space="preserve"> (COVID-Baseline) and </w:t>
      </w:r>
      <w:r>
        <w:rPr>
          <w:rStyle w:val="None"/>
          <w:b/>
          <w:noProof/>
        </w:rPr>
        <w:t>COVID-MIX</w:t>
      </w:r>
      <w:r>
        <w:rPr>
          <w:rStyle w:val="None"/>
          <w:noProof/>
        </w:rPr>
        <w:t xml:space="preserve"> are two variants of BSL and MIX, respectively, that include reduced economic growth assumptions due to the COVID-19 pandemic and corresponding reduced activity in various sectors, including transport. COVID-BSL achieve the same climate and energy targets as BSL by 2030, while COVID-MIX achieves a reduction of 55% and is similar to the MIX scenario in terms of policy setup. COVID-Baseline has been already discussed in section </w:t>
      </w:r>
      <w:r>
        <w:rPr>
          <w:noProof/>
        </w:rPr>
        <w:t>2.2</w:t>
      </w:r>
      <w:r>
        <w:rPr>
          <w:rStyle w:val="None"/>
          <w:noProof/>
        </w:rPr>
        <w:t>. While these two variants have been developed to reflect circumstances change due to COVID-19 pandemic, the core of analysis is performed on scenarios developed without reflecting the crisis. At the time when analysis had to be concluded, too large uncertainties remained as to future macro-economic developments post COVID-19 pandemic in order to develop sufficiently robust scenarios for the purpose of this analytical work.</w:t>
      </w:r>
    </w:p>
    <w:p>
      <w:pPr>
        <w:pStyle w:val="BodyA"/>
        <w:spacing w:after="60" w:line="240" w:lineRule="auto"/>
        <w:ind w:left="476"/>
        <w:jc w:val="both"/>
        <w:rPr>
          <w:rStyle w:val="None"/>
          <w:rFonts w:ascii="Times New Roman" w:hAnsi="Times New Roman"/>
          <w:noProof/>
          <w:sz w:val="24"/>
          <w:szCs w:val="24"/>
          <w:lang w:val="en-GB"/>
        </w:rPr>
      </w:pPr>
    </w:p>
    <w:p>
      <w:pPr>
        <w:pStyle w:val="BodyA"/>
        <w:spacing w:after="60" w:line="240" w:lineRule="auto"/>
        <w:ind w:left="476"/>
        <w:jc w:val="both"/>
        <w:rPr>
          <w:rStyle w:val="None"/>
          <w:rFonts w:ascii="Times New Roman" w:hAnsi="Times New Roman"/>
          <w:noProof/>
          <w:sz w:val="24"/>
          <w:szCs w:val="24"/>
          <w:lang w:val="en-GB"/>
        </w:rPr>
        <w:sectPr>
          <w:headerReference w:type="even" r:id="rId70"/>
          <w:headerReference w:type="default" r:id="rId71"/>
          <w:footerReference w:type="even" r:id="rId72"/>
          <w:footerReference w:type="default" r:id="rId73"/>
          <w:headerReference w:type="first" r:id="rId74"/>
          <w:footerReference w:type="first" r:id="rId75"/>
          <w:pgSz w:w="11906" w:h="16838"/>
          <w:pgMar w:top="1020" w:right="1701" w:bottom="1020" w:left="1701" w:header="601" w:footer="1077" w:gutter="0"/>
          <w:cols w:space="720"/>
          <w:titlePg/>
          <w:docGrid w:linePitch="326"/>
        </w:sectPr>
      </w:pPr>
    </w:p>
    <w:p>
      <w:pPr>
        <w:pStyle w:val="Caption"/>
        <w:keepNext/>
        <w:keepLines/>
        <w:tabs>
          <w:tab w:val="left" w:pos="0"/>
        </w:tabs>
        <w:spacing w:before="0" w:after="0"/>
        <w:jc w:val="center"/>
        <w:rPr>
          <w:i w:val="0"/>
          <w:noProof/>
        </w:rPr>
      </w:pPr>
      <w:bookmarkStart w:id="4780" w:name="_Ref44971044"/>
      <w:bookmarkStart w:id="4781" w:name="_Ref44339836"/>
      <w:bookmarkStart w:id="4782" w:name="_Toc49262610"/>
      <w:bookmarkStart w:id="4783" w:name="_Toc49269573"/>
      <w:bookmarkStart w:id="4784" w:name="_Toc49271886"/>
      <w:bookmarkStart w:id="4785" w:name="_Toc49272461"/>
      <w:bookmarkStart w:id="4786" w:name="_Toc49437665"/>
      <w:bookmarkStart w:id="4787" w:name="_Toc49441309"/>
      <w:bookmarkStart w:id="4788" w:name="_Toc49525031"/>
      <w:bookmarkStart w:id="4789" w:name="_Toc49530519"/>
      <w:bookmarkStart w:id="4790" w:name="_Toc49529959"/>
      <w:bookmarkStart w:id="4791" w:name="_Toc49531620"/>
      <w:bookmarkStart w:id="4792" w:name="_Toc49532785"/>
      <w:bookmarkStart w:id="4793" w:name="_Toc49775334"/>
      <w:bookmarkStart w:id="4794" w:name="_Toc49774536"/>
      <w:bookmarkStart w:id="4795" w:name="_Toc50396454"/>
      <w:bookmarkStart w:id="4796" w:name="_Toc50406157"/>
      <w:bookmarkStart w:id="4797" w:name="_Toc50407764"/>
      <w:bookmarkStart w:id="4798" w:name="_Toc51593798"/>
      <w:bookmarkStart w:id="4799" w:name="_Toc51595265"/>
      <w:bookmarkStart w:id="4800" w:name="_Toc51595515"/>
      <w:bookmarkStart w:id="4801" w:name="_Toc51595841"/>
      <w:bookmarkStart w:id="4802" w:name="_Toc51596004"/>
      <w:bookmarkStart w:id="4803" w:name="_Toc52121491"/>
      <w:bookmarkStart w:id="4804" w:name="_Toc52122722"/>
      <w:bookmarkStart w:id="4805" w:name="_Toc53405286"/>
      <w:bookmarkStart w:id="4806" w:name="_Toc53406076"/>
      <w:bookmarkStart w:id="4807" w:name="_Toc53407442"/>
      <w:bookmarkStart w:id="4808" w:name="_Toc53410889"/>
      <w:bookmarkStart w:id="4809" w:name="_Toc53411952"/>
      <w:bookmarkStart w:id="4810" w:name="_Toc53417199"/>
      <w:bookmarkStart w:id="4811" w:name="_Toc53417551"/>
      <w:bookmarkStart w:id="4812" w:name="_Toc53419584"/>
      <w:bookmarkStart w:id="4813" w:name="_Toc53434889"/>
      <w:bookmarkStart w:id="4814" w:name="_Toc53437029"/>
      <w:bookmarkStart w:id="4815" w:name="_Toc57291688"/>
      <w:r>
        <w:rPr>
          <w:i w:val="0"/>
          <w:noProof/>
        </w:rPr>
        <w:t xml:space="preserve">Figure </w:t>
      </w:r>
      <w:r>
        <w:rPr>
          <w:noProof/>
        </w:rPr>
        <w:fldChar w:fldCharType="begin"/>
      </w:r>
      <w:r>
        <w:rPr>
          <w:i w:val="0"/>
          <w:noProof/>
          <w:szCs w:val="22"/>
        </w:rPr>
        <w:instrText xml:space="preserve"> SEQ Figure \* ARABIC </w:instrText>
      </w:r>
      <w:r>
        <w:rPr>
          <w:i w:val="0"/>
          <w:noProof/>
          <w:szCs w:val="22"/>
        </w:rPr>
        <w:fldChar w:fldCharType="separate"/>
      </w:r>
      <w:r>
        <w:rPr>
          <w:i w:val="0"/>
          <w:noProof/>
          <w:szCs w:val="22"/>
        </w:rPr>
        <w:t>44</w:t>
      </w:r>
      <w:r>
        <w:rPr>
          <w:noProof/>
        </w:rPr>
        <w:fldChar w:fldCharType="end"/>
      </w:r>
      <w:bookmarkEnd w:id="4780"/>
      <w:bookmarkEnd w:id="4781"/>
      <w:r>
        <w:rPr>
          <w:i w:val="0"/>
          <w:noProof/>
        </w:rPr>
        <w:t>: Overview of the policy scenarios</w:t>
      </w:r>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p>
    <w:p>
      <w:pPr>
        <w:spacing w:after="0"/>
        <w:rPr>
          <w:rStyle w:val="None"/>
          <w:noProof/>
          <w:sz w:val="24"/>
        </w:rPr>
      </w:pPr>
      <w:r>
        <w:rPr>
          <w:rStyle w:val="None"/>
          <w:noProof/>
          <w:sz w:val="24"/>
        </w:rPr>
        <w:drawing>
          <wp:inline distT="0" distB="0" distL="0" distR="0">
            <wp:extent cx="9396730" cy="4842930"/>
            <wp:effectExtent l="0" t="0" r="0" b="0"/>
            <wp:docPr id="1657890214" name="Picture 1657890214" descr="\\NET1.cec.eu.int\homes\115\sulyoge\My Documents\White Paper\SWD\Figures\Pict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1.cec.eu.int\homes\115\sulyoge\My Documents\White Paper\SWD\Figures\Picture6.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9396730" cy="4842930"/>
                    </a:xfrm>
                    <a:prstGeom prst="rect">
                      <a:avLst/>
                    </a:prstGeom>
                    <a:noFill/>
                    <a:ln>
                      <a:noFill/>
                    </a:ln>
                  </pic:spPr>
                </pic:pic>
              </a:graphicData>
            </a:graphic>
          </wp:inline>
        </w:drawing>
      </w:r>
    </w:p>
    <w:p>
      <w:pPr>
        <w:pStyle w:val="BodyA"/>
        <w:spacing w:after="60" w:line="240" w:lineRule="auto"/>
        <w:jc w:val="both"/>
        <w:rPr>
          <w:rStyle w:val="None"/>
          <w:rFonts w:ascii="Times New Roman" w:hAnsi="Times New Roman"/>
          <w:noProof/>
          <w:sz w:val="24"/>
          <w:szCs w:val="24"/>
          <w:lang w:val="en-GB"/>
        </w:rPr>
        <w:sectPr>
          <w:headerReference w:type="even" r:id="rId77"/>
          <w:headerReference w:type="default" r:id="rId78"/>
          <w:footerReference w:type="even" r:id="rId79"/>
          <w:footerReference w:type="default" r:id="rId80"/>
          <w:headerReference w:type="first" r:id="rId81"/>
          <w:footerReference w:type="first" r:id="rId82"/>
          <w:pgSz w:w="16838" w:h="11906" w:orient="landscape"/>
          <w:pgMar w:top="1701" w:right="1020" w:bottom="1701" w:left="1020" w:header="601" w:footer="1077" w:gutter="0"/>
          <w:cols w:space="720"/>
          <w:titlePg/>
          <w:docGrid w:linePitch="326"/>
        </w:sectPr>
      </w:pPr>
    </w:p>
    <w:p>
      <w:pPr>
        <w:pStyle w:val="BodyA"/>
        <w:spacing w:after="60" w:line="240" w:lineRule="auto"/>
        <w:ind w:left="476"/>
        <w:jc w:val="both"/>
        <w:rPr>
          <w:rStyle w:val="None"/>
          <w:rFonts w:ascii="Times New Roman" w:hAnsi="Times New Roman"/>
          <w:noProof/>
          <w:sz w:val="24"/>
          <w:szCs w:val="24"/>
          <w:lang w:val="en-GB"/>
        </w:rPr>
      </w:pPr>
    </w:p>
    <w:p>
      <w:pPr>
        <w:pStyle w:val="LegalNumPar"/>
        <w:numPr>
          <w:ilvl w:val="0"/>
          <w:numId w:val="89"/>
        </w:numPr>
        <w:tabs>
          <w:tab w:val="left" w:pos="476"/>
        </w:tabs>
        <w:spacing w:line="240" w:lineRule="auto"/>
        <w:rPr>
          <w:noProof/>
        </w:rPr>
      </w:pPr>
      <w:bookmarkStart w:id="4816" w:name="_Ref45131969"/>
      <w:bookmarkStart w:id="4817" w:name="_Toc45147534"/>
      <w:bookmarkStart w:id="4818" w:name="_Toc49346559"/>
      <w:bookmarkStart w:id="4819" w:name="_Toc49437876"/>
      <w:bookmarkStart w:id="4820" w:name="_Toc49441699"/>
      <w:bookmarkStart w:id="4821" w:name="_Toc49516666"/>
      <w:bookmarkStart w:id="4822" w:name="_Toc49518586"/>
      <w:bookmarkStart w:id="4823" w:name="_Toc49525200"/>
      <w:bookmarkStart w:id="4824" w:name="_Toc49530696"/>
      <w:bookmarkStart w:id="4825" w:name="_Toc49530963"/>
      <w:bookmarkStart w:id="4826" w:name="_Toc49531797"/>
      <w:bookmarkStart w:id="4827" w:name="_Toc49532954"/>
      <w:bookmarkStart w:id="4828" w:name="_Toc49775503"/>
      <w:bookmarkStart w:id="4829" w:name="_Toc49774705"/>
      <w:r>
        <w:rPr>
          <w:rStyle w:val="None"/>
          <w:noProof/>
        </w:rPr>
        <w:t xml:space="preserve">The GHG emissions reduction target in CPRICE, MIX, MIX-50 and REG scenarios cover intra-EU aviation and intra-EU maritime emissions. In the </w:t>
      </w:r>
      <w:r>
        <w:rPr>
          <w:noProof/>
        </w:rPr>
        <w:t>ALLBNK</w:t>
      </w:r>
      <w:r>
        <w:rPr>
          <w:rStyle w:val="None"/>
          <w:noProof/>
        </w:rPr>
        <w:t xml:space="preserve"> scenario, the GHG emissions reduction target cover both intra-EU and extra-EU aviation and maritime emissions. By comparing the BSL, MIX-50, MIX one can assess the impact of 50% and 55% GHG emissions reduction targets. By further comparing with the ALLBNK scenario that achieves 55% GHG reduction including all aviation and maritime emissions in the GHG target scope one can look at the impact of a different scope on this ambition. By comparing BSL, MIX-50, REG, MIX, CPRICE and ALLBNK one can look into how increased GHG ambition relates to renewables and energy efficiency ambition, as well as different transport policies. By comparing REG, MIX and CPRICE one can assess how energy and transport policies can interact with extending or not carbon pricing to additional sectors.</w:t>
      </w:r>
    </w:p>
    <w:p>
      <w:pPr>
        <w:pStyle w:val="LegalNumPar"/>
        <w:numPr>
          <w:ilvl w:val="0"/>
          <w:numId w:val="89"/>
        </w:numPr>
        <w:tabs>
          <w:tab w:val="left" w:pos="476"/>
        </w:tabs>
        <w:spacing w:line="240" w:lineRule="auto"/>
        <w:rPr>
          <w:noProof/>
        </w:rPr>
      </w:pPr>
      <w:r>
        <w:rPr>
          <w:noProof/>
        </w:rPr>
        <w:t xml:space="preserve">All scenarios include a range of policies that address the challenges of sustainable, smart and resilient mobility discussed in section 4, or assume an intensification </w:t>
      </w:r>
      <w:r>
        <w:rPr>
          <w:rStyle w:val="None"/>
          <w:noProof/>
        </w:rPr>
        <w:t>of</w:t>
      </w:r>
      <w:r>
        <w:rPr>
          <w:noProof/>
        </w:rPr>
        <w:t xml:space="preserve"> such policies relative to the baseline. </w:t>
      </w:r>
      <w:r>
        <w:rPr>
          <w:b/>
          <w:noProof/>
        </w:rPr>
        <w:t xml:space="preserve">CPRICE </w:t>
      </w:r>
      <w:r>
        <w:rPr>
          <w:noProof/>
        </w:rPr>
        <w:t xml:space="preserve">scenario assumes strengthening and further expanding of carbon pricing to the road and maritime transport sectors, be it via EU ETS or other carbon pricing instruments. It includes the ReFuelEU aviation and FuelEU maritime initiatives and policy initiatives that drive improvements in transport system efficiency and support greater use of more sustainable transport modes relative to the </w:t>
      </w:r>
      <w:r>
        <w:rPr>
          <w:b/>
          <w:noProof/>
        </w:rPr>
        <w:t xml:space="preserve">BSL </w:t>
      </w:r>
      <w:r>
        <w:rPr>
          <w:noProof/>
        </w:rPr>
        <w:t>scenario:</w:t>
      </w:r>
    </w:p>
    <w:p>
      <w:pPr>
        <w:pStyle w:val="ListParagraph"/>
        <w:numPr>
          <w:ilvl w:val="0"/>
          <w:numId w:val="97"/>
        </w:numPr>
        <w:spacing w:after="60" w:line="240" w:lineRule="auto"/>
        <w:contextualSpacing w:val="0"/>
        <w:rPr>
          <w:noProof/>
          <w:sz w:val="24"/>
          <w:szCs w:val="24"/>
        </w:rPr>
      </w:pPr>
      <w:r>
        <w:rPr>
          <w:noProof/>
          <w:sz w:val="24"/>
          <w:szCs w:val="24"/>
        </w:rPr>
        <w:t>Incentives for intermodal freight transport;</w:t>
      </w:r>
    </w:p>
    <w:p>
      <w:pPr>
        <w:pStyle w:val="ListParagraph"/>
        <w:numPr>
          <w:ilvl w:val="0"/>
          <w:numId w:val="97"/>
        </w:numPr>
        <w:spacing w:after="60" w:line="240" w:lineRule="auto"/>
        <w:contextualSpacing w:val="0"/>
        <w:rPr>
          <w:noProof/>
          <w:sz w:val="24"/>
          <w:szCs w:val="24"/>
        </w:rPr>
      </w:pPr>
      <w:r>
        <w:rPr>
          <w:noProof/>
          <w:sz w:val="24"/>
          <w:szCs w:val="24"/>
        </w:rPr>
        <w:t xml:space="preserve">Initiatives to increase and better manage the capacity of railways, inland waterways and short sea shipping, supported by the TEN-T infrastructure and CEF funding; </w:t>
      </w:r>
    </w:p>
    <w:p>
      <w:pPr>
        <w:pStyle w:val="ListParagraph"/>
        <w:numPr>
          <w:ilvl w:val="0"/>
          <w:numId w:val="97"/>
        </w:numPr>
        <w:spacing w:after="60" w:line="240" w:lineRule="auto"/>
        <w:contextualSpacing w:val="0"/>
        <w:rPr>
          <w:noProof/>
          <w:sz w:val="24"/>
          <w:szCs w:val="24"/>
        </w:rPr>
      </w:pPr>
      <w:r>
        <w:rPr>
          <w:noProof/>
          <w:sz w:val="24"/>
          <w:szCs w:val="24"/>
        </w:rPr>
        <w:t>Gradual internalisation of CO</w:t>
      </w:r>
      <w:r>
        <w:rPr>
          <w:noProof/>
          <w:sz w:val="24"/>
          <w:szCs w:val="24"/>
          <w:vertAlign w:val="subscript"/>
        </w:rPr>
        <w:t>2</w:t>
      </w:r>
      <w:r>
        <w:rPr>
          <w:noProof/>
          <w:sz w:val="24"/>
          <w:szCs w:val="24"/>
        </w:rPr>
        <w:t>, air pollution and noise costs (“smart” pricing);</w:t>
      </w:r>
    </w:p>
    <w:p>
      <w:pPr>
        <w:pStyle w:val="ListParagraph"/>
        <w:numPr>
          <w:ilvl w:val="0"/>
          <w:numId w:val="97"/>
        </w:numPr>
        <w:spacing w:after="60" w:line="240" w:lineRule="auto"/>
        <w:contextualSpacing w:val="0"/>
        <w:rPr>
          <w:noProof/>
          <w:sz w:val="24"/>
          <w:szCs w:val="24"/>
        </w:rPr>
      </w:pPr>
      <w:r>
        <w:rPr>
          <w:noProof/>
          <w:sz w:val="24"/>
          <w:szCs w:val="24"/>
        </w:rPr>
        <w:t>Incentives to improve the performance of air navigation service providers in terms of efficiency and to improve the utilisation of air traffic management capacity;</w:t>
      </w:r>
    </w:p>
    <w:p>
      <w:pPr>
        <w:pStyle w:val="ListParagraph"/>
        <w:numPr>
          <w:ilvl w:val="0"/>
          <w:numId w:val="97"/>
        </w:numPr>
        <w:spacing w:after="60" w:line="240" w:lineRule="auto"/>
        <w:contextualSpacing w:val="0"/>
        <w:rPr>
          <w:noProof/>
          <w:sz w:val="24"/>
          <w:szCs w:val="24"/>
        </w:rPr>
      </w:pPr>
      <w:r>
        <w:rPr>
          <w:noProof/>
          <w:sz w:val="24"/>
          <w:szCs w:val="24"/>
        </w:rPr>
        <w:t>Revision of roadworthiness checks legislation;</w:t>
      </w:r>
    </w:p>
    <w:p>
      <w:pPr>
        <w:pStyle w:val="ListParagraph"/>
        <w:numPr>
          <w:ilvl w:val="0"/>
          <w:numId w:val="97"/>
        </w:numPr>
        <w:spacing w:after="60" w:line="240" w:lineRule="auto"/>
        <w:contextualSpacing w:val="0"/>
        <w:rPr>
          <w:noProof/>
          <w:sz w:val="24"/>
          <w:szCs w:val="24"/>
        </w:rPr>
      </w:pPr>
      <w:r>
        <w:rPr>
          <w:noProof/>
          <w:sz w:val="24"/>
          <w:szCs w:val="24"/>
        </w:rPr>
        <w:t>Implementation of the EURO 7 air pollution standard;</w:t>
      </w:r>
    </w:p>
    <w:p>
      <w:pPr>
        <w:pStyle w:val="ListParagraph"/>
        <w:numPr>
          <w:ilvl w:val="0"/>
          <w:numId w:val="97"/>
        </w:numPr>
        <w:spacing w:after="60" w:line="240" w:lineRule="auto"/>
        <w:contextualSpacing w:val="0"/>
        <w:rPr>
          <w:noProof/>
          <w:sz w:val="24"/>
          <w:szCs w:val="24"/>
        </w:rPr>
      </w:pPr>
      <w:r>
        <w:rPr>
          <w:noProof/>
          <w:sz w:val="24"/>
          <w:szCs w:val="24"/>
        </w:rPr>
        <w:t>Limitedly increase in ambition for CO</w:t>
      </w:r>
      <w:r>
        <w:rPr>
          <w:noProof/>
          <w:sz w:val="24"/>
          <w:szCs w:val="24"/>
          <w:vertAlign w:val="subscript"/>
        </w:rPr>
        <w:t>2</w:t>
      </w:r>
      <w:r>
        <w:rPr>
          <w:noProof/>
          <w:sz w:val="24"/>
          <w:szCs w:val="24"/>
        </w:rPr>
        <w:t xml:space="preserve"> emission standards for vehicles (passenger cars, vans, trucks and buses) as of 2030 or 2035, supported by the roll-out of recharging and refuelling infrastructure. For cars this corresponds to a reduction of around 40% in 2030 compared to the 2021 target.</w:t>
      </w:r>
      <w:r>
        <w:rPr>
          <w:rStyle w:val="FootnoteReference"/>
          <w:noProof/>
          <w:sz w:val="24"/>
          <w:szCs w:val="24"/>
        </w:rPr>
        <w:footnoteReference w:id="615"/>
      </w:r>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b/>
          <w:bCs/>
          <w:noProof/>
          <w:sz w:val="24"/>
          <w:szCs w:val="24"/>
          <w:lang w:val="en-GB"/>
        </w:rPr>
        <w:t xml:space="preserve">MIX-50 and MIX </w:t>
      </w:r>
      <w:r>
        <w:rPr>
          <w:rFonts w:ascii="Times New Roman" w:hAnsi="Times New Roman" w:cs="Times New Roman"/>
          <w:noProof/>
          <w:sz w:val="24"/>
          <w:szCs w:val="24"/>
          <w:lang w:val="en-GB"/>
        </w:rPr>
        <w:t>scenarios assume for road and maritime transport an expansion of carbon pricing, renewable and low carbon fuels mandate (including ReFuelEU aviation and FuelEU maritime initiatives), and a set of policies in addition to those included in the CPRICE</w:t>
      </w:r>
      <w:r>
        <w:rPr>
          <w:rFonts w:ascii="Times New Roman" w:hAnsi="Times New Roman" w:cs="Times New Roman"/>
          <w:b/>
          <w:bCs/>
          <w:noProof/>
          <w:sz w:val="24"/>
          <w:szCs w:val="24"/>
          <w:lang w:val="en-GB"/>
        </w:rPr>
        <w:t xml:space="preserve"> </w:t>
      </w:r>
      <w:r>
        <w:rPr>
          <w:rFonts w:ascii="Times New Roman" w:hAnsi="Times New Roman" w:cs="Times New Roman"/>
          <w:noProof/>
          <w:sz w:val="24"/>
          <w:szCs w:val="24"/>
          <w:lang w:val="en-GB"/>
        </w:rPr>
        <w:t xml:space="preserve">scenario that foster and intensify the development of public transport and greater use of more sustainable transport modes and multi-modal solutions through a large and well-integrated range of clean and connected mobility options: </w:t>
      </w:r>
    </w:p>
    <w:p>
      <w:pPr>
        <w:pStyle w:val="ListParagraph"/>
        <w:numPr>
          <w:ilvl w:val="0"/>
          <w:numId w:val="97"/>
        </w:numPr>
        <w:spacing w:after="60" w:line="240" w:lineRule="auto"/>
        <w:contextualSpacing w:val="0"/>
        <w:rPr>
          <w:noProof/>
          <w:sz w:val="24"/>
          <w:szCs w:val="24"/>
        </w:rPr>
      </w:pPr>
      <w:r>
        <w:rPr>
          <w:noProof/>
          <w:sz w:val="24"/>
          <w:szCs w:val="24"/>
        </w:rPr>
        <w:t>Additional efforts to improve the functioning of the transport system: support to multimodal mobility and intermodal freight transport by rail, inland waterways and short sea shipping;</w:t>
      </w:r>
    </w:p>
    <w:p>
      <w:pPr>
        <w:pStyle w:val="ListParagraph"/>
        <w:numPr>
          <w:ilvl w:val="0"/>
          <w:numId w:val="97"/>
        </w:numPr>
        <w:spacing w:after="60" w:line="240" w:lineRule="auto"/>
        <w:contextualSpacing w:val="0"/>
        <w:rPr>
          <w:noProof/>
          <w:sz w:val="24"/>
          <w:szCs w:val="24"/>
        </w:rPr>
      </w:pPr>
      <w:r>
        <w:rPr>
          <w:noProof/>
          <w:sz w:val="24"/>
          <w:szCs w:val="24"/>
        </w:rPr>
        <w:t>Deployment of the necessary infrastructure, smart traffic management systems, transport digitalisation and fostering connected and automated mobility;</w:t>
      </w:r>
    </w:p>
    <w:p>
      <w:pPr>
        <w:pStyle w:val="ListParagraph"/>
        <w:numPr>
          <w:ilvl w:val="0"/>
          <w:numId w:val="97"/>
        </w:numPr>
        <w:spacing w:after="60" w:line="240" w:lineRule="auto"/>
        <w:contextualSpacing w:val="0"/>
        <w:rPr>
          <w:noProof/>
          <w:sz w:val="24"/>
          <w:szCs w:val="24"/>
        </w:rPr>
      </w:pPr>
      <w:r>
        <w:rPr>
          <w:noProof/>
          <w:sz w:val="24"/>
          <w:szCs w:val="24"/>
        </w:rPr>
        <w:t>Further actions on clean airports and ports to drive reductions in energy use, CO</w:t>
      </w:r>
      <w:r>
        <w:rPr>
          <w:noProof/>
          <w:sz w:val="24"/>
          <w:szCs w:val="24"/>
          <w:vertAlign w:val="subscript"/>
        </w:rPr>
        <w:t>2</w:t>
      </w:r>
      <w:r>
        <w:rPr>
          <w:noProof/>
          <w:sz w:val="24"/>
          <w:szCs w:val="24"/>
        </w:rPr>
        <w:t xml:space="preserve"> and air pollution emissions;</w:t>
      </w:r>
    </w:p>
    <w:p>
      <w:pPr>
        <w:pStyle w:val="ListParagraph"/>
        <w:numPr>
          <w:ilvl w:val="0"/>
          <w:numId w:val="97"/>
        </w:numPr>
        <w:spacing w:after="60" w:line="240" w:lineRule="auto"/>
        <w:contextualSpacing w:val="0"/>
        <w:rPr>
          <w:noProof/>
          <w:sz w:val="24"/>
          <w:szCs w:val="24"/>
        </w:rPr>
      </w:pPr>
      <w:r>
        <w:rPr>
          <w:noProof/>
          <w:sz w:val="24"/>
          <w:szCs w:val="24"/>
        </w:rPr>
        <w:t>Additional measures to reduce noise and air pollutants in urban areas;</w:t>
      </w:r>
    </w:p>
    <w:p>
      <w:pPr>
        <w:pStyle w:val="ListParagraph"/>
        <w:numPr>
          <w:ilvl w:val="0"/>
          <w:numId w:val="97"/>
        </w:numPr>
        <w:spacing w:after="60" w:line="240" w:lineRule="auto"/>
        <w:contextualSpacing w:val="0"/>
        <w:rPr>
          <w:noProof/>
          <w:sz w:val="24"/>
          <w:szCs w:val="24"/>
        </w:rPr>
      </w:pPr>
      <w:r>
        <w:rPr>
          <w:noProof/>
          <w:sz w:val="24"/>
          <w:szCs w:val="24"/>
        </w:rPr>
        <w:t>Pricing measures such as in relation to energy taxation (e.g. alignment of minima on energy content for diesel and petrol), and infrastructure charging;</w:t>
      </w:r>
    </w:p>
    <w:p>
      <w:pPr>
        <w:pStyle w:val="ListParagraph"/>
        <w:numPr>
          <w:ilvl w:val="0"/>
          <w:numId w:val="97"/>
        </w:numPr>
        <w:spacing w:after="60" w:line="240" w:lineRule="auto"/>
        <w:contextualSpacing w:val="0"/>
        <w:rPr>
          <w:noProof/>
          <w:sz w:val="24"/>
          <w:szCs w:val="24"/>
        </w:rPr>
      </w:pPr>
      <w:r>
        <w:rPr>
          <w:noProof/>
          <w:sz w:val="24"/>
          <w:szCs w:val="24"/>
        </w:rPr>
        <w:t>Other measures incentivising behavioural change;</w:t>
      </w:r>
    </w:p>
    <w:p>
      <w:pPr>
        <w:pStyle w:val="ListParagraph"/>
        <w:numPr>
          <w:ilvl w:val="0"/>
          <w:numId w:val="97"/>
        </w:numPr>
        <w:spacing w:after="60" w:line="240" w:lineRule="auto"/>
        <w:contextualSpacing w:val="0"/>
        <w:rPr>
          <w:noProof/>
          <w:sz w:val="24"/>
          <w:szCs w:val="24"/>
        </w:rPr>
      </w:pPr>
      <w:r>
        <w:rPr>
          <w:noProof/>
          <w:sz w:val="24"/>
          <w:szCs w:val="24"/>
        </w:rPr>
        <w:t>Medium intensification of the CO</w:t>
      </w:r>
      <w:r>
        <w:rPr>
          <w:noProof/>
          <w:sz w:val="24"/>
          <w:szCs w:val="24"/>
          <w:vertAlign w:val="subscript"/>
        </w:rPr>
        <w:t>2</w:t>
      </w:r>
      <w:r>
        <w:rPr>
          <w:noProof/>
          <w:sz w:val="24"/>
          <w:szCs w:val="24"/>
        </w:rPr>
        <w:t xml:space="preserve"> emission standards for cars, vans, trucks and buses (as of 2030) as compared to CPRICE, supported by large scale roll-out of recharging and refuelling infrastructure. For cars this corresponds to a reduction of around 50% in 2030 compared to the 2021 target. </w:t>
      </w:r>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b/>
          <w:bCs/>
          <w:noProof/>
          <w:sz w:val="24"/>
          <w:szCs w:val="24"/>
          <w:lang w:val="en-GB"/>
        </w:rPr>
        <w:t xml:space="preserve">REG </w:t>
      </w:r>
      <w:r>
        <w:rPr>
          <w:rFonts w:ascii="Times New Roman" w:hAnsi="Times New Roman" w:cs="Times New Roman"/>
          <w:noProof/>
          <w:sz w:val="24"/>
          <w:szCs w:val="24"/>
          <w:lang w:val="en-GB"/>
        </w:rPr>
        <w:t>scenario</w:t>
      </w:r>
      <w:r>
        <w:rPr>
          <w:rFonts w:ascii="Times New Roman" w:hAnsi="Times New Roman" w:cs="Times New Roman"/>
          <w:b/>
          <w:bCs/>
          <w:noProof/>
          <w:sz w:val="24"/>
          <w:szCs w:val="24"/>
          <w:lang w:val="en-GB"/>
        </w:rPr>
        <w:t xml:space="preserve"> </w:t>
      </w:r>
      <w:r>
        <w:rPr>
          <w:rFonts w:ascii="Times New Roman" w:hAnsi="Times New Roman" w:cs="Times New Roman"/>
          <w:noProof/>
          <w:sz w:val="24"/>
          <w:szCs w:val="24"/>
          <w:lang w:val="en-GB"/>
        </w:rPr>
        <w:t>keeps the EU ETS scope unchanged, except for the intra-EU maritime. It assumes high increase of the ambition of renewable and low carbon fuels mandate (including ReFuelEU aviation and FuelEU maritime initiatives), and of policies that drive transport system efficiency and digitalisation</w:t>
      </w:r>
      <w:r>
        <w:rPr>
          <w:noProof/>
          <w:sz w:val="24"/>
          <w:szCs w:val="24"/>
          <w:lang w:val="en-GB"/>
        </w:rPr>
        <w:t xml:space="preserve"> </w:t>
      </w:r>
      <w:r>
        <w:rPr>
          <w:rFonts w:ascii="Times New Roman" w:hAnsi="Times New Roman" w:cs="Times New Roman"/>
          <w:noProof/>
          <w:sz w:val="24"/>
          <w:szCs w:val="24"/>
          <w:lang w:val="en-GB"/>
        </w:rPr>
        <w:t>in addition to those in the MIX</w:t>
      </w:r>
      <w:r>
        <w:rPr>
          <w:rFonts w:ascii="Times New Roman" w:hAnsi="Times New Roman" w:cs="Times New Roman"/>
          <w:b/>
          <w:bCs/>
          <w:noProof/>
          <w:sz w:val="24"/>
          <w:szCs w:val="24"/>
          <w:lang w:val="en-GB"/>
        </w:rPr>
        <w:t xml:space="preserve"> </w:t>
      </w:r>
      <w:r>
        <w:rPr>
          <w:rFonts w:ascii="Times New Roman" w:hAnsi="Times New Roman" w:cs="Times New Roman"/>
          <w:noProof/>
          <w:sz w:val="24"/>
          <w:szCs w:val="24"/>
          <w:lang w:val="en-GB"/>
        </w:rPr>
        <w:t>scenario:</w:t>
      </w:r>
    </w:p>
    <w:p>
      <w:pPr>
        <w:pStyle w:val="ListParagraph"/>
        <w:numPr>
          <w:ilvl w:val="0"/>
          <w:numId w:val="97"/>
        </w:numPr>
        <w:spacing w:after="60" w:line="240" w:lineRule="auto"/>
        <w:contextualSpacing w:val="0"/>
        <w:rPr>
          <w:noProof/>
          <w:sz w:val="24"/>
          <w:szCs w:val="24"/>
        </w:rPr>
      </w:pPr>
      <w:r>
        <w:rPr>
          <w:noProof/>
          <w:sz w:val="24"/>
          <w:szCs w:val="24"/>
        </w:rPr>
        <w:t>Further measures related to intelligent transport systems, digitalisation, connectivity and automation of transport - supported by the TEN-T infrastructure;</w:t>
      </w:r>
    </w:p>
    <w:p>
      <w:pPr>
        <w:pStyle w:val="ListParagraph"/>
        <w:numPr>
          <w:ilvl w:val="0"/>
          <w:numId w:val="97"/>
        </w:numPr>
        <w:spacing w:after="60" w:line="240" w:lineRule="auto"/>
        <w:contextualSpacing w:val="0"/>
        <w:rPr>
          <w:noProof/>
          <w:sz w:val="24"/>
          <w:szCs w:val="24"/>
        </w:rPr>
      </w:pPr>
      <w:r>
        <w:rPr>
          <w:noProof/>
          <w:sz w:val="24"/>
          <w:szCs w:val="24"/>
        </w:rPr>
        <w:t>Additional measures to improve the efficiency of road freight transport;</w:t>
      </w:r>
    </w:p>
    <w:p>
      <w:pPr>
        <w:pStyle w:val="ListParagraph"/>
        <w:numPr>
          <w:ilvl w:val="0"/>
          <w:numId w:val="97"/>
        </w:numPr>
        <w:spacing w:after="60" w:line="240" w:lineRule="auto"/>
        <w:contextualSpacing w:val="0"/>
        <w:rPr>
          <w:noProof/>
          <w:sz w:val="24"/>
          <w:szCs w:val="24"/>
        </w:rPr>
      </w:pPr>
      <w:r>
        <w:rPr>
          <w:noProof/>
          <w:sz w:val="24"/>
          <w:szCs w:val="24"/>
        </w:rPr>
        <w:t>Incentives for low and zero emissions vehicles in vehicle taxation;</w:t>
      </w:r>
    </w:p>
    <w:p>
      <w:pPr>
        <w:pStyle w:val="ListParagraph"/>
        <w:numPr>
          <w:ilvl w:val="0"/>
          <w:numId w:val="97"/>
        </w:numPr>
        <w:spacing w:after="60" w:line="240" w:lineRule="auto"/>
        <w:contextualSpacing w:val="0"/>
        <w:rPr>
          <w:noProof/>
          <w:sz w:val="24"/>
          <w:szCs w:val="24"/>
        </w:rPr>
      </w:pPr>
      <w:r>
        <w:rPr>
          <w:noProof/>
          <w:sz w:val="24"/>
          <w:szCs w:val="24"/>
        </w:rPr>
        <w:t>Increasing the accepted load/length for road in case of zero-emission High Capacity Vehicles;</w:t>
      </w:r>
    </w:p>
    <w:p>
      <w:pPr>
        <w:pStyle w:val="ListParagraph"/>
        <w:numPr>
          <w:ilvl w:val="0"/>
          <w:numId w:val="97"/>
        </w:numPr>
        <w:spacing w:after="60" w:line="240" w:lineRule="auto"/>
        <w:contextualSpacing w:val="0"/>
        <w:rPr>
          <w:noProof/>
          <w:sz w:val="24"/>
          <w:szCs w:val="24"/>
        </w:rPr>
      </w:pPr>
      <w:r>
        <w:rPr>
          <w:noProof/>
          <w:sz w:val="24"/>
          <w:szCs w:val="24"/>
        </w:rPr>
        <w:t>Additional measures in urban areas to address climate change and air pollution;</w:t>
      </w:r>
    </w:p>
    <w:p>
      <w:pPr>
        <w:pStyle w:val="ListParagraph"/>
        <w:numPr>
          <w:ilvl w:val="0"/>
          <w:numId w:val="97"/>
        </w:numPr>
        <w:spacing w:after="60" w:line="240" w:lineRule="auto"/>
        <w:contextualSpacing w:val="0"/>
        <w:rPr>
          <w:noProof/>
          <w:sz w:val="24"/>
          <w:szCs w:val="24"/>
        </w:rPr>
      </w:pPr>
      <w:r>
        <w:rPr>
          <w:noProof/>
          <w:sz w:val="24"/>
          <w:szCs w:val="24"/>
        </w:rPr>
        <w:t>Pricing measures such as in relation to energy taxation (e.g. alignment of minima on energy content for diesel and petrol and mirroring the alignment in terms of energy content at Member State level);</w:t>
      </w:r>
    </w:p>
    <w:p>
      <w:pPr>
        <w:pStyle w:val="ListParagraph"/>
        <w:numPr>
          <w:ilvl w:val="0"/>
          <w:numId w:val="97"/>
        </w:numPr>
        <w:spacing w:after="60" w:line="240" w:lineRule="auto"/>
        <w:contextualSpacing w:val="0"/>
        <w:rPr>
          <w:noProof/>
          <w:sz w:val="24"/>
          <w:szCs w:val="24"/>
        </w:rPr>
      </w:pPr>
      <w:r>
        <w:rPr>
          <w:noProof/>
          <w:sz w:val="24"/>
          <w:szCs w:val="24"/>
        </w:rPr>
        <w:t>Higher intensification of the CO</w:t>
      </w:r>
      <w:r>
        <w:rPr>
          <w:noProof/>
          <w:sz w:val="24"/>
          <w:szCs w:val="24"/>
          <w:vertAlign w:val="subscript"/>
        </w:rPr>
        <w:t>2</w:t>
      </w:r>
      <w:r>
        <w:rPr>
          <w:noProof/>
          <w:sz w:val="24"/>
          <w:szCs w:val="24"/>
        </w:rPr>
        <w:t xml:space="preserve"> emission standards for cars, vans, trucks and buses (as of 2030) as compared to MIX, leading to lower CO2 emissions and fuel consumption and further incentivising the deployment of zero- and low-emission vehicles, supported by the large scale roll-out of recharging and refuelling infrastructure. For cars this corresponds to a reduction of around 60% in 2030 compared to the 2021 target.</w:t>
      </w:r>
    </w:p>
    <w:p>
      <w:pPr>
        <w:pStyle w:val="BodyA"/>
        <w:numPr>
          <w:ilvl w:val="0"/>
          <w:numId w:val="89"/>
        </w:numPr>
        <w:spacing w:after="60" w:line="240" w:lineRule="auto"/>
        <w:jc w:val="both"/>
        <w:rPr>
          <w:rFonts w:ascii="Times New Roman" w:hAnsi="Times New Roman" w:cs="Times New Roman"/>
          <w:b/>
          <w:bCs/>
          <w:noProof/>
          <w:sz w:val="24"/>
          <w:szCs w:val="24"/>
          <w:lang w:val="en-GB"/>
        </w:rPr>
      </w:pPr>
      <w:r>
        <w:rPr>
          <w:rFonts w:ascii="Times New Roman" w:hAnsi="Times New Roman" w:cs="Times New Roman"/>
          <w:b/>
          <w:bCs/>
          <w:noProof/>
          <w:sz w:val="24"/>
          <w:szCs w:val="24"/>
          <w:lang w:val="en-GB"/>
        </w:rPr>
        <w:t xml:space="preserve">ALLBNK </w:t>
      </w:r>
      <w:r>
        <w:rPr>
          <w:rFonts w:ascii="Times New Roman" w:hAnsi="Times New Roman" w:cs="Times New Roman"/>
          <w:noProof/>
          <w:sz w:val="24"/>
          <w:szCs w:val="24"/>
          <w:lang w:val="en-GB"/>
        </w:rPr>
        <w:t>scenario builds on MIX scenario and further intensifies fuel mandates for aviation and maritime sectors in a response to the extended scope of GHG reductions covering all aviation and maritime sectors. All other transport policies of the MIX scenario are also included in ALLBNK.</w:t>
      </w:r>
    </w:p>
    <w:p>
      <w:pPr>
        <w:pStyle w:val="BodyA"/>
        <w:numPr>
          <w:ilvl w:val="0"/>
          <w:numId w:val="89"/>
        </w:numPr>
        <w:spacing w:after="60" w:line="240" w:lineRule="auto"/>
        <w:jc w:val="both"/>
        <w:rPr>
          <w:rFonts w:ascii="Times New Roman" w:hAnsi="Times New Roman" w:cs="Times New Roman"/>
          <w:b/>
          <w:bCs/>
          <w:noProof/>
          <w:sz w:val="24"/>
          <w:szCs w:val="24"/>
          <w:lang w:val="en-GB"/>
        </w:rPr>
      </w:pPr>
      <w:r>
        <w:rPr>
          <w:rFonts w:ascii="Times New Roman" w:hAnsi="Times New Roman" w:cs="Times New Roman"/>
          <w:noProof/>
          <w:sz w:val="24"/>
          <w:szCs w:val="24"/>
          <w:lang w:val="en-GB"/>
        </w:rPr>
        <w:t>The following section discusses the results of the MIX-50, REG, MIX, CPRICE and ALLBNK scenarios. For the transport sector, the</w:t>
      </w:r>
      <w:r>
        <w:rPr>
          <w:rFonts w:ascii="Times New Roman" w:hAnsi="Times New Roman" w:cs="Times New Roman"/>
          <w:b/>
          <w:bCs/>
          <w:noProof/>
          <w:sz w:val="24"/>
          <w:szCs w:val="24"/>
          <w:lang w:val="en-GB"/>
        </w:rPr>
        <w:t xml:space="preserve"> </w:t>
      </w:r>
      <w:r>
        <w:rPr>
          <w:rFonts w:ascii="Times New Roman" w:hAnsi="Times New Roman" w:cs="Times New Roman"/>
          <w:noProof/>
          <w:sz w:val="24"/>
          <w:szCs w:val="24"/>
          <w:lang w:val="en-GB"/>
        </w:rPr>
        <w:t>EU-NECP</w:t>
      </w:r>
      <w:r>
        <w:rPr>
          <w:rFonts w:ascii="Times New Roman" w:hAnsi="Times New Roman" w:cs="Times New Roman"/>
          <w:b/>
          <w:bCs/>
          <w:noProof/>
          <w:sz w:val="24"/>
          <w:szCs w:val="24"/>
          <w:lang w:val="en-GB"/>
        </w:rPr>
        <w:t xml:space="preserve"> </w:t>
      </w:r>
      <w:r>
        <w:rPr>
          <w:rFonts w:ascii="Times New Roman" w:hAnsi="Times New Roman" w:cs="Times New Roman"/>
          <w:noProof/>
          <w:sz w:val="24"/>
          <w:szCs w:val="24"/>
          <w:lang w:val="en-GB"/>
        </w:rPr>
        <w:t xml:space="preserve">variant includes the same policies at EU and MS levels as the BSL and thus their results are very similar. For this reason, the results of the EU-NECP variant are not reported in the section below. The analysis of the </w:t>
      </w:r>
      <w:r>
        <w:rPr>
          <w:rStyle w:val="None"/>
          <w:rFonts w:ascii="Times New Roman" w:hAnsi="Times New Roman"/>
          <w:noProof/>
          <w:sz w:val="24"/>
          <w:szCs w:val="24"/>
          <w:lang w:val="en-GB"/>
        </w:rPr>
        <w:t>COVID-MIX</w:t>
      </w:r>
      <w:r>
        <w:rPr>
          <w:rFonts w:ascii="Times New Roman" w:hAnsi="Times New Roman" w:cs="Times New Roman"/>
          <w:noProof/>
          <w:sz w:val="24"/>
          <w:szCs w:val="24"/>
          <w:lang w:val="en-GB"/>
        </w:rPr>
        <w:t xml:space="preserve"> variant is presented at the end and discussed in relation to the COVID-BSL.</w:t>
      </w:r>
    </w:p>
    <w:p>
      <w:pPr>
        <w:pStyle w:val="Heading2"/>
        <w:rPr>
          <w:noProof/>
        </w:rPr>
      </w:pPr>
      <w:bookmarkStart w:id="4830" w:name="_Toc51574854"/>
      <w:bookmarkStart w:id="4831" w:name="_Toc51575702"/>
      <w:bookmarkStart w:id="4832" w:name="_Toc51578100"/>
      <w:bookmarkStart w:id="4833" w:name="_Toc51582973"/>
      <w:bookmarkStart w:id="4834" w:name="_Toc51583448"/>
      <w:bookmarkStart w:id="4835" w:name="_Toc51583538"/>
      <w:bookmarkStart w:id="4836" w:name="_Toc51583823"/>
      <w:bookmarkStart w:id="4837" w:name="_Toc51584013"/>
      <w:bookmarkStart w:id="4838" w:name="_Toc51584032"/>
      <w:bookmarkStart w:id="4839" w:name="_Toc51586255"/>
      <w:bookmarkStart w:id="4840" w:name="_Toc51594058"/>
      <w:bookmarkStart w:id="4841" w:name="_Toc51594384"/>
      <w:bookmarkStart w:id="4842" w:name="_Toc51595362"/>
      <w:bookmarkStart w:id="4843" w:name="_Toc51595612"/>
      <w:bookmarkStart w:id="4844" w:name="_Toc51595938"/>
      <w:bookmarkStart w:id="4845" w:name="_Toc51596101"/>
      <w:bookmarkStart w:id="4846" w:name="_Toc51596454"/>
      <w:bookmarkStart w:id="4847" w:name="_Toc52121589"/>
      <w:bookmarkStart w:id="4848" w:name="_Toc52122820"/>
      <w:bookmarkStart w:id="4849" w:name="_Toc52123937"/>
      <w:bookmarkStart w:id="4850" w:name="_Toc53405398"/>
      <w:bookmarkStart w:id="4851" w:name="_Toc53406185"/>
      <w:bookmarkStart w:id="4852" w:name="_Toc53407554"/>
      <w:bookmarkStart w:id="4853" w:name="_Toc53410998"/>
      <w:bookmarkStart w:id="4854" w:name="_Toc53412061"/>
      <w:bookmarkStart w:id="4855" w:name="_Toc53417308"/>
      <w:bookmarkStart w:id="4856" w:name="_Toc53417660"/>
      <w:bookmarkStart w:id="4857" w:name="_Toc53419895"/>
      <w:bookmarkStart w:id="4858" w:name="_Toc53434998"/>
      <w:bookmarkStart w:id="4859" w:name="_Toc53437137"/>
      <w:bookmarkStart w:id="4860" w:name="_Toc57291543"/>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r>
        <w:rPr>
          <w:noProof/>
        </w:rPr>
        <w:t>Analysis of impacts of the pathways/scenarios</w:t>
      </w:r>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p>
    <w:p>
      <w:pPr>
        <w:pStyle w:val="Heading3"/>
        <w:rPr>
          <w:noProof/>
        </w:rPr>
      </w:pPr>
      <w:bookmarkStart w:id="4861" w:name="_Toc456532489"/>
      <w:bookmarkStart w:id="4862" w:name="_Toc51574855"/>
      <w:bookmarkStart w:id="4863" w:name="_Toc51575703"/>
      <w:bookmarkStart w:id="4864" w:name="_Toc51578101"/>
      <w:bookmarkStart w:id="4865" w:name="_Toc51582974"/>
      <w:bookmarkStart w:id="4866" w:name="_Toc51583449"/>
      <w:bookmarkStart w:id="4867" w:name="_Toc51583539"/>
      <w:bookmarkStart w:id="4868" w:name="_Toc51583824"/>
      <w:bookmarkStart w:id="4869" w:name="_Toc51584014"/>
      <w:bookmarkStart w:id="4870" w:name="_Toc51584033"/>
      <w:bookmarkStart w:id="4871" w:name="_Toc51586256"/>
      <w:bookmarkStart w:id="4872" w:name="_Toc51594059"/>
      <w:bookmarkStart w:id="4873" w:name="_Toc51594385"/>
      <w:bookmarkStart w:id="4874" w:name="_Toc51595363"/>
      <w:bookmarkStart w:id="4875" w:name="_Toc51595613"/>
      <w:bookmarkStart w:id="4876" w:name="_Toc51595939"/>
      <w:bookmarkStart w:id="4877" w:name="_Toc51596102"/>
      <w:bookmarkStart w:id="4878" w:name="_Toc51596455"/>
      <w:bookmarkStart w:id="4879" w:name="_Toc52121590"/>
      <w:bookmarkStart w:id="4880" w:name="_Toc52122821"/>
      <w:bookmarkStart w:id="4881" w:name="_Toc52123938"/>
      <w:bookmarkStart w:id="4882" w:name="_Toc53405399"/>
      <w:bookmarkStart w:id="4883" w:name="_Toc53406186"/>
      <w:bookmarkStart w:id="4884" w:name="_Toc53407555"/>
      <w:bookmarkStart w:id="4885" w:name="_Toc53410999"/>
      <w:bookmarkStart w:id="4886" w:name="_Toc53412062"/>
      <w:bookmarkStart w:id="4887" w:name="_Toc53417309"/>
      <w:bookmarkStart w:id="4888" w:name="_Toc53417661"/>
      <w:bookmarkStart w:id="4889" w:name="_Toc53419896"/>
      <w:bookmarkStart w:id="4890" w:name="_Toc53434999"/>
      <w:bookmarkStart w:id="4891" w:name="_Toc53437138"/>
      <w:bookmarkStart w:id="4892" w:name="_Toc57291544"/>
      <w:r>
        <w:rPr>
          <w:noProof/>
        </w:rPr>
        <w:t>Impacts on transport activity</w:t>
      </w:r>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b/>
          <w:bCs/>
          <w:noProof/>
          <w:sz w:val="24"/>
          <w:szCs w:val="24"/>
          <w:lang w:val="en-GB"/>
        </w:rPr>
        <w:t>Passenger transport activity</w:t>
      </w:r>
      <w:r>
        <w:rPr>
          <w:rFonts w:ascii="Times New Roman" w:hAnsi="Times New Roman" w:cs="Times New Roman"/>
          <w:noProof/>
          <w:sz w:val="24"/>
          <w:szCs w:val="24"/>
          <w:lang w:val="en-GB"/>
        </w:rPr>
        <w:t xml:space="preserve"> is projected to continue growing relative to 2015 (about 18-20% increase by 2030 and 32-34% by 2050) in all policy scenarios. Active policies in place for stimulating change in the transport system and fostering greater use of more sustainable transport modes and multi-modal solutions through a large and well-integrated range of clean and connected mobility options</w:t>
      </w:r>
      <w:r>
        <w:rPr>
          <w:rStyle w:val="FootnoteReference"/>
          <w:rFonts w:ascii="Times New Roman" w:hAnsi="Times New Roman" w:cs="Times New Roman"/>
          <w:noProof/>
          <w:sz w:val="24"/>
          <w:szCs w:val="24"/>
          <w:lang w:val="en-GB"/>
        </w:rPr>
        <w:footnoteReference w:id="616"/>
      </w:r>
      <w:r>
        <w:rPr>
          <w:rFonts w:ascii="Times New Roman" w:hAnsi="Times New Roman" w:cs="Times New Roman"/>
          <w:noProof/>
          <w:sz w:val="24"/>
          <w:szCs w:val="24"/>
          <w:lang w:val="en-GB"/>
        </w:rPr>
        <w:t xml:space="preserve">, put however a brake on the expansion of passenger cars activity compared to the Baseline.    </w:t>
      </w:r>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CPRICE scenario, the carbon pricing and the gradual internalisation of external costs (“smart” pricing) for buses, cars and vans, favour greater use of rail. The MIX and REG scenarios also reflect specific measures that support multimodal mobility and investments in sustainable, safe and smart transport, measures that incentivise connected mobility and improved traffic management and measures to support sustainable urban transport. In addition, the REG scenario covers additional measures to push digitalisation and automation in transport. Rail transport activity is projected to increase the most in the MIX, REG and ALLBNK scenarios, by 10-13% in 2030 relative to BSL (13-16% in 2050). This is equivalent to 46-49% growth over the 2015-2030 period (88-93% growth for 2015-2050). High speed rail activity would double by 2030 and triple by 2050, relative to 2015, replacing some short-haul flights.</w:t>
      </w:r>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Incentives for sustainable urban transport and the review of energy taxation would lead to higher impact on passenger cars in the MIX, REG and ALLBNK scenarios relative to CPRICE, resulting in 0.8-1.8% decrease in cars activity relative to the BSL in 2030 (around 6% reduction in 2050). At the same time, measures promoting urban policies that curb pollutant emissions and increase the efficiency of transport operations drive greater use of collective transport modes (i.e. buses, but also tram and metro where available) in these scenarios; the activity of buses and coaches goes up substantially compared to BSL (8.5-10.8% increase in 2030 and up to 16% in 2050).</w:t>
      </w:r>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CPRICE and ALLBNK scenarios show higher impacts on intra-EU air transport activity, driven by carbon pricing and other technical and operational measures, projecting a decline of 0.7 to 1.1% by 2030 compared to BSL respectively (over 2% reduction in 2050). In general, ALLBNK strengthens the effects of MIX. In the less ambitious MIX-50 scenario, intra-EU air transport activity reduces by 0.4% compared to BSL in 2030 (1.7% decrease in 2050). The impact on extra-EU air transport is similar with the highest impact projected in the ALLBNK scenario (1.1% decrease in 2030 and 1.7% in 2050 relative to BSL). Compared to 2015 however all scenarios project sustained growth for both intra and extra-EU air transport activity.</w:t>
      </w:r>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Activity of passenger inland navigation (inland waterways and national maritime transport) increases most in MIX, REG and ALLBNK (30-31% for 2015-2030 and 51% for 2015-2050), supported by policies.</w:t>
      </w:r>
    </w:p>
    <w:p>
      <w:pPr>
        <w:pStyle w:val="Caption"/>
        <w:keepLines/>
        <w:tabs>
          <w:tab w:val="left" w:pos="0"/>
        </w:tabs>
        <w:spacing w:before="0" w:after="0"/>
        <w:jc w:val="center"/>
        <w:rPr>
          <w:i w:val="0"/>
          <w:noProof/>
        </w:rPr>
      </w:pPr>
      <w:bookmarkStart w:id="4893" w:name="_Ref50913172"/>
      <w:bookmarkStart w:id="4894" w:name="_Toc51593799"/>
      <w:bookmarkStart w:id="4895" w:name="_Toc51595266"/>
      <w:bookmarkStart w:id="4896" w:name="_Toc51595516"/>
      <w:bookmarkStart w:id="4897" w:name="_Toc51595842"/>
      <w:bookmarkStart w:id="4898" w:name="_Toc51596005"/>
      <w:bookmarkStart w:id="4899" w:name="_Toc52121492"/>
      <w:bookmarkStart w:id="4900" w:name="_Toc52122723"/>
      <w:bookmarkStart w:id="4901" w:name="_Toc53405287"/>
      <w:bookmarkStart w:id="4902" w:name="_Toc53406077"/>
      <w:bookmarkStart w:id="4903" w:name="_Toc53407443"/>
      <w:bookmarkStart w:id="4904" w:name="_Toc53410890"/>
      <w:bookmarkStart w:id="4905" w:name="_Toc53411953"/>
      <w:bookmarkStart w:id="4906" w:name="_Toc53417200"/>
      <w:bookmarkStart w:id="4907" w:name="_Toc53417552"/>
      <w:bookmarkStart w:id="4908" w:name="_Toc53419585"/>
      <w:bookmarkStart w:id="4909" w:name="_Toc53434890"/>
      <w:bookmarkStart w:id="4910" w:name="_Toc53437030"/>
      <w:bookmarkStart w:id="4911" w:name="_Toc57291689"/>
      <w:r>
        <w:rPr>
          <w:i w:val="0"/>
          <w:noProof/>
        </w:rPr>
        <w:t xml:space="preserve">Figure </w:t>
      </w:r>
      <w:r>
        <w:rPr>
          <w:noProof/>
        </w:rPr>
        <w:fldChar w:fldCharType="begin"/>
      </w:r>
      <w:r>
        <w:rPr>
          <w:i w:val="0"/>
          <w:noProof/>
          <w:szCs w:val="22"/>
        </w:rPr>
        <w:instrText xml:space="preserve"> SEQ Figure \* ARABIC </w:instrText>
      </w:r>
      <w:r>
        <w:rPr>
          <w:i w:val="0"/>
          <w:noProof/>
          <w:szCs w:val="22"/>
        </w:rPr>
        <w:fldChar w:fldCharType="separate"/>
      </w:r>
      <w:r>
        <w:rPr>
          <w:i w:val="0"/>
          <w:noProof/>
          <w:szCs w:val="22"/>
        </w:rPr>
        <w:t>45</w:t>
      </w:r>
      <w:r>
        <w:rPr>
          <w:noProof/>
        </w:rPr>
        <w:fldChar w:fldCharType="end"/>
      </w:r>
      <w:bookmarkEnd w:id="4893"/>
      <w:r>
        <w:rPr>
          <w:i w:val="0"/>
          <w:noProof/>
        </w:rPr>
        <w:t>: Passenger transport activity in the Baseline and the policy scenarios (cumulative growth rates for 2015-2030 and 2015-2050)</w:t>
      </w:r>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p>
    <w:p>
      <w:pPr>
        <w:keepLines/>
        <w:autoSpaceDE w:val="0"/>
        <w:autoSpaceDN w:val="0"/>
        <w:adjustRightInd w:val="0"/>
        <w:spacing w:after="0"/>
        <w:rPr>
          <w:i/>
          <w:noProof/>
          <w:sz w:val="16"/>
          <w:szCs w:val="16"/>
          <w:lang w:val="it-IT"/>
        </w:rPr>
      </w:pPr>
      <w:r>
        <w:rPr>
          <w:noProof/>
        </w:rPr>
        <w:drawing>
          <wp:inline distT="0" distB="0" distL="0" distR="0">
            <wp:extent cx="2664460" cy="2517775"/>
            <wp:effectExtent l="0" t="0" r="2540" b="0"/>
            <wp:docPr id="11684521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3" cstate="email">
                      <a:extLst>
                        <a:ext uri="{28A0092B-C50C-407E-A947-70E740481C1C}">
                          <a14:useLocalDpi xmlns:a14="http://schemas.microsoft.com/office/drawing/2010/main"/>
                        </a:ext>
                      </a:extLst>
                    </a:blip>
                    <a:stretch>
                      <a:fillRect/>
                    </a:stretch>
                  </pic:blipFill>
                  <pic:spPr>
                    <a:xfrm>
                      <a:off x="0" y="0"/>
                      <a:ext cx="2664460" cy="2517775"/>
                    </a:xfrm>
                    <a:prstGeom prst="rect">
                      <a:avLst/>
                    </a:prstGeom>
                  </pic:spPr>
                </pic:pic>
              </a:graphicData>
            </a:graphic>
          </wp:inline>
        </w:drawing>
      </w:r>
      <w:r>
        <w:rPr>
          <w:noProof/>
        </w:rPr>
        <w:drawing>
          <wp:inline distT="0" distB="0" distL="0" distR="0">
            <wp:extent cx="2670175" cy="2524125"/>
            <wp:effectExtent l="0" t="0" r="0" b="9525"/>
            <wp:docPr id="11797317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4" cstate="email">
                      <a:extLst>
                        <a:ext uri="{28A0092B-C50C-407E-A947-70E740481C1C}">
                          <a14:useLocalDpi xmlns:a14="http://schemas.microsoft.com/office/drawing/2010/main"/>
                        </a:ext>
                      </a:extLst>
                    </a:blip>
                    <a:stretch>
                      <a:fillRect/>
                    </a:stretch>
                  </pic:blipFill>
                  <pic:spPr>
                    <a:xfrm>
                      <a:off x="0" y="0"/>
                      <a:ext cx="2670175" cy="2524125"/>
                    </a:xfrm>
                    <a:prstGeom prst="rect">
                      <a:avLst/>
                    </a:prstGeom>
                  </pic:spPr>
                </pic:pic>
              </a:graphicData>
            </a:graphic>
          </wp:inline>
        </w:drawing>
      </w:r>
    </w:p>
    <w:p>
      <w:pPr>
        <w:keepLines/>
        <w:autoSpaceDE w:val="0"/>
        <w:autoSpaceDN w:val="0"/>
        <w:adjustRightInd w:val="0"/>
        <w:spacing w:after="0"/>
        <w:rPr>
          <w:i/>
          <w:noProof/>
          <w:sz w:val="16"/>
          <w:szCs w:val="16"/>
          <w:lang w:val="en-US"/>
        </w:rPr>
      </w:pPr>
      <w:r>
        <w:rPr>
          <w:i/>
          <w:iCs/>
          <w:noProof/>
          <w:sz w:val="16"/>
          <w:szCs w:val="16"/>
          <w:lang w:val="en-US"/>
        </w:rPr>
        <w:t>Source: PRIMES-TREMOVE transport model (E3Modelling)</w:t>
      </w:r>
    </w:p>
    <w:p>
      <w:pPr>
        <w:keepLines/>
        <w:rPr>
          <w:i/>
          <w:noProof/>
          <w:sz w:val="16"/>
          <w:szCs w:val="16"/>
        </w:rPr>
      </w:pPr>
      <w:r>
        <w:rPr>
          <w:i/>
          <w:iCs/>
          <w:noProof/>
          <w:sz w:val="16"/>
          <w:szCs w:val="16"/>
        </w:rPr>
        <w:t>Note: For aviation, domestic and international intra-EU activity is reported, to maintain the comparability with reported statistics.</w:t>
      </w:r>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b/>
          <w:bCs/>
          <w:noProof/>
          <w:sz w:val="24"/>
          <w:szCs w:val="24"/>
          <w:lang w:val="en-GB"/>
        </w:rPr>
        <w:t>For freight transport activity</w:t>
      </w:r>
      <w:r>
        <w:rPr>
          <w:rFonts w:ascii="Times New Roman" w:hAnsi="Times New Roman" w:cs="Times New Roman"/>
          <w:noProof/>
          <w:sz w:val="24"/>
          <w:szCs w:val="24"/>
          <w:lang w:val="en-GB"/>
        </w:rPr>
        <w:t xml:space="preserve">, greater use of rail, inland waterways and short sea shipping is projected in all scenarios, driven by initiatives to increase and better manage the capacity of railways and waterborne transport, incentives for intermodal transport and gradual internalisation of external costs (“smart” pricing).    </w:t>
      </w:r>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Rail freight activity is projected to increase significantly in the MIX-50, MIX, REG and ALLBNK scenarios relative to the BSL (by 9-13% in 2030 and 11-17% in 2050), with the highest increase taking place in REG. This is equivalent to 53-58% rise in rail freight transport activity during 2015-2030 and 102-111% for 2015-2050. Inland waterways and national maritime transport activity would be 7-11% higher relative to the BSL in 2030 and 13-15% higher in 2050 (equivalent to 27-32% growth for 2015-2030 and 53-56% for 2015-2050) in the MIX-50, MIX, REG and ALLBNK. These significant impacts are driven by support to multimodal mobility and intermodal freight transport by rail, inland waterways and short sea shipping. The impacts are more limited in the CPRICE scenario that relies more on carbon pricing.    </w:t>
      </w:r>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 Road freight activity declines by 1.7 to 3.1% in 2030 relative to the BSL in the policy scenarios (2.1 to 6.3% decrease in 2050). The highest decrease relative to the BSL is projected in REG, driven by the revision of energy taxation, ambitious measures to gradually internalise the external costs (“smart” pricing) and other measures to improve the efficiency of road freight transport, and in the ALLBNK scenario. In MIX-50, road transport activity declines by 2.2% in 2030 relative to BSL (4.8% decrease in 2050). Compared to 2015 however road freight transport activity still shows sustained growth over time.</w:t>
      </w:r>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International intra-EU and extra-EU maritime transport activity is projected to grow slightly less than in BSL (around 22% for 2015-2030) despite some shifts taking place from road to short sea shipping. This is primarily due to lower imports and thus transport demand for fossil fuels. Short sea shipping, covering national and a part of international maritime transport activity, would grow by 23-24% in the MIX-50, MIX, REG and ALLBNK scenarios by 2030 relative to 2015 and 46-49% by 2050. </w:t>
      </w:r>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Overall, inland waterways and short sea shipping activity is projected to growth by 23-24% in the MIX-50, MIX, REG and ALLBNK scenarios by 2030 relative to 2015 and 47-50% by 2050.</w:t>
      </w:r>
    </w:p>
    <w:p>
      <w:pPr>
        <w:pStyle w:val="BodyA"/>
        <w:spacing w:after="60" w:line="240" w:lineRule="auto"/>
        <w:ind w:left="476"/>
        <w:jc w:val="both"/>
        <w:rPr>
          <w:rFonts w:ascii="Times New Roman" w:hAnsi="Times New Roman" w:cs="Times New Roman"/>
          <w:noProof/>
          <w:sz w:val="24"/>
          <w:szCs w:val="24"/>
          <w:lang w:val="en-GB"/>
        </w:rPr>
      </w:pPr>
    </w:p>
    <w:p>
      <w:pPr>
        <w:pStyle w:val="Caption"/>
        <w:keepLines/>
        <w:tabs>
          <w:tab w:val="left" w:pos="0"/>
        </w:tabs>
        <w:spacing w:before="0" w:after="0"/>
        <w:jc w:val="center"/>
        <w:rPr>
          <w:i w:val="0"/>
          <w:noProof/>
        </w:rPr>
      </w:pPr>
      <w:bookmarkStart w:id="4912" w:name="_Ref50925185"/>
      <w:bookmarkStart w:id="4913" w:name="_Toc51593800"/>
      <w:bookmarkStart w:id="4914" w:name="_Toc51595267"/>
      <w:bookmarkStart w:id="4915" w:name="_Toc51595517"/>
      <w:bookmarkStart w:id="4916" w:name="_Toc51595843"/>
      <w:bookmarkStart w:id="4917" w:name="_Toc51596006"/>
      <w:bookmarkStart w:id="4918" w:name="_Toc52121493"/>
      <w:bookmarkStart w:id="4919" w:name="_Toc52122724"/>
      <w:bookmarkStart w:id="4920" w:name="_Toc53405288"/>
      <w:bookmarkStart w:id="4921" w:name="_Toc53406078"/>
      <w:bookmarkStart w:id="4922" w:name="_Toc53407444"/>
      <w:bookmarkStart w:id="4923" w:name="_Toc53410891"/>
      <w:bookmarkStart w:id="4924" w:name="_Toc53411954"/>
      <w:bookmarkStart w:id="4925" w:name="_Toc53417201"/>
      <w:bookmarkStart w:id="4926" w:name="_Toc53417553"/>
      <w:bookmarkStart w:id="4927" w:name="_Toc53419586"/>
      <w:bookmarkStart w:id="4928" w:name="_Toc53434891"/>
      <w:bookmarkStart w:id="4929" w:name="_Toc53437031"/>
      <w:bookmarkStart w:id="4930" w:name="_Toc57291690"/>
      <w:r>
        <w:rPr>
          <w:i w:val="0"/>
          <w:noProof/>
        </w:rPr>
        <w:t xml:space="preserve">Figure </w:t>
      </w:r>
      <w:r>
        <w:rPr>
          <w:noProof/>
        </w:rPr>
        <w:fldChar w:fldCharType="begin"/>
      </w:r>
      <w:r>
        <w:rPr>
          <w:i w:val="0"/>
          <w:noProof/>
          <w:szCs w:val="22"/>
        </w:rPr>
        <w:instrText xml:space="preserve"> SEQ Figure \* ARABIC </w:instrText>
      </w:r>
      <w:r>
        <w:rPr>
          <w:i w:val="0"/>
          <w:noProof/>
          <w:szCs w:val="22"/>
        </w:rPr>
        <w:fldChar w:fldCharType="separate"/>
      </w:r>
      <w:r>
        <w:rPr>
          <w:i w:val="0"/>
          <w:noProof/>
          <w:szCs w:val="22"/>
        </w:rPr>
        <w:t>46</w:t>
      </w:r>
      <w:r>
        <w:rPr>
          <w:noProof/>
        </w:rPr>
        <w:fldChar w:fldCharType="end"/>
      </w:r>
      <w:bookmarkEnd w:id="4912"/>
      <w:r>
        <w:rPr>
          <w:i w:val="0"/>
          <w:noProof/>
        </w:rPr>
        <w:t>: Freight transport activity in the Baseline and the policy scenarios (cumulative growth rates for 2015-2030 and 2015-2050)</w:t>
      </w:r>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p>
    <w:p>
      <w:pPr>
        <w:keepLines/>
        <w:autoSpaceDE w:val="0"/>
        <w:autoSpaceDN w:val="0"/>
        <w:adjustRightInd w:val="0"/>
        <w:spacing w:after="0"/>
        <w:rPr>
          <w:i/>
          <w:noProof/>
          <w:sz w:val="16"/>
          <w:szCs w:val="16"/>
          <w:lang w:val="it-IT"/>
        </w:rPr>
      </w:pPr>
      <w:r>
        <w:rPr>
          <w:noProof/>
        </w:rPr>
        <w:drawing>
          <wp:inline distT="0" distB="0" distL="0" distR="0">
            <wp:extent cx="2670175" cy="2517775"/>
            <wp:effectExtent l="0" t="0" r="0" b="0"/>
            <wp:docPr id="7909622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5" cstate="email">
                      <a:extLst>
                        <a:ext uri="{28A0092B-C50C-407E-A947-70E740481C1C}">
                          <a14:useLocalDpi xmlns:a14="http://schemas.microsoft.com/office/drawing/2010/main"/>
                        </a:ext>
                      </a:extLst>
                    </a:blip>
                    <a:stretch>
                      <a:fillRect/>
                    </a:stretch>
                  </pic:blipFill>
                  <pic:spPr>
                    <a:xfrm>
                      <a:off x="0" y="0"/>
                      <a:ext cx="2670175" cy="2517775"/>
                    </a:xfrm>
                    <a:prstGeom prst="rect">
                      <a:avLst/>
                    </a:prstGeom>
                  </pic:spPr>
                </pic:pic>
              </a:graphicData>
            </a:graphic>
          </wp:inline>
        </w:drawing>
      </w:r>
      <w:r>
        <w:rPr>
          <w:noProof/>
        </w:rPr>
        <w:drawing>
          <wp:inline distT="0" distB="0" distL="0" distR="0">
            <wp:extent cx="2670175" cy="2517775"/>
            <wp:effectExtent l="0" t="0" r="0" b="0"/>
            <wp:docPr id="18079520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6" cstate="email">
                      <a:extLst>
                        <a:ext uri="{28A0092B-C50C-407E-A947-70E740481C1C}">
                          <a14:useLocalDpi xmlns:a14="http://schemas.microsoft.com/office/drawing/2010/main"/>
                        </a:ext>
                      </a:extLst>
                    </a:blip>
                    <a:stretch>
                      <a:fillRect/>
                    </a:stretch>
                  </pic:blipFill>
                  <pic:spPr>
                    <a:xfrm>
                      <a:off x="0" y="0"/>
                      <a:ext cx="2670175" cy="2517775"/>
                    </a:xfrm>
                    <a:prstGeom prst="rect">
                      <a:avLst/>
                    </a:prstGeom>
                  </pic:spPr>
                </pic:pic>
              </a:graphicData>
            </a:graphic>
          </wp:inline>
        </w:drawing>
      </w:r>
    </w:p>
    <w:p>
      <w:pPr>
        <w:keepLines/>
        <w:autoSpaceDE w:val="0"/>
        <w:autoSpaceDN w:val="0"/>
        <w:adjustRightInd w:val="0"/>
        <w:spacing w:after="0"/>
        <w:rPr>
          <w:i/>
          <w:noProof/>
          <w:sz w:val="16"/>
          <w:szCs w:val="16"/>
          <w:lang w:val="en-US"/>
        </w:rPr>
      </w:pPr>
      <w:r>
        <w:rPr>
          <w:i/>
          <w:iCs/>
          <w:noProof/>
          <w:sz w:val="16"/>
          <w:szCs w:val="16"/>
          <w:lang w:val="en-US"/>
        </w:rPr>
        <w:t>Source: PRIMES-TREMOVE transport model (E3Modelling)</w:t>
      </w:r>
    </w:p>
    <w:p>
      <w:pPr>
        <w:keepLines/>
        <w:rPr>
          <w:i/>
          <w:noProof/>
          <w:sz w:val="16"/>
          <w:szCs w:val="16"/>
        </w:rPr>
      </w:pPr>
      <w:r>
        <w:rPr>
          <w:i/>
          <w:iCs/>
          <w:noProof/>
          <w:sz w:val="16"/>
          <w:szCs w:val="16"/>
        </w:rPr>
        <w:t>Note: Excluding international maritime.</w:t>
      </w:r>
    </w:p>
    <w:p>
      <w:pPr>
        <w:keepLines/>
        <w:rPr>
          <w:i/>
          <w:iCs/>
          <w:noProof/>
          <w:sz w:val="16"/>
          <w:szCs w:val="16"/>
        </w:rPr>
      </w:pPr>
    </w:p>
    <w:p>
      <w:pPr>
        <w:pStyle w:val="Heading3"/>
        <w:rPr>
          <w:noProof/>
        </w:rPr>
      </w:pPr>
      <w:bookmarkStart w:id="4931" w:name="_Toc51574856"/>
      <w:bookmarkStart w:id="4932" w:name="_Toc51575704"/>
      <w:bookmarkStart w:id="4933" w:name="_Toc51578102"/>
      <w:bookmarkStart w:id="4934" w:name="_Toc51582975"/>
      <w:bookmarkStart w:id="4935" w:name="_Toc51583450"/>
      <w:bookmarkStart w:id="4936" w:name="_Toc51583540"/>
      <w:bookmarkStart w:id="4937" w:name="_Toc51583825"/>
      <w:bookmarkStart w:id="4938" w:name="_Toc51584015"/>
      <w:bookmarkStart w:id="4939" w:name="_Toc51584034"/>
      <w:bookmarkStart w:id="4940" w:name="_Toc51586257"/>
      <w:bookmarkStart w:id="4941" w:name="_Toc51594060"/>
      <w:bookmarkStart w:id="4942" w:name="_Toc51594386"/>
      <w:bookmarkStart w:id="4943" w:name="_Toc51595364"/>
      <w:bookmarkStart w:id="4944" w:name="_Toc51595614"/>
      <w:bookmarkStart w:id="4945" w:name="_Toc51595940"/>
      <w:bookmarkStart w:id="4946" w:name="_Toc51596103"/>
      <w:bookmarkStart w:id="4947" w:name="_Toc51596456"/>
      <w:bookmarkStart w:id="4948" w:name="_Toc52121591"/>
      <w:bookmarkStart w:id="4949" w:name="_Toc52122822"/>
      <w:bookmarkStart w:id="4950" w:name="_Toc52123939"/>
      <w:bookmarkStart w:id="4951" w:name="_Toc53405400"/>
      <w:bookmarkStart w:id="4952" w:name="_Toc53406187"/>
      <w:bookmarkStart w:id="4953" w:name="_Toc53407556"/>
      <w:bookmarkStart w:id="4954" w:name="_Toc53411000"/>
      <w:bookmarkStart w:id="4955" w:name="_Toc53412063"/>
      <w:bookmarkStart w:id="4956" w:name="_Toc53417310"/>
      <w:bookmarkStart w:id="4957" w:name="_Toc53417662"/>
      <w:bookmarkStart w:id="4958" w:name="_Toc53419897"/>
      <w:bookmarkStart w:id="4959" w:name="_Toc53435000"/>
      <w:bookmarkStart w:id="4960" w:name="_Toc53437139"/>
      <w:bookmarkStart w:id="4961" w:name="_Toc57291545"/>
      <w:r>
        <w:rPr>
          <w:noProof/>
        </w:rPr>
        <w:t>Technology development projections by transport mode</w:t>
      </w:r>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p>
    <w:p>
      <w:pPr>
        <w:pStyle w:val="Heading4"/>
        <w:rPr>
          <w:noProof/>
        </w:rPr>
      </w:pPr>
      <w:bookmarkStart w:id="4962" w:name="_Toc51574857"/>
      <w:bookmarkStart w:id="4963" w:name="_Toc51575705"/>
      <w:bookmarkStart w:id="4964" w:name="_Toc51578103"/>
      <w:bookmarkStart w:id="4965" w:name="_Toc51582976"/>
      <w:bookmarkStart w:id="4966" w:name="_Toc51583451"/>
      <w:bookmarkStart w:id="4967" w:name="_Toc51583541"/>
      <w:bookmarkStart w:id="4968" w:name="_Toc51583826"/>
      <w:bookmarkStart w:id="4969" w:name="_Toc51584016"/>
      <w:bookmarkStart w:id="4970" w:name="_Toc51584035"/>
      <w:bookmarkStart w:id="4971" w:name="_Toc51586258"/>
      <w:bookmarkStart w:id="4972" w:name="_Toc51594061"/>
      <w:bookmarkStart w:id="4973" w:name="_Toc51594387"/>
      <w:bookmarkStart w:id="4974" w:name="_Toc51595365"/>
      <w:bookmarkStart w:id="4975" w:name="_Toc51595615"/>
      <w:bookmarkStart w:id="4976" w:name="_Toc51595941"/>
      <w:bookmarkStart w:id="4977" w:name="_Toc51596104"/>
      <w:bookmarkStart w:id="4978" w:name="_Toc51596457"/>
      <w:bookmarkStart w:id="4979" w:name="_Toc52121592"/>
      <w:bookmarkStart w:id="4980" w:name="_Toc52122823"/>
      <w:bookmarkStart w:id="4981" w:name="_Toc52123940"/>
      <w:bookmarkStart w:id="4982" w:name="_Toc53405401"/>
      <w:bookmarkStart w:id="4983" w:name="_Toc53406188"/>
      <w:bookmarkStart w:id="4984" w:name="_Toc53407557"/>
      <w:bookmarkStart w:id="4985" w:name="_Toc53411001"/>
      <w:bookmarkStart w:id="4986" w:name="_Toc53412064"/>
      <w:bookmarkStart w:id="4987" w:name="_Toc53417311"/>
      <w:bookmarkStart w:id="4988" w:name="_Toc53417663"/>
      <w:bookmarkStart w:id="4989" w:name="_Toc53419898"/>
      <w:bookmarkStart w:id="4990" w:name="_Toc53435001"/>
      <w:bookmarkStart w:id="4991" w:name="_Toc53437140"/>
      <w:bookmarkStart w:id="4992" w:name="_Toc57291546"/>
      <w:r>
        <w:rPr>
          <w:noProof/>
        </w:rPr>
        <w:t>Road transport</w:t>
      </w:r>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p>
    <w:p>
      <w:pPr>
        <w:pStyle w:val="BodyA"/>
        <w:numPr>
          <w:ilvl w:val="0"/>
          <w:numId w:val="89"/>
        </w:numPr>
        <w:spacing w:after="60" w:line="240" w:lineRule="auto"/>
        <w:jc w:val="both"/>
        <w:rPr>
          <w:rStyle w:val="None"/>
          <w:rFonts w:ascii="Times New Roman" w:hAnsi="Times New Roman" w:cs="Times New Roman"/>
          <w:noProof/>
          <w:sz w:val="24"/>
          <w:szCs w:val="24"/>
          <w:lang w:val="en-GB"/>
        </w:rPr>
      </w:pPr>
      <w:r>
        <w:rPr>
          <w:rFonts w:ascii="Times New Roman" w:hAnsi="Times New Roman" w:cs="Times New Roman"/>
          <w:noProof/>
          <w:sz w:val="24"/>
          <w:szCs w:val="24"/>
          <w:lang w:val="en-GB"/>
        </w:rPr>
        <w:t>CO</w:t>
      </w:r>
      <w:r>
        <w:rPr>
          <w:rFonts w:ascii="Times New Roman" w:hAnsi="Times New Roman" w:cs="Times New Roman"/>
          <w:noProof/>
          <w:sz w:val="24"/>
          <w:szCs w:val="24"/>
          <w:vertAlign w:val="subscript"/>
          <w:lang w:val="en-GB"/>
        </w:rPr>
        <w:t>2</w:t>
      </w:r>
      <w:r>
        <w:rPr>
          <w:rFonts w:ascii="Times New Roman" w:hAnsi="Times New Roman" w:cs="Times New Roman"/>
          <w:noProof/>
          <w:sz w:val="24"/>
          <w:szCs w:val="24"/>
          <w:lang w:val="en-GB"/>
        </w:rPr>
        <w:t xml:space="preserve"> emissions standards for vehicles play a key role in emissions reductions, energy consumption and uptake of powertrain technologies. Intensification of their stringency has an important impact on the penetration of zero- and low-emission vehicles and on GHG emission reductions by 2030. They are instrumental in further reducing emissions and energy consumption in the period post-2030 leading to a faster penetration of zero-emission vehicles. The uptake of </w:t>
      </w:r>
      <w:r>
        <w:rPr>
          <w:rStyle w:val="None"/>
          <w:rFonts w:ascii="Times New Roman" w:hAnsi="Times New Roman" w:cs="Times New Roman"/>
          <w:noProof/>
          <w:sz w:val="24"/>
          <w:szCs w:val="24"/>
          <w:lang w:val="en-GB"/>
        </w:rPr>
        <w:t xml:space="preserve">renewable and low carbon fuels such as biofuels, biomethane and e-fuels (enabled by their use in internal combustion engines), carbon pricing and the improvements in the transport system efficiency, enabled by digitalisation and greater use of more sustainable transport modes, also play an important role in reducing road transport </w:t>
      </w:r>
      <w:r>
        <w:rPr>
          <w:rFonts w:ascii="Times New Roman" w:hAnsi="Times New Roman" w:cs="Times New Roman"/>
          <w:noProof/>
          <w:sz w:val="24"/>
          <w:szCs w:val="24"/>
          <w:lang w:val="en-GB"/>
        </w:rPr>
        <w:t>CO</w:t>
      </w:r>
      <w:r>
        <w:rPr>
          <w:rFonts w:ascii="Times New Roman" w:hAnsi="Times New Roman" w:cs="Times New Roman"/>
          <w:noProof/>
          <w:sz w:val="24"/>
          <w:szCs w:val="24"/>
          <w:vertAlign w:val="subscript"/>
          <w:lang w:val="en-GB"/>
        </w:rPr>
        <w:t xml:space="preserve">2 </w:t>
      </w:r>
      <w:r>
        <w:rPr>
          <w:rStyle w:val="None"/>
          <w:rFonts w:ascii="Times New Roman" w:hAnsi="Times New Roman" w:cs="Times New Roman"/>
          <w:noProof/>
          <w:sz w:val="24"/>
          <w:szCs w:val="24"/>
          <w:lang w:val="en-GB"/>
        </w:rPr>
        <w:t>emissions.</w:t>
      </w:r>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It is important to note that amongst the three main pollutants of road transport (CO</w:t>
      </w:r>
      <w:r>
        <w:rPr>
          <w:rFonts w:ascii="Times New Roman" w:hAnsi="Times New Roman" w:cs="Times New Roman"/>
          <w:noProof/>
          <w:sz w:val="24"/>
          <w:szCs w:val="24"/>
          <w:vertAlign w:val="subscript"/>
          <w:lang w:val="en-GB"/>
        </w:rPr>
        <w:t>2</w:t>
      </w:r>
      <w:r>
        <w:rPr>
          <w:rFonts w:ascii="Times New Roman" w:hAnsi="Times New Roman" w:cs="Times New Roman"/>
          <w:noProof/>
          <w:sz w:val="24"/>
          <w:szCs w:val="24"/>
          <w:lang w:val="en-GB"/>
        </w:rPr>
        <w:t>, noise and air pollutants), reduction of CO</w:t>
      </w:r>
      <w:r>
        <w:rPr>
          <w:rFonts w:ascii="Times New Roman" w:hAnsi="Times New Roman" w:cs="Times New Roman"/>
          <w:noProof/>
          <w:sz w:val="24"/>
          <w:szCs w:val="24"/>
          <w:vertAlign w:val="subscript"/>
          <w:lang w:val="en-GB"/>
        </w:rPr>
        <w:t>2</w:t>
      </w:r>
      <w:r>
        <w:rPr>
          <w:rFonts w:ascii="Times New Roman" w:hAnsi="Times New Roman" w:cs="Times New Roman"/>
          <w:noProof/>
          <w:sz w:val="24"/>
          <w:szCs w:val="24"/>
          <w:lang w:val="en-GB"/>
        </w:rPr>
        <w:t xml:space="preserve"> emissions imply air pollutants reductions as well, thus constituting an additional benefit. This is not the case for noise, that need specific other technological solutions to be implemented together with the CO</w:t>
      </w:r>
      <w:r>
        <w:rPr>
          <w:rFonts w:ascii="Times New Roman" w:hAnsi="Times New Roman" w:cs="Times New Roman"/>
          <w:noProof/>
          <w:sz w:val="24"/>
          <w:szCs w:val="24"/>
          <w:vertAlign w:val="subscript"/>
          <w:lang w:val="en-GB"/>
        </w:rPr>
        <w:t>2</w:t>
      </w:r>
      <w:r>
        <w:rPr>
          <w:rFonts w:ascii="Times New Roman" w:hAnsi="Times New Roman" w:cs="Times New Roman"/>
          <w:noProof/>
          <w:sz w:val="24"/>
          <w:szCs w:val="24"/>
          <w:lang w:val="en-GB"/>
        </w:rPr>
        <w:t xml:space="preserve"> emissions standards. Zero-emission vehicles can still emit the same noise levels as traditional combustion engine ones.</w:t>
      </w:r>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b/>
          <w:bCs/>
          <w:noProof/>
          <w:sz w:val="24"/>
          <w:szCs w:val="24"/>
          <w:lang w:val="en-GB"/>
        </w:rPr>
        <w:t>For passenger cars</w:t>
      </w:r>
      <w:r>
        <w:rPr>
          <w:rFonts w:ascii="Times New Roman" w:hAnsi="Times New Roman" w:cs="Times New Roman"/>
          <w:noProof/>
          <w:sz w:val="24"/>
          <w:szCs w:val="24"/>
          <w:lang w:val="en-GB"/>
        </w:rPr>
        <w:t xml:space="preserve">, the evolution of the vehicle stock by type of drivetrain technology in 2030 and 2050 is shown in </w:t>
      </w:r>
      <w:r>
        <w:rPr>
          <w:noProof/>
        </w:rPr>
        <w:fldChar w:fldCharType="begin"/>
      </w:r>
      <w:r>
        <w:rPr>
          <w:rFonts w:ascii="Times New Roman" w:hAnsi="Times New Roman" w:cs="Times New Roman"/>
          <w:noProof/>
          <w:sz w:val="24"/>
          <w:szCs w:val="24"/>
          <w:lang w:val="en-GB"/>
        </w:rPr>
        <w:instrText xml:space="preserve"> REF _Ref50929708 \h  \* MERGEFORMAT </w:instrText>
      </w:r>
      <w:r>
        <w:rPr>
          <w:noProof/>
        </w:rPr>
      </w:r>
      <w:r>
        <w:rPr>
          <w:rFonts w:ascii="Times New Roman" w:hAnsi="Times New Roman" w:cs="Times New Roman"/>
          <w:noProof/>
          <w:sz w:val="24"/>
          <w:szCs w:val="24"/>
          <w:lang w:val="en-GB"/>
        </w:rPr>
        <w:fldChar w:fldCharType="separate"/>
      </w:r>
      <w:r>
        <w:rPr>
          <w:rFonts w:ascii="Times New Roman" w:hAnsi="Times New Roman" w:cs="Times New Roman"/>
          <w:noProof/>
          <w:sz w:val="24"/>
          <w:szCs w:val="24"/>
          <w:lang w:val="en-GB"/>
        </w:rPr>
        <w:t>Figure 47</w:t>
      </w:r>
      <w:r>
        <w:rPr>
          <w:noProof/>
        </w:rPr>
        <w:fldChar w:fldCharType="end"/>
      </w:r>
      <w:r>
        <w:rPr>
          <w:rFonts w:ascii="Times New Roman" w:hAnsi="Times New Roman" w:cs="Times New Roman"/>
          <w:noProof/>
          <w:sz w:val="24"/>
          <w:szCs w:val="24"/>
          <w:lang w:val="en-GB"/>
        </w:rPr>
        <w:t>. The share of battery electric cars in vehicles stock is projected to go up to 11-14% in the policy scenarios (e.g. 32 million vehicles in the MIX scenario). The share of low and zero emission cars (including battery electric, fuel cells and plug-in hybrids) would increase from 16% in 2030 in BSL to up to 20% in the policy scenarios, driven by the assumed tightening of the vehicle standards supported by the deployment of the recharging infrastructure for electric vehicles and refuelling infrastructure for fuel cells</w:t>
      </w:r>
      <w:r>
        <w:rPr>
          <w:rStyle w:val="FootnoteReference"/>
          <w:rFonts w:ascii="Times New Roman" w:hAnsi="Times New Roman" w:cs="Times New Roman"/>
          <w:noProof/>
          <w:sz w:val="24"/>
          <w:szCs w:val="24"/>
          <w:lang w:val="en-GB"/>
        </w:rPr>
        <w:footnoteReference w:id="617"/>
      </w:r>
      <w:r>
        <w:rPr>
          <w:rFonts w:ascii="Times New Roman" w:hAnsi="Times New Roman" w:cs="Times New Roman"/>
          <w:noProof/>
          <w:sz w:val="24"/>
          <w:szCs w:val="24"/>
          <w:lang w:val="en-GB"/>
        </w:rPr>
        <w:t xml:space="preserve">.  </w:t>
      </w:r>
    </w:p>
    <w:p>
      <w:pPr>
        <w:pStyle w:val="Caption"/>
        <w:keepNext/>
        <w:keepLines/>
        <w:tabs>
          <w:tab w:val="left" w:pos="0"/>
        </w:tabs>
        <w:spacing w:after="0"/>
        <w:rPr>
          <w:i w:val="0"/>
          <w:noProof/>
        </w:rPr>
      </w:pPr>
      <w:bookmarkStart w:id="4993" w:name="_Ref50929708"/>
      <w:bookmarkStart w:id="4994" w:name="_Toc51593801"/>
      <w:bookmarkStart w:id="4995" w:name="_Toc51595268"/>
      <w:bookmarkStart w:id="4996" w:name="_Toc51595518"/>
      <w:bookmarkStart w:id="4997" w:name="_Toc51595844"/>
      <w:bookmarkStart w:id="4998" w:name="_Toc51596007"/>
      <w:bookmarkStart w:id="4999" w:name="_Toc52121494"/>
      <w:bookmarkStart w:id="5000" w:name="_Toc52122725"/>
      <w:bookmarkStart w:id="5001" w:name="_Toc53405289"/>
      <w:bookmarkStart w:id="5002" w:name="_Toc53406079"/>
      <w:bookmarkStart w:id="5003" w:name="_Toc53407445"/>
      <w:bookmarkStart w:id="5004" w:name="_Toc53410892"/>
      <w:bookmarkStart w:id="5005" w:name="_Toc53411955"/>
      <w:bookmarkStart w:id="5006" w:name="_Toc53417202"/>
      <w:bookmarkStart w:id="5007" w:name="_Toc53417554"/>
      <w:bookmarkStart w:id="5008" w:name="_Toc53419587"/>
      <w:bookmarkStart w:id="5009" w:name="_Toc53434892"/>
      <w:bookmarkStart w:id="5010" w:name="_Toc53437032"/>
      <w:bookmarkStart w:id="5011" w:name="_Toc57291691"/>
      <w:r>
        <w:rPr>
          <w:i w:val="0"/>
          <w:noProof/>
        </w:rPr>
        <w:t xml:space="preserve">Figure </w:t>
      </w:r>
      <w:r>
        <w:rPr>
          <w:noProof/>
        </w:rPr>
        <w:fldChar w:fldCharType="begin"/>
      </w:r>
      <w:r>
        <w:rPr>
          <w:i w:val="0"/>
          <w:noProof/>
          <w:szCs w:val="22"/>
        </w:rPr>
        <w:instrText xml:space="preserve"> SEQ Figure \* ARABIC </w:instrText>
      </w:r>
      <w:r>
        <w:rPr>
          <w:i w:val="0"/>
          <w:noProof/>
          <w:szCs w:val="22"/>
        </w:rPr>
        <w:fldChar w:fldCharType="separate"/>
      </w:r>
      <w:r>
        <w:rPr>
          <w:i w:val="0"/>
          <w:noProof/>
          <w:szCs w:val="22"/>
        </w:rPr>
        <w:t>47</w:t>
      </w:r>
      <w:r>
        <w:rPr>
          <w:noProof/>
        </w:rPr>
        <w:fldChar w:fldCharType="end"/>
      </w:r>
      <w:bookmarkEnd w:id="4993"/>
      <w:r>
        <w:rPr>
          <w:i w:val="0"/>
          <w:noProof/>
        </w:rPr>
        <w:t>: Shares in the total cars stock by type of drivetrain technology in 2030 and 2050</w:t>
      </w:r>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p>
    <w:p>
      <w:pPr>
        <w:keepNext/>
        <w:keepLines/>
        <w:spacing w:after="0"/>
        <w:rPr>
          <w:noProof/>
          <w:lang w:eastAsia="en-US"/>
        </w:rPr>
      </w:pPr>
      <w:r>
        <w:rPr>
          <w:noProof/>
        </w:rPr>
        <w:drawing>
          <wp:inline distT="0" distB="0" distL="0" distR="0">
            <wp:extent cx="5407661" cy="2633980"/>
            <wp:effectExtent l="0" t="0" r="2540" b="0"/>
            <wp:docPr id="16578902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7" cstate="email">
                      <a:extLst>
                        <a:ext uri="{28A0092B-C50C-407E-A947-70E740481C1C}">
                          <a14:useLocalDpi xmlns:a14="http://schemas.microsoft.com/office/drawing/2010/main"/>
                        </a:ext>
                      </a:extLst>
                    </a:blip>
                    <a:stretch>
                      <a:fillRect/>
                    </a:stretch>
                  </pic:blipFill>
                  <pic:spPr>
                    <a:xfrm>
                      <a:off x="0" y="0"/>
                      <a:ext cx="5407661" cy="2633980"/>
                    </a:xfrm>
                    <a:prstGeom prst="rect">
                      <a:avLst/>
                    </a:prstGeom>
                  </pic:spPr>
                </pic:pic>
              </a:graphicData>
            </a:graphic>
          </wp:inline>
        </w:drawing>
      </w:r>
    </w:p>
    <w:p>
      <w:pPr>
        <w:keepNext/>
        <w:keepLines/>
        <w:autoSpaceDE w:val="0"/>
        <w:autoSpaceDN w:val="0"/>
        <w:adjustRightInd w:val="0"/>
        <w:rPr>
          <w:i/>
          <w:noProof/>
          <w:sz w:val="16"/>
          <w:szCs w:val="16"/>
          <w:lang w:val="en-US"/>
        </w:rPr>
      </w:pPr>
      <w:r>
        <w:rPr>
          <w:i/>
          <w:iCs/>
          <w:noProof/>
          <w:sz w:val="16"/>
          <w:szCs w:val="16"/>
          <w:lang w:val="en-US"/>
        </w:rPr>
        <w:t>Source: PRIMES-TREMOVE transport model (E3Modelling)</w:t>
      </w:r>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These shares will increase rapidly post 2030 thanks to the fleet renewal (vehicle standards apply to new vehicles, therefore there is a delay between their introduction and the powertrain changes in the stock of vehicles), driving down GHG emissions from road transport even more steeply than in the period up to 2030. For example, in the REG scenario the share of zero and low emissions cars (ZLEV) is projected at 47% by 2035, out of which 33% zero emission cars (ZEV). In the CPRICE scenario the shares of ZLEV and ZEV by 2035 would be 33% and 23%, respectively. This compares with 27% ZLEV and 17% ZEV projected in the baseline. This shows that the impact of CO</w:t>
      </w:r>
      <w:r>
        <w:rPr>
          <w:rFonts w:ascii="Times New Roman" w:hAnsi="Times New Roman" w:cs="Times New Roman"/>
          <w:noProof/>
          <w:sz w:val="24"/>
          <w:szCs w:val="24"/>
          <w:vertAlign w:val="subscript"/>
          <w:lang w:val="en-GB"/>
        </w:rPr>
        <w:t>2</w:t>
      </w:r>
      <w:r>
        <w:rPr>
          <w:rFonts w:ascii="Times New Roman" w:hAnsi="Times New Roman" w:cs="Times New Roman"/>
          <w:noProof/>
          <w:sz w:val="24"/>
          <w:szCs w:val="24"/>
          <w:lang w:val="en-GB"/>
        </w:rPr>
        <w:t xml:space="preserve"> emissions standards set for 2030 would be very significant, albeit with a time delay. </w:t>
      </w:r>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By 2050, almost all cars (between 88-99% of the vehicle stock) need to be low or zero emission in order for the climate neutrality target to be attainable. Large scale deployment of recharging infrastructure for electric vehicles and refuelling infrastructure for fuel cells would be needed to support these developments, as well as sustainable batteries. In the REG scenario, ZEV are projected to represent 99% of the fleet, due to strong vehicle efficiency policies. On the other hand, with existing policies and targets, as in BSL, ZLEV are projected to reach 54% of the stock in 2050, but fossil ICEs remain common in the fleet. This shows that intensification of the existing CO</w:t>
      </w:r>
      <w:r>
        <w:rPr>
          <w:rFonts w:ascii="Times New Roman" w:hAnsi="Times New Roman" w:cs="Times New Roman"/>
          <w:noProof/>
          <w:sz w:val="24"/>
          <w:szCs w:val="24"/>
          <w:vertAlign w:val="subscript"/>
          <w:lang w:val="en-GB"/>
        </w:rPr>
        <w:t>2</w:t>
      </w:r>
      <w:r>
        <w:rPr>
          <w:rFonts w:ascii="Times New Roman" w:hAnsi="Times New Roman" w:cs="Times New Roman"/>
          <w:noProof/>
          <w:sz w:val="24"/>
          <w:szCs w:val="24"/>
          <w:lang w:val="en-GB"/>
        </w:rPr>
        <w:t xml:space="preserve"> emission standards is necessary.</w:t>
      </w:r>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b/>
          <w:bCs/>
          <w:noProof/>
          <w:sz w:val="24"/>
          <w:szCs w:val="24"/>
          <w:lang w:val="en-GB"/>
        </w:rPr>
        <w:t>For vans</w:t>
      </w:r>
      <w:r>
        <w:rPr>
          <w:rFonts w:ascii="Times New Roman" w:hAnsi="Times New Roman" w:cs="Times New Roman"/>
          <w:noProof/>
          <w:sz w:val="24"/>
          <w:szCs w:val="24"/>
          <w:lang w:val="en-GB"/>
        </w:rPr>
        <w:t>, the penetration of zero emission vehicles in the fleet in 2030 is projected to go up from 7% in BSL to up to 8% in the policy scenarios, while the share of ZLEV would increase from 11% in BSL to up to 14% in the policy scenarios. Similarly to cars, these developments would need to be driven by tighter vehicle efficiency standards supported by the deployment of recharging and refuelling infrastructure, as well as sustainable batteries. In the long run, the share of ZLEV would range from 87% in CPRICE to 97% in REG, while ZEV would represent between 75% and 93% in the same scenarios. Similar considerations as for the cars segment applies to the vans, including the need to intensify the existing CO</w:t>
      </w:r>
      <w:r>
        <w:rPr>
          <w:rFonts w:ascii="Times New Roman" w:hAnsi="Times New Roman" w:cs="Times New Roman"/>
          <w:noProof/>
          <w:sz w:val="24"/>
          <w:szCs w:val="24"/>
          <w:vertAlign w:val="subscript"/>
          <w:lang w:val="en-GB"/>
        </w:rPr>
        <w:t>2</w:t>
      </w:r>
      <w:r>
        <w:rPr>
          <w:rFonts w:ascii="Times New Roman" w:hAnsi="Times New Roman" w:cs="Times New Roman"/>
          <w:noProof/>
          <w:sz w:val="24"/>
          <w:szCs w:val="24"/>
          <w:lang w:val="en-GB"/>
        </w:rPr>
        <w:t xml:space="preserve"> emission standards. The evolution of vehicle stock by type of drivetrain technology in 2030 and 2050 is shown in </w:t>
      </w:r>
      <w:r>
        <w:rPr>
          <w:noProof/>
        </w:rPr>
        <w:fldChar w:fldCharType="begin"/>
      </w:r>
      <w:r>
        <w:rPr>
          <w:rFonts w:ascii="Times New Roman" w:hAnsi="Times New Roman" w:cs="Times New Roman"/>
          <w:noProof/>
          <w:sz w:val="24"/>
          <w:szCs w:val="24"/>
          <w:lang w:val="en-GB"/>
        </w:rPr>
        <w:instrText xml:space="preserve"> REF _Ref50932744 \h  \* MERGEFORMAT </w:instrText>
      </w:r>
      <w:r>
        <w:rPr>
          <w:noProof/>
        </w:rPr>
      </w:r>
      <w:r>
        <w:rPr>
          <w:rFonts w:ascii="Times New Roman" w:hAnsi="Times New Roman" w:cs="Times New Roman"/>
          <w:noProof/>
          <w:sz w:val="24"/>
          <w:szCs w:val="24"/>
          <w:lang w:val="en-GB"/>
        </w:rPr>
        <w:fldChar w:fldCharType="separate"/>
      </w:r>
      <w:r>
        <w:rPr>
          <w:rFonts w:ascii="Times New Roman" w:hAnsi="Times New Roman" w:cs="Times New Roman"/>
          <w:noProof/>
          <w:sz w:val="24"/>
          <w:szCs w:val="24"/>
          <w:lang w:val="en-GB"/>
        </w:rPr>
        <w:t>Figure 48</w:t>
      </w:r>
      <w:r>
        <w:rPr>
          <w:noProof/>
        </w:rPr>
        <w:fldChar w:fldCharType="end"/>
      </w:r>
      <w:r>
        <w:rPr>
          <w:rFonts w:ascii="Times New Roman" w:hAnsi="Times New Roman" w:cs="Times New Roman"/>
          <w:noProof/>
          <w:sz w:val="24"/>
          <w:szCs w:val="24"/>
          <w:lang w:val="en-GB"/>
        </w:rPr>
        <w:t>.</w:t>
      </w:r>
    </w:p>
    <w:p>
      <w:pPr>
        <w:pStyle w:val="Caption"/>
        <w:keepNext/>
        <w:keepLines/>
        <w:tabs>
          <w:tab w:val="left" w:pos="0"/>
        </w:tabs>
        <w:spacing w:after="0"/>
        <w:jc w:val="center"/>
        <w:rPr>
          <w:i w:val="0"/>
          <w:noProof/>
        </w:rPr>
      </w:pPr>
      <w:bookmarkStart w:id="5012" w:name="_Ref50932744"/>
      <w:bookmarkStart w:id="5013" w:name="_Toc51593802"/>
      <w:bookmarkStart w:id="5014" w:name="_Toc51595269"/>
      <w:bookmarkStart w:id="5015" w:name="_Toc51595519"/>
      <w:bookmarkStart w:id="5016" w:name="_Toc51595845"/>
      <w:bookmarkStart w:id="5017" w:name="_Toc51596008"/>
      <w:bookmarkStart w:id="5018" w:name="_Toc52121495"/>
      <w:bookmarkStart w:id="5019" w:name="_Toc52122726"/>
      <w:bookmarkStart w:id="5020" w:name="_Toc53405290"/>
      <w:bookmarkStart w:id="5021" w:name="_Toc53406080"/>
      <w:bookmarkStart w:id="5022" w:name="_Toc53407446"/>
      <w:bookmarkStart w:id="5023" w:name="_Toc53410893"/>
      <w:bookmarkStart w:id="5024" w:name="_Toc53411956"/>
      <w:bookmarkStart w:id="5025" w:name="_Toc53417203"/>
      <w:bookmarkStart w:id="5026" w:name="_Toc53417555"/>
      <w:bookmarkStart w:id="5027" w:name="_Toc53419588"/>
      <w:bookmarkStart w:id="5028" w:name="_Toc53434893"/>
      <w:bookmarkStart w:id="5029" w:name="_Toc53437033"/>
      <w:bookmarkStart w:id="5030" w:name="_Toc57291692"/>
      <w:r>
        <w:rPr>
          <w:i w:val="0"/>
          <w:noProof/>
        </w:rPr>
        <w:t xml:space="preserve">Figure </w:t>
      </w:r>
      <w:r>
        <w:rPr>
          <w:noProof/>
        </w:rPr>
        <w:fldChar w:fldCharType="begin"/>
      </w:r>
      <w:r>
        <w:rPr>
          <w:i w:val="0"/>
          <w:noProof/>
          <w:szCs w:val="22"/>
        </w:rPr>
        <w:instrText xml:space="preserve"> SEQ Figure \* ARABIC </w:instrText>
      </w:r>
      <w:r>
        <w:rPr>
          <w:i w:val="0"/>
          <w:noProof/>
          <w:szCs w:val="22"/>
        </w:rPr>
        <w:fldChar w:fldCharType="separate"/>
      </w:r>
      <w:r>
        <w:rPr>
          <w:i w:val="0"/>
          <w:noProof/>
          <w:szCs w:val="22"/>
        </w:rPr>
        <w:t>48</w:t>
      </w:r>
      <w:r>
        <w:rPr>
          <w:noProof/>
        </w:rPr>
        <w:fldChar w:fldCharType="end"/>
      </w:r>
      <w:bookmarkEnd w:id="5012"/>
      <w:r>
        <w:rPr>
          <w:i w:val="0"/>
          <w:noProof/>
        </w:rPr>
        <w:t>: Shares in the total vans stock by type of drivetrain technology in 2030 and 2050</w:t>
      </w:r>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p>
    <w:p>
      <w:pPr>
        <w:spacing w:after="0"/>
        <w:rPr>
          <w:noProof/>
          <w:lang w:eastAsia="en-US"/>
        </w:rPr>
      </w:pPr>
      <w:r>
        <w:rPr>
          <w:noProof/>
        </w:rPr>
        <w:drawing>
          <wp:inline distT="0" distB="0" distL="0" distR="0">
            <wp:extent cx="5401310" cy="2707005"/>
            <wp:effectExtent l="0" t="0" r="8890" b="0"/>
            <wp:docPr id="207240150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8" cstate="email">
                      <a:extLst>
                        <a:ext uri="{28A0092B-C50C-407E-A947-70E740481C1C}">
                          <a14:useLocalDpi xmlns:a14="http://schemas.microsoft.com/office/drawing/2010/main"/>
                        </a:ext>
                      </a:extLst>
                    </a:blip>
                    <a:stretch>
                      <a:fillRect/>
                    </a:stretch>
                  </pic:blipFill>
                  <pic:spPr>
                    <a:xfrm>
                      <a:off x="0" y="0"/>
                      <a:ext cx="5401310" cy="2707005"/>
                    </a:xfrm>
                    <a:prstGeom prst="rect">
                      <a:avLst/>
                    </a:prstGeom>
                  </pic:spPr>
                </pic:pic>
              </a:graphicData>
            </a:graphic>
          </wp:inline>
        </w:drawing>
      </w:r>
    </w:p>
    <w:p>
      <w:pPr>
        <w:keepNext/>
        <w:keepLines/>
        <w:autoSpaceDE w:val="0"/>
        <w:autoSpaceDN w:val="0"/>
        <w:adjustRightInd w:val="0"/>
        <w:rPr>
          <w:i/>
          <w:noProof/>
          <w:sz w:val="16"/>
          <w:szCs w:val="16"/>
          <w:lang w:val="en-US"/>
        </w:rPr>
      </w:pPr>
      <w:r>
        <w:rPr>
          <w:i/>
          <w:iCs/>
          <w:noProof/>
          <w:sz w:val="16"/>
          <w:szCs w:val="16"/>
          <w:lang w:val="en-US"/>
        </w:rPr>
        <w:t>Source: PRIMES-TREMOVE transport model (E3Modelling)</w:t>
      </w:r>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b/>
          <w:bCs/>
          <w:noProof/>
          <w:sz w:val="24"/>
          <w:szCs w:val="24"/>
          <w:lang w:val="en-GB"/>
        </w:rPr>
        <w:t>In the heavy goods vehicle segment</w:t>
      </w:r>
      <w:r>
        <w:rPr>
          <w:rFonts w:ascii="Times New Roman" w:hAnsi="Times New Roman" w:cs="Times New Roman"/>
          <w:noProof/>
          <w:sz w:val="24"/>
          <w:szCs w:val="24"/>
          <w:lang w:val="en-GB"/>
        </w:rPr>
        <w:t xml:space="preserve">, as shown in </w:t>
      </w:r>
      <w:r>
        <w:rPr>
          <w:noProof/>
        </w:rPr>
        <w:fldChar w:fldCharType="begin"/>
      </w:r>
      <w:r>
        <w:rPr>
          <w:rFonts w:ascii="Times New Roman" w:hAnsi="Times New Roman" w:cs="Times New Roman"/>
          <w:noProof/>
          <w:sz w:val="24"/>
          <w:szCs w:val="24"/>
          <w:lang w:val="en-GB"/>
        </w:rPr>
        <w:instrText xml:space="preserve"> REF _Ref50933216 \h  \* MERGEFORMAT </w:instrText>
      </w:r>
      <w:r>
        <w:rPr>
          <w:noProof/>
        </w:rPr>
      </w:r>
      <w:r>
        <w:rPr>
          <w:rFonts w:ascii="Times New Roman" w:hAnsi="Times New Roman" w:cs="Times New Roman"/>
          <w:noProof/>
          <w:sz w:val="24"/>
          <w:szCs w:val="24"/>
          <w:lang w:val="en-GB"/>
        </w:rPr>
        <w:fldChar w:fldCharType="separate"/>
      </w:r>
      <w:r>
        <w:rPr>
          <w:rFonts w:ascii="Times New Roman" w:hAnsi="Times New Roman" w:cs="Times New Roman"/>
          <w:noProof/>
          <w:sz w:val="24"/>
          <w:szCs w:val="24"/>
          <w:lang w:val="en-GB"/>
        </w:rPr>
        <w:t>Figure 49</w:t>
      </w:r>
      <w:r>
        <w:rPr>
          <w:noProof/>
        </w:rPr>
        <w:fldChar w:fldCharType="end"/>
      </w:r>
      <w:r>
        <w:rPr>
          <w:rFonts w:ascii="Times New Roman" w:hAnsi="Times New Roman" w:cs="Times New Roman"/>
          <w:noProof/>
          <w:sz w:val="24"/>
          <w:szCs w:val="24"/>
          <w:lang w:val="en-GB"/>
        </w:rPr>
        <w:t>, hybrids are projected to represent around 16% of the stock in 2030 in BSL while ICE running on gaseous fuels (LPG and LNG) around 6% of the stock. In the policy scenarios, tighter vehicle standards would result in an increase to 8-9% of gas-fuelled ICEs by 2030, as well as a possible penetration of around 1% zero emission vehicles (e.g. over 80,000 zero-emission heavy goods vehicles in operation in the MIX scenario). Again, due to the slow turnover of the vehicle stock, the CO</w:t>
      </w:r>
      <w:r>
        <w:rPr>
          <w:rFonts w:ascii="Times New Roman" w:hAnsi="Times New Roman" w:cs="Times New Roman"/>
          <w:noProof/>
          <w:sz w:val="24"/>
          <w:szCs w:val="24"/>
          <w:vertAlign w:val="subscript"/>
          <w:lang w:val="en-GB"/>
        </w:rPr>
        <w:t>2</w:t>
      </w:r>
      <w:r>
        <w:rPr>
          <w:rFonts w:ascii="Times New Roman" w:hAnsi="Times New Roman" w:cs="Times New Roman"/>
          <w:noProof/>
          <w:sz w:val="24"/>
          <w:szCs w:val="24"/>
          <w:lang w:val="en-GB"/>
        </w:rPr>
        <w:t xml:space="preserve"> standards for new vehicles in 2030 would take time to show impacts in terms of changes in the structure of the fleet. By 2050 the structure of the fleet changes significantly, with the share of fuel cell trucks representing between 23% in CPRICE and 26-27% in REG, MIX (and MIX-50) and ALLBNK. The share of electric trucks would go up by 2050 from only 1% in BSL to 14-20% in CPRICE and REG respectively. Conventional, mild hybrid and gaseous ICEs make up the rest of the fleet in 2050, requiring low and zero-carbon fuels to reach climate neutrality. Sustainable batteries are essential to achieving this objective.</w:t>
      </w:r>
    </w:p>
    <w:p>
      <w:pPr>
        <w:pStyle w:val="Caption"/>
        <w:keepNext/>
        <w:keepLines/>
        <w:tabs>
          <w:tab w:val="left" w:pos="0"/>
        </w:tabs>
        <w:spacing w:after="0"/>
        <w:jc w:val="center"/>
        <w:rPr>
          <w:i w:val="0"/>
          <w:noProof/>
        </w:rPr>
      </w:pPr>
      <w:bookmarkStart w:id="5031" w:name="_Ref50933216"/>
      <w:bookmarkStart w:id="5032" w:name="_Toc51593803"/>
      <w:bookmarkStart w:id="5033" w:name="_Toc51595270"/>
      <w:bookmarkStart w:id="5034" w:name="_Toc51595520"/>
      <w:bookmarkStart w:id="5035" w:name="_Toc51595846"/>
      <w:bookmarkStart w:id="5036" w:name="_Toc51596009"/>
      <w:bookmarkStart w:id="5037" w:name="_Toc52121496"/>
      <w:bookmarkStart w:id="5038" w:name="_Toc52122727"/>
      <w:bookmarkStart w:id="5039" w:name="_Toc53405291"/>
      <w:bookmarkStart w:id="5040" w:name="_Toc53406081"/>
      <w:bookmarkStart w:id="5041" w:name="_Toc53407447"/>
      <w:bookmarkStart w:id="5042" w:name="_Toc53410894"/>
      <w:bookmarkStart w:id="5043" w:name="_Toc53411957"/>
      <w:bookmarkStart w:id="5044" w:name="_Toc53417204"/>
      <w:bookmarkStart w:id="5045" w:name="_Toc53417556"/>
      <w:bookmarkStart w:id="5046" w:name="_Toc53419589"/>
      <w:bookmarkStart w:id="5047" w:name="_Toc53434894"/>
      <w:bookmarkStart w:id="5048" w:name="_Toc53437034"/>
      <w:bookmarkStart w:id="5049" w:name="_Toc57291693"/>
      <w:r>
        <w:rPr>
          <w:i w:val="0"/>
          <w:noProof/>
        </w:rPr>
        <w:t xml:space="preserve">Figure </w:t>
      </w:r>
      <w:r>
        <w:rPr>
          <w:noProof/>
        </w:rPr>
        <w:fldChar w:fldCharType="begin"/>
      </w:r>
      <w:r>
        <w:rPr>
          <w:i w:val="0"/>
          <w:noProof/>
          <w:szCs w:val="22"/>
        </w:rPr>
        <w:instrText xml:space="preserve"> SEQ Figure \* ARABIC </w:instrText>
      </w:r>
      <w:r>
        <w:rPr>
          <w:i w:val="0"/>
          <w:noProof/>
          <w:szCs w:val="22"/>
        </w:rPr>
        <w:fldChar w:fldCharType="separate"/>
      </w:r>
      <w:r>
        <w:rPr>
          <w:i w:val="0"/>
          <w:noProof/>
          <w:szCs w:val="22"/>
        </w:rPr>
        <w:t>49</w:t>
      </w:r>
      <w:r>
        <w:rPr>
          <w:noProof/>
        </w:rPr>
        <w:fldChar w:fldCharType="end"/>
      </w:r>
      <w:bookmarkEnd w:id="5031"/>
      <w:r>
        <w:rPr>
          <w:i w:val="0"/>
          <w:noProof/>
        </w:rPr>
        <w:t>: Shares in the total heavy goods vehicle stock by type of drivetrain technology in 2030 and 2050</w:t>
      </w:r>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p>
    <w:p>
      <w:pPr>
        <w:pStyle w:val="BodyA"/>
        <w:spacing w:after="60" w:line="240" w:lineRule="auto"/>
        <w:jc w:val="both"/>
        <w:rPr>
          <w:rFonts w:ascii="Times New Roman" w:hAnsi="Times New Roman" w:cs="Times New Roman"/>
          <w:noProof/>
          <w:sz w:val="24"/>
          <w:szCs w:val="24"/>
          <w:lang w:val="en-GB"/>
        </w:rPr>
      </w:pPr>
      <w:r>
        <w:rPr>
          <w:noProof/>
          <w:lang w:val="en-GB" w:eastAsia="en-GB"/>
        </w:rPr>
        <w:drawing>
          <wp:inline distT="0" distB="0" distL="0" distR="0">
            <wp:extent cx="5407660" cy="2504661"/>
            <wp:effectExtent l="0" t="0" r="2540" b="0"/>
            <wp:docPr id="14323828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9" cstate="email">
                      <a:extLst>
                        <a:ext uri="{28A0092B-C50C-407E-A947-70E740481C1C}">
                          <a14:useLocalDpi xmlns:a14="http://schemas.microsoft.com/office/drawing/2010/main"/>
                        </a:ext>
                      </a:extLst>
                    </a:blip>
                    <a:stretch>
                      <a:fillRect/>
                    </a:stretch>
                  </pic:blipFill>
                  <pic:spPr>
                    <a:xfrm>
                      <a:off x="0" y="0"/>
                      <a:ext cx="5410018" cy="2505753"/>
                    </a:xfrm>
                    <a:prstGeom prst="rect">
                      <a:avLst/>
                    </a:prstGeom>
                  </pic:spPr>
                </pic:pic>
              </a:graphicData>
            </a:graphic>
          </wp:inline>
        </w:drawing>
      </w:r>
    </w:p>
    <w:p>
      <w:pPr>
        <w:autoSpaceDE w:val="0"/>
        <w:autoSpaceDN w:val="0"/>
        <w:adjustRightInd w:val="0"/>
        <w:rPr>
          <w:i/>
          <w:noProof/>
          <w:sz w:val="16"/>
          <w:szCs w:val="16"/>
          <w:lang w:val="en-US"/>
        </w:rPr>
      </w:pPr>
      <w:r>
        <w:rPr>
          <w:i/>
          <w:iCs/>
          <w:noProof/>
          <w:sz w:val="16"/>
          <w:szCs w:val="16"/>
          <w:lang w:val="en-US"/>
        </w:rPr>
        <w:t>Source: PRIMES-TREMOVE transport model (E3Modelling)</w:t>
      </w:r>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b/>
          <w:bCs/>
          <w:noProof/>
          <w:sz w:val="24"/>
          <w:szCs w:val="24"/>
          <w:lang w:val="en-GB"/>
        </w:rPr>
        <w:t>For buses</w:t>
      </w:r>
      <w:r>
        <w:rPr>
          <w:rFonts w:ascii="Times New Roman" w:hAnsi="Times New Roman" w:cs="Times New Roman"/>
          <w:noProof/>
          <w:sz w:val="24"/>
          <w:szCs w:val="24"/>
          <w:lang w:val="en-GB"/>
        </w:rPr>
        <w:t>, the uptake of zero emission vehicles in the fleet in 2030 is projected to go up from 8% in BSL to 17-22% in the policy scenarios, due to the assumed extension of the CO</w:t>
      </w:r>
      <w:r>
        <w:rPr>
          <w:rFonts w:ascii="Times New Roman" w:hAnsi="Times New Roman" w:cs="Times New Roman"/>
          <w:noProof/>
          <w:sz w:val="24"/>
          <w:szCs w:val="24"/>
          <w:vertAlign w:val="subscript"/>
          <w:lang w:val="en-GB"/>
        </w:rPr>
        <w:t>2</w:t>
      </w:r>
      <w:r>
        <w:rPr>
          <w:rFonts w:ascii="Times New Roman" w:hAnsi="Times New Roman" w:cs="Times New Roman"/>
          <w:noProof/>
          <w:sz w:val="24"/>
          <w:szCs w:val="24"/>
          <w:lang w:val="en-GB"/>
        </w:rPr>
        <w:t xml:space="preserve"> emission standards to this vehicle segment supported by the deployment of recharging infrastructure. The highest uptake is projected in the REG scenario. By 2050, 92 to 98% of the fleet would be electric in the policy scenarios. The evolution of vehicle stock by type of drivetrain technology in 2030 and 2050 is shown in </w:t>
      </w:r>
      <w:r>
        <w:rPr>
          <w:noProof/>
        </w:rPr>
        <w:fldChar w:fldCharType="begin"/>
      </w:r>
      <w:r>
        <w:rPr>
          <w:rFonts w:ascii="Times New Roman" w:hAnsi="Times New Roman" w:cs="Times New Roman"/>
          <w:noProof/>
          <w:sz w:val="24"/>
          <w:szCs w:val="24"/>
          <w:lang w:val="en-GB"/>
        </w:rPr>
        <w:instrText xml:space="preserve"> REF _Ref50934786 \h  \* MERGEFORMAT </w:instrText>
      </w:r>
      <w:r>
        <w:rPr>
          <w:noProof/>
        </w:rPr>
      </w:r>
      <w:r>
        <w:rPr>
          <w:rFonts w:ascii="Times New Roman" w:hAnsi="Times New Roman" w:cs="Times New Roman"/>
          <w:noProof/>
          <w:sz w:val="24"/>
          <w:szCs w:val="24"/>
          <w:lang w:val="en-GB"/>
        </w:rPr>
        <w:fldChar w:fldCharType="separate"/>
      </w:r>
      <w:r>
        <w:rPr>
          <w:rFonts w:ascii="Times New Roman" w:hAnsi="Times New Roman" w:cs="Times New Roman"/>
          <w:noProof/>
          <w:sz w:val="24"/>
          <w:szCs w:val="24"/>
          <w:lang w:val="en-GB"/>
        </w:rPr>
        <w:t>Figure 50</w:t>
      </w:r>
      <w:r>
        <w:rPr>
          <w:noProof/>
        </w:rPr>
        <w:fldChar w:fldCharType="end"/>
      </w:r>
      <w:r>
        <w:rPr>
          <w:rFonts w:ascii="Times New Roman" w:hAnsi="Times New Roman" w:cs="Times New Roman"/>
          <w:noProof/>
          <w:sz w:val="24"/>
          <w:szCs w:val="24"/>
          <w:lang w:val="en-GB"/>
        </w:rPr>
        <w:t xml:space="preserve">. While buses are mostly used in the urban environment where electrification is a viable option, coaches travel longer distances and face similar limitations to those faced by heavy goods vehicles. For coaches, the outcome is more similar to that for heavy goods vehicles, although fuel cells gain more significant market shares. </w:t>
      </w:r>
    </w:p>
    <w:p>
      <w:pPr>
        <w:pStyle w:val="Caption"/>
        <w:keepNext/>
        <w:keepLines/>
        <w:tabs>
          <w:tab w:val="left" w:pos="0"/>
        </w:tabs>
        <w:spacing w:after="0"/>
        <w:jc w:val="center"/>
        <w:rPr>
          <w:i w:val="0"/>
          <w:noProof/>
        </w:rPr>
      </w:pPr>
      <w:bookmarkStart w:id="5050" w:name="_Ref50934786"/>
      <w:bookmarkStart w:id="5051" w:name="_Toc51593804"/>
      <w:bookmarkStart w:id="5052" w:name="_Toc51595271"/>
      <w:bookmarkStart w:id="5053" w:name="_Toc51595521"/>
      <w:bookmarkStart w:id="5054" w:name="_Toc51595847"/>
      <w:bookmarkStart w:id="5055" w:name="_Toc51596010"/>
      <w:bookmarkStart w:id="5056" w:name="_Toc52121497"/>
      <w:bookmarkStart w:id="5057" w:name="_Toc52122728"/>
      <w:bookmarkStart w:id="5058" w:name="_Toc53405292"/>
      <w:bookmarkStart w:id="5059" w:name="_Toc53406082"/>
      <w:bookmarkStart w:id="5060" w:name="_Toc53407448"/>
      <w:bookmarkStart w:id="5061" w:name="_Toc53410895"/>
      <w:bookmarkStart w:id="5062" w:name="_Toc53411958"/>
      <w:bookmarkStart w:id="5063" w:name="_Toc53417205"/>
      <w:bookmarkStart w:id="5064" w:name="_Toc53417557"/>
      <w:bookmarkStart w:id="5065" w:name="_Toc53419590"/>
      <w:bookmarkStart w:id="5066" w:name="_Toc53434895"/>
      <w:bookmarkStart w:id="5067" w:name="_Toc53437035"/>
      <w:bookmarkStart w:id="5068" w:name="_Toc57291694"/>
      <w:r>
        <w:rPr>
          <w:i w:val="0"/>
          <w:noProof/>
        </w:rPr>
        <w:t xml:space="preserve">Figure </w:t>
      </w:r>
      <w:r>
        <w:rPr>
          <w:noProof/>
        </w:rPr>
        <w:fldChar w:fldCharType="begin"/>
      </w:r>
      <w:r>
        <w:rPr>
          <w:i w:val="0"/>
          <w:noProof/>
          <w:szCs w:val="22"/>
        </w:rPr>
        <w:instrText xml:space="preserve"> SEQ Figure \* ARABIC </w:instrText>
      </w:r>
      <w:r>
        <w:rPr>
          <w:i w:val="0"/>
          <w:noProof/>
          <w:szCs w:val="22"/>
        </w:rPr>
        <w:fldChar w:fldCharType="separate"/>
      </w:r>
      <w:r>
        <w:rPr>
          <w:i w:val="0"/>
          <w:noProof/>
          <w:szCs w:val="22"/>
        </w:rPr>
        <w:t>50</w:t>
      </w:r>
      <w:r>
        <w:rPr>
          <w:noProof/>
        </w:rPr>
        <w:fldChar w:fldCharType="end"/>
      </w:r>
      <w:bookmarkEnd w:id="5050"/>
      <w:r>
        <w:rPr>
          <w:i w:val="0"/>
          <w:noProof/>
        </w:rPr>
        <w:t>: Shares in the buses vehicle stock by type of drivetrain technology in 2030 and 2050</w:t>
      </w:r>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p>
    <w:p>
      <w:pPr>
        <w:pStyle w:val="BodyA"/>
        <w:spacing w:after="0" w:line="240" w:lineRule="auto"/>
        <w:jc w:val="both"/>
        <w:rPr>
          <w:rFonts w:ascii="Times New Roman" w:hAnsi="Times New Roman" w:cs="Times New Roman"/>
          <w:noProof/>
          <w:sz w:val="24"/>
          <w:szCs w:val="24"/>
          <w:lang w:val="en-GB"/>
        </w:rPr>
      </w:pPr>
      <w:r>
        <w:rPr>
          <w:noProof/>
          <w:lang w:val="en-GB" w:eastAsia="en-GB"/>
        </w:rPr>
        <w:drawing>
          <wp:inline distT="0" distB="0" distL="0" distR="0">
            <wp:extent cx="5401310" cy="2633980"/>
            <wp:effectExtent l="0" t="0" r="8890" b="0"/>
            <wp:docPr id="18633859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0" cstate="email">
                      <a:extLst>
                        <a:ext uri="{28A0092B-C50C-407E-A947-70E740481C1C}">
                          <a14:useLocalDpi xmlns:a14="http://schemas.microsoft.com/office/drawing/2010/main"/>
                        </a:ext>
                      </a:extLst>
                    </a:blip>
                    <a:stretch>
                      <a:fillRect/>
                    </a:stretch>
                  </pic:blipFill>
                  <pic:spPr>
                    <a:xfrm>
                      <a:off x="0" y="0"/>
                      <a:ext cx="5401310" cy="2633980"/>
                    </a:xfrm>
                    <a:prstGeom prst="rect">
                      <a:avLst/>
                    </a:prstGeom>
                  </pic:spPr>
                </pic:pic>
              </a:graphicData>
            </a:graphic>
          </wp:inline>
        </w:drawing>
      </w:r>
    </w:p>
    <w:p>
      <w:pPr>
        <w:keepNext/>
        <w:keepLines/>
        <w:autoSpaceDE w:val="0"/>
        <w:autoSpaceDN w:val="0"/>
        <w:adjustRightInd w:val="0"/>
        <w:spacing w:after="0"/>
        <w:rPr>
          <w:i/>
          <w:noProof/>
          <w:sz w:val="16"/>
          <w:szCs w:val="16"/>
          <w:lang w:val="en-US"/>
        </w:rPr>
      </w:pPr>
      <w:r>
        <w:rPr>
          <w:i/>
          <w:iCs/>
          <w:noProof/>
          <w:sz w:val="16"/>
          <w:szCs w:val="16"/>
          <w:lang w:val="en-US"/>
        </w:rPr>
        <w:t>Source: PRIMES-TREMOVE transport model (E3Modelling)</w:t>
      </w:r>
    </w:p>
    <w:p>
      <w:pPr>
        <w:keepNext/>
        <w:keepLines/>
        <w:autoSpaceDE w:val="0"/>
        <w:autoSpaceDN w:val="0"/>
        <w:adjustRightInd w:val="0"/>
        <w:spacing w:after="0"/>
        <w:rPr>
          <w:i/>
          <w:noProof/>
          <w:sz w:val="16"/>
          <w:lang w:val="en-US"/>
        </w:rPr>
      </w:pPr>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Overall for the road transport sector, renewable and low carbon fuels are projected to represent 10-11% of the fuel mix by 2030 and 94 to 98% by 2050. In the long run (by 2050), electricity would represent 30 to 42% of the energy use in road transport, while hydrogen would provide an additional 31 to 40%. Biofuels and biomethane are projected to contribute a lower share (6 to 15%), while e-fuels would represent 10 to 17% of the energy mix. The highest uptake of electricity and hydrogen would take place in the REG scenario (42 and 40%, respectively) driven by the stringent CO</w:t>
      </w:r>
      <w:r>
        <w:rPr>
          <w:rFonts w:ascii="Times New Roman" w:hAnsi="Times New Roman" w:cs="Times New Roman"/>
          <w:noProof/>
          <w:sz w:val="24"/>
          <w:szCs w:val="24"/>
          <w:vertAlign w:val="subscript"/>
          <w:lang w:val="en-GB"/>
        </w:rPr>
        <w:t>2</w:t>
      </w:r>
      <w:r>
        <w:rPr>
          <w:rFonts w:ascii="Times New Roman" w:hAnsi="Times New Roman" w:cs="Times New Roman"/>
          <w:noProof/>
          <w:sz w:val="24"/>
          <w:szCs w:val="24"/>
          <w:lang w:val="en-GB"/>
        </w:rPr>
        <w:t xml:space="preserve"> standards for vehicles, accompanied by the large scale deployment of recharging and refuelling infrastructure.    </w:t>
      </w:r>
    </w:p>
    <w:p>
      <w:pPr>
        <w:pStyle w:val="Heading4"/>
        <w:rPr>
          <w:noProof/>
        </w:rPr>
      </w:pPr>
      <w:bookmarkStart w:id="5069" w:name="_Toc51574858"/>
      <w:bookmarkStart w:id="5070" w:name="_Toc51575706"/>
      <w:bookmarkStart w:id="5071" w:name="_Toc51578104"/>
      <w:bookmarkStart w:id="5072" w:name="_Toc51582977"/>
      <w:bookmarkStart w:id="5073" w:name="_Toc51583452"/>
      <w:bookmarkStart w:id="5074" w:name="_Toc51583542"/>
      <w:bookmarkStart w:id="5075" w:name="_Toc51583827"/>
      <w:bookmarkStart w:id="5076" w:name="_Toc51584017"/>
      <w:bookmarkStart w:id="5077" w:name="_Toc51584036"/>
      <w:bookmarkStart w:id="5078" w:name="_Toc51586259"/>
      <w:bookmarkStart w:id="5079" w:name="_Toc51594062"/>
      <w:bookmarkStart w:id="5080" w:name="_Toc51594388"/>
      <w:bookmarkStart w:id="5081" w:name="_Toc51595366"/>
      <w:bookmarkStart w:id="5082" w:name="_Toc51595616"/>
      <w:bookmarkStart w:id="5083" w:name="_Toc51595942"/>
      <w:bookmarkStart w:id="5084" w:name="_Toc51596105"/>
      <w:bookmarkStart w:id="5085" w:name="_Toc51596458"/>
      <w:bookmarkStart w:id="5086" w:name="_Toc52121593"/>
      <w:bookmarkStart w:id="5087" w:name="_Toc52122824"/>
      <w:bookmarkStart w:id="5088" w:name="_Toc52123941"/>
      <w:bookmarkStart w:id="5089" w:name="_Toc53405402"/>
      <w:bookmarkStart w:id="5090" w:name="_Toc53406189"/>
      <w:bookmarkStart w:id="5091" w:name="_Toc53407558"/>
      <w:bookmarkStart w:id="5092" w:name="_Toc53411002"/>
      <w:bookmarkStart w:id="5093" w:name="_Toc53412065"/>
      <w:bookmarkStart w:id="5094" w:name="_Toc53417312"/>
      <w:bookmarkStart w:id="5095" w:name="_Toc53417664"/>
      <w:bookmarkStart w:id="5096" w:name="_Toc53419899"/>
      <w:bookmarkStart w:id="5097" w:name="_Toc53435002"/>
      <w:bookmarkStart w:id="5098" w:name="_Toc53437141"/>
      <w:bookmarkStart w:id="5099" w:name="_Toc57291547"/>
      <w:r>
        <w:rPr>
          <w:noProof/>
        </w:rPr>
        <w:t>Rail</w:t>
      </w:r>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For rail, all scenarios show electrification as the main option. In BSL scenario, around 89% of the rolling stock used for passenger rail is projected to be electric by 2050, and 79% for freight rail. This requires significant efforts, supported by the assumed completion of the core TEN-T network by 2030 and of the comprehensive TEN-T network by 2050. In the policy scenarios, by 2050 electric rolling stock would represent around 94-95% for passenger rail and 88-89% for freight rail; rail infrastructure would need to be largely electrified by 2050 to support such significant changes. Hydrogen powertrains would additionally contribute around 1% of the rolling stock used for passenger rail and around 2% for freight rail in the REG, MIX (and MIX-50) and ALLBNK. This is a viable option for rail sections that are difficult to electrify.</w:t>
      </w:r>
    </w:p>
    <w:p>
      <w:pPr>
        <w:pStyle w:val="Heading4"/>
        <w:rPr>
          <w:noProof/>
        </w:rPr>
      </w:pPr>
      <w:bookmarkStart w:id="5100" w:name="_Toc51574859"/>
      <w:bookmarkStart w:id="5101" w:name="_Toc51575707"/>
      <w:bookmarkStart w:id="5102" w:name="_Toc51578105"/>
      <w:bookmarkStart w:id="5103" w:name="_Toc51582978"/>
      <w:bookmarkStart w:id="5104" w:name="_Toc51583453"/>
      <w:bookmarkStart w:id="5105" w:name="_Toc51583543"/>
      <w:bookmarkStart w:id="5106" w:name="_Toc51583828"/>
      <w:bookmarkStart w:id="5107" w:name="_Toc51584018"/>
      <w:bookmarkStart w:id="5108" w:name="_Toc51584037"/>
      <w:bookmarkStart w:id="5109" w:name="_Toc51586260"/>
      <w:bookmarkStart w:id="5110" w:name="_Toc51594063"/>
      <w:bookmarkStart w:id="5111" w:name="_Toc51594389"/>
      <w:bookmarkStart w:id="5112" w:name="_Toc51595367"/>
      <w:bookmarkStart w:id="5113" w:name="_Toc51595617"/>
      <w:bookmarkStart w:id="5114" w:name="_Toc51595943"/>
      <w:bookmarkStart w:id="5115" w:name="_Toc51596106"/>
      <w:bookmarkStart w:id="5116" w:name="_Toc51596459"/>
      <w:bookmarkStart w:id="5117" w:name="_Toc52121594"/>
      <w:bookmarkStart w:id="5118" w:name="_Toc52122825"/>
      <w:bookmarkStart w:id="5119" w:name="_Toc52123942"/>
      <w:bookmarkStart w:id="5120" w:name="_Toc53405403"/>
      <w:bookmarkStart w:id="5121" w:name="_Toc53406190"/>
      <w:bookmarkStart w:id="5122" w:name="_Toc53407559"/>
      <w:bookmarkStart w:id="5123" w:name="_Toc53411003"/>
      <w:bookmarkStart w:id="5124" w:name="_Toc53412066"/>
      <w:bookmarkStart w:id="5125" w:name="_Toc53417313"/>
      <w:bookmarkStart w:id="5126" w:name="_Toc53417665"/>
      <w:bookmarkStart w:id="5127" w:name="_Toc53419900"/>
      <w:bookmarkStart w:id="5128" w:name="_Toc53435003"/>
      <w:bookmarkStart w:id="5129" w:name="_Toc53437142"/>
      <w:bookmarkStart w:id="5130" w:name="_Toc57291548"/>
      <w:r>
        <w:rPr>
          <w:noProof/>
        </w:rPr>
        <w:t>Aviation</w:t>
      </w:r>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Currently, air transport relies entirely on petroleum products. The contribution of liquid biofuels is marginal, at less than 0.1% of air transport energy use. In the Baseline scenario, liquid biofuels (i.e. bio-kerosene) are projected to represent around 0.2% of the energy demand in air transport by 2030 and close to 3% by 2050. </w:t>
      </w:r>
    </w:p>
    <w:p>
      <w:pPr>
        <w:pStyle w:val="Caption"/>
        <w:keepNext/>
        <w:keepLines/>
        <w:tabs>
          <w:tab w:val="left" w:pos="0"/>
        </w:tabs>
        <w:spacing w:after="0"/>
        <w:jc w:val="center"/>
        <w:rPr>
          <w:i w:val="0"/>
          <w:noProof/>
        </w:rPr>
      </w:pPr>
      <w:bookmarkStart w:id="5131" w:name="_Toc51593805"/>
      <w:bookmarkStart w:id="5132" w:name="_Toc51595272"/>
      <w:bookmarkStart w:id="5133" w:name="_Toc51595522"/>
      <w:bookmarkStart w:id="5134" w:name="_Toc51595848"/>
      <w:bookmarkStart w:id="5135" w:name="_Toc51596011"/>
      <w:bookmarkStart w:id="5136" w:name="_Toc52121498"/>
      <w:bookmarkStart w:id="5137" w:name="_Toc52122729"/>
      <w:bookmarkStart w:id="5138" w:name="_Toc53405293"/>
      <w:bookmarkStart w:id="5139" w:name="_Toc53406083"/>
      <w:bookmarkStart w:id="5140" w:name="_Toc53407449"/>
      <w:bookmarkStart w:id="5141" w:name="_Toc53410896"/>
      <w:bookmarkStart w:id="5142" w:name="_Toc53411959"/>
      <w:bookmarkStart w:id="5143" w:name="_Toc53417206"/>
      <w:bookmarkStart w:id="5144" w:name="_Toc53417558"/>
      <w:bookmarkStart w:id="5145" w:name="_Toc53419591"/>
      <w:bookmarkStart w:id="5146" w:name="_Toc53434896"/>
      <w:bookmarkStart w:id="5147" w:name="_Toc53437036"/>
      <w:bookmarkStart w:id="5148" w:name="_Toc57291695"/>
      <w:r>
        <w:rPr>
          <w:i w:val="0"/>
          <w:noProof/>
        </w:rPr>
        <w:t xml:space="preserve">Figure </w:t>
      </w:r>
      <w:r>
        <w:rPr>
          <w:noProof/>
        </w:rPr>
        <w:fldChar w:fldCharType="begin"/>
      </w:r>
      <w:r>
        <w:rPr>
          <w:i w:val="0"/>
          <w:noProof/>
          <w:szCs w:val="22"/>
        </w:rPr>
        <w:instrText xml:space="preserve"> SEQ Figure \* ARABIC </w:instrText>
      </w:r>
      <w:r>
        <w:rPr>
          <w:i w:val="0"/>
          <w:noProof/>
          <w:szCs w:val="22"/>
        </w:rPr>
        <w:fldChar w:fldCharType="separate"/>
      </w:r>
      <w:r>
        <w:rPr>
          <w:i w:val="0"/>
          <w:noProof/>
          <w:szCs w:val="22"/>
        </w:rPr>
        <w:t>51</w:t>
      </w:r>
      <w:r>
        <w:rPr>
          <w:noProof/>
        </w:rPr>
        <w:fldChar w:fldCharType="end"/>
      </w:r>
      <w:r>
        <w:rPr>
          <w:i w:val="0"/>
          <w:noProof/>
        </w:rPr>
        <w:t>: Aviation fuels mix in the Baseline and policy scenarios in 2030 and 2050</w:t>
      </w:r>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p>
    <w:p>
      <w:pPr>
        <w:keepLines/>
        <w:spacing w:after="0"/>
        <w:rPr>
          <w:noProof/>
          <w:lang w:eastAsia="en-US"/>
        </w:rPr>
      </w:pPr>
      <w:r>
        <w:rPr>
          <w:noProof/>
        </w:rPr>
        <w:drawing>
          <wp:inline distT="0" distB="0" distL="0" distR="0">
            <wp:extent cx="5243197" cy="2883535"/>
            <wp:effectExtent l="0" t="0" r="0" b="0"/>
            <wp:docPr id="3503933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1" cstate="email">
                      <a:extLst>
                        <a:ext uri="{28A0092B-C50C-407E-A947-70E740481C1C}">
                          <a14:useLocalDpi xmlns:a14="http://schemas.microsoft.com/office/drawing/2010/main"/>
                        </a:ext>
                      </a:extLst>
                    </a:blip>
                    <a:stretch>
                      <a:fillRect/>
                    </a:stretch>
                  </pic:blipFill>
                  <pic:spPr>
                    <a:xfrm>
                      <a:off x="0" y="0"/>
                      <a:ext cx="5243197" cy="2883535"/>
                    </a:xfrm>
                    <a:prstGeom prst="rect">
                      <a:avLst/>
                    </a:prstGeom>
                  </pic:spPr>
                </pic:pic>
              </a:graphicData>
            </a:graphic>
          </wp:inline>
        </w:drawing>
      </w:r>
    </w:p>
    <w:p>
      <w:pPr>
        <w:keepNext/>
        <w:keepLines/>
        <w:autoSpaceDE w:val="0"/>
        <w:autoSpaceDN w:val="0"/>
        <w:adjustRightInd w:val="0"/>
        <w:rPr>
          <w:i/>
          <w:noProof/>
          <w:sz w:val="16"/>
          <w:szCs w:val="16"/>
          <w:lang w:val="en-US"/>
        </w:rPr>
      </w:pPr>
      <w:r>
        <w:rPr>
          <w:i/>
          <w:iCs/>
          <w:noProof/>
          <w:sz w:val="16"/>
          <w:szCs w:val="16"/>
          <w:lang w:val="en-US"/>
        </w:rPr>
        <w:t>Source: PRIMES-TREMOVE transport model (E3Modelling)</w:t>
      </w:r>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Liquid biofuels and e-liquids represent the main alternatives for reducing the carbon intensity of air transport fuels, with the required energy density to provide for longer distance flights. In the policy scenarios, driven by fuel policies including ReFuelEU aviation initiative, renewable and low carbon fuels are projected to represent 3 to 8% of the energy use in 2030 and 63 to 68% in 2050. The highest uptake in 2030 is projected in REG and ALLBNK scenarios and the lowest in the MIX-50, with MIX scenario falling in between at 5%. The largest part of renewable and low carbon fuels by 2030 would be provided by liquid biofuels, with e-fuels representing between 0.7% and 2% of the energy use. E-fuels are however projected to contribute a more significant share by 2050, providing up to 35% of the energy use in air transport. Despite the significant uptake of liquid biofuels and e-liquids in the policy scenarios, 32 to 37% of the aviation fuels would still remain fossil fuel based by 2050.</w:t>
      </w:r>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Electric aircraft only materialise in very small numbers in the policy scenarios by 2050. However, there are some developments on full electrification of aviation ongoing, while Airbus, Rolls-Royce and Siemens are developing a hybrid-electric demonstration aircraft. Hybridisation can significantly increase aircraft efficiency, for example by modifying the aircraft design to reduce the overall weight, thus reducing fuel consumption.</w:t>
      </w:r>
    </w:p>
    <w:p>
      <w:pPr>
        <w:pStyle w:val="Heading4"/>
        <w:rPr>
          <w:noProof/>
        </w:rPr>
      </w:pPr>
      <w:bookmarkStart w:id="5149" w:name="_Toc51574860"/>
      <w:bookmarkStart w:id="5150" w:name="_Toc51575708"/>
      <w:bookmarkStart w:id="5151" w:name="_Toc51578106"/>
      <w:bookmarkStart w:id="5152" w:name="_Toc51582979"/>
      <w:bookmarkStart w:id="5153" w:name="_Toc51583454"/>
      <w:bookmarkStart w:id="5154" w:name="_Toc51583544"/>
      <w:bookmarkStart w:id="5155" w:name="_Toc51583829"/>
      <w:bookmarkStart w:id="5156" w:name="_Toc51584019"/>
      <w:bookmarkStart w:id="5157" w:name="_Toc51584038"/>
      <w:bookmarkStart w:id="5158" w:name="_Toc51586261"/>
      <w:bookmarkStart w:id="5159" w:name="_Toc51594064"/>
      <w:bookmarkStart w:id="5160" w:name="_Toc51594390"/>
      <w:bookmarkStart w:id="5161" w:name="_Toc51595368"/>
      <w:bookmarkStart w:id="5162" w:name="_Toc51595618"/>
      <w:bookmarkStart w:id="5163" w:name="_Toc51595944"/>
      <w:bookmarkStart w:id="5164" w:name="_Toc51596107"/>
      <w:bookmarkStart w:id="5165" w:name="_Toc51596460"/>
      <w:bookmarkStart w:id="5166" w:name="_Toc52121595"/>
      <w:bookmarkStart w:id="5167" w:name="_Toc52122826"/>
      <w:bookmarkStart w:id="5168" w:name="_Toc52123943"/>
      <w:bookmarkStart w:id="5169" w:name="_Toc53405404"/>
      <w:bookmarkStart w:id="5170" w:name="_Toc53406191"/>
      <w:bookmarkStart w:id="5171" w:name="_Toc53407560"/>
      <w:bookmarkStart w:id="5172" w:name="_Toc53411004"/>
      <w:bookmarkStart w:id="5173" w:name="_Toc53412067"/>
      <w:bookmarkStart w:id="5174" w:name="_Toc53417314"/>
      <w:bookmarkStart w:id="5175" w:name="_Toc53417666"/>
      <w:bookmarkStart w:id="5176" w:name="_Toc53419901"/>
      <w:bookmarkStart w:id="5177" w:name="_Toc53435004"/>
      <w:bookmarkStart w:id="5178" w:name="_Toc53437143"/>
      <w:bookmarkStart w:id="5179" w:name="_Toc57291549"/>
      <w:r>
        <w:rPr>
          <w:noProof/>
        </w:rPr>
        <w:t>Inland waterways and national maritime</w:t>
      </w:r>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Inland waterways and national maritime are represented together in modelling. This is due to the fact that a split of energy statistics between the two is not currently available. In the Baseline scenario, a large share of the vessels fleet (88%) is projected to be powered by liquid fuels by 2050. LNG vessels would represent around 12% of the fleet by 2050, driven by CEF funding and the assumed availability of LNG refuelling infrastructure, plus the Sulphur Directive, regulating air pollution deriving from sulphur content in marine fuels, that is also relevant for national maritime.</w:t>
      </w:r>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 the policy scenarios, energy efficiency improvements would provide a significant contribution in decreasing greenhouse gas emissions. Energy intensity would go down by 36-38% during 2005-2030 (45-49% decrease for 2005-2050). The highest improvements are projected in the REG scenario, driven by a combination of carbon pricing, technical and operational measures (e.g. engine optimisation, hull design, speed optimisation, capacity utilisation, voyage optimisation, etc.) and higher electrification of the fleet.    </w:t>
      </w:r>
    </w:p>
    <w:p>
      <w:pPr>
        <w:pStyle w:val="Caption"/>
        <w:keepNext/>
        <w:keepLines/>
        <w:tabs>
          <w:tab w:val="left" w:pos="0"/>
        </w:tabs>
        <w:spacing w:after="0"/>
        <w:jc w:val="center"/>
        <w:rPr>
          <w:i w:val="0"/>
          <w:noProof/>
        </w:rPr>
      </w:pPr>
      <w:bookmarkStart w:id="5180" w:name="_Ref51018889"/>
      <w:bookmarkStart w:id="5181" w:name="_Toc51593806"/>
      <w:bookmarkStart w:id="5182" w:name="_Toc51595273"/>
      <w:bookmarkStart w:id="5183" w:name="_Toc51595523"/>
      <w:bookmarkStart w:id="5184" w:name="_Toc51595849"/>
      <w:bookmarkStart w:id="5185" w:name="_Toc51596012"/>
      <w:bookmarkStart w:id="5186" w:name="_Toc52121499"/>
      <w:bookmarkStart w:id="5187" w:name="_Toc52122730"/>
      <w:bookmarkStart w:id="5188" w:name="_Toc53405294"/>
      <w:bookmarkStart w:id="5189" w:name="_Toc53406084"/>
      <w:bookmarkStart w:id="5190" w:name="_Toc53407450"/>
      <w:bookmarkStart w:id="5191" w:name="_Toc53410897"/>
      <w:bookmarkStart w:id="5192" w:name="_Toc53411960"/>
      <w:bookmarkStart w:id="5193" w:name="_Toc53417207"/>
      <w:bookmarkStart w:id="5194" w:name="_Toc53417559"/>
      <w:bookmarkStart w:id="5195" w:name="_Toc53419592"/>
      <w:bookmarkStart w:id="5196" w:name="_Toc53434897"/>
      <w:bookmarkStart w:id="5197" w:name="_Toc53437037"/>
      <w:bookmarkStart w:id="5198" w:name="_Toc57291696"/>
      <w:r>
        <w:rPr>
          <w:i w:val="0"/>
          <w:noProof/>
        </w:rPr>
        <w:t xml:space="preserve">Figure </w:t>
      </w:r>
      <w:r>
        <w:rPr>
          <w:noProof/>
        </w:rPr>
        <w:fldChar w:fldCharType="begin"/>
      </w:r>
      <w:r>
        <w:rPr>
          <w:i w:val="0"/>
          <w:noProof/>
          <w:szCs w:val="22"/>
        </w:rPr>
        <w:instrText xml:space="preserve"> SEQ Figure \* ARABIC </w:instrText>
      </w:r>
      <w:r>
        <w:rPr>
          <w:i w:val="0"/>
          <w:noProof/>
          <w:szCs w:val="22"/>
        </w:rPr>
        <w:fldChar w:fldCharType="separate"/>
      </w:r>
      <w:r>
        <w:rPr>
          <w:i w:val="0"/>
          <w:noProof/>
          <w:szCs w:val="22"/>
        </w:rPr>
        <w:t>52</w:t>
      </w:r>
      <w:r>
        <w:rPr>
          <w:noProof/>
        </w:rPr>
        <w:fldChar w:fldCharType="end"/>
      </w:r>
      <w:bookmarkEnd w:id="5180"/>
      <w:r>
        <w:rPr>
          <w:i w:val="0"/>
          <w:noProof/>
        </w:rPr>
        <w:t>: Inland waterways and national maritime fuels mix in the Baseline and policy scenarios in 2030 and 2050</w:t>
      </w:r>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p>
    <w:p>
      <w:pPr>
        <w:keepLines/>
        <w:spacing w:after="0"/>
        <w:rPr>
          <w:b/>
          <w:bCs/>
          <w:noProof/>
          <w:szCs w:val="22"/>
        </w:rPr>
      </w:pPr>
      <w:r>
        <w:rPr>
          <w:noProof/>
        </w:rPr>
        <w:drawing>
          <wp:inline distT="0" distB="0" distL="0" distR="0">
            <wp:extent cx="5224781" cy="2895600"/>
            <wp:effectExtent l="0" t="0" r="0" b="0"/>
            <wp:docPr id="15289546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2" cstate="email">
                      <a:extLst>
                        <a:ext uri="{28A0092B-C50C-407E-A947-70E740481C1C}">
                          <a14:useLocalDpi xmlns:a14="http://schemas.microsoft.com/office/drawing/2010/main"/>
                        </a:ext>
                      </a:extLst>
                    </a:blip>
                    <a:stretch>
                      <a:fillRect/>
                    </a:stretch>
                  </pic:blipFill>
                  <pic:spPr>
                    <a:xfrm>
                      <a:off x="0" y="0"/>
                      <a:ext cx="5224781" cy="2895600"/>
                    </a:xfrm>
                    <a:prstGeom prst="rect">
                      <a:avLst/>
                    </a:prstGeom>
                  </pic:spPr>
                </pic:pic>
              </a:graphicData>
            </a:graphic>
          </wp:inline>
        </w:drawing>
      </w:r>
    </w:p>
    <w:p>
      <w:pPr>
        <w:keepLines/>
        <w:autoSpaceDE w:val="0"/>
        <w:autoSpaceDN w:val="0"/>
        <w:adjustRightInd w:val="0"/>
        <w:rPr>
          <w:i/>
          <w:noProof/>
          <w:sz w:val="16"/>
          <w:szCs w:val="16"/>
          <w:lang w:val="en-US"/>
        </w:rPr>
      </w:pPr>
      <w:r>
        <w:rPr>
          <w:i/>
          <w:iCs/>
          <w:noProof/>
          <w:sz w:val="16"/>
          <w:szCs w:val="16"/>
          <w:lang w:val="en-US"/>
        </w:rPr>
        <w:t>Source: PRIMES-TREMOVE transport model (E3Modelling)</w:t>
      </w:r>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Electric vessels would represent 11 to 18% of the vessels fleet in 2050 with the highest share in the REG scenario and the lowest in CPRICE scenario while fuel cell vessels are projected at around 6% of the fleet. Propulsion systems powered by liquid fuels would maintain a dominant role by 2050 (between 59% in REG to 67% in CPRICE), followed by those powered by gaseous fuels (15-16%). However, the carbon intensity of both liquid and gaseous fuels would decrease significantly relative to the Baseline.</w:t>
      </w:r>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Renewable and low carbon fuels would represent 8 to 13% of the fuel mix by 2030 and 85-90% by 2050, driven by fuel policies including FuelEU maritime initiative and supported by the deployment of refuelling infrastructure. While liquid biofuels provide the largest share by 2030, by 2050 e-liquids would represent 37 to 42% of the energy use in inland waterways and national maritime, followed by liquid biofuels (30-38%) and decarbonised gases (9-10%). Electricity and hydrogen contribute together 9 to 13% of the fuel mix by 2050. </w:t>
      </w:r>
    </w:p>
    <w:p>
      <w:pPr>
        <w:pStyle w:val="Heading4"/>
        <w:rPr>
          <w:noProof/>
        </w:rPr>
      </w:pPr>
      <w:bookmarkStart w:id="5199" w:name="_Toc51574861"/>
      <w:bookmarkStart w:id="5200" w:name="_Toc51575709"/>
      <w:bookmarkStart w:id="5201" w:name="_Toc51578107"/>
      <w:bookmarkStart w:id="5202" w:name="_Toc51582980"/>
      <w:bookmarkStart w:id="5203" w:name="_Toc51583455"/>
      <w:bookmarkStart w:id="5204" w:name="_Toc51583545"/>
      <w:bookmarkStart w:id="5205" w:name="_Toc51583830"/>
      <w:bookmarkStart w:id="5206" w:name="_Toc51584020"/>
      <w:bookmarkStart w:id="5207" w:name="_Toc51584039"/>
      <w:bookmarkStart w:id="5208" w:name="_Toc51586262"/>
      <w:bookmarkStart w:id="5209" w:name="_Toc51594065"/>
      <w:bookmarkStart w:id="5210" w:name="_Toc51594391"/>
      <w:bookmarkStart w:id="5211" w:name="_Toc51595369"/>
      <w:bookmarkStart w:id="5212" w:name="_Toc51595619"/>
      <w:bookmarkStart w:id="5213" w:name="_Toc51595945"/>
      <w:bookmarkStart w:id="5214" w:name="_Toc51596108"/>
      <w:bookmarkStart w:id="5215" w:name="_Toc51596461"/>
      <w:bookmarkStart w:id="5216" w:name="_Toc52121596"/>
      <w:bookmarkStart w:id="5217" w:name="_Toc52122827"/>
      <w:bookmarkStart w:id="5218" w:name="_Toc52123944"/>
      <w:bookmarkStart w:id="5219" w:name="_Toc53405405"/>
      <w:bookmarkStart w:id="5220" w:name="_Toc53406192"/>
      <w:bookmarkStart w:id="5221" w:name="_Toc53407561"/>
      <w:bookmarkStart w:id="5222" w:name="_Toc53411005"/>
      <w:bookmarkStart w:id="5223" w:name="_Toc53412068"/>
      <w:bookmarkStart w:id="5224" w:name="_Toc53417315"/>
      <w:bookmarkStart w:id="5225" w:name="_Toc53417667"/>
      <w:bookmarkStart w:id="5226" w:name="_Toc53419902"/>
      <w:bookmarkStart w:id="5227" w:name="_Toc53435005"/>
      <w:bookmarkStart w:id="5228" w:name="_Toc53437144"/>
      <w:bookmarkStart w:id="5229" w:name="_Toc57291550"/>
      <w:r>
        <w:rPr>
          <w:noProof/>
        </w:rPr>
        <w:t>International maritime transport</w:t>
      </w:r>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the Baseline scenario, international maritime transport is projected to be dominated by the use of fossil fuels. Natural gas would provide around 17% of energy demand by 2050 driven by the SOx and NOx requirements of Annex VI to the MARPOL Convention of the IMO (as well as by the Sulphur Directive in the EU, transposing IMO rules and promoting as well other low sulphur sustainable alternative fuels) and the assumed availability of refuelling infrastructure for LNG. Heavy fuel oil and marine diesel oil would provide the rest of the fuel use.</w:t>
      </w:r>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 the policy scenarios, renewable and low carbon fuels are projected at 5.5 to 13.5% of the fuel mix by 2030, with 5.5% in the less ambitious MIX-50 scenario, 7.5% in the MIX and 13.5% in ALLBNK that assumes an extended scope of GHG reductions covering all aviation and maritime. By 2050 they would represent 86-88% of the energy use in international maritime. The uptake of renewable and low carbon fuels is driven by fuel policies including FuelEU maritime initiative and supported by the deployment of refuelling infrastructure.     </w:t>
      </w:r>
    </w:p>
    <w:p>
      <w:pPr>
        <w:pStyle w:val="Caption"/>
        <w:keepNext/>
        <w:keepLines/>
        <w:tabs>
          <w:tab w:val="left" w:pos="0"/>
        </w:tabs>
        <w:spacing w:after="0"/>
        <w:jc w:val="center"/>
        <w:rPr>
          <w:i w:val="0"/>
          <w:noProof/>
        </w:rPr>
      </w:pPr>
      <w:bookmarkStart w:id="5230" w:name="_Toc51593807"/>
      <w:bookmarkStart w:id="5231" w:name="_Toc51595274"/>
      <w:bookmarkStart w:id="5232" w:name="_Toc51595524"/>
      <w:bookmarkStart w:id="5233" w:name="_Toc51595850"/>
      <w:bookmarkStart w:id="5234" w:name="_Toc51596013"/>
      <w:bookmarkStart w:id="5235" w:name="_Toc52121500"/>
      <w:bookmarkStart w:id="5236" w:name="_Toc52122731"/>
      <w:bookmarkStart w:id="5237" w:name="_Toc53405295"/>
      <w:bookmarkStart w:id="5238" w:name="_Toc53406085"/>
      <w:bookmarkStart w:id="5239" w:name="_Toc53407451"/>
      <w:bookmarkStart w:id="5240" w:name="_Toc53410898"/>
      <w:bookmarkStart w:id="5241" w:name="_Toc53411961"/>
      <w:bookmarkStart w:id="5242" w:name="_Toc53417208"/>
      <w:bookmarkStart w:id="5243" w:name="_Toc53417560"/>
      <w:bookmarkStart w:id="5244" w:name="_Toc53419593"/>
      <w:bookmarkStart w:id="5245" w:name="_Toc53434898"/>
      <w:bookmarkStart w:id="5246" w:name="_Toc53437038"/>
      <w:bookmarkStart w:id="5247" w:name="_Toc57291697"/>
      <w:r>
        <w:rPr>
          <w:i w:val="0"/>
          <w:noProof/>
        </w:rPr>
        <w:t xml:space="preserve">Figure </w:t>
      </w:r>
      <w:r>
        <w:rPr>
          <w:noProof/>
        </w:rPr>
        <w:fldChar w:fldCharType="begin"/>
      </w:r>
      <w:r>
        <w:rPr>
          <w:i w:val="0"/>
          <w:noProof/>
          <w:szCs w:val="22"/>
        </w:rPr>
        <w:instrText xml:space="preserve"> SEQ Figure \* ARABIC </w:instrText>
      </w:r>
      <w:r>
        <w:rPr>
          <w:i w:val="0"/>
          <w:noProof/>
          <w:szCs w:val="22"/>
        </w:rPr>
        <w:fldChar w:fldCharType="separate"/>
      </w:r>
      <w:r>
        <w:rPr>
          <w:i w:val="0"/>
          <w:noProof/>
          <w:szCs w:val="22"/>
        </w:rPr>
        <w:t>53</w:t>
      </w:r>
      <w:r>
        <w:rPr>
          <w:noProof/>
        </w:rPr>
        <w:fldChar w:fldCharType="end"/>
      </w:r>
      <w:r>
        <w:rPr>
          <w:i w:val="0"/>
          <w:noProof/>
        </w:rPr>
        <w:t>: International maritime fuels mix in the Baseline and policy scenarios in 2030 and 2050</w:t>
      </w:r>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p>
    <w:p>
      <w:pPr>
        <w:rPr>
          <w:noProof/>
          <w:lang w:eastAsia="en-US"/>
        </w:rPr>
      </w:pPr>
      <w:r>
        <w:rPr>
          <w:noProof/>
        </w:rPr>
        <w:drawing>
          <wp:inline distT="0" distB="0" distL="0" distR="0">
            <wp:extent cx="5395596" cy="2627630"/>
            <wp:effectExtent l="0" t="0" r="0" b="1270"/>
            <wp:docPr id="8886810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3" cstate="email">
                      <a:extLst>
                        <a:ext uri="{28A0092B-C50C-407E-A947-70E740481C1C}">
                          <a14:useLocalDpi xmlns:a14="http://schemas.microsoft.com/office/drawing/2010/main"/>
                        </a:ext>
                      </a:extLst>
                    </a:blip>
                    <a:stretch>
                      <a:fillRect/>
                    </a:stretch>
                  </pic:blipFill>
                  <pic:spPr>
                    <a:xfrm>
                      <a:off x="0" y="0"/>
                      <a:ext cx="5395596" cy="2627630"/>
                    </a:xfrm>
                    <a:prstGeom prst="rect">
                      <a:avLst/>
                    </a:prstGeom>
                  </pic:spPr>
                </pic:pic>
              </a:graphicData>
            </a:graphic>
          </wp:inline>
        </w:drawing>
      </w:r>
    </w:p>
    <w:p>
      <w:pPr>
        <w:keepNext/>
        <w:keepLines/>
        <w:autoSpaceDE w:val="0"/>
        <w:autoSpaceDN w:val="0"/>
        <w:adjustRightInd w:val="0"/>
        <w:rPr>
          <w:i/>
          <w:noProof/>
          <w:sz w:val="16"/>
          <w:szCs w:val="16"/>
          <w:lang w:val="en-US"/>
        </w:rPr>
      </w:pPr>
      <w:r>
        <w:rPr>
          <w:i/>
          <w:iCs/>
          <w:noProof/>
          <w:sz w:val="16"/>
          <w:szCs w:val="16"/>
          <w:lang w:val="en-US"/>
        </w:rPr>
        <w:t>Source: PRIMES-TREMOVE transport model (E3Modelling)</w:t>
      </w:r>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Liquid biofuels would represent 39-40% of the fuel mix by 2050, while e-liquids would contribution up to 20%. Low carbon gases (bio-LNG and e-gas) are projected to represent 20 to 22% of the fuel mix and hydrogen another 7-8%.</w:t>
      </w:r>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share of marine diesel oil and heavy fuel oil is projected to reduce significantly over time. As a result, the CO</w:t>
      </w:r>
      <w:r>
        <w:rPr>
          <w:rFonts w:ascii="Times New Roman" w:hAnsi="Times New Roman" w:cs="Times New Roman"/>
          <w:noProof/>
          <w:sz w:val="24"/>
          <w:szCs w:val="24"/>
          <w:vertAlign w:val="subscript"/>
          <w:lang w:val="en-GB"/>
        </w:rPr>
        <w:t>2</w:t>
      </w:r>
      <w:r>
        <w:rPr>
          <w:rFonts w:ascii="Times New Roman" w:hAnsi="Times New Roman" w:cs="Times New Roman"/>
          <w:noProof/>
          <w:sz w:val="24"/>
          <w:szCs w:val="24"/>
          <w:lang w:val="en-GB"/>
        </w:rPr>
        <w:t xml:space="preserve"> intensity (expressed in tons of CO</w:t>
      </w:r>
      <w:r>
        <w:rPr>
          <w:rFonts w:ascii="Times New Roman" w:hAnsi="Times New Roman" w:cs="Times New Roman"/>
          <w:noProof/>
          <w:sz w:val="24"/>
          <w:szCs w:val="24"/>
          <w:vertAlign w:val="subscript"/>
          <w:lang w:val="en-GB"/>
        </w:rPr>
        <w:t>2</w:t>
      </w:r>
      <w:r>
        <w:rPr>
          <w:rFonts w:ascii="Times New Roman" w:hAnsi="Times New Roman" w:cs="Times New Roman"/>
          <w:noProof/>
          <w:sz w:val="24"/>
          <w:szCs w:val="24"/>
          <w:lang w:val="en-GB"/>
        </w:rPr>
        <w:t xml:space="preserve"> per tonne-kilometre) is projected to go down between 13% in the less ambitious MIX-50 scenario (15% in the MIX) and 21% in ALLBNK by 2030 relative to 2015. By 2050, CO</w:t>
      </w:r>
      <w:r>
        <w:rPr>
          <w:rFonts w:ascii="Times New Roman" w:hAnsi="Times New Roman" w:cs="Times New Roman"/>
          <w:noProof/>
          <w:sz w:val="24"/>
          <w:szCs w:val="24"/>
          <w:vertAlign w:val="subscript"/>
          <w:lang w:val="en-GB"/>
        </w:rPr>
        <w:t>2</w:t>
      </w:r>
      <w:r>
        <w:rPr>
          <w:rFonts w:ascii="Times New Roman" w:hAnsi="Times New Roman" w:cs="Times New Roman"/>
          <w:noProof/>
          <w:sz w:val="24"/>
          <w:szCs w:val="24"/>
          <w:lang w:val="en-GB"/>
        </w:rPr>
        <w:t xml:space="preserve"> intensity is projected to decrease by 89-91%.</w:t>
      </w:r>
    </w:p>
    <w:p>
      <w:pPr>
        <w:pStyle w:val="BodyA"/>
        <w:numPr>
          <w:ilvl w:val="0"/>
          <w:numId w:val="89"/>
        </w:numPr>
        <w:spacing w:after="6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Energy efficiency, measured as tons of oil equivalent per million tonnes-kilometres, is projected to provide significant contribution to the achievement of emissions reductions in all policy scenarios (15-18% improvements over 2015-2050, equivalent to 42-43% improvements over 2005-2050) driven by a combination of carbon pricing, technical and operational measures. </w:t>
      </w:r>
    </w:p>
    <w:p>
      <w:pPr>
        <w:pStyle w:val="Heading3"/>
        <w:rPr>
          <w:noProof/>
        </w:rPr>
      </w:pPr>
      <w:bookmarkStart w:id="5248" w:name="_Toc51574862"/>
      <w:bookmarkStart w:id="5249" w:name="_Toc51575710"/>
      <w:bookmarkStart w:id="5250" w:name="_Toc51578108"/>
      <w:bookmarkStart w:id="5251" w:name="_Toc51582981"/>
      <w:bookmarkStart w:id="5252" w:name="_Toc51583456"/>
      <w:bookmarkStart w:id="5253" w:name="_Toc51583546"/>
      <w:bookmarkStart w:id="5254" w:name="_Toc51583831"/>
      <w:bookmarkStart w:id="5255" w:name="_Toc51584021"/>
      <w:bookmarkStart w:id="5256" w:name="_Toc51584040"/>
      <w:bookmarkStart w:id="5257" w:name="_Toc51586263"/>
      <w:bookmarkStart w:id="5258" w:name="_Toc51594066"/>
      <w:bookmarkStart w:id="5259" w:name="_Toc51594392"/>
      <w:bookmarkStart w:id="5260" w:name="_Toc51595370"/>
      <w:bookmarkStart w:id="5261" w:name="_Toc51595620"/>
      <w:bookmarkStart w:id="5262" w:name="_Toc51595946"/>
      <w:bookmarkStart w:id="5263" w:name="_Toc51596109"/>
      <w:bookmarkStart w:id="5264" w:name="_Toc51596462"/>
      <w:bookmarkStart w:id="5265" w:name="_Toc52121597"/>
      <w:bookmarkStart w:id="5266" w:name="_Toc52122828"/>
      <w:bookmarkStart w:id="5267" w:name="_Toc52123945"/>
      <w:bookmarkStart w:id="5268" w:name="_Toc53405406"/>
      <w:bookmarkStart w:id="5269" w:name="_Toc53406193"/>
      <w:bookmarkStart w:id="5270" w:name="_Toc53407562"/>
      <w:bookmarkStart w:id="5271" w:name="_Toc53411006"/>
      <w:bookmarkStart w:id="5272" w:name="_Toc53412069"/>
      <w:bookmarkStart w:id="5273" w:name="_Toc53417316"/>
      <w:bookmarkStart w:id="5274" w:name="_Toc53417668"/>
      <w:bookmarkStart w:id="5275" w:name="_Toc53419903"/>
      <w:bookmarkStart w:id="5276" w:name="_Toc53435006"/>
      <w:bookmarkStart w:id="5277" w:name="_Toc53437145"/>
      <w:bookmarkStart w:id="5278" w:name="_Toc57291551"/>
      <w:r>
        <w:rPr>
          <w:noProof/>
        </w:rPr>
        <w:t>Energy demand and fuel mix projections</w:t>
      </w:r>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p>
    <w:p>
      <w:pPr>
        <w:pStyle w:val="LegalNumPar"/>
        <w:numPr>
          <w:ilvl w:val="0"/>
          <w:numId w:val="89"/>
        </w:numPr>
        <w:pBdr>
          <w:top w:val="nil"/>
          <w:left w:val="nil"/>
          <w:bottom w:val="nil"/>
          <w:right w:val="nil"/>
          <w:between w:val="nil"/>
          <w:bar w:val="nil"/>
        </w:pBdr>
        <w:tabs>
          <w:tab w:val="left" w:pos="476"/>
        </w:tabs>
        <w:spacing w:line="240" w:lineRule="auto"/>
        <w:rPr>
          <w:noProof/>
        </w:rPr>
      </w:pPr>
      <w:r>
        <w:rPr>
          <w:b/>
          <w:bCs/>
          <w:noProof/>
        </w:rPr>
        <w:t>Total energy use in transport</w:t>
      </w:r>
      <w:r>
        <w:rPr>
          <w:noProof/>
        </w:rPr>
        <w:t xml:space="preserve"> (including international aviation and maritime) is projected to decrease in all scenarios and this in the context of growing activity thus showing progress in terms of energy efficiency: by 3% in the Baseline scenario during 2015-2030 and 4-6% in the policy scenarios (13% reduction by 2050 in the Baseline and 35-40% in the policy scenarios). Final energy consumption (excluding international aviation and maritime) would reduce at faster pace: by 31% between 2015 and 2030 in the Baseline and 32-33% in the policy scenarios (45% by 2050 in the Baseline and 64-70% in the policy scenarios). </w:t>
      </w:r>
    </w:p>
    <w:p>
      <w:pPr>
        <w:pStyle w:val="Caption"/>
        <w:keepNext/>
        <w:keepLines/>
        <w:tabs>
          <w:tab w:val="left" w:pos="0"/>
        </w:tabs>
        <w:spacing w:after="0"/>
        <w:jc w:val="center"/>
        <w:rPr>
          <w:i w:val="0"/>
          <w:noProof/>
        </w:rPr>
      </w:pPr>
      <w:bookmarkStart w:id="5279" w:name="_Toc51593808"/>
      <w:bookmarkStart w:id="5280" w:name="_Toc51595275"/>
      <w:bookmarkStart w:id="5281" w:name="_Toc51595525"/>
      <w:bookmarkStart w:id="5282" w:name="_Toc51595851"/>
      <w:bookmarkStart w:id="5283" w:name="_Toc51596014"/>
      <w:bookmarkStart w:id="5284" w:name="_Toc52121501"/>
      <w:bookmarkStart w:id="5285" w:name="_Toc52122732"/>
      <w:bookmarkStart w:id="5286" w:name="_Toc53405296"/>
      <w:bookmarkStart w:id="5287" w:name="_Toc53406086"/>
      <w:bookmarkStart w:id="5288" w:name="_Toc53407452"/>
      <w:bookmarkStart w:id="5289" w:name="_Toc53410899"/>
      <w:bookmarkStart w:id="5290" w:name="_Toc53411962"/>
      <w:bookmarkStart w:id="5291" w:name="_Toc53417209"/>
      <w:bookmarkStart w:id="5292" w:name="_Toc53417561"/>
      <w:bookmarkStart w:id="5293" w:name="_Toc53419594"/>
      <w:bookmarkStart w:id="5294" w:name="_Toc53434899"/>
      <w:bookmarkStart w:id="5295" w:name="_Toc53437039"/>
      <w:bookmarkStart w:id="5296" w:name="_Toc57291698"/>
      <w:r>
        <w:rPr>
          <w:i w:val="0"/>
          <w:noProof/>
        </w:rPr>
        <w:t xml:space="preserve">Figure </w:t>
      </w:r>
      <w:r>
        <w:rPr>
          <w:noProof/>
        </w:rPr>
        <w:fldChar w:fldCharType="begin"/>
      </w:r>
      <w:r>
        <w:rPr>
          <w:i w:val="0"/>
          <w:noProof/>
          <w:szCs w:val="22"/>
        </w:rPr>
        <w:instrText xml:space="preserve"> SEQ Figure \* ARABIC </w:instrText>
      </w:r>
      <w:r>
        <w:rPr>
          <w:i w:val="0"/>
          <w:noProof/>
          <w:szCs w:val="22"/>
        </w:rPr>
        <w:fldChar w:fldCharType="separate"/>
      </w:r>
      <w:r>
        <w:rPr>
          <w:i w:val="0"/>
          <w:noProof/>
          <w:szCs w:val="22"/>
        </w:rPr>
        <w:t>54</w:t>
      </w:r>
      <w:r>
        <w:rPr>
          <w:noProof/>
        </w:rPr>
        <w:fldChar w:fldCharType="end"/>
      </w:r>
      <w:r>
        <w:rPr>
          <w:i w:val="0"/>
          <w:noProof/>
        </w:rPr>
        <w:t>: Change in total energy use in transport</w:t>
      </w:r>
      <w:r>
        <w:rPr>
          <w:i w:val="0"/>
          <w:noProof/>
          <w:vertAlign w:val="superscript"/>
        </w:rPr>
        <w:footnoteReference w:id="618"/>
      </w:r>
      <w:r>
        <w:rPr>
          <w:i w:val="0"/>
          <w:noProof/>
        </w:rPr>
        <w:t xml:space="preserve"> and in the final energy consumption</w:t>
      </w:r>
      <w:r>
        <w:rPr>
          <w:i w:val="0"/>
          <w:noProof/>
          <w:vertAlign w:val="superscript"/>
        </w:rPr>
        <w:footnoteReference w:id="619"/>
      </w:r>
      <w:r>
        <w:rPr>
          <w:i w:val="0"/>
          <w:noProof/>
        </w:rPr>
        <w:t xml:space="preserve"> in 2030 and 2050 compared to 2015</w:t>
      </w:r>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p>
    <w:p>
      <w:pPr>
        <w:keepNext/>
        <w:keepLines/>
        <w:spacing w:after="0"/>
        <w:rPr>
          <w:b/>
          <w:bCs/>
          <w:noProof/>
          <w:szCs w:val="22"/>
        </w:rPr>
      </w:pPr>
      <w:r>
        <w:rPr>
          <w:noProof/>
        </w:rPr>
        <w:drawing>
          <wp:inline distT="0" distB="0" distL="0" distR="0">
            <wp:extent cx="2664460" cy="2517775"/>
            <wp:effectExtent l="0" t="0" r="2540" b="0"/>
            <wp:docPr id="9093705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4" cstate="email">
                      <a:extLst>
                        <a:ext uri="{28A0092B-C50C-407E-A947-70E740481C1C}">
                          <a14:useLocalDpi xmlns:a14="http://schemas.microsoft.com/office/drawing/2010/main"/>
                        </a:ext>
                      </a:extLst>
                    </a:blip>
                    <a:stretch>
                      <a:fillRect/>
                    </a:stretch>
                  </pic:blipFill>
                  <pic:spPr>
                    <a:xfrm>
                      <a:off x="0" y="0"/>
                      <a:ext cx="2664460" cy="2517775"/>
                    </a:xfrm>
                    <a:prstGeom prst="rect">
                      <a:avLst/>
                    </a:prstGeom>
                  </pic:spPr>
                </pic:pic>
              </a:graphicData>
            </a:graphic>
          </wp:inline>
        </w:drawing>
      </w:r>
      <w:r>
        <w:rPr>
          <w:noProof/>
        </w:rPr>
        <w:drawing>
          <wp:inline distT="0" distB="0" distL="0" distR="0">
            <wp:extent cx="2664460" cy="2517775"/>
            <wp:effectExtent l="0" t="0" r="2540" b="0"/>
            <wp:docPr id="748205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5" cstate="email">
                      <a:extLst>
                        <a:ext uri="{28A0092B-C50C-407E-A947-70E740481C1C}">
                          <a14:useLocalDpi xmlns:a14="http://schemas.microsoft.com/office/drawing/2010/main"/>
                        </a:ext>
                      </a:extLst>
                    </a:blip>
                    <a:stretch>
                      <a:fillRect/>
                    </a:stretch>
                  </pic:blipFill>
                  <pic:spPr>
                    <a:xfrm>
                      <a:off x="0" y="0"/>
                      <a:ext cx="2664460" cy="2517775"/>
                    </a:xfrm>
                    <a:prstGeom prst="rect">
                      <a:avLst/>
                    </a:prstGeom>
                  </pic:spPr>
                </pic:pic>
              </a:graphicData>
            </a:graphic>
          </wp:inline>
        </w:drawing>
      </w:r>
    </w:p>
    <w:p>
      <w:pPr>
        <w:keepNext/>
        <w:keepLines/>
        <w:autoSpaceDE w:val="0"/>
        <w:autoSpaceDN w:val="0"/>
        <w:adjustRightInd w:val="0"/>
        <w:rPr>
          <w:i/>
          <w:noProof/>
          <w:sz w:val="16"/>
          <w:szCs w:val="16"/>
          <w:lang w:val="en-US"/>
        </w:rPr>
      </w:pPr>
      <w:r>
        <w:rPr>
          <w:i/>
          <w:iCs/>
          <w:noProof/>
          <w:sz w:val="16"/>
          <w:szCs w:val="16"/>
          <w:lang w:val="en-US"/>
        </w:rPr>
        <w:t>Source: PRIMES-TREMOVE transport model (E3Modelling)</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The higher energy savings in terms of final energy demand are due to road transport and are driven by the assumed tightening of the vehicle standards, carbon pricing and policies that improve the functioning of the transport system and lead to greater use of sustainable transport modes, enabled by digitalisation and supported by the TEN-T infrastructure. Road transport currently represents over 70% of the total energy use in transport and over 90% of the final energy demand. Its share in total energy use is however projected to remain significant by 2050 in all scenarios (above 45%) despite the significant energy savings that would be achieved by the sector.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REG achieves the highest savings relative to the Baseline in terms of total energy use and final energy consumption, due to higher intensification of vehicle standards assumed in this scenario relative to MIX, further measures related to intelligent transport systems, digitalisation, connectivity and automation of transport, incentives for sustainable urban transport, pricing measures and energy taxation but also greater use of sustainable transport modes. By 2050, around 70% of the total energy savings relative to the Baseline are projected to take place in passenger transport.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b/>
          <w:bCs/>
          <w:noProof/>
        </w:rPr>
        <w:t>Alternative fuels</w:t>
      </w:r>
      <w:r>
        <w:rPr>
          <w:rStyle w:val="FootnoteReference"/>
          <w:noProof/>
        </w:rPr>
        <w:footnoteReference w:id="620"/>
      </w:r>
      <w:r>
        <w:rPr>
          <w:b/>
          <w:bCs/>
          <w:noProof/>
        </w:rPr>
        <w:t xml:space="preserve"> </w:t>
      </w:r>
      <w:r>
        <w:rPr>
          <w:noProof/>
        </w:rPr>
        <w:t>including renewable and low carbon fuels</w:t>
      </w:r>
      <w:r>
        <w:rPr>
          <w:b/>
          <w:bCs/>
          <w:noProof/>
        </w:rPr>
        <w:t xml:space="preserve"> </w:t>
      </w:r>
      <w:r>
        <w:rPr>
          <w:noProof/>
        </w:rPr>
        <w:t>are projected to increase in all policy scenarios relative to the Baseline. In CPRICE scenario the share of alternative fuels would go up to 13.5% by 2030, driven by carbon pricing and policy measures towards reducing emissions in aviation and maritime. Biofuels and biomethane would represent 6.4% in CPRICE by 2030. The share of biofuels and biomethane increases further in MIX and REG scenarios by 2030 (6.6% and 6.9% of transport energy demand, respectively) thanks to dedicated fuel policies, including for aviation and maritime. Overall, total alternative fuels are projected at around 14% of the transport fuel mix in MIX and 15.1% in REG by 2030</w:t>
      </w:r>
      <w:r>
        <w:rPr>
          <w:rStyle w:val="FootnoteReference"/>
          <w:noProof/>
        </w:rPr>
        <w:footnoteReference w:id="621"/>
      </w:r>
      <w:r>
        <w:rPr>
          <w:noProof/>
        </w:rPr>
        <w:t>. E-fuels would represent around 0.2% of the transport energy demand in CPRICE and MIX and 0.4% in REG, driven by fuel obligations for aviation and maritime. The share of alternative fuels would go up to 15.5% in ALLBNK, driven by higher ambition policies focussed in particular on aviation and maritime fuels in this scenario, and higher carbon pricing. The share of e-fuels would also be slightly higher at around 0.6% by 2030 in ALLBNK. In MIX-50, the share of alternative fuels is projected to be lower at around 13.2%.</w:t>
      </w:r>
    </w:p>
    <w:p>
      <w:pPr>
        <w:pStyle w:val="Caption"/>
        <w:keepNext/>
        <w:keepLines/>
        <w:tabs>
          <w:tab w:val="left" w:pos="0"/>
        </w:tabs>
        <w:spacing w:after="0"/>
        <w:jc w:val="center"/>
        <w:rPr>
          <w:i w:val="0"/>
          <w:noProof/>
        </w:rPr>
      </w:pPr>
      <w:bookmarkStart w:id="5297" w:name="_Toc51593809"/>
      <w:bookmarkStart w:id="5298" w:name="_Toc51595276"/>
      <w:bookmarkStart w:id="5299" w:name="_Toc51595526"/>
      <w:bookmarkStart w:id="5300" w:name="_Toc51595852"/>
      <w:bookmarkStart w:id="5301" w:name="_Toc51596015"/>
      <w:bookmarkStart w:id="5302" w:name="_Toc52121502"/>
      <w:bookmarkStart w:id="5303" w:name="_Toc52122733"/>
      <w:bookmarkStart w:id="5304" w:name="_Toc53405297"/>
      <w:bookmarkStart w:id="5305" w:name="_Toc53406087"/>
      <w:bookmarkStart w:id="5306" w:name="_Toc53407453"/>
      <w:bookmarkStart w:id="5307" w:name="_Toc53410900"/>
      <w:bookmarkStart w:id="5308" w:name="_Toc53411963"/>
      <w:bookmarkStart w:id="5309" w:name="_Toc53417210"/>
      <w:bookmarkStart w:id="5310" w:name="_Toc53417562"/>
      <w:bookmarkStart w:id="5311" w:name="_Toc53419595"/>
      <w:bookmarkStart w:id="5312" w:name="_Toc53434900"/>
      <w:bookmarkStart w:id="5313" w:name="_Toc53437040"/>
      <w:bookmarkStart w:id="5314" w:name="_Toc57291699"/>
      <w:r>
        <w:rPr>
          <w:i w:val="0"/>
          <w:noProof/>
        </w:rPr>
        <w:t xml:space="preserve">Figure </w:t>
      </w:r>
      <w:r>
        <w:rPr>
          <w:noProof/>
        </w:rPr>
        <w:fldChar w:fldCharType="begin"/>
      </w:r>
      <w:r>
        <w:rPr>
          <w:i w:val="0"/>
          <w:noProof/>
          <w:szCs w:val="22"/>
        </w:rPr>
        <w:instrText xml:space="preserve"> SEQ Figure \* ARABIC </w:instrText>
      </w:r>
      <w:r>
        <w:rPr>
          <w:i w:val="0"/>
          <w:noProof/>
          <w:szCs w:val="22"/>
        </w:rPr>
        <w:fldChar w:fldCharType="separate"/>
      </w:r>
      <w:r>
        <w:rPr>
          <w:i w:val="0"/>
          <w:noProof/>
          <w:szCs w:val="22"/>
        </w:rPr>
        <w:t>55</w:t>
      </w:r>
      <w:r>
        <w:rPr>
          <w:noProof/>
        </w:rPr>
        <w:fldChar w:fldCharType="end"/>
      </w:r>
      <w:r>
        <w:rPr>
          <w:i w:val="0"/>
          <w:noProof/>
        </w:rPr>
        <w:t>: Share of alternative fuels in transport (including international aviation and maritime) in 2030</w:t>
      </w:r>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p>
    <w:p>
      <w:pPr>
        <w:rPr>
          <w:noProof/>
          <w:lang w:eastAsia="en-US"/>
        </w:rPr>
      </w:pPr>
      <w:r>
        <w:rPr>
          <w:noProof/>
        </w:rPr>
        <w:drawing>
          <wp:inline distT="0" distB="0" distL="0" distR="0">
            <wp:extent cx="5401310" cy="2524125"/>
            <wp:effectExtent l="0" t="0" r="8890" b="9525"/>
            <wp:docPr id="18590978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6" cstate="email">
                      <a:extLst>
                        <a:ext uri="{28A0092B-C50C-407E-A947-70E740481C1C}">
                          <a14:useLocalDpi xmlns:a14="http://schemas.microsoft.com/office/drawing/2010/main"/>
                        </a:ext>
                      </a:extLst>
                    </a:blip>
                    <a:stretch>
                      <a:fillRect/>
                    </a:stretch>
                  </pic:blipFill>
                  <pic:spPr>
                    <a:xfrm>
                      <a:off x="0" y="0"/>
                      <a:ext cx="5401310" cy="2524125"/>
                    </a:xfrm>
                    <a:prstGeom prst="rect">
                      <a:avLst/>
                    </a:prstGeom>
                  </pic:spPr>
                </pic:pic>
              </a:graphicData>
            </a:graphic>
          </wp:inline>
        </w:drawing>
      </w:r>
    </w:p>
    <w:p>
      <w:pPr>
        <w:keepNext/>
        <w:keepLines/>
        <w:autoSpaceDE w:val="0"/>
        <w:autoSpaceDN w:val="0"/>
        <w:adjustRightInd w:val="0"/>
        <w:rPr>
          <w:i/>
          <w:noProof/>
          <w:sz w:val="16"/>
          <w:szCs w:val="16"/>
          <w:lang w:val="en-US"/>
        </w:rPr>
      </w:pPr>
      <w:r>
        <w:rPr>
          <w:i/>
          <w:iCs/>
          <w:noProof/>
          <w:sz w:val="16"/>
          <w:szCs w:val="16"/>
          <w:lang w:val="en-US"/>
        </w:rPr>
        <w:t>Source: PRIMES-TREMOVE transport model (E3Modelling)</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share of renewable energy in transport</w:t>
      </w:r>
      <w:r>
        <w:rPr>
          <w:rStyle w:val="FootnoteReference"/>
          <w:noProof/>
        </w:rPr>
        <w:footnoteReference w:id="622"/>
      </w:r>
      <w:r>
        <w:rPr>
          <w:noProof/>
        </w:rPr>
        <w:t xml:space="preserve"> is projected to significantly increase by 2030 driven by the assumed fuel policies leading to the uptake of advanced biofuels and electric vehicles. The share of renewables would reach 20% in MIX-50 and between 22% in CPRICE to 26% in REG and ALLBNK. The MIX scenario falls between CPRICE and REG and projects a share of renewable energy in transport of 24% by 2030.</w:t>
      </w:r>
    </w:p>
    <w:p>
      <w:pPr>
        <w:pStyle w:val="Caption"/>
        <w:keepNext/>
        <w:keepLines/>
        <w:tabs>
          <w:tab w:val="left" w:pos="0"/>
        </w:tabs>
        <w:spacing w:after="0"/>
        <w:jc w:val="center"/>
        <w:rPr>
          <w:i w:val="0"/>
          <w:noProof/>
        </w:rPr>
      </w:pPr>
      <w:bookmarkStart w:id="5315" w:name="_Toc51593810"/>
      <w:bookmarkStart w:id="5316" w:name="_Toc51595277"/>
      <w:bookmarkStart w:id="5317" w:name="_Toc51595527"/>
      <w:bookmarkStart w:id="5318" w:name="_Toc51595853"/>
      <w:bookmarkStart w:id="5319" w:name="_Toc51596016"/>
      <w:bookmarkStart w:id="5320" w:name="_Toc52121503"/>
      <w:bookmarkStart w:id="5321" w:name="_Toc52122734"/>
      <w:bookmarkStart w:id="5322" w:name="_Toc53405298"/>
      <w:bookmarkStart w:id="5323" w:name="_Toc53406088"/>
      <w:bookmarkStart w:id="5324" w:name="_Toc53407454"/>
      <w:bookmarkStart w:id="5325" w:name="_Toc53410901"/>
      <w:bookmarkStart w:id="5326" w:name="_Toc53411964"/>
      <w:bookmarkStart w:id="5327" w:name="_Toc53417211"/>
      <w:bookmarkStart w:id="5328" w:name="_Toc53417563"/>
      <w:bookmarkStart w:id="5329" w:name="_Toc53419596"/>
      <w:bookmarkStart w:id="5330" w:name="_Toc53434901"/>
      <w:bookmarkStart w:id="5331" w:name="_Toc53437041"/>
      <w:bookmarkStart w:id="5332" w:name="_Toc57291700"/>
      <w:r>
        <w:rPr>
          <w:i w:val="0"/>
          <w:noProof/>
        </w:rPr>
        <w:t xml:space="preserve">Figure </w:t>
      </w:r>
      <w:r>
        <w:rPr>
          <w:noProof/>
        </w:rPr>
        <w:fldChar w:fldCharType="begin"/>
      </w:r>
      <w:r>
        <w:rPr>
          <w:i w:val="0"/>
          <w:noProof/>
          <w:szCs w:val="22"/>
        </w:rPr>
        <w:instrText xml:space="preserve"> SEQ Figure \* ARABIC </w:instrText>
      </w:r>
      <w:r>
        <w:rPr>
          <w:i w:val="0"/>
          <w:noProof/>
          <w:szCs w:val="22"/>
        </w:rPr>
        <w:fldChar w:fldCharType="separate"/>
      </w:r>
      <w:r>
        <w:rPr>
          <w:i w:val="0"/>
          <w:noProof/>
          <w:szCs w:val="22"/>
        </w:rPr>
        <w:t>56</w:t>
      </w:r>
      <w:r>
        <w:rPr>
          <w:noProof/>
        </w:rPr>
        <w:fldChar w:fldCharType="end"/>
      </w:r>
      <w:r>
        <w:rPr>
          <w:i w:val="0"/>
          <w:noProof/>
        </w:rPr>
        <w:t>: Share of renewable energy in transport in 2030</w:t>
      </w:r>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p>
    <w:p>
      <w:pPr>
        <w:pStyle w:val="LegalNumPar"/>
        <w:keepNext/>
        <w:keepLines/>
        <w:pBdr>
          <w:top w:val="nil"/>
          <w:left w:val="nil"/>
          <w:bottom w:val="nil"/>
          <w:right w:val="nil"/>
          <w:between w:val="nil"/>
          <w:bar w:val="nil"/>
        </w:pBdr>
        <w:tabs>
          <w:tab w:val="left" w:pos="476"/>
        </w:tabs>
        <w:spacing w:line="240" w:lineRule="auto"/>
        <w:rPr>
          <w:noProof/>
          <w:szCs w:val="24"/>
        </w:rPr>
      </w:pPr>
      <w:r>
        <w:rPr>
          <w:noProof/>
        </w:rPr>
        <w:drawing>
          <wp:inline distT="0" distB="0" distL="0" distR="0">
            <wp:extent cx="5401310" cy="2524125"/>
            <wp:effectExtent l="0" t="0" r="8890" b="9525"/>
            <wp:docPr id="6324235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7" cstate="email">
                      <a:extLst>
                        <a:ext uri="{28A0092B-C50C-407E-A947-70E740481C1C}">
                          <a14:useLocalDpi xmlns:a14="http://schemas.microsoft.com/office/drawing/2010/main"/>
                        </a:ext>
                      </a:extLst>
                    </a:blip>
                    <a:stretch>
                      <a:fillRect/>
                    </a:stretch>
                  </pic:blipFill>
                  <pic:spPr>
                    <a:xfrm>
                      <a:off x="0" y="0"/>
                      <a:ext cx="5401310" cy="2524125"/>
                    </a:xfrm>
                    <a:prstGeom prst="rect">
                      <a:avLst/>
                    </a:prstGeom>
                  </pic:spPr>
                </pic:pic>
              </a:graphicData>
            </a:graphic>
          </wp:inline>
        </w:drawing>
      </w:r>
    </w:p>
    <w:p>
      <w:pPr>
        <w:keepNext/>
        <w:keepLines/>
        <w:autoSpaceDE w:val="0"/>
        <w:autoSpaceDN w:val="0"/>
        <w:adjustRightInd w:val="0"/>
        <w:rPr>
          <w:i/>
          <w:noProof/>
          <w:sz w:val="16"/>
          <w:szCs w:val="16"/>
          <w:lang w:val="en-US"/>
        </w:rPr>
      </w:pPr>
      <w:r>
        <w:rPr>
          <w:i/>
          <w:iCs/>
          <w:noProof/>
          <w:sz w:val="16"/>
          <w:szCs w:val="16"/>
          <w:lang w:val="en-US"/>
        </w:rPr>
        <w:t>Source: PRIMES-TREMOVE transport model (E3Modelling)</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By 2050, the large majority of fossil fuels is projected to be replaced by renewable and low carbon fuels in all policy scenarios, in order to reach climate neutrality. Fossil fuels would only represent 13-14% of the fuel mix, with oil products being primarily used in sectors such as aviation and maritime. Electricity use is projected at 19-23% of the total energy use in transport, mainly driven by the electrification of road transport, while hydrogen would provide around 18-20% of the fuel mix. Liquid biofuels and biomethane would contribute 24-27% of the total energy use in transport and e-fuels an additional 21-23%. The projected evolution of total energy use in transport by fuel type is provided in </w:t>
      </w:r>
      <w:r>
        <w:rPr>
          <w:noProof/>
        </w:rPr>
        <w:fldChar w:fldCharType="begin"/>
      </w:r>
      <w:r>
        <w:rPr>
          <w:noProof/>
          <w:szCs w:val="24"/>
        </w:rPr>
        <w:instrText xml:space="preserve"> REF _Ref51114017 \h  \* MERGEFORMAT </w:instrText>
      </w:r>
      <w:r>
        <w:rPr>
          <w:noProof/>
        </w:rPr>
      </w:r>
      <w:r>
        <w:rPr>
          <w:noProof/>
          <w:szCs w:val="24"/>
        </w:rPr>
        <w:fldChar w:fldCharType="separate"/>
      </w:r>
      <w:r>
        <w:rPr>
          <w:noProof/>
        </w:rPr>
        <w:t>Figure 57</w:t>
      </w:r>
      <w:r>
        <w:rPr>
          <w:noProof/>
        </w:rPr>
        <w:fldChar w:fldCharType="end"/>
      </w:r>
      <w:r>
        <w:rPr>
          <w:noProof/>
        </w:rPr>
        <w:t>.</w:t>
      </w:r>
    </w:p>
    <w:p>
      <w:pPr>
        <w:pStyle w:val="Caption"/>
        <w:keepNext/>
        <w:keepLines/>
        <w:tabs>
          <w:tab w:val="left" w:pos="0"/>
        </w:tabs>
        <w:spacing w:after="0"/>
        <w:jc w:val="center"/>
        <w:rPr>
          <w:i w:val="0"/>
          <w:noProof/>
        </w:rPr>
      </w:pPr>
      <w:bookmarkStart w:id="5333" w:name="_Ref51114017"/>
      <w:bookmarkStart w:id="5334" w:name="_Ref51114008"/>
      <w:bookmarkStart w:id="5335" w:name="_Toc51593811"/>
      <w:bookmarkStart w:id="5336" w:name="_Toc51595278"/>
      <w:bookmarkStart w:id="5337" w:name="_Toc51595528"/>
      <w:bookmarkStart w:id="5338" w:name="_Toc51595854"/>
      <w:bookmarkStart w:id="5339" w:name="_Toc51596017"/>
      <w:bookmarkStart w:id="5340" w:name="_Toc52121504"/>
      <w:bookmarkStart w:id="5341" w:name="_Toc52122735"/>
      <w:bookmarkStart w:id="5342" w:name="_Toc53405299"/>
      <w:bookmarkStart w:id="5343" w:name="_Toc53406089"/>
      <w:bookmarkStart w:id="5344" w:name="_Toc53407455"/>
      <w:bookmarkStart w:id="5345" w:name="_Toc53410902"/>
      <w:bookmarkStart w:id="5346" w:name="_Toc53411965"/>
      <w:bookmarkStart w:id="5347" w:name="_Toc53417212"/>
      <w:bookmarkStart w:id="5348" w:name="_Toc53417564"/>
      <w:bookmarkStart w:id="5349" w:name="_Toc53419597"/>
      <w:bookmarkStart w:id="5350" w:name="_Toc53434902"/>
      <w:bookmarkStart w:id="5351" w:name="_Toc53437042"/>
      <w:bookmarkStart w:id="5352" w:name="_Toc57291701"/>
      <w:r>
        <w:rPr>
          <w:i w:val="0"/>
          <w:noProof/>
        </w:rPr>
        <w:t xml:space="preserve">Figure </w:t>
      </w:r>
      <w:r>
        <w:rPr>
          <w:noProof/>
        </w:rPr>
        <w:fldChar w:fldCharType="begin"/>
      </w:r>
      <w:r>
        <w:rPr>
          <w:i w:val="0"/>
          <w:noProof/>
          <w:szCs w:val="22"/>
        </w:rPr>
        <w:instrText xml:space="preserve"> SEQ Figure \* ARABIC </w:instrText>
      </w:r>
      <w:r>
        <w:rPr>
          <w:i w:val="0"/>
          <w:noProof/>
          <w:szCs w:val="22"/>
        </w:rPr>
        <w:fldChar w:fldCharType="separate"/>
      </w:r>
      <w:r>
        <w:rPr>
          <w:i w:val="0"/>
          <w:noProof/>
          <w:szCs w:val="22"/>
        </w:rPr>
        <w:t>57</w:t>
      </w:r>
      <w:r>
        <w:rPr>
          <w:noProof/>
        </w:rPr>
        <w:fldChar w:fldCharType="end"/>
      </w:r>
      <w:bookmarkEnd w:id="5333"/>
      <w:r>
        <w:rPr>
          <w:i w:val="0"/>
          <w:noProof/>
        </w:rPr>
        <w:t>: Transport fuel mix (including international aviation and maritime)</w:t>
      </w:r>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p>
    <w:p>
      <w:pPr>
        <w:keepLines/>
        <w:rPr>
          <w:noProof/>
          <w:lang w:eastAsia="en-US"/>
        </w:rPr>
      </w:pPr>
      <w:r>
        <w:rPr>
          <w:noProof/>
        </w:rPr>
        <w:drawing>
          <wp:inline distT="0" distB="0" distL="0" distR="0">
            <wp:extent cx="5401310" cy="2524125"/>
            <wp:effectExtent l="0" t="0" r="8890" b="9525"/>
            <wp:docPr id="29588027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8" cstate="email">
                      <a:extLst>
                        <a:ext uri="{28A0092B-C50C-407E-A947-70E740481C1C}">
                          <a14:useLocalDpi xmlns:a14="http://schemas.microsoft.com/office/drawing/2010/main"/>
                        </a:ext>
                      </a:extLst>
                    </a:blip>
                    <a:stretch>
                      <a:fillRect/>
                    </a:stretch>
                  </pic:blipFill>
                  <pic:spPr>
                    <a:xfrm>
                      <a:off x="0" y="0"/>
                      <a:ext cx="5401310" cy="2524125"/>
                    </a:xfrm>
                    <a:prstGeom prst="rect">
                      <a:avLst/>
                    </a:prstGeom>
                  </pic:spPr>
                </pic:pic>
              </a:graphicData>
            </a:graphic>
          </wp:inline>
        </w:drawing>
      </w:r>
    </w:p>
    <w:p>
      <w:pPr>
        <w:keepLines/>
        <w:autoSpaceDE w:val="0"/>
        <w:autoSpaceDN w:val="0"/>
        <w:adjustRightInd w:val="0"/>
        <w:rPr>
          <w:i/>
          <w:noProof/>
          <w:sz w:val="16"/>
          <w:szCs w:val="16"/>
          <w:lang w:val="en-US"/>
        </w:rPr>
      </w:pPr>
      <w:r>
        <w:rPr>
          <w:i/>
          <w:iCs/>
          <w:noProof/>
          <w:sz w:val="16"/>
          <w:szCs w:val="16"/>
          <w:lang w:val="en-US"/>
        </w:rPr>
        <w:t>Source: PRIMES-TREMOVE transport model (E3Modelling)</w:t>
      </w:r>
    </w:p>
    <w:p>
      <w:pPr>
        <w:pStyle w:val="Heading3"/>
        <w:rPr>
          <w:noProof/>
        </w:rPr>
      </w:pPr>
      <w:bookmarkStart w:id="5353" w:name="_Toc51574863"/>
      <w:bookmarkStart w:id="5354" w:name="_Toc51575711"/>
      <w:bookmarkStart w:id="5355" w:name="_Toc51578109"/>
      <w:bookmarkStart w:id="5356" w:name="_Toc51582982"/>
      <w:bookmarkStart w:id="5357" w:name="_Toc51583457"/>
      <w:bookmarkStart w:id="5358" w:name="_Toc51583547"/>
      <w:bookmarkStart w:id="5359" w:name="_Toc51583832"/>
      <w:bookmarkStart w:id="5360" w:name="_Toc51584022"/>
      <w:bookmarkStart w:id="5361" w:name="_Toc51584041"/>
      <w:bookmarkStart w:id="5362" w:name="_Toc51586264"/>
      <w:bookmarkStart w:id="5363" w:name="_Toc51594067"/>
      <w:bookmarkStart w:id="5364" w:name="_Toc51594393"/>
      <w:bookmarkStart w:id="5365" w:name="_Toc51595371"/>
      <w:bookmarkStart w:id="5366" w:name="_Toc51595621"/>
      <w:bookmarkStart w:id="5367" w:name="_Toc51595947"/>
      <w:bookmarkStart w:id="5368" w:name="_Toc51596110"/>
      <w:bookmarkStart w:id="5369" w:name="_Toc51596463"/>
      <w:bookmarkStart w:id="5370" w:name="_Toc52121598"/>
      <w:bookmarkStart w:id="5371" w:name="_Toc52122829"/>
      <w:bookmarkStart w:id="5372" w:name="_Toc52123946"/>
      <w:bookmarkStart w:id="5373" w:name="_Toc53405407"/>
      <w:bookmarkStart w:id="5374" w:name="_Toc53406194"/>
      <w:bookmarkStart w:id="5375" w:name="_Toc53407563"/>
      <w:bookmarkStart w:id="5376" w:name="_Toc53411007"/>
      <w:bookmarkStart w:id="5377" w:name="_Toc53412070"/>
      <w:bookmarkStart w:id="5378" w:name="_Toc53417317"/>
      <w:bookmarkStart w:id="5379" w:name="_Toc53417669"/>
      <w:bookmarkStart w:id="5380" w:name="_Toc53419904"/>
      <w:bookmarkStart w:id="5381" w:name="_Toc53435007"/>
      <w:bookmarkStart w:id="5382" w:name="_Toc53437146"/>
      <w:bookmarkStart w:id="5383" w:name="_Toc57291552"/>
      <w:r>
        <w:rPr>
          <w:noProof/>
        </w:rPr>
        <w:t>GHG emissions from transport</w:t>
      </w:r>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p>
    <w:p>
      <w:pPr>
        <w:pStyle w:val="LegalNumPar"/>
        <w:keepNext/>
        <w:numPr>
          <w:ilvl w:val="0"/>
          <w:numId w:val="89"/>
        </w:numPr>
        <w:pBdr>
          <w:top w:val="nil"/>
          <w:left w:val="nil"/>
          <w:bottom w:val="nil"/>
          <w:right w:val="nil"/>
          <w:between w:val="nil"/>
          <w:bar w:val="nil"/>
        </w:pBdr>
        <w:tabs>
          <w:tab w:val="left" w:pos="476"/>
        </w:tabs>
        <w:spacing w:line="240" w:lineRule="auto"/>
        <w:rPr>
          <w:noProof/>
        </w:rPr>
      </w:pPr>
      <w:r>
        <w:rPr>
          <w:b/>
          <w:bCs/>
          <w:noProof/>
        </w:rPr>
        <w:t>Total tank to wheel</w:t>
      </w:r>
      <w:r>
        <w:rPr>
          <w:noProof/>
        </w:rPr>
        <w:t xml:space="preserve"> CO</w:t>
      </w:r>
      <w:r>
        <w:rPr>
          <w:noProof/>
          <w:vertAlign w:val="subscript"/>
        </w:rPr>
        <w:t>2</w:t>
      </w:r>
      <w:r>
        <w:rPr>
          <w:noProof/>
        </w:rPr>
        <w:t xml:space="preserve"> emissions from transport (excluding international maritime)</w:t>
      </w:r>
      <w:r>
        <w:rPr>
          <w:rStyle w:val="FootnoteReference"/>
          <w:noProof/>
        </w:rPr>
        <w:footnoteReference w:id="623"/>
      </w:r>
      <w:r>
        <w:rPr>
          <w:noProof/>
        </w:rPr>
        <w:t xml:space="preserve"> are projected to decline by 10% in Baseline by 2030 compared to 2015 (14% reduction relative to 2005). In the policy scenarios they would reduce between 13% (in CPRICE and MIX-50) to 16% (in REG and ALLBNK) compared to 2015. This is equivalent to 16% to 19% decrease relative to 2005. As shown in </w:t>
      </w:r>
      <w:r>
        <w:rPr>
          <w:noProof/>
        </w:rPr>
        <w:fldChar w:fldCharType="begin"/>
      </w:r>
      <w:r>
        <w:rPr>
          <w:noProof/>
          <w:szCs w:val="24"/>
        </w:rPr>
        <w:instrText xml:space="preserve"> REF _Ref51142592 \h  \* MERGEFORMAT </w:instrText>
      </w:r>
      <w:r>
        <w:rPr>
          <w:noProof/>
        </w:rPr>
      </w:r>
      <w:r>
        <w:rPr>
          <w:noProof/>
          <w:szCs w:val="24"/>
        </w:rPr>
        <w:fldChar w:fldCharType="separate"/>
      </w:r>
      <w:r>
        <w:rPr>
          <w:noProof/>
        </w:rPr>
        <w:t>Figure 58</w:t>
      </w:r>
      <w:r>
        <w:rPr>
          <w:noProof/>
        </w:rPr>
        <w:fldChar w:fldCharType="end"/>
      </w:r>
      <w:r>
        <w:rPr>
          <w:noProof/>
        </w:rPr>
        <w:t>, the largest contribution to this decline is due to the increased fuel efficiency of cars, as well as vans. Intensification of the CO</w:t>
      </w:r>
      <w:r>
        <w:rPr>
          <w:noProof/>
          <w:vertAlign w:val="subscript"/>
        </w:rPr>
        <w:t>2</w:t>
      </w:r>
      <w:r>
        <w:rPr>
          <w:noProof/>
        </w:rPr>
        <w:t xml:space="preserve"> emission standards for vehicles in 2030 has a very important impact already for emission reduction by 2030, while also bringing significant co-benefits for air pollutant emissions. This will be instrumental to further reduce emissions and energy consumption in the period post-2030, when the effects will be stronger as a result of the fleet renewal. Greater use more sustainable transport modes would also provide a significant contribution.</w:t>
      </w:r>
    </w:p>
    <w:p>
      <w:pPr>
        <w:pStyle w:val="Caption"/>
        <w:keepNext/>
        <w:keepLines/>
        <w:tabs>
          <w:tab w:val="left" w:pos="0"/>
        </w:tabs>
        <w:spacing w:after="0"/>
        <w:jc w:val="center"/>
        <w:rPr>
          <w:i w:val="0"/>
          <w:noProof/>
        </w:rPr>
      </w:pPr>
      <w:bookmarkStart w:id="5384" w:name="_Ref51142592"/>
      <w:bookmarkStart w:id="5385" w:name="_Toc51593812"/>
      <w:bookmarkStart w:id="5386" w:name="_Toc51595279"/>
      <w:bookmarkStart w:id="5387" w:name="_Toc51595529"/>
      <w:bookmarkStart w:id="5388" w:name="_Toc51595855"/>
      <w:bookmarkStart w:id="5389" w:name="_Toc51596018"/>
      <w:bookmarkStart w:id="5390" w:name="_Toc52121505"/>
      <w:bookmarkStart w:id="5391" w:name="_Toc52122736"/>
      <w:bookmarkStart w:id="5392" w:name="_Toc53405300"/>
      <w:bookmarkStart w:id="5393" w:name="_Toc53406090"/>
      <w:bookmarkStart w:id="5394" w:name="_Toc53407456"/>
      <w:bookmarkStart w:id="5395" w:name="_Toc53410903"/>
      <w:bookmarkStart w:id="5396" w:name="_Toc53411966"/>
      <w:bookmarkStart w:id="5397" w:name="_Toc53417213"/>
      <w:bookmarkStart w:id="5398" w:name="_Toc53417565"/>
      <w:bookmarkStart w:id="5399" w:name="_Toc53419598"/>
      <w:bookmarkStart w:id="5400" w:name="_Toc53434903"/>
      <w:bookmarkStart w:id="5401" w:name="_Toc53437043"/>
      <w:bookmarkStart w:id="5402" w:name="_Toc57291702"/>
      <w:r>
        <w:rPr>
          <w:i w:val="0"/>
          <w:noProof/>
        </w:rPr>
        <w:t xml:space="preserve">Figure </w:t>
      </w:r>
      <w:r>
        <w:rPr>
          <w:noProof/>
        </w:rPr>
        <w:fldChar w:fldCharType="begin"/>
      </w:r>
      <w:r>
        <w:rPr>
          <w:i w:val="0"/>
          <w:noProof/>
          <w:szCs w:val="22"/>
        </w:rPr>
        <w:instrText xml:space="preserve"> SEQ Figure \* ARABIC </w:instrText>
      </w:r>
      <w:r>
        <w:rPr>
          <w:i w:val="0"/>
          <w:noProof/>
          <w:szCs w:val="22"/>
        </w:rPr>
        <w:fldChar w:fldCharType="separate"/>
      </w:r>
      <w:r>
        <w:rPr>
          <w:i w:val="0"/>
          <w:noProof/>
          <w:szCs w:val="22"/>
        </w:rPr>
        <w:t>58</w:t>
      </w:r>
      <w:r>
        <w:rPr>
          <w:noProof/>
        </w:rPr>
        <w:fldChar w:fldCharType="end"/>
      </w:r>
      <w:bookmarkEnd w:id="5384"/>
      <w:r>
        <w:rPr>
          <w:i w:val="0"/>
          <w:noProof/>
        </w:rPr>
        <w:t>: Tank to wheel CO</w:t>
      </w:r>
      <w:r>
        <w:rPr>
          <w:i w:val="0"/>
          <w:noProof/>
          <w:vertAlign w:val="subscript"/>
        </w:rPr>
        <w:t>2</w:t>
      </w:r>
      <w:r>
        <w:rPr>
          <w:i w:val="0"/>
          <w:noProof/>
        </w:rPr>
        <w:t xml:space="preserve"> emissions from transport (excluding international maritime) in 2030 in the Baseline and policy scenarios</w:t>
      </w:r>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p>
    <w:p>
      <w:pPr>
        <w:spacing w:after="0"/>
        <w:rPr>
          <w:noProof/>
          <w:lang w:eastAsia="en-US"/>
        </w:rPr>
      </w:pPr>
      <w:r>
        <w:rPr>
          <w:noProof/>
        </w:rPr>
        <w:drawing>
          <wp:inline distT="0" distB="0" distL="0" distR="0">
            <wp:extent cx="5401310" cy="2517775"/>
            <wp:effectExtent l="0" t="0" r="8890" b="0"/>
            <wp:docPr id="21358829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9" cstate="email">
                      <a:extLst>
                        <a:ext uri="{28A0092B-C50C-407E-A947-70E740481C1C}">
                          <a14:useLocalDpi xmlns:a14="http://schemas.microsoft.com/office/drawing/2010/main"/>
                        </a:ext>
                      </a:extLst>
                    </a:blip>
                    <a:stretch>
                      <a:fillRect/>
                    </a:stretch>
                  </pic:blipFill>
                  <pic:spPr>
                    <a:xfrm>
                      <a:off x="0" y="0"/>
                      <a:ext cx="5401310" cy="2517775"/>
                    </a:xfrm>
                    <a:prstGeom prst="rect">
                      <a:avLst/>
                    </a:prstGeom>
                  </pic:spPr>
                </pic:pic>
              </a:graphicData>
            </a:graphic>
          </wp:inline>
        </w:drawing>
      </w:r>
    </w:p>
    <w:p>
      <w:pPr>
        <w:keepNext/>
        <w:keepLines/>
        <w:autoSpaceDE w:val="0"/>
        <w:autoSpaceDN w:val="0"/>
        <w:adjustRightInd w:val="0"/>
        <w:rPr>
          <w:i/>
          <w:noProof/>
          <w:sz w:val="16"/>
          <w:szCs w:val="16"/>
          <w:lang w:val="en-US"/>
        </w:rPr>
      </w:pPr>
      <w:r>
        <w:rPr>
          <w:i/>
          <w:iCs/>
          <w:noProof/>
          <w:sz w:val="16"/>
          <w:szCs w:val="16"/>
          <w:lang w:val="en-US"/>
        </w:rPr>
        <w:t>Source: PRIMES-TREMOVE transport model (E3Modelling)</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CO</w:t>
      </w:r>
      <w:r>
        <w:rPr>
          <w:noProof/>
          <w:vertAlign w:val="subscript"/>
        </w:rPr>
        <w:t>2</w:t>
      </w:r>
      <w:r>
        <w:rPr>
          <w:noProof/>
        </w:rPr>
        <w:t xml:space="preserve"> emissions from passenger transport would decline by 13% in the Baseline scenario by 2030 compared to 2015, and between 15% in CPRICE and 18% in REG and ALLBNK scenarios. Vehicle efficiency standards for passenger cars that drive the increased use of electric vehicles, together with carbon pricing, infrastructure charging and taxation, as well as measures that support multimodal mobility, enabled by digitalisation, and support for sustainable urban transport all contribute towards the emissions reductions in passenger transport. CO</w:t>
      </w:r>
      <w:r>
        <w:rPr>
          <w:noProof/>
          <w:vertAlign w:val="subscript"/>
        </w:rPr>
        <w:t>2</w:t>
      </w:r>
      <w:r>
        <w:rPr>
          <w:noProof/>
        </w:rPr>
        <w:t xml:space="preserve"> emissions from freight transport are projected to go down by 3% in the Baseline by 2030 compared to 2015, and decline between 8% in CPRICE, MIX, REG and 9% in ALLBNK, driven by vehicle efficiency standards and initiatives to increase and better manage the capacity of railways and waterborne transport, incentives for intermodal transport and gradual internalisation of external costs (“smart” pricing). In MIX-50, by 2030, CO</w:t>
      </w:r>
      <w:r>
        <w:rPr>
          <w:noProof/>
          <w:vertAlign w:val="subscript"/>
        </w:rPr>
        <w:t>2</w:t>
      </w:r>
      <w:r>
        <w:rPr>
          <w:noProof/>
        </w:rPr>
        <w:t xml:space="preserve"> emissions from passenger transport would decline by 14%, whereas CO</w:t>
      </w:r>
      <w:r>
        <w:rPr>
          <w:noProof/>
          <w:vertAlign w:val="subscript"/>
        </w:rPr>
        <w:t>2</w:t>
      </w:r>
      <w:r>
        <w:rPr>
          <w:noProof/>
        </w:rPr>
        <w:t xml:space="preserve"> emissions from freight transport would go down by 7%, both compared to 2015.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Aviation has been one of the fastest growing sectors in terms of CO</w:t>
      </w:r>
      <w:r>
        <w:rPr>
          <w:noProof/>
          <w:vertAlign w:val="subscript"/>
        </w:rPr>
        <w:t>2</w:t>
      </w:r>
      <w:r>
        <w:rPr>
          <w:noProof/>
        </w:rPr>
        <w:t xml:space="preserve"> emissions over the past decades. Total CO</w:t>
      </w:r>
      <w:r>
        <w:rPr>
          <w:noProof/>
          <w:vertAlign w:val="subscript"/>
        </w:rPr>
        <w:t>2</w:t>
      </w:r>
      <w:r>
        <w:rPr>
          <w:noProof/>
        </w:rPr>
        <w:t xml:space="preserve"> emissions from flights departing from the EU-27 and domestic flights within the territory of a Member State of the EU-27 grew from around 112 million tonnes (Mt) in 2005 to 120 Mt in 2015, equal to a 7.6% increase. For the future, significant further growth is projected: 25% by 2030 relative to 2015 in the Baseline scenario, equivalent to 34% growth over the 2005-2030 period. The decline in cars and vans emissions over the 2015-2030 horizon is however projected to overcompensate the increase in aviation emissions. In the policy scenarios, CO</w:t>
      </w:r>
      <w:r>
        <w:rPr>
          <w:noProof/>
          <w:vertAlign w:val="subscript"/>
        </w:rPr>
        <w:t>2</w:t>
      </w:r>
      <w:r>
        <w:rPr>
          <w:noProof/>
        </w:rPr>
        <w:t xml:space="preserve"> emissions reductions between 5 Mt (MIX-50) and 14 Mt (ALLBNK) are projected for air transport in 2030 relative to the Baseline due to fuel policies, carbon pricing, and other technical and operational measures, including action on clean airports. The decrease in CO</w:t>
      </w:r>
      <w:r>
        <w:rPr>
          <w:noProof/>
          <w:vertAlign w:val="subscript"/>
        </w:rPr>
        <w:t>2</w:t>
      </w:r>
      <w:r>
        <w:rPr>
          <w:noProof/>
        </w:rPr>
        <w:t xml:space="preserve"> emissions relative to the Baseline is much higher in 2050, between 99 Mt (MIX-50, REG, MIX, ALLBNK) and 106 Mt (CPRICE), driven by the large penetration of biofuels and e-fuels and carbon pricing. Nevertheless, lower emissions reductions are projected in aviation relative to road transport sector, where more technological options are available.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By 2050, CO</w:t>
      </w:r>
      <w:r>
        <w:rPr>
          <w:noProof/>
          <w:vertAlign w:val="subscript"/>
        </w:rPr>
        <w:t>2</w:t>
      </w:r>
      <w:r>
        <w:rPr>
          <w:noProof/>
        </w:rPr>
        <w:t xml:space="preserve"> emissions from transport (excluding international maritime) are projected to go down by over 90% compared to 2015 (90-91% reduction relative to 1990) in order to meet the climate neutrality targets. This implies a very rapid decline in emissions post-2030. The emissions reduction profile is strongly impacted by the type of policy combinations developed for 2030. The size of these reductions are consistent with the impact of stringent vehicle standards, as well as of renewable fuels and policies driving improvements in the efficiency of the transport system and greater use of more sustainable transport modes</w:t>
      </w:r>
      <w:r>
        <w:rPr>
          <w:noProof/>
          <w:lang w:eastAsia="en-US"/>
        </w:rPr>
        <w:t>, making full use of the benefits of transport digitalisation and connected, cooperative and automated mobility</w:t>
      </w:r>
      <w:r>
        <w:rPr>
          <w:noProof/>
        </w:rPr>
        <w: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The emissions from international maritime sector are projected to go up in the Baseline, by 18% by 2030 relative to 2015, as explained in section 2.2. In the policy scenarios they would reduce by 13-19% relative to the Baseline in 2030 (12-13% decrease in REG, MIX, CPRICE and 19% in ALLBNK), driven by carbon pricing, fuel policies and other technical and operational measures. Relative to 2015, emissions from international maritime would however still be 3-4% higher in the REG, MIX and CPRICE scenarios and 4% lower in ALLBNK by 2030. Steep emissions reductions are projected post-2030 in all scenarios, driven by the large scale uptake of renewable and low carbon fuels, in order to reach climate neutrality. By 2050, emissions from international maritime would be 84-86% lower relative to 2015, equivalent to 80-82% reduction compared to 1990. </w:t>
      </w:r>
    </w:p>
    <w:p>
      <w:pPr>
        <w:pStyle w:val="LegalNumPar"/>
        <w:keepNext/>
        <w:numPr>
          <w:ilvl w:val="0"/>
          <w:numId w:val="89"/>
        </w:numPr>
        <w:pBdr>
          <w:top w:val="nil"/>
          <w:left w:val="nil"/>
          <w:bottom w:val="nil"/>
          <w:right w:val="nil"/>
          <w:between w:val="nil"/>
          <w:bar w:val="nil"/>
        </w:pBdr>
        <w:tabs>
          <w:tab w:val="left" w:pos="476"/>
        </w:tabs>
        <w:spacing w:line="240" w:lineRule="auto"/>
        <w:rPr>
          <w:noProof/>
        </w:rPr>
      </w:pPr>
      <w:r>
        <w:rPr>
          <w:b/>
          <w:bCs/>
          <w:noProof/>
        </w:rPr>
        <w:t>Transport emissions including intra-EU aviation and intra-EU maritime</w:t>
      </w:r>
      <w:r>
        <w:rPr>
          <w:noProof/>
        </w:rPr>
        <w:t xml:space="preserve"> are projected to decline by 13% in Baseline by 2030 compared to 2015 (18% reduction relative to 2005). In the policy scenarios they would reduce between 16% (in CPRICE and MIX) to 18% (in REG and ALLBNK) by 2030 relative to 2015, with MIX-50 showing 15% decrease. This is equivalent to 20% to 23% emissions reductions relative to 2005, with the highest decrease projected in REG and ALLBNK. By 2050, the policy scenarios show 95-96% emissions reductions relative to 2015.</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rFonts w:eastAsia="TimesNewRoman"/>
          <w:b/>
          <w:bCs/>
          <w:noProof/>
        </w:rPr>
        <w:t>On well to wheel basis</w:t>
      </w:r>
      <w:r>
        <w:rPr>
          <w:rStyle w:val="FootnoteReference"/>
          <w:rFonts w:eastAsia="TimesNewRoman"/>
          <w:noProof/>
        </w:rPr>
        <w:footnoteReference w:id="624"/>
      </w:r>
      <w:r>
        <w:rPr>
          <w:rFonts w:eastAsia="TimesNewRoman"/>
          <w:noProof/>
        </w:rPr>
        <w:t>, CO</w:t>
      </w:r>
      <w:r>
        <w:rPr>
          <w:rFonts w:eastAsia="TimesNewRoman"/>
          <w:noProof/>
          <w:vertAlign w:val="subscript"/>
        </w:rPr>
        <w:t>2</w:t>
      </w:r>
      <w:r>
        <w:rPr>
          <w:rFonts w:eastAsia="TimesNewRoman"/>
          <w:noProof/>
        </w:rPr>
        <w:t xml:space="preserve"> emissions </w:t>
      </w:r>
      <w:r>
        <w:rPr>
          <w:noProof/>
        </w:rPr>
        <w:t xml:space="preserve">(excluding international maritime) </w:t>
      </w:r>
      <w:r>
        <w:rPr>
          <w:rFonts w:eastAsia="TimesNewRoman"/>
          <w:noProof/>
        </w:rPr>
        <w:t>go down by 10% in the Baseline scenario by 2030 and by 32% by 2050 relative to 2015. In the policy scenarios, higher emissions reductions are projected (13 to 16% reduction by 2030 and over 90% reduction by 2050) due to the reduction in the energy use in transport and higher uptake of renewables and low carbon fuels driven by policies, but also due to the power generation sector that is set to achieve decarbonisation by 2050. The power generation mix plays an important role in this time perspective considering the large scale electrification of transport.</w:t>
      </w:r>
      <w:r>
        <w:rPr>
          <w:noProof/>
        </w:rPr>
        <w:t xml:space="preserve"> </w:t>
      </w:r>
    </w:p>
    <w:p>
      <w:pPr>
        <w:pStyle w:val="Caption"/>
        <w:keepNext/>
        <w:keepLines/>
        <w:tabs>
          <w:tab w:val="left" w:pos="0"/>
        </w:tabs>
        <w:spacing w:after="0"/>
        <w:jc w:val="center"/>
        <w:rPr>
          <w:i w:val="0"/>
          <w:noProof/>
        </w:rPr>
      </w:pPr>
      <w:bookmarkStart w:id="5403" w:name="_Toc53405301"/>
      <w:bookmarkStart w:id="5404" w:name="_Toc53406091"/>
      <w:bookmarkStart w:id="5405" w:name="_Toc53407457"/>
      <w:bookmarkStart w:id="5406" w:name="_Toc53410904"/>
      <w:bookmarkStart w:id="5407" w:name="_Toc53411967"/>
      <w:bookmarkStart w:id="5408" w:name="_Toc53417214"/>
      <w:bookmarkStart w:id="5409" w:name="_Toc53417566"/>
      <w:bookmarkStart w:id="5410" w:name="_Toc53419599"/>
      <w:bookmarkStart w:id="5411" w:name="_Toc53434904"/>
      <w:bookmarkStart w:id="5412" w:name="_Toc53437044"/>
      <w:bookmarkStart w:id="5413" w:name="_Toc57291703"/>
      <w:r>
        <w:rPr>
          <w:i w:val="0"/>
          <w:noProof/>
        </w:rPr>
        <w:t xml:space="preserve">Figure </w:t>
      </w:r>
      <w:r>
        <w:rPr>
          <w:noProof/>
        </w:rPr>
        <w:fldChar w:fldCharType="begin"/>
      </w:r>
      <w:r>
        <w:rPr>
          <w:i w:val="0"/>
          <w:noProof/>
          <w:szCs w:val="22"/>
        </w:rPr>
        <w:instrText xml:space="preserve"> SEQ Figure \* ARABIC </w:instrText>
      </w:r>
      <w:r>
        <w:rPr>
          <w:i w:val="0"/>
          <w:noProof/>
          <w:szCs w:val="22"/>
        </w:rPr>
        <w:fldChar w:fldCharType="separate"/>
      </w:r>
      <w:r>
        <w:rPr>
          <w:i w:val="0"/>
          <w:noProof/>
          <w:szCs w:val="22"/>
        </w:rPr>
        <w:t>59</w:t>
      </w:r>
      <w:r>
        <w:rPr>
          <w:noProof/>
        </w:rPr>
        <w:fldChar w:fldCharType="end"/>
      </w:r>
      <w:r>
        <w:rPr>
          <w:i w:val="0"/>
          <w:noProof/>
        </w:rPr>
        <w:t>: Well to wheel CO</w:t>
      </w:r>
      <w:r>
        <w:rPr>
          <w:i w:val="0"/>
          <w:noProof/>
          <w:vertAlign w:val="subscript"/>
        </w:rPr>
        <w:t>2</w:t>
      </w:r>
      <w:r>
        <w:rPr>
          <w:i w:val="0"/>
          <w:noProof/>
        </w:rPr>
        <w:t xml:space="preserve"> emissions from transport (excluding international maritime) in 2030 and 2050 in the Baseline and policy scenarios</w:t>
      </w:r>
      <w:bookmarkEnd w:id="5403"/>
      <w:bookmarkEnd w:id="5404"/>
      <w:bookmarkEnd w:id="5405"/>
      <w:bookmarkEnd w:id="5406"/>
      <w:bookmarkEnd w:id="5407"/>
      <w:bookmarkEnd w:id="5408"/>
      <w:bookmarkEnd w:id="5409"/>
      <w:bookmarkEnd w:id="5410"/>
      <w:bookmarkEnd w:id="5411"/>
      <w:bookmarkEnd w:id="5412"/>
      <w:bookmarkEnd w:id="5413"/>
    </w:p>
    <w:p>
      <w:pPr>
        <w:spacing w:after="0"/>
        <w:rPr>
          <w:noProof/>
        </w:rPr>
      </w:pPr>
      <w:r>
        <w:rPr>
          <w:noProof/>
        </w:rPr>
        <w:drawing>
          <wp:inline distT="0" distB="0" distL="0" distR="0">
            <wp:extent cx="5401310" cy="2517775"/>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5401310" cy="2517775"/>
                    </a:xfrm>
                    <a:prstGeom prst="rect">
                      <a:avLst/>
                    </a:prstGeom>
                    <a:noFill/>
                  </pic:spPr>
                </pic:pic>
              </a:graphicData>
            </a:graphic>
          </wp:inline>
        </w:drawing>
      </w:r>
    </w:p>
    <w:p>
      <w:pPr>
        <w:keepNext/>
        <w:keepLines/>
        <w:autoSpaceDE w:val="0"/>
        <w:autoSpaceDN w:val="0"/>
        <w:adjustRightInd w:val="0"/>
        <w:rPr>
          <w:i/>
          <w:noProof/>
          <w:sz w:val="16"/>
          <w:szCs w:val="16"/>
          <w:lang w:val="en-US"/>
        </w:rPr>
      </w:pPr>
      <w:r>
        <w:rPr>
          <w:i/>
          <w:iCs/>
          <w:noProof/>
          <w:sz w:val="16"/>
          <w:szCs w:val="16"/>
          <w:lang w:val="en-US"/>
        </w:rPr>
        <w:t>Source: PRIMES-TREMOVE transport model (E3Modelling)</w:t>
      </w:r>
    </w:p>
    <w:p>
      <w:pPr>
        <w:pStyle w:val="LegalNumPar"/>
        <w:numPr>
          <w:ilvl w:val="0"/>
          <w:numId w:val="89"/>
        </w:numPr>
        <w:pBdr>
          <w:top w:val="nil"/>
          <w:left w:val="nil"/>
          <w:bottom w:val="nil"/>
          <w:right w:val="nil"/>
          <w:between w:val="nil"/>
          <w:bar w:val="nil"/>
        </w:pBdr>
        <w:tabs>
          <w:tab w:val="left" w:pos="476"/>
        </w:tabs>
        <w:spacing w:line="240" w:lineRule="auto"/>
        <w:rPr>
          <w:rFonts w:eastAsia="TimesNewRoman"/>
          <w:noProof/>
        </w:rPr>
      </w:pPr>
      <w:r>
        <w:rPr>
          <w:rFonts w:eastAsia="TimesNewRoman"/>
          <w:noProof/>
        </w:rPr>
        <w:t>The well to wake emissions from international maritime sector</w:t>
      </w:r>
      <w:r>
        <w:rPr>
          <w:rFonts w:eastAsia="TimesNewRoman"/>
          <w:noProof/>
          <w:vertAlign w:val="superscript"/>
        </w:rPr>
        <w:footnoteReference w:id="625"/>
      </w:r>
      <w:r>
        <w:rPr>
          <w:rFonts w:eastAsia="TimesNewRoman"/>
          <w:noProof/>
        </w:rPr>
        <w:t xml:space="preserve"> are projected to reduce by 8-10% relative to the Baseline (10% decrease in MIX, CPRICE and ALLBNK) in 2030, driven by carbon pricing, fuel policies and other technical and operational measures. Relative to 2015, emissions from international maritime would however still be 5-8% higher by 2030. Steep emissions reductions are projected post-2030 in all scenarios, driven by the large scale uptake of renewable and low carbon fuels and the decarbonisation of the power generation mix. By 2050, emissions from international maritime on the well to wake basis would be 70-72% lower relative to 2015.</w:t>
      </w:r>
    </w:p>
    <w:p>
      <w:pPr>
        <w:pStyle w:val="Heading3"/>
        <w:rPr>
          <w:noProof/>
        </w:rPr>
      </w:pPr>
      <w:bookmarkStart w:id="5414" w:name="_Toc53405408"/>
      <w:bookmarkStart w:id="5415" w:name="_Toc53406195"/>
      <w:bookmarkStart w:id="5416" w:name="_Toc53407564"/>
      <w:bookmarkStart w:id="5417" w:name="_Toc53411008"/>
      <w:bookmarkStart w:id="5418" w:name="_Toc53412071"/>
      <w:bookmarkStart w:id="5419" w:name="_Toc53417318"/>
      <w:bookmarkStart w:id="5420" w:name="_Toc53417670"/>
      <w:bookmarkStart w:id="5421" w:name="_Toc53419905"/>
      <w:bookmarkStart w:id="5422" w:name="_Toc53435008"/>
      <w:bookmarkStart w:id="5423" w:name="_Toc53437147"/>
      <w:bookmarkStart w:id="5424" w:name="_Toc57291553"/>
      <w:r>
        <w:rPr>
          <w:noProof/>
        </w:rPr>
        <w:t>Impacts on noise, NOx and particulate matter emissions</w:t>
      </w:r>
      <w:bookmarkEnd w:id="5414"/>
      <w:bookmarkEnd w:id="5415"/>
      <w:bookmarkEnd w:id="5416"/>
      <w:bookmarkEnd w:id="5417"/>
      <w:bookmarkEnd w:id="5418"/>
      <w:bookmarkEnd w:id="5419"/>
      <w:bookmarkEnd w:id="5420"/>
      <w:bookmarkEnd w:id="5421"/>
      <w:bookmarkEnd w:id="5422"/>
      <w:bookmarkEnd w:id="5423"/>
      <w:bookmarkEnd w:id="5424"/>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Transport related activities have significant impacts on air, water and land pollution and noise levels. All policy scenarios show co-benefits on the environment focusing on air pollution.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b/>
          <w:bCs/>
          <w:noProof/>
        </w:rPr>
        <w:t>NOx emissions</w:t>
      </w:r>
      <w:r>
        <w:rPr>
          <w:noProof/>
        </w:rPr>
        <w:t xml:space="preserve"> (excluding international shipping) are projected to decrease in all policy scenarios, by 54-55% by 2030 relative to 2015. The highest NOx emissions reductions by 2030 would take place in REG and ALLBUNK, driven by the uptake of zero and low emissions vehicles, policies that lead to greater use of sustainable transport modes, and incentives for sustainable urban transport. The reduction in NOx emissions would be more significant by 2050 (84-85% decrease relative to 2015) due to the large scale uptake of zero emission vehicles. The decline in </w:t>
      </w:r>
      <w:r>
        <w:rPr>
          <w:b/>
          <w:bCs/>
          <w:noProof/>
        </w:rPr>
        <w:t>particulate matter</w:t>
      </w:r>
      <w:r>
        <w:rPr>
          <w:noProof/>
        </w:rPr>
        <w:t xml:space="preserve"> (PM2.5) would be less pronounced by 2030 at 50-52% but PM2.5 emissions would go down by around 88-89% by 2050. The highest emissions reductions are achieved again in the REG scenario due to the large uptake of zero emission vehicles. </w:t>
      </w:r>
    </w:p>
    <w:p>
      <w:pPr>
        <w:pStyle w:val="Caption"/>
        <w:keepNext/>
        <w:keepLines/>
        <w:tabs>
          <w:tab w:val="left" w:pos="0"/>
        </w:tabs>
        <w:spacing w:after="0"/>
        <w:rPr>
          <w:i w:val="0"/>
          <w:noProof/>
        </w:rPr>
      </w:pPr>
      <w:bookmarkStart w:id="5425" w:name="_Toc53405302"/>
      <w:bookmarkStart w:id="5426" w:name="_Toc53406092"/>
      <w:bookmarkStart w:id="5427" w:name="_Toc53407458"/>
      <w:bookmarkStart w:id="5428" w:name="_Toc53410905"/>
      <w:bookmarkStart w:id="5429" w:name="_Toc53411968"/>
      <w:bookmarkStart w:id="5430" w:name="_Toc53417215"/>
      <w:bookmarkStart w:id="5431" w:name="_Toc53417567"/>
      <w:bookmarkStart w:id="5432" w:name="_Toc53419600"/>
      <w:bookmarkStart w:id="5433" w:name="_Toc53434905"/>
      <w:bookmarkStart w:id="5434" w:name="_Toc53437045"/>
      <w:bookmarkStart w:id="5435" w:name="_Toc57291704"/>
      <w:r>
        <w:rPr>
          <w:i w:val="0"/>
          <w:noProof/>
        </w:rPr>
        <w:t xml:space="preserve">Figure </w:t>
      </w:r>
      <w:r>
        <w:rPr>
          <w:noProof/>
        </w:rPr>
        <w:fldChar w:fldCharType="begin"/>
      </w:r>
      <w:r>
        <w:rPr>
          <w:i w:val="0"/>
          <w:noProof/>
          <w:szCs w:val="22"/>
        </w:rPr>
        <w:instrText xml:space="preserve"> SEQ Figure \* ARABIC </w:instrText>
      </w:r>
      <w:r>
        <w:rPr>
          <w:i w:val="0"/>
          <w:noProof/>
          <w:szCs w:val="22"/>
        </w:rPr>
        <w:fldChar w:fldCharType="separate"/>
      </w:r>
      <w:r>
        <w:rPr>
          <w:i w:val="0"/>
          <w:noProof/>
          <w:szCs w:val="22"/>
        </w:rPr>
        <w:t>60</w:t>
      </w:r>
      <w:r>
        <w:rPr>
          <w:noProof/>
        </w:rPr>
        <w:fldChar w:fldCharType="end"/>
      </w:r>
      <w:r>
        <w:rPr>
          <w:i w:val="0"/>
          <w:noProof/>
        </w:rPr>
        <w:t>: Change in NOx emissions and PM2.5 emissions in 2030 and 2050 compared to 2015</w:t>
      </w:r>
      <w:bookmarkEnd w:id="5425"/>
      <w:bookmarkEnd w:id="5426"/>
      <w:bookmarkEnd w:id="5427"/>
      <w:bookmarkEnd w:id="5428"/>
      <w:bookmarkEnd w:id="5429"/>
      <w:bookmarkEnd w:id="5430"/>
      <w:bookmarkEnd w:id="5431"/>
      <w:bookmarkEnd w:id="5432"/>
      <w:bookmarkEnd w:id="5433"/>
      <w:bookmarkEnd w:id="5434"/>
      <w:bookmarkEnd w:id="5435"/>
    </w:p>
    <w:p>
      <w:pPr>
        <w:pStyle w:val="LegalNumPar"/>
        <w:pBdr>
          <w:top w:val="nil"/>
          <w:left w:val="nil"/>
          <w:bottom w:val="nil"/>
          <w:right w:val="nil"/>
          <w:between w:val="nil"/>
          <w:bar w:val="nil"/>
        </w:pBdr>
        <w:tabs>
          <w:tab w:val="left" w:pos="476"/>
        </w:tabs>
        <w:spacing w:after="0" w:line="240" w:lineRule="auto"/>
        <w:rPr>
          <w:noProof/>
        </w:rPr>
      </w:pPr>
      <w:r>
        <w:rPr>
          <w:noProof/>
        </w:rPr>
        <w:drawing>
          <wp:inline distT="0" distB="0" distL="0" distR="0">
            <wp:extent cx="2664460" cy="2341245"/>
            <wp:effectExtent l="0" t="0" r="254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664460" cy="2341245"/>
                    </a:xfrm>
                    <a:prstGeom prst="rect">
                      <a:avLst/>
                    </a:prstGeom>
                    <a:noFill/>
                  </pic:spPr>
                </pic:pic>
              </a:graphicData>
            </a:graphic>
          </wp:inline>
        </w:drawing>
      </w:r>
      <w:r>
        <w:rPr>
          <w:noProof/>
        </w:rPr>
        <w:drawing>
          <wp:inline distT="0" distB="0" distL="0" distR="0">
            <wp:extent cx="2664460" cy="2341245"/>
            <wp:effectExtent l="0" t="0" r="254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664460" cy="2341245"/>
                    </a:xfrm>
                    <a:prstGeom prst="rect">
                      <a:avLst/>
                    </a:prstGeom>
                    <a:noFill/>
                  </pic:spPr>
                </pic:pic>
              </a:graphicData>
            </a:graphic>
          </wp:inline>
        </w:drawing>
      </w:r>
    </w:p>
    <w:p>
      <w:pPr>
        <w:keepNext/>
        <w:keepLines/>
        <w:autoSpaceDE w:val="0"/>
        <w:autoSpaceDN w:val="0"/>
        <w:adjustRightInd w:val="0"/>
        <w:rPr>
          <w:i/>
          <w:noProof/>
          <w:sz w:val="16"/>
          <w:szCs w:val="16"/>
          <w:lang w:val="en-US"/>
        </w:rPr>
      </w:pPr>
      <w:r>
        <w:rPr>
          <w:i/>
          <w:iCs/>
          <w:noProof/>
          <w:sz w:val="16"/>
          <w:szCs w:val="16"/>
          <w:lang w:val="en-US"/>
        </w:rPr>
        <w:t>Source: PRIMES-TREMOVE transport model (E3Modelling)</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Noise in the majority of the real situations depends, for road vehicles, on the tyres and road surface, for railway on the quality of wheels and rails, and for aircrafts on the engines and aircraft frame. Electric vehicles are sometimes associated with ‘no noise’ pollution which is however not the case. As a result, very little benefits are foreseen by a renewal of the fleet or changes in traffic. By 2030 an increase of noise is foreseen for all modes relative to 2015 due to the increase of the number of vehicles. By 2050 the increased number of electric vehicles could lead, for road only, to a limited benefit in terms of noise reduction. The impacts are limited unless other specific measures are adopted that benefit the fleet renewal and at the same time target noise, as well as CO</w:t>
      </w:r>
      <w:r>
        <w:rPr>
          <w:noProof/>
          <w:vertAlign w:val="subscript"/>
        </w:rPr>
        <w:t>2</w:t>
      </w:r>
      <w:r>
        <w:rPr>
          <w:noProof/>
        </w:rPr>
        <w:t xml:space="preserve"> and air pollutant emissions reductions.</w:t>
      </w:r>
    </w:p>
    <w:p>
      <w:pPr>
        <w:pStyle w:val="Heading3"/>
        <w:rPr>
          <w:noProof/>
        </w:rPr>
      </w:pPr>
      <w:bookmarkStart w:id="5436" w:name="_Toc57291554"/>
      <w:bookmarkStart w:id="5437" w:name="_Toc456532491"/>
      <w:bookmarkStart w:id="5438" w:name="_Toc53405409"/>
      <w:bookmarkStart w:id="5439" w:name="_Toc53406196"/>
      <w:bookmarkStart w:id="5440" w:name="_Toc53407565"/>
      <w:bookmarkStart w:id="5441" w:name="_Toc53411009"/>
      <w:bookmarkStart w:id="5442" w:name="_Toc53412072"/>
      <w:bookmarkStart w:id="5443" w:name="_Toc53417319"/>
      <w:bookmarkStart w:id="5444" w:name="_Toc53417671"/>
      <w:bookmarkStart w:id="5445" w:name="_Toc53419906"/>
      <w:bookmarkStart w:id="5446" w:name="_Toc53435009"/>
      <w:bookmarkStart w:id="5447" w:name="_Toc53437148"/>
      <w:bookmarkStart w:id="5448" w:name="_Toc51574866"/>
      <w:bookmarkStart w:id="5449" w:name="_Toc51575714"/>
      <w:bookmarkStart w:id="5450" w:name="_Toc51578112"/>
      <w:bookmarkStart w:id="5451" w:name="_Toc51582985"/>
      <w:bookmarkStart w:id="5452" w:name="_Toc51583460"/>
      <w:bookmarkStart w:id="5453" w:name="_Toc51583550"/>
      <w:bookmarkStart w:id="5454" w:name="_Toc51583835"/>
      <w:bookmarkStart w:id="5455" w:name="_Toc51584025"/>
      <w:bookmarkStart w:id="5456" w:name="_Toc51584044"/>
      <w:bookmarkStart w:id="5457" w:name="_Toc51586267"/>
      <w:bookmarkStart w:id="5458" w:name="_Toc51594070"/>
      <w:bookmarkStart w:id="5459" w:name="_Toc51594396"/>
      <w:bookmarkStart w:id="5460" w:name="_Toc51595374"/>
      <w:bookmarkStart w:id="5461" w:name="_Toc51595624"/>
      <w:bookmarkStart w:id="5462" w:name="_Toc51595950"/>
      <w:bookmarkStart w:id="5463" w:name="_Toc51596113"/>
      <w:bookmarkStart w:id="5464" w:name="_Toc51596466"/>
      <w:bookmarkStart w:id="5465" w:name="_Toc52121601"/>
      <w:bookmarkStart w:id="5466" w:name="_Toc52122832"/>
      <w:r>
        <w:rPr>
          <w:noProof/>
        </w:rPr>
        <w:t>Impacts on external costs of transport</w:t>
      </w:r>
      <w:bookmarkEnd w:id="5436"/>
      <w:r>
        <w:rPr>
          <w:noProof/>
        </w:rPr>
        <w:t xml:space="preserve"> </w:t>
      </w:r>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p>
    <w:p>
      <w:pPr>
        <w:pStyle w:val="LegalNumPar"/>
        <w:numPr>
          <w:ilvl w:val="0"/>
          <w:numId w:val="89"/>
        </w:numPr>
        <w:pBdr>
          <w:top w:val="nil"/>
          <w:left w:val="nil"/>
          <w:bottom w:val="nil"/>
          <w:right w:val="nil"/>
          <w:between w:val="nil"/>
          <w:bar w:val="nil"/>
        </w:pBdr>
        <w:tabs>
          <w:tab w:val="left" w:pos="476"/>
        </w:tabs>
        <w:spacing w:line="240" w:lineRule="auto"/>
        <w:rPr>
          <w:noProof/>
        </w:rPr>
      </w:pPr>
      <w:r>
        <w:rPr>
          <w:b/>
          <w:bCs/>
          <w:noProof/>
        </w:rPr>
        <w:t>External costs associated to air pollutants</w:t>
      </w:r>
      <w:r>
        <w:rPr>
          <w:rStyle w:val="FootnoteReference"/>
          <w:noProof/>
        </w:rPr>
        <w:footnoteReference w:id="626"/>
      </w:r>
      <w:r>
        <w:rPr>
          <w:b/>
          <w:bCs/>
          <w:noProof/>
        </w:rPr>
        <w:t xml:space="preserve"> </w:t>
      </w:r>
      <w:r>
        <w:rPr>
          <w:noProof/>
        </w:rPr>
        <w:t>would decrease in all policy scenarios, by about 61-63% by 2030 (93-94% reduction by 2050) compared to 2015 due to lower energy use in transport, driven by improvements in energy efficiency, and increased use of renewable and low carbon fuels, as well as sustainable batteries. REG scenario shows the highest reduction (63% by 2030 and 94% by 2050), while MIX also shows significant decrease (62% by 2030 and 93% by 2050). The estimation of external costs associated to air pollutants draws on the methodology of the 2019 Handbook on the external costs of transport</w:t>
      </w:r>
      <w:r>
        <w:rPr>
          <w:rStyle w:val="FootnoteReference"/>
          <w:noProof/>
        </w:rPr>
        <w:footnoteReference w:id="627"/>
      </w:r>
      <w:r>
        <w:rPr>
          <w:noProof/>
        </w:rPr>
        <w:t>. The impacts on health, crop losses, material and building damage and biodiversity loss (due to acidification of soil and to the eutrophication of ecosystems) are also included. Soil and water pollution due to heavy metals, organic toxic substances, waste and ballast water and oil spills is however not covered.</w:t>
      </w:r>
    </w:p>
    <w:p>
      <w:pPr>
        <w:pStyle w:val="Caption"/>
        <w:keepNext/>
        <w:keepLines/>
        <w:tabs>
          <w:tab w:val="left" w:pos="0"/>
        </w:tabs>
        <w:spacing w:after="0"/>
        <w:jc w:val="center"/>
        <w:rPr>
          <w:i w:val="0"/>
          <w:noProof/>
        </w:rPr>
      </w:pPr>
      <w:bookmarkStart w:id="5467" w:name="_Toc53405303"/>
      <w:bookmarkStart w:id="5468" w:name="_Toc53406093"/>
      <w:bookmarkStart w:id="5469" w:name="_Toc53407459"/>
      <w:bookmarkStart w:id="5470" w:name="_Toc53410906"/>
      <w:bookmarkStart w:id="5471" w:name="_Toc53411969"/>
      <w:bookmarkStart w:id="5472" w:name="_Toc53417216"/>
      <w:bookmarkStart w:id="5473" w:name="_Toc53417568"/>
      <w:bookmarkStart w:id="5474" w:name="_Toc53419601"/>
      <w:bookmarkStart w:id="5475" w:name="_Toc53434906"/>
      <w:bookmarkStart w:id="5476" w:name="_Toc53437046"/>
      <w:bookmarkStart w:id="5477" w:name="_Toc57291705"/>
      <w:r>
        <w:rPr>
          <w:i w:val="0"/>
          <w:noProof/>
        </w:rPr>
        <w:t xml:space="preserve">Figure </w:t>
      </w:r>
      <w:r>
        <w:rPr>
          <w:noProof/>
        </w:rPr>
        <w:fldChar w:fldCharType="begin"/>
      </w:r>
      <w:r>
        <w:rPr>
          <w:i w:val="0"/>
          <w:noProof/>
          <w:szCs w:val="22"/>
        </w:rPr>
        <w:instrText xml:space="preserve"> SEQ Figure \* ARABIC </w:instrText>
      </w:r>
      <w:r>
        <w:rPr>
          <w:i w:val="0"/>
          <w:noProof/>
          <w:szCs w:val="22"/>
        </w:rPr>
        <w:fldChar w:fldCharType="separate"/>
      </w:r>
      <w:r>
        <w:rPr>
          <w:i w:val="0"/>
          <w:noProof/>
          <w:szCs w:val="22"/>
        </w:rPr>
        <w:t>61</w:t>
      </w:r>
      <w:r>
        <w:rPr>
          <w:noProof/>
        </w:rPr>
        <w:fldChar w:fldCharType="end"/>
      </w:r>
      <w:r>
        <w:rPr>
          <w:i w:val="0"/>
          <w:noProof/>
        </w:rPr>
        <w:t>: Change in external costs of air pollution in 2030 and 2050 compared to 2015</w:t>
      </w:r>
      <w:bookmarkEnd w:id="5467"/>
      <w:bookmarkEnd w:id="5468"/>
      <w:bookmarkEnd w:id="5469"/>
      <w:bookmarkEnd w:id="5470"/>
      <w:bookmarkEnd w:id="5471"/>
      <w:bookmarkEnd w:id="5472"/>
      <w:bookmarkEnd w:id="5473"/>
      <w:bookmarkEnd w:id="5474"/>
      <w:bookmarkEnd w:id="5475"/>
      <w:bookmarkEnd w:id="5476"/>
      <w:bookmarkEnd w:id="5477"/>
    </w:p>
    <w:p>
      <w:pPr>
        <w:spacing w:after="0"/>
        <w:jc w:val="center"/>
        <w:rPr>
          <w:noProof/>
        </w:rPr>
      </w:pPr>
    </w:p>
    <w:p>
      <w:pPr>
        <w:keepNext/>
        <w:keepLines/>
        <w:autoSpaceDE w:val="0"/>
        <w:autoSpaceDN w:val="0"/>
        <w:adjustRightInd w:val="0"/>
        <w:rPr>
          <w:i/>
          <w:noProof/>
          <w:sz w:val="16"/>
          <w:szCs w:val="16"/>
          <w:lang w:val="en-US"/>
        </w:rPr>
      </w:pPr>
      <w:r>
        <w:rPr>
          <w:i/>
          <w:iCs/>
          <w:noProof/>
          <w:sz w:val="16"/>
          <w:szCs w:val="16"/>
          <w:lang w:val="en-US"/>
        </w:rPr>
        <w:t>Source: PRIMES-TREMOVE transport model (E3Modelling)</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All policy scenarios are projected to result in somewhat lower </w:t>
      </w:r>
      <w:r>
        <w:rPr>
          <w:b/>
          <w:bCs/>
          <w:noProof/>
        </w:rPr>
        <w:t>congestion costs</w:t>
      </w:r>
      <w:r>
        <w:rPr>
          <w:noProof/>
        </w:rPr>
        <w:t xml:space="preserve"> relative to the Baseline scenario. This is due to measures related to “smart pricing” and multimodal mobility, enabled by digitalisation. The impacts are more visible by 2050 despite the fact that the measures are assumed to be implemented post-2020. MIX, REG and ALLBNK show similar reductions in congestion costs relative to the Baseline scenario by 2050, while CPRICE (mainly driven by carbon pricing) shows more limited impact.    </w:t>
      </w:r>
    </w:p>
    <w:p>
      <w:pPr>
        <w:pStyle w:val="Caption"/>
        <w:keepNext/>
        <w:keepLines/>
        <w:tabs>
          <w:tab w:val="left" w:pos="0"/>
        </w:tabs>
        <w:spacing w:after="0"/>
        <w:jc w:val="center"/>
        <w:rPr>
          <w:i w:val="0"/>
          <w:noProof/>
        </w:rPr>
      </w:pPr>
      <w:bookmarkStart w:id="5478" w:name="_Toc53405304"/>
      <w:bookmarkStart w:id="5479" w:name="_Toc53406094"/>
      <w:bookmarkStart w:id="5480" w:name="_Toc53407460"/>
      <w:bookmarkStart w:id="5481" w:name="_Toc53410907"/>
      <w:bookmarkStart w:id="5482" w:name="_Toc53411970"/>
      <w:bookmarkStart w:id="5483" w:name="_Toc53417217"/>
      <w:bookmarkStart w:id="5484" w:name="_Toc53417569"/>
      <w:bookmarkStart w:id="5485" w:name="_Toc53419602"/>
      <w:bookmarkStart w:id="5486" w:name="_Toc53434907"/>
      <w:bookmarkStart w:id="5487" w:name="_Toc53437047"/>
      <w:bookmarkStart w:id="5488" w:name="_Toc57291706"/>
      <w:r>
        <w:rPr>
          <w:i w:val="0"/>
          <w:noProof/>
        </w:rPr>
        <w:t xml:space="preserve">Figure </w:t>
      </w:r>
      <w:r>
        <w:rPr>
          <w:noProof/>
        </w:rPr>
        <w:fldChar w:fldCharType="begin"/>
      </w:r>
      <w:r>
        <w:rPr>
          <w:i w:val="0"/>
          <w:noProof/>
          <w:szCs w:val="22"/>
        </w:rPr>
        <w:instrText xml:space="preserve"> SEQ Figure \* ARABIC </w:instrText>
      </w:r>
      <w:r>
        <w:rPr>
          <w:i w:val="0"/>
          <w:noProof/>
          <w:szCs w:val="22"/>
        </w:rPr>
        <w:fldChar w:fldCharType="separate"/>
      </w:r>
      <w:r>
        <w:rPr>
          <w:i w:val="0"/>
          <w:noProof/>
          <w:szCs w:val="22"/>
        </w:rPr>
        <w:t>62</w:t>
      </w:r>
      <w:r>
        <w:rPr>
          <w:noProof/>
        </w:rPr>
        <w:fldChar w:fldCharType="end"/>
      </w:r>
      <w:r>
        <w:rPr>
          <w:i w:val="0"/>
          <w:noProof/>
        </w:rPr>
        <w:t>: Change in external costs of congestion and accidents in 2030 and 2050 compared to 2015</w:t>
      </w:r>
      <w:bookmarkEnd w:id="5478"/>
      <w:bookmarkEnd w:id="5479"/>
      <w:bookmarkEnd w:id="5480"/>
      <w:bookmarkEnd w:id="5481"/>
      <w:bookmarkEnd w:id="5482"/>
      <w:bookmarkEnd w:id="5483"/>
      <w:bookmarkEnd w:id="5484"/>
      <w:bookmarkEnd w:id="5485"/>
      <w:bookmarkEnd w:id="5486"/>
      <w:bookmarkEnd w:id="5487"/>
      <w:bookmarkEnd w:id="5488"/>
    </w:p>
    <w:p>
      <w:pPr>
        <w:keepNext/>
        <w:keepLines/>
        <w:autoSpaceDE w:val="0"/>
        <w:autoSpaceDN w:val="0"/>
        <w:adjustRightInd w:val="0"/>
        <w:rPr>
          <w:i/>
          <w:noProof/>
          <w:sz w:val="16"/>
          <w:szCs w:val="16"/>
          <w:lang w:val="it-IT"/>
        </w:rPr>
      </w:pPr>
      <w:r>
        <w:rPr>
          <w:i/>
          <w:noProof/>
          <w:sz w:val="16"/>
          <w:szCs w:val="16"/>
        </w:rPr>
        <w:drawing>
          <wp:inline distT="0" distB="0" distL="0" distR="0">
            <wp:extent cx="2664460" cy="2341245"/>
            <wp:effectExtent l="0" t="0" r="254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664460" cy="2341245"/>
                    </a:xfrm>
                    <a:prstGeom prst="rect">
                      <a:avLst/>
                    </a:prstGeom>
                    <a:noFill/>
                  </pic:spPr>
                </pic:pic>
              </a:graphicData>
            </a:graphic>
          </wp:inline>
        </w:drawing>
      </w:r>
      <w:r>
        <w:rPr>
          <w:i/>
          <w:noProof/>
          <w:sz w:val="16"/>
          <w:szCs w:val="16"/>
        </w:rPr>
        <w:drawing>
          <wp:inline distT="0" distB="0" distL="0" distR="0">
            <wp:extent cx="2664460" cy="2341245"/>
            <wp:effectExtent l="0" t="0" r="254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664460" cy="2341245"/>
                    </a:xfrm>
                    <a:prstGeom prst="rect">
                      <a:avLst/>
                    </a:prstGeom>
                    <a:noFill/>
                  </pic:spPr>
                </pic:pic>
              </a:graphicData>
            </a:graphic>
          </wp:inline>
        </w:drawing>
      </w:r>
    </w:p>
    <w:p>
      <w:pPr>
        <w:keepNext/>
        <w:keepLines/>
        <w:autoSpaceDE w:val="0"/>
        <w:autoSpaceDN w:val="0"/>
        <w:adjustRightInd w:val="0"/>
        <w:rPr>
          <w:i/>
          <w:noProof/>
          <w:sz w:val="16"/>
          <w:szCs w:val="16"/>
          <w:lang w:val="en-US"/>
        </w:rPr>
      </w:pPr>
      <w:r>
        <w:rPr>
          <w:i/>
          <w:iCs/>
          <w:noProof/>
          <w:sz w:val="16"/>
          <w:szCs w:val="16"/>
          <w:lang w:val="en-US"/>
        </w:rPr>
        <w:t>Source: PRIMES-TREMOVE transport model (E3Modelling)</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Policies promoting greater use of more sustainable transport modes and multimodality as well as the large scale deployment of intelligent transport systems are projected to result in significant co-benefits in terms of improved road safety and reduction of fatalities and injuries. For 2015-2030, the policy scenarios result in a decrease of </w:t>
      </w:r>
      <w:r>
        <w:rPr>
          <w:b/>
          <w:bCs/>
          <w:noProof/>
        </w:rPr>
        <w:t>external costs of accidents</w:t>
      </w:r>
      <w:r>
        <w:rPr>
          <w:noProof/>
        </w:rPr>
        <w:t xml:space="preserve"> by 15 to 17%. The highest impacts are projected in the REG, MIX and ALLBNK scenarios. By 2050 external costs of accidents would go down by 21 to 27% relative to 2015. </w:t>
      </w:r>
    </w:p>
    <w:p>
      <w:pPr>
        <w:pStyle w:val="LegalNumPar"/>
        <w:numPr>
          <w:ilvl w:val="0"/>
          <w:numId w:val="89"/>
        </w:numPr>
        <w:pBdr>
          <w:top w:val="nil"/>
          <w:left w:val="nil"/>
          <w:bottom w:val="nil"/>
          <w:right w:val="nil"/>
          <w:between w:val="nil"/>
          <w:bar w:val="nil"/>
        </w:pBdr>
        <w:tabs>
          <w:tab w:val="left" w:pos="476"/>
        </w:tabs>
        <w:spacing w:line="240" w:lineRule="auto"/>
        <w:rPr>
          <w:noProof/>
        </w:rPr>
      </w:pPr>
      <w:bookmarkStart w:id="5489" w:name="_Toc51574865"/>
      <w:bookmarkStart w:id="5490" w:name="_Toc51575713"/>
      <w:bookmarkStart w:id="5491" w:name="_Toc51578111"/>
      <w:bookmarkStart w:id="5492" w:name="_Toc51582984"/>
      <w:bookmarkStart w:id="5493" w:name="_Toc51583459"/>
      <w:bookmarkStart w:id="5494" w:name="_Toc51583549"/>
      <w:bookmarkStart w:id="5495" w:name="_Toc51583834"/>
      <w:bookmarkStart w:id="5496" w:name="_Toc51584024"/>
      <w:bookmarkStart w:id="5497" w:name="_Toc51584043"/>
      <w:bookmarkStart w:id="5498" w:name="_Toc51586266"/>
      <w:bookmarkStart w:id="5499" w:name="_Toc51594069"/>
      <w:bookmarkStart w:id="5500" w:name="_Toc51594395"/>
      <w:bookmarkStart w:id="5501" w:name="_Toc51595373"/>
      <w:bookmarkStart w:id="5502" w:name="_Toc51595623"/>
      <w:bookmarkStart w:id="5503" w:name="_Toc51595949"/>
      <w:bookmarkStart w:id="5504" w:name="_Toc51596112"/>
      <w:bookmarkStart w:id="5505" w:name="_Toc51596465"/>
      <w:bookmarkStart w:id="5506" w:name="_Toc52121600"/>
      <w:bookmarkStart w:id="5507" w:name="_Toc52122831"/>
      <w:bookmarkStart w:id="5508" w:name="_Toc53405410"/>
      <w:bookmarkStart w:id="5509" w:name="_Toc53406197"/>
      <w:bookmarkStart w:id="5510" w:name="_Toc53407566"/>
      <w:bookmarkStart w:id="5511" w:name="_Toc53411010"/>
      <w:bookmarkStart w:id="5512" w:name="_Toc53412073"/>
      <w:bookmarkStart w:id="5513" w:name="_Toc53417320"/>
      <w:bookmarkStart w:id="5514" w:name="_Toc53417672"/>
      <w:bookmarkStart w:id="5515" w:name="_Toc53419707"/>
      <w:bookmarkStart w:id="5516" w:name="_Toc53419907"/>
      <w:bookmarkStart w:id="5517" w:name="_Toc53435010"/>
      <w:bookmarkStart w:id="5518" w:name="_Toc53437149"/>
      <w:r>
        <w:rPr>
          <w:noProof/>
        </w:rPr>
        <w:t>Additional welfare effects in the transport sector result particularly from greater use of active modes such as walking and cycling, and public transport or a combination of these options. The most significant co-benefits of greater use of active modes of transport arise from increased physical activity and leads to lower levels of non-communicable diseases (such as overweight/obesity), various mental diseases and pre-mature mortality. Associated co-benefits would include reduced congestion, noise and air pollution.</w:t>
      </w:r>
      <w:r>
        <w:rPr>
          <w:noProof/>
          <w:vertAlign w:val="superscript"/>
        </w:rPr>
        <w:footnoteReference w:id="628"/>
      </w:r>
      <w:r>
        <w:rPr>
          <w:noProof/>
        </w:rPr>
        <w:t xml:space="preserve"> In addition to health benefits, there are social and economic gains of active mobility.</w:t>
      </w:r>
    </w:p>
    <w:p>
      <w:pPr>
        <w:pStyle w:val="Heading3"/>
        <w:rPr>
          <w:noProof/>
        </w:rPr>
      </w:pPr>
      <w:bookmarkStart w:id="5519" w:name="_Toc57291555"/>
      <w:r>
        <w:rPr>
          <w:noProof/>
        </w:rPr>
        <w:t>Investments</w:t>
      </w:r>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The average annual investments in vehicles, rolling stock, vessels, airplanes and </w:t>
      </w:r>
      <w:r>
        <w:rPr>
          <w:noProof/>
          <w:color w:val="000000"/>
          <w:lang w:val="en-US"/>
        </w:rPr>
        <w:t>alternative fuels infrastructure deployment</w:t>
      </w:r>
      <w:r>
        <w:rPr>
          <w:noProof/>
        </w:rPr>
        <w:t xml:space="preserve"> are estimated at around EUR 492 billion during the 2011-2020 period</w:t>
      </w:r>
      <w:r>
        <w:rPr>
          <w:rStyle w:val="FootnoteReference"/>
          <w:noProof/>
        </w:rPr>
        <w:footnoteReference w:id="629"/>
      </w:r>
      <w:r>
        <w:rPr>
          <w:noProof/>
        </w:rPr>
        <w:t xml:space="preserve">. </w:t>
      </w:r>
      <w:r>
        <w:rPr>
          <w:noProof/>
          <w:lang w:eastAsia="en-US"/>
        </w:rPr>
        <w:t xml:space="preserve">Under existing policies (in the baseline scenario), these investments are projected to go up to </w:t>
      </w:r>
      <w:r>
        <w:rPr>
          <w:noProof/>
        </w:rPr>
        <w:t xml:space="preserve">EUR </w:t>
      </w:r>
      <w:r>
        <w:rPr>
          <w:noProof/>
          <w:lang w:eastAsia="en-US"/>
        </w:rPr>
        <w:t xml:space="preserve">611 billion per year during 2021-2030 and to </w:t>
      </w:r>
      <w:r>
        <w:rPr>
          <w:noProof/>
        </w:rPr>
        <w:t xml:space="preserve">EUR </w:t>
      </w:r>
      <w:r>
        <w:rPr>
          <w:noProof/>
          <w:lang w:eastAsia="en-US"/>
        </w:rPr>
        <w:t>697 billion per year during 2031-2050</w:t>
      </w:r>
      <w:r>
        <w:rPr>
          <w:rStyle w:val="FootnoteReference"/>
          <w:noProof/>
          <w:lang w:eastAsia="en-US"/>
        </w:rPr>
        <w:footnoteReference w:id="630"/>
      </w:r>
      <w:r>
        <w:rPr>
          <w:noProof/>
          <w:lang w:eastAsia="en-US"/>
        </w:rPr>
        <w:t xml:space="preserve">. </w:t>
      </w:r>
    </w:p>
    <w:p>
      <w:pPr>
        <w:pStyle w:val="Caption"/>
        <w:keepNext/>
        <w:keepLines/>
        <w:tabs>
          <w:tab w:val="left" w:pos="0"/>
        </w:tabs>
        <w:spacing w:after="0"/>
        <w:jc w:val="center"/>
        <w:rPr>
          <w:i w:val="0"/>
          <w:noProof/>
        </w:rPr>
      </w:pPr>
      <w:bookmarkStart w:id="5520" w:name="_Toc53405305"/>
      <w:bookmarkStart w:id="5521" w:name="_Toc53406095"/>
      <w:bookmarkStart w:id="5522" w:name="_Toc53407461"/>
      <w:bookmarkStart w:id="5523" w:name="_Toc53410908"/>
      <w:bookmarkStart w:id="5524" w:name="_Toc53411971"/>
      <w:bookmarkStart w:id="5525" w:name="_Toc53417218"/>
      <w:bookmarkStart w:id="5526" w:name="_Toc53417570"/>
      <w:bookmarkStart w:id="5527" w:name="_Toc53419603"/>
      <w:bookmarkStart w:id="5528" w:name="_Toc53434908"/>
      <w:bookmarkStart w:id="5529" w:name="_Toc53437048"/>
      <w:bookmarkStart w:id="5530" w:name="_Toc57291707"/>
      <w:r>
        <w:rPr>
          <w:i w:val="0"/>
          <w:noProof/>
        </w:rPr>
        <w:t xml:space="preserve">Figure </w:t>
      </w:r>
      <w:r>
        <w:rPr>
          <w:noProof/>
        </w:rPr>
        <w:fldChar w:fldCharType="begin"/>
      </w:r>
      <w:r>
        <w:rPr>
          <w:i w:val="0"/>
          <w:noProof/>
          <w:szCs w:val="22"/>
        </w:rPr>
        <w:instrText xml:space="preserve"> SEQ Figure \* ARABIC </w:instrText>
      </w:r>
      <w:r>
        <w:rPr>
          <w:i w:val="0"/>
          <w:noProof/>
          <w:szCs w:val="22"/>
        </w:rPr>
        <w:fldChar w:fldCharType="separate"/>
      </w:r>
      <w:r>
        <w:rPr>
          <w:i w:val="0"/>
          <w:noProof/>
          <w:szCs w:val="22"/>
        </w:rPr>
        <w:t>63</w:t>
      </w:r>
      <w:r>
        <w:rPr>
          <w:noProof/>
        </w:rPr>
        <w:fldChar w:fldCharType="end"/>
      </w:r>
      <w:r>
        <w:rPr>
          <w:i w:val="0"/>
          <w:noProof/>
        </w:rPr>
        <w:t>: Average annual investments in vehicles, rolling stock, vessels, airplanes and alternative fuels infrastructure deployment in the Baseline and policy scenarios</w:t>
      </w:r>
      <w:bookmarkEnd w:id="5520"/>
      <w:bookmarkEnd w:id="5521"/>
      <w:bookmarkEnd w:id="5522"/>
      <w:bookmarkEnd w:id="5523"/>
      <w:bookmarkEnd w:id="5524"/>
      <w:bookmarkEnd w:id="5525"/>
      <w:bookmarkEnd w:id="5526"/>
      <w:bookmarkEnd w:id="5527"/>
      <w:bookmarkEnd w:id="5528"/>
      <w:bookmarkEnd w:id="5529"/>
      <w:bookmarkEnd w:id="5530"/>
    </w:p>
    <w:p>
      <w:pPr>
        <w:pStyle w:val="ListParagraph"/>
        <w:ind w:left="0"/>
        <w:jc w:val="left"/>
        <w:rPr>
          <w:noProof/>
          <w:lang w:eastAsia="en-US"/>
        </w:rPr>
      </w:pPr>
      <w:r>
        <w:rPr>
          <w:noProof/>
        </w:rPr>
        <w:drawing>
          <wp:inline distT="0" distB="0" distL="0" distR="0">
            <wp:extent cx="5395595" cy="2517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395595" cy="2517775"/>
                    </a:xfrm>
                    <a:prstGeom prst="rect">
                      <a:avLst/>
                    </a:prstGeom>
                    <a:noFill/>
                  </pic:spPr>
                </pic:pic>
              </a:graphicData>
            </a:graphic>
          </wp:inline>
        </w:drawing>
      </w:r>
    </w:p>
    <w:p>
      <w:pPr>
        <w:keepNext/>
        <w:keepLines/>
        <w:autoSpaceDE w:val="0"/>
        <w:autoSpaceDN w:val="0"/>
        <w:adjustRightInd w:val="0"/>
        <w:rPr>
          <w:i/>
          <w:noProof/>
          <w:sz w:val="16"/>
          <w:szCs w:val="16"/>
          <w:lang w:val="en-US"/>
        </w:rPr>
      </w:pPr>
      <w:r>
        <w:rPr>
          <w:i/>
          <w:iCs/>
          <w:noProof/>
          <w:sz w:val="16"/>
          <w:szCs w:val="16"/>
          <w:lang w:val="en-US"/>
        </w:rPr>
        <w:t>Source: PRIMES-TREMOVE transport model (E3Modelling)</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Focusing on 2021-2030 period, reducing GHG emissions from transport, to contribute towards the at least 55% economy-wide emission reduction target by 2030, will require significant additional investments. This in turn will reduce fuel expenses and dependence on fossil fuel imports, and improve the EU's energy security. In the policy scenarios, the total investments in the transport fleet and </w:t>
      </w:r>
      <w:r>
        <w:rPr>
          <w:noProof/>
          <w:color w:val="000000" w:themeColor="text1"/>
          <w:lang w:val="en-US"/>
        </w:rPr>
        <w:t>alternative fuels infrastructure deployment</w:t>
      </w:r>
      <w:r>
        <w:rPr>
          <w:noProof/>
        </w:rPr>
        <w:t xml:space="preserve"> are projected at EUR 608 to EUR 623 billion per year on average for 2021-2030 and EUR 726 to EUR 736 billion per year for 2031-2050. Importantly, the existing policies lead to the bulk of these investments. The additional investments needed </w:t>
      </w:r>
      <w:r>
        <w:rPr>
          <w:noProof/>
          <w:lang w:eastAsia="en-US"/>
        </w:rPr>
        <w:t xml:space="preserve">to contribute towards </w:t>
      </w:r>
      <w:r>
        <w:rPr>
          <w:noProof/>
        </w:rPr>
        <w:t>the at least 55% economy-wide emission reduction target by 2030 are estimated at EUR 10 to EUR 12 billion per year for 2021-2030 relative to developments under existing policies (i.e. the Baseline scenario).</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Comparing 2021-2030 to 2011-2020 period, average annual investments in the fleet and </w:t>
      </w:r>
      <w:r>
        <w:rPr>
          <w:noProof/>
          <w:color w:val="000000" w:themeColor="text1"/>
          <w:lang w:val="en-US"/>
        </w:rPr>
        <w:t>alternative fuels infrastructure deployment</w:t>
      </w:r>
      <w:r>
        <w:rPr>
          <w:noProof/>
        </w:rPr>
        <w:t xml:space="preserve"> will need to be EUR 116 to EUR 131 billion higher</w:t>
      </w:r>
      <w:r>
        <w:rPr>
          <w:noProof/>
          <w:lang w:eastAsia="en-US"/>
        </w:rPr>
        <w:t>. The lowest investments relative to the previous decade are projected in the CPRICE scenario (</w:t>
      </w:r>
      <w:r>
        <w:rPr>
          <w:noProof/>
        </w:rPr>
        <w:t xml:space="preserve">EUR </w:t>
      </w:r>
      <w:r>
        <w:rPr>
          <w:noProof/>
          <w:lang w:eastAsia="en-US"/>
        </w:rPr>
        <w:t xml:space="preserve">116 billion per year), due to the carbon pricing that results in lower road transport activity relative to the Baseline. In the other scenarios, the average annual investments range between </w:t>
      </w:r>
      <w:r>
        <w:rPr>
          <w:noProof/>
        </w:rPr>
        <w:t xml:space="preserve">EUR </w:t>
      </w:r>
      <w:r>
        <w:rPr>
          <w:noProof/>
          <w:lang w:eastAsia="en-US"/>
        </w:rPr>
        <w:t xml:space="preserve">128 and </w:t>
      </w:r>
      <w:r>
        <w:rPr>
          <w:noProof/>
        </w:rPr>
        <w:t xml:space="preserve">EUR </w:t>
      </w:r>
      <w:r>
        <w:rPr>
          <w:noProof/>
          <w:lang w:eastAsia="en-US"/>
        </w:rPr>
        <w:t>131 billion per year. The highest investments would be needed in the MIX and REG scenarios (</w:t>
      </w:r>
      <w:r>
        <w:rPr>
          <w:noProof/>
        </w:rPr>
        <w:t xml:space="preserve">EUR </w:t>
      </w:r>
      <w:r>
        <w:rPr>
          <w:noProof/>
          <w:lang w:eastAsia="en-US"/>
        </w:rPr>
        <w:t xml:space="preserve">130 and </w:t>
      </w:r>
      <w:r>
        <w:rPr>
          <w:noProof/>
        </w:rPr>
        <w:t xml:space="preserve">EUR </w:t>
      </w:r>
      <w:r>
        <w:rPr>
          <w:noProof/>
          <w:lang w:eastAsia="en-US"/>
        </w:rPr>
        <w:t>131 billion, respectively) due to the v</w:t>
      </w:r>
      <w:r>
        <w:rPr>
          <w:noProof/>
        </w:rPr>
        <w:t xml:space="preserve">ehicle efficiency standards and large scale deployment of alternative fuels infrastructure, </w:t>
      </w:r>
      <w:r>
        <w:rPr>
          <w:noProof/>
          <w:lang w:eastAsia="en-US"/>
        </w:rPr>
        <w:t xml:space="preserve">as well as </w:t>
      </w:r>
      <w:r>
        <w:rPr>
          <w:noProof/>
        </w:rPr>
        <w:t>measures that support multimodal mobility, enabled by digitalisation, and support for sustainable urban transport.</w:t>
      </w:r>
    </w:p>
    <w:p>
      <w:pPr>
        <w:pStyle w:val="Caption"/>
        <w:keepNext/>
        <w:keepLines/>
        <w:tabs>
          <w:tab w:val="left" w:pos="0"/>
        </w:tabs>
        <w:spacing w:after="0"/>
        <w:jc w:val="center"/>
        <w:rPr>
          <w:i w:val="0"/>
          <w:noProof/>
        </w:rPr>
      </w:pPr>
      <w:bookmarkStart w:id="5531" w:name="_Toc53405306"/>
      <w:bookmarkStart w:id="5532" w:name="_Toc53406096"/>
      <w:bookmarkStart w:id="5533" w:name="_Toc53407462"/>
      <w:bookmarkStart w:id="5534" w:name="_Toc53410909"/>
      <w:bookmarkStart w:id="5535" w:name="_Toc53411972"/>
      <w:bookmarkStart w:id="5536" w:name="_Toc53417219"/>
      <w:bookmarkStart w:id="5537" w:name="_Toc53417571"/>
      <w:bookmarkStart w:id="5538" w:name="_Toc53419604"/>
      <w:bookmarkStart w:id="5539" w:name="_Toc53434909"/>
      <w:bookmarkStart w:id="5540" w:name="_Toc53437049"/>
      <w:bookmarkStart w:id="5541" w:name="_Toc57291708"/>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64</w:t>
      </w:r>
      <w:r>
        <w:rPr>
          <w:noProof/>
        </w:rPr>
        <w:fldChar w:fldCharType="end"/>
      </w:r>
      <w:r>
        <w:rPr>
          <w:i w:val="0"/>
          <w:noProof/>
        </w:rPr>
        <w:t>: Additional annual average investments for 2021-2030 under existing policies and to achieve higher GHG emissions reductions - in billions euros (2015)</w:t>
      </w:r>
      <w:bookmarkEnd w:id="5531"/>
      <w:bookmarkEnd w:id="5532"/>
      <w:bookmarkEnd w:id="5533"/>
      <w:bookmarkEnd w:id="5534"/>
      <w:bookmarkEnd w:id="5535"/>
      <w:bookmarkEnd w:id="5536"/>
      <w:bookmarkEnd w:id="5537"/>
      <w:bookmarkEnd w:id="5538"/>
      <w:bookmarkEnd w:id="5539"/>
      <w:bookmarkEnd w:id="5540"/>
      <w:bookmarkEnd w:id="5541"/>
    </w:p>
    <w:p>
      <w:pPr>
        <w:spacing w:after="0"/>
        <w:rPr>
          <w:noProof/>
          <w:lang w:eastAsia="en-US"/>
        </w:rPr>
      </w:pPr>
      <w:r>
        <w:rPr>
          <w:noProof/>
        </w:rPr>
        <w:drawing>
          <wp:inline distT="0" distB="0" distL="0" distR="0">
            <wp:extent cx="5401310" cy="287782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5401310" cy="2877820"/>
                    </a:xfrm>
                    <a:prstGeom prst="rect">
                      <a:avLst/>
                    </a:prstGeom>
                    <a:noFill/>
                  </pic:spPr>
                </pic:pic>
              </a:graphicData>
            </a:graphic>
          </wp:inline>
        </w:drawing>
      </w:r>
    </w:p>
    <w:p>
      <w:pPr>
        <w:keepNext/>
        <w:keepLines/>
        <w:autoSpaceDE w:val="0"/>
        <w:autoSpaceDN w:val="0"/>
        <w:adjustRightInd w:val="0"/>
        <w:rPr>
          <w:i/>
          <w:noProof/>
          <w:sz w:val="16"/>
          <w:szCs w:val="16"/>
          <w:lang w:val="en-US"/>
        </w:rPr>
      </w:pPr>
      <w:r>
        <w:rPr>
          <w:i/>
          <w:iCs/>
          <w:noProof/>
          <w:sz w:val="16"/>
          <w:szCs w:val="16"/>
          <w:lang w:val="en-US"/>
        </w:rPr>
        <w:t>Source: PRIMES-TREMOVE transport model (E3Modelling)</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lang w:eastAsia="en-US"/>
        </w:rPr>
        <w:t xml:space="preserve">In addition, investments in infrastructure will be needed to support </w:t>
      </w:r>
      <w:r>
        <w:rPr>
          <w:noProof/>
        </w:rPr>
        <w:t>multimodal mobility, digitalisation and sustainable urban transport. Current investments related to the core TEN-T network and other interurban and urban infrastructure are estimated at 135 billion euros per year. For 2021-2030, the green transformation investment gap for infrastructure is estimated at EUR 100 billion per year</w:t>
      </w:r>
      <w:r>
        <w:rPr>
          <w:rStyle w:val="FootnoteReference"/>
          <w:noProof/>
        </w:rPr>
        <w:footnoteReference w:id="631"/>
      </w:r>
      <w:r>
        <w:rPr>
          <w:noProof/>
        </w:rPr>
        <w:t xml:space="preserve"> (EUR 30 billion for the core TEN-T network, EUR 35 billion for other interurban infrastructure and EUR 35 billion for urban transport infrastructure)</w:t>
      </w:r>
      <w:r>
        <w:rPr>
          <w:rStyle w:val="FootnoteReference"/>
          <w:noProof/>
        </w:rPr>
        <w:footnoteReference w:id="632"/>
      </w:r>
      <w:r>
        <w:rPr>
          <w:noProof/>
        </w:rPr>
        <w:t>.</w:t>
      </w:r>
    </w:p>
    <w:p>
      <w:pPr>
        <w:pStyle w:val="LegalNumPar"/>
        <w:numPr>
          <w:ilvl w:val="0"/>
          <w:numId w:val="89"/>
        </w:numPr>
        <w:pBdr>
          <w:top w:val="nil"/>
          <w:left w:val="nil"/>
          <w:bottom w:val="nil"/>
          <w:right w:val="nil"/>
          <w:between w:val="nil"/>
          <w:bar w:val="nil"/>
        </w:pBdr>
        <w:tabs>
          <w:tab w:val="left" w:pos="476"/>
        </w:tabs>
        <w:spacing w:line="240" w:lineRule="auto"/>
        <w:rPr>
          <w:noProof/>
          <w:lang w:eastAsia="en-US"/>
        </w:rPr>
      </w:pPr>
      <w:r>
        <w:rPr>
          <w:noProof/>
          <w:lang w:eastAsia="en-US"/>
        </w:rPr>
        <w:t>Overall, during 2021-2030</w:t>
      </w:r>
      <w:r>
        <w:rPr>
          <w:rStyle w:val="FootnoteReference"/>
          <w:noProof/>
          <w:lang w:eastAsia="en-US"/>
        </w:rPr>
        <w:footnoteReference w:id="633"/>
      </w:r>
      <w:r>
        <w:rPr>
          <w:noProof/>
          <w:lang w:eastAsia="en-US"/>
        </w:rPr>
        <w:t>, the additional investment needs for sustainable and smart mobility cover both vehicles, rolling stock, vessels, airplanes, alternative fuels infrastructure deployment (</w:t>
      </w:r>
      <w:r>
        <w:rPr>
          <w:noProof/>
        </w:rPr>
        <w:t xml:space="preserve">EUR </w:t>
      </w:r>
      <w:r>
        <w:rPr>
          <w:noProof/>
          <w:lang w:eastAsia="en-US"/>
        </w:rPr>
        <w:t xml:space="preserve">116 to </w:t>
      </w:r>
      <w:r>
        <w:rPr>
          <w:noProof/>
        </w:rPr>
        <w:t xml:space="preserve">EUR </w:t>
      </w:r>
      <w:r>
        <w:rPr>
          <w:noProof/>
          <w:lang w:eastAsia="en-US"/>
        </w:rPr>
        <w:t>131 billion per year) and green investments to deliver on Europe’s wider transport infrastructure (</w:t>
      </w:r>
      <w:r>
        <w:rPr>
          <w:noProof/>
        </w:rPr>
        <w:t xml:space="preserve">EUR </w:t>
      </w:r>
      <w:r>
        <w:rPr>
          <w:noProof/>
          <w:lang w:eastAsia="en-US"/>
        </w:rPr>
        <w:t>100 billion per year).</w:t>
      </w:r>
    </w:p>
    <w:p>
      <w:pPr>
        <w:pStyle w:val="Heading3"/>
        <w:rPr>
          <w:noProof/>
        </w:rPr>
      </w:pPr>
      <w:bookmarkStart w:id="5542" w:name="_Toc53405411"/>
      <w:bookmarkStart w:id="5543" w:name="_Toc53406198"/>
      <w:bookmarkStart w:id="5544" w:name="_Toc53407567"/>
      <w:bookmarkStart w:id="5545" w:name="_Toc53411011"/>
      <w:bookmarkStart w:id="5546" w:name="_Toc53412074"/>
      <w:bookmarkStart w:id="5547" w:name="_Toc53417321"/>
      <w:bookmarkStart w:id="5548" w:name="_Toc53417673"/>
      <w:bookmarkStart w:id="5549" w:name="_Toc53419708"/>
      <w:bookmarkStart w:id="5550" w:name="_Toc53419908"/>
      <w:bookmarkStart w:id="5551" w:name="_Toc53435011"/>
      <w:bookmarkStart w:id="5552" w:name="_Toc53437150"/>
      <w:bookmarkStart w:id="5553" w:name="_Toc57291556"/>
      <w:r>
        <w:rPr>
          <w:noProof/>
        </w:rPr>
        <w:t>Social impacts</w:t>
      </w:r>
      <w:bookmarkEnd w:id="5542"/>
      <w:bookmarkEnd w:id="5543"/>
      <w:bookmarkEnd w:id="5544"/>
      <w:bookmarkEnd w:id="5545"/>
      <w:bookmarkEnd w:id="5546"/>
      <w:bookmarkEnd w:id="5547"/>
      <w:bookmarkEnd w:id="5548"/>
      <w:bookmarkEnd w:id="5549"/>
      <w:bookmarkEnd w:id="5550"/>
      <w:bookmarkEnd w:id="5551"/>
      <w:bookmarkEnd w:id="5552"/>
      <w:bookmarkEnd w:id="5553"/>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In the Baseline scenario, </w:t>
      </w:r>
      <w:r>
        <w:rPr>
          <w:noProof/>
          <w:lang w:eastAsia="en-US"/>
        </w:rPr>
        <w:t xml:space="preserve">households’ </w:t>
      </w:r>
      <w:r>
        <w:rPr>
          <w:noProof/>
        </w:rPr>
        <w:t xml:space="preserve">annual transport related </w:t>
      </w:r>
      <w:r>
        <w:rPr>
          <w:noProof/>
          <w:lang w:eastAsia="en-US"/>
        </w:rPr>
        <w:t>expenditures</w:t>
      </w:r>
      <w:r>
        <w:rPr>
          <w:noProof/>
        </w:rPr>
        <w:t xml:space="preserve"> are projected at EUR 1,028 </w:t>
      </w:r>
      <w:r>
        <w:rPr>
          <w:noProof/>
          <w:lang w:eastAsia="en-US"/>
        </w:rPr>
        <w:t>billion per year on average for 2021-2030 or 12.8% of households’ income</w:t>
      </w:r>
      <w:r>
        <w:rPr>
          <w:noProof/>
        </w:rPr>
        <w:t>. In the policy scenarios, the households’ annual transport related expenditures over the 2021-2030 period would go up by 1.3 to 2.1% relative to the Baseline, the highest increase taking place in ALLBNK scenario. The increase in the s</w:t>
      </w:r>
      <w:r>
        <w:rPr>
          <w:noProof/>
          <w:color w:val="000000" w:themeColor="text1"/>
          <w:lang w:eastAsia="fr-BE"/>
        </w:rPr>
        <w:t xml:space="preserve">hare of total transport costs in households' expenditures would be limited, to 0.2-0.3 percentage points relative to the Baseline. </w:t>
      </w:r>
    </w:p>
    <w:p>
      <w:pPr>
        <w:pStyle w:val="Caption"/>
        <w:keepNext/>
        <w:keepLines/>
        <w:tabs>
          <w:tab w:val="left" w:pos="0"/>
        </w:tabs>
        <w:spacing w:after="0"/>
        <w:rPr>
          <w:i w:val="0"/>
          <w:noProof/>
        </w:rPr>
      </w:pPr>
      <w:bookmarkStart w:id="5554" w:name="_Toc53405307"/>
      <w:bookmarkStart w:id="5555" w:name="_Toc53406097"/>
      <w:bookmarkStart w:id="5556" w:name="_Toc53407463"/>
      <w:bookmarkStart w:id="5557" w:name="_Toc53410910"/>
      <w:bookmarkStart w:id="5558" w:name="_Toc53411973"/>
      <w:bookmarkStart w:id="5559" w:name="_Toc53417220"/>
      <w:bookmarkStart w:id="5560" w:name="_Toc53417572"/>
      <w:bookmarkStart w:id="5561" w:name="_Toc53419605"/>
      <w:bookmarkStart w:id="5562" w:name="_Toc53434910"/>
      <w:bookmarkStart w:id="5563" w:name="_Toc53437050"/>
      <w:bookmarkStart w:id="5564" w:name="_Toc57291709"/>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65</w:t>
      </w:r>
      <w:r>
        <w:rPr>
          <w:noProof/>
        </w:rPr>
        <w:fldChar w:fldCharType="end"/>
      </w:r>
      <w:r>
        <w:rPr>
          <w:i w:val="0"/>
          <w:noProof/>
        </w:rPr>
        <w:t>: Households’ annual transport related expenditures in the Baseline and policy scenarios - in billions euros (2015)</w:t>
      </w:r>
      <w:bookmarkEnd w:id="5554"/>
      <w:bookmarkEnd w:id="5555"/>
      <w:bookmarkEnd w:id="5556"/>
      <w:bookmarkEnd w:id="5557"/>
      <w:bookmarkEnd w:id="5558"/>
      <w:bookmarkEnd w:id="5559"/>
      <w:bookmarkEnd w:id="5560"/>
      <w:bookmarkEnd w:id="5561"/>
      <w:bookmarkEnd w:id="5562"/>
      <w:bookmarkEnd w:id="5563"/>
      <w:bookmarkEnd w:id="5564"/>
    </w:p>
    <w:tbl>
      <w:tblPr>
        <w:tblW w:w="5000" w:type="pct"/>
        <w:tblCellMar>
          <w:left w:w="70" w:type="dxa"/>
          <w:right w:w="70" w:type="dxa"/>
        </w:tblCellMar>
        <w:tblLook w:val="04A0" w:firstRow="1" w:lastRow="0" w:firstColumn="1" w:lastColumn="0" w:noHBand="0" w:noVBand="1"/>
      </w:tblPr>
      <w:tblGrid>
        <w:gridCol w:w="3270"/>
        <w:gridCol w:w="872"/>
        <w:gridCol w:w="870"/>
        <w:gridCol w:w="870"/>
        <w:gridCol w:w="870"/>
        <w:gridCol w:w="907"/>
        <w:gridCol w:w="985"/>
      </w:tblGrid>
      <w:tr>
        <w:trPr>
          <w:trHeight w:val="690"/>
          <w:tblHeader/>
        </w:trPr>
        <w:tc>
          <w:tcPr>
            <w:tcW w:w="1904"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pPr>
              <w:spacing w:after="0" w:line="240" w:lineRule="auto"/>
              <w:jc w:val="left"/>
              <w:rPr>
                <w:b/>
                <w:noProof/>
                <w:sz w:val="20"/>
                <w:lang w:eastAsia="fr-BE"/>
              </w:rPr>
            </w:pPr>
            <w:r>
              <w:rPr>
                <w:b/>
                <w:bCs/>
                <w:noProof/>
                <w:sz w:val="20"/>
                <w:lang w:eastAsia="fr-BE"/>
              </w:rPr>
              <w:t>Households' expenditures on transport - annual average for 2021-2030 (% change compared to the Baseline)</w:t>
            </w:r>
          </w:p>
        </w:tc>
        <w:tc>
          <w:tcPr>
            <w:tcW w:w="517" w:type="pct"/>
            <w:tcBorders>
              <w:top w:val="single" w:sz="4" w:space="0" w:color="auto"/>
              <w:left w:val="nil"/>
              <w:bottom w:val="single" w:sz="4" w:space="0" w:color="auto"/>
              <w:right w:val="single" w:sz="4" w:space="0" w:color="auto"/>
            </w:tcBorders>
            <w:shd w:val="clear" w:color="auto" w:fill="FFFFFF" w:themeFill="background1"/>
            <w:vAlign w:val="center"/>
            <w:hideMark/>
          </w:tcPr>
          <w:p>
            <w:pPr>
              <w:spacing w:after="0" w:line="240" w:lineRule="auto"/>
              <w:jc w:val="center"/>
              <w:rPr>
                <w:b/>
                <w:noProof/>
                <w:sz w:val="20"/>
                <w:lang w:val="fr-BE" w:eastAsia="fr-BE"/>
              </w:rPr>
            </w:pPr>
            <w:r>
              <w:rPr>
                <w:b/>
                <w:bCs/>
                <w:noProof/>
                <w:sz w:val="20"/>
                <w:lang w:val="fr-BE" w:eastAsia="fr-BE"/>
              </w:rPr>
              <w:t>BSL (bil. EUR '2015)</w:t>
            </w:r>
          </w:p>
        </w:tc>
        <w:tc>
          <w:tcPr>
            <w:tcW w:w="5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pPr>
              <w:spacing w:after="0" w:line="240" w:lineRule="auto"/>
              <w:jc w:val="center"/>
              <w:rPr>
                <w:b/>
                <w:noProof/>
                <w:sz w:val="20"/>
                <w:lang w:val="fr-BE" w:eastAsia="fr-BE"/>
              </w:rPr>
            </w:pPr>
            <w:r>
              <w:rPr>
                <w:b/>
                <w:bCs/>
                <w:noProof/>
                <w:sz w:val="20"/>
                <w:lang w:val="fr-BE" w:eastAsia="fr-BE"/>
              </w:rPr>
              <w:t>MIX-50</w:t>
            </w:r>
          </w:p>
        </w:tc>
        <w:tc>
          <w:tcPr>
            <w:tcW w:w="5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pPr>
              <w:spacing w:after="0" w:line="240" w:lineRule="auto"/>
              <w:jc w:val="center"/>
              <w:rPr>
                <w:b/>
                <w:noProof/>
                <w:sz w:val="20"/>
                <w:lang w:val="fr-BE" w:eastAsia="fr-BE"/>
              </w:rPr>
            </w:pPr>
            <w:r>
              <w:rPr>
                <w:b/>
                <w:bCs/>
                <w:noProof/>
                <w:sz w:val="20"/>
                <w:lang w:val="fr-BE" w:eastAsia="fr-BE"/>
              </w:rPr>
              <w:t>REG</w:t>
            </w:r>
          </w:p>
        </w:tc>
        <w:tc>
          <w:tcPr>
            <w:tcW w:w="5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pPr>
              <w:spacing w:after="0" w:line="240" w:lineRule="auto"/>
              <w:jc w:val="center"/>
              <w:rPr>
                <w:b/>
                <w:noProof/>
                <w:sz w:val="20"/>
                <w:lang w:val="fr-BE" w:eastAsia="fr-BE"/>
              </w:rPr>
            </w:pPr>
            <w:r>
              <w:rPr>
                <w:b/>
                <w:bCs/>
                <w:noProof/>
                <w:sz w:val="20"/>
                <w:lang w:val="fr-BE" w:eastAsia="fr-BE"/>
              </w:rPr>
              <w:t>MIX</w:t>
            </w:r>
          </w:p>
        </w:tc>
        <w:tc>
          <w:tcPr>
            <w:tcW w:w="5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pPr>
              <w:spacing w:after="0" w:line="240" w:lineRule="auto"/>
              <w:jc w:val="center"/>
              <w:rPr>
                <w:b/>
                <w:noProof/>
                <w:sz w:val="20"/>
                <w:lang w:val="fr-BE" w:eastAsia="fr-BE"/>
              </w:rPr>
            </w:pPr>
            <w:r>
              <w:rPr>
                <w:b/>
                <w:bCs/>
                <w:noProof/>
                <w:sz w:val="20"/>
                <w:lang w:val="fr-BE" w:eastAsia="fr-BE"/>
              </w:rPr>
              <w:t>CPRICE</w:t>
            </w:r>
          </w:p>
        </w:tc>
        <w:tc>
          <w:tcPr>
            <w:tcW w:w="515" w:type="pct"/>
            <w:tcBorders>
              <w:top w:val="single" w:sz="4" w:space="0" w:color="auto"/>
              <w:left w:val="nil"/>
              <w:bottom w:val="single" w:sz="4" w:space="0" w:color="auto"/>
              <w:right w:val="single" w:sz="4" w:space="0" w:color="auto"/>
            </w:tcBorders>
            <w:shd w:val="clear" w:color="auto" w:fill="FFFFFF" w:themeFill="background1"/>
            <w:noWrap/>
            <w:vAlign w:val="center"/>
            <w:hideMark/>
          </w:tcPr>
          <w:p>
            <w:pPr>
              <w:spacing w:after="0" w:line="240" w:lineRule="auto"/>
              <w:jc w:val="center"/>
              <w:rPr>
                <w:b/>
                <w:noProof/>
                <w:sz w:val="20"/>
                <w:lang w:val="fr-BE" w:eastAsia="fr-BE"/>
              </w:rPr>
            </w:pPr>
            <w:r>
              <w:rPr>
                <w:b/>
                <w:bCs/>
                <w:noProof/>
                <w:sz w:val="20"/>
                <w:lang w:val="fr-BE" w:eastAsia="fr-BE"/>
              </w:rPr>
              <w:t>ALLBNK</w:t>
            </w:r>
          </w:p>
        </w:tc>
      </w:tr>
      <w:tr>
        <w:trPr>
          <w:trHeight w:val="300"/>
        </w:trPr>
        <w:tc>
          <w:tcPr>
            <w:tcW w:w="1904" w:type="pct"/>
            <w:tcBorders>
              <w:top w:val="nil"/>
              <w:left w:val="single" w:sz="4" w:space="0" w:color="auto"/>
              <w:bottom w:val="single" w:sz="4" w:space="0" w:color="auto"/>
              <w:right w:val="single" w:sz="4" w:space="0" w:color="auto"/>
            </w:tcBorders>
            <w:shd w:val="clear" w:color="auto" w:fill="FFFFFF" w:themeFill="background1"/>
            <w:noWrap/>
            <w:vAlign w:val="bottom"/>
            <w:hideMark/>
          </w:tcPr>
          <w:p>
            <w:pPr>
              <w:spacing w:after="0" w:line="240" w:lineRule="auto"/>
              <w:jc w:val="left"/>
              <w:rPr>
                <w:noProof/>
                <w:color w:val="000000" w:themeColor="text1"/>
                <w:sz w:val="20"/>
                <w:lang w:val="fr-BE" w:eastAsia="fr-BE"/>
              </w:rPr>
            </w:pPr>
            <w:r>
              <w:rPr>
                <w:noProof/>
                <w:color w:val="000000" w:themeColor="text1"/>
                <w:sz w:val="20"/>
                <w:lang w:val="fr-BE" w:eastAsia="fr-BE"/>
              </w:rPr>
              <w:t>Total transport costs</w:t>
            </w:r>
          </w:p>
        </w:tc>
        <w:tc>
          <w:tcPr>
            <w:tcW w:w="517" w:type="pct"/>
            <w:tcBorders>
              <w:top w:val="nil"/>
              <w:left w:val="nil"/>
              <w:bottom w:val="single" w:sz="4" w:space="0" w:color="auto"/>
              <w:right w:val="single" w:sz="4" w:space="0" w:color="auto"/>
            </w:tcBorders>
            <w:shd w:val="clear" w:color="auto" w:fill="FFFFFF" w:themeFill="background1"/>
            <w:noWrap/>
            <w:vAlign w:val="bottom"/>
            <w:hideMark/>
          </w:tcPr>
          <w:p>
            <w:pPr>
              <w:spacing w:after="0" w:line="240" w:lineRule="auto"/>
              <w:jc w:val="right"/>
              <w:rPr>
                <w:noProof/>
                <w:color w:val="000000" w:themeColor="text1"/>
                <w:sz w:val="20"/>
                <w:lang w:val="fr-BE" w:eastAsia="fr-BE"/>
              </w:rPr>
            </w:pPr>
            <w:r>
              <w:rPr>
                <w:noProof/>
                <w:color w:val="000000" w:themeColor="text1"/>
                <w:sz w:val="20"/>
                <w:lang w:val="fr-BE" w:eastAsia="fr-BE"/>
              </w:rPr>
              <w:t>1,028</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pPr>
              <w:spacing w:after="0" w:line="240" w:lineRule="auto"/>
              <w:jc w:val="right"/>
              <w:rPr>
                <w:noProof/>
                <w:color w:val="000000" w:themeColor="text1"/>
                <w:sz w:val="20"/>
                <w:lang w:val="fr-BE" w:eastAsia="fr-BE"/>
              </w:rPr>
            </w:pPr>
            <w:r>
              <w:rPr>
                <w:noProof/>
                <w:color w:val="000000" w:themeColor="text1"/>
                <w:sz w:val="20"/>
                <w:lang w:val="fr-BE" w:eastAsia="fr-BE"/>
              </w:rPr>
              <w:t>1.6%</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pPr>
              <w:spacing w:after="0" w:line="240" w:lineRule="auto"/>
              <w:jc w:val="right"/>
              <w:rPr>
                <w:noProof/>
                <w:color w:val="000000" w:themeColor="text1"/>
                <w:sz w:val="20"/>
                <w:lang w:val="fr-BE" w:eastAsia="fr-BE"/>
              </w:rPr>
            </w:pPr>
            <w:r>
              <w:rPr>
                <w:noProof/>
                <w:color w:val="000000" w:themeColor="text1"/>
                <w:sz w:val="20"/>
                <w:lang w:val="fr-BE" w:eastAsia="fr-BE"/>
              </w:rPr>
              <w:t>1.6%</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pPr>
              <w:spacing w:after="0" w:line="240" w:lineRule="auto"/>
              <w:jc w:val="right"/>
              <w:rPr>
                <w:noProof/>
                <w:color w:val="000000" w:themeColor="text1"/>
                <w:sz w:val="20"/>
                <w:lang w:val="fr-BE" w:eastAsia="fr-BE"/>
              </w:rPr>
            </w:pPr>
            <w:r>
              <w:rPr>
                <w:noProof/>
                <w:color w:val="000000" w:themeColor="text1"/>
                <w:sz w:val="20"/>
                <w:lang w:val="fr-BE" w:eastAsia="fr-BE"/>
              </w:rPr>
              <w:t>1.7%</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pPr>
              <w:spacing w:after="0" w:line="240" w:lineRule="auto"/>
              <w:jc w:val="right"/>
              <w:rPr>
                <w:noProof/>
                <w:color w:val="000000" w:themeColor="text1"/>
                <w:sz w:val="20"/>
                <w:lang w:val="fr-BE" w:eastAsia="fr-BE"/>
              </w:rPr>
            </w:pPr>
            <w:r>
              <w:rPr>
                <w:noProof/>
                <w:color w:val="000000" w:themeColor="text1"/>
                <w:sz w:val="20"/>
                <w:lang w:val="fr-BE" w:eastAsia="fr-BE"/>
              </w:rPr>
              <w:t>1.3%</w:t>
            </w:r>
          </w:p>
        </w:tc>
        <w:tc>
          <w:tcPr>
            <w:tcW w:w="515" w:type="pct"/>
            <w:tcBorders>
              <w:top w:val="nil"/>
              <w:left w:val="nil"/>
              <w:bottom w:val="single" w:sz="4" w:space="0" w:color="auto"/>
              <w:right w:val="single" w:sz="4" w:space="0" w:color="auto"/>
            </w:tcBorders>
            <w:shd w:val="clear" w:color="auto" w:fill="FFFFFF" w:themeFill="background1"/>
            <w:noWrap/>
            <w:vAlign w:val="bottom"/>
            <w:hideMark/>
          </w:tcPr>
          <w:p>
            <w:pPr>
              <w:spacing w:after="0" w:line="240" w:lineRule="auto"/>
              <w:jc w:val="right"/>
              <w:rPr>
                <w:noProof/>
                <w:color w:val="000000" w:themeColor="text1"/>
                <w:sz w:val="20"/>
                <w:lang w:val="fr-BE" w:eastAsia="fr-BE"/>
              </w:rPr>
            </w:pPr>
            <w:r>
              <w:rPr>
                <w:noProof/>
                <w:color w:val="000000" w:themeColor="text1"/>
                <w:sz w:val="20"/>
                <w:lang w:val="fr-BE" w:eastAsia="fr-BE"/>
              </w:rPr>
              <w:t>2.1%</w:t>
            </w:r>
          </w:p>
        </w:tc>
      </w:tr>
      <w:tr>
        <w:trPr>
          <w:trHeight w:val="465"/>
        </w:trPr>
        <w:tc>
          <w:tcPr>
            <w:tcW w:w="1904" w:type="pct"/>
            <w:tcBorders>
              <w:top w:val="nil"/>
              <w:left w:val="single" w:sz="4" w:space="0" w:color="auto"/>
              <w:bottom w:val="single" w:sz="4" w:space="0" w:color="auto"/>
              <w:right w:val="single" w:sz="4" w:space="0" w:color="auto"/>
            </w:tcBorders>
            <w:shd w:val="clear" w:color="auto" w:fill="FFFFFF" w:themeFill="background1"/>
            <w:vAlign w:val="bottom"/>
            <w:hideMark/>
          </w:tcPr>
          <w:p>
            <w:pPr>
              <w:spacing w:after="0" w:line="240" w:lineRule="auto"/>
              <w:jc w:val="left"/>
              <w:rPr>
                <w:noProof/>
                <w:color w:val="000000" w:themeColor="text1"/>
                <w:sz w:val="20"/>
                <w:lang w:eastAsia="fr-BE"/>
              </w:rPr>
            </w:pPr>
            <w:r>
              <w:rPr>
                <w:noProof/>
                <w:color w:val="000000" w:themeColor="text1"/>
                <w:sz w:val="20"/>
                <w:lang w:eastAsia="fr-BE"/>
              </w:rPr>
              <w:t>Share of total transport costs in households' expenditures (in %)</w:t>
            </w:r>
          </w:p>
        </w:tc>
        <w:tc>
          <w:tcPr>
            <w:tcW w:w="517" w:type="pct"/>
            <w:tcBorders>
              <w:top w:val="nil"/>
              <w:left w:val="nil"/>
              <w:bottom w:val="single" w:sz="4" w:space="0" w:color="auto"/>
              <w:right w:val="single" w:sz="4" w:space="0" w:color="auto"/>
            </w:tcBorders>
            <w:shd w:val="clear" w:color="auto" w:fill="FFFFFF" w:themeFill="background1"/>
            <w:noWrap/>
            <w:vAlign w:val="bottom"/>
            <w:hideMark/>
          </w:tcPr>
          <w:p>
            <w:pPr>
              <w:spacing w:after="0" w:line="240" w:lineRule="auto"/>
              <w:jc w:val="right"/>
              <w:rPr>
                <w:noProof/>
                <w:color w:val="000000" w:themeColor="text1"/>
                <w:sz w:val="20"/>
                <w:lang w:val="fr-BE" w:eastAsia="fr-BE"/>
              </w:rPr>
            </w:pPr>
            <w:r>
              <w:rPr>
                <w:noProof/>
                <w:color w:val="000000" w:themeColor="text1"/>
                <w:sz w:val="20"/>
                <w:lang w:val="fr-BE" w:eastAsia="fr-BE"/>
              </w:rPr>
              <w:t>12.8%</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pPr>
              <w:spacing w:after="0" w:line="240" w:lineRule="auto"/>
              <w:jc w:val="right"/>
              <w:rPr>
                <w:noProof/>
                <w:color w:val="000000" w:themeColor="text1"/>
                <w:sz w:val="20"/>
                <w:lang w:val="fr-BE" w:eastAsia="fr-BE"/>
              </w:rPr>
            </w:pPr>
            <w:r>
              <w:rPr>
                <w:noProof/>
                <w:color w:val="000000" w:themeColor="text1"/>
                <w:sz w:val="20"/>
                <w:lang w:val="fr-BE" w:eastAsia="fr-BE"/>
              </w:rPr>
              <w:t>13.0%</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pPr>
              <w:spacing w:after="0" w:line="240" w:lineRule="auto"/>
              <w:jc w:val="right"/>
              <w:rPr>
                <w:noProof/>
                <w:color w:val="000000" w:themeColor="text1"/>
                <w:sz w:val="20"/>
                <w:lang w:val="fr-BE" w:eastAsia="fr-BE"/>
              </w:rPr>
            </w:pPr>
            <w:r>
              <w:rPr>
                <w:noProof/>
                <w:color w:val="000000" w:themeColor="text1"/>
                <w:sz w:val="20"/>
                <w:lang w:val="fr-BE" w:eastAsia="fr-BE"/>
              </w:rPr>
              <w:t>13.0%</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pPr>
              <w:spacing w:after="0" w:line="240" w:lineRule="auto"/>
              <w:jc w:val="right"/>
              <w:rPr>
                <w:noProof/>
                <w:color w:val="000000" w:themeColor="text1"/>
                <w:sz w:val="20"/>
                <w:lang w:val="fr-BE" w:eastAsia="fr-BE"/>
              </w:rPr>
            </w:pPr>
            <w:r>
              <w:rPr>
                <w:noProof/>
                <w:color w:val="000000" w:themeColor="text1"/>
                <w:sz w:val="20"/>
                <w:lang w:val="fr-BE" w:eastAsia="fr-BE"/>
              </w:rPr>
              <w:t>13.0%</w:t>
            </w:r>
          </w:p>
        </w:tc>
        <w:tc>
          <w:tcPr>
            <w:tcW w:w="516" w:type="pct"/>
            <w:tcBorders>
              <w:top w:val="nil"/>
              <w:left w:val="nil"/>
              <w:bottom w:val="single" w:sz="4" w:space="0" w:color="auto"/>
              <w:right w:val="single" w:sz="4" w:space="0" w:color="auto"/>
            </w:tcBorders>
            <w:shd w:val="clear" w:color="auto" w:fill="FFFFFF" w:themeFill="background1"/>
            <w:noWrap/>
            <w:vAlign w:val="bottom"/>
            <w:hideMark/>
          </w:tcPr>
          <w:p>
            <w:pPr>
              <w:spacing w:after="0" w:line="240" w:lineRule="auto"/>
              <w:jc w:val="right"/>
              <w:rPr>
                <w:noProof/>
                <w:color w:val="000000" w:themeColor="text1"/>
                <w:sz w:val="20"/>
                <w:lang w:val="fr-BE" w:eastAsia="fr-BE"/>
              </w:rPr>
            </w:pPr>
            <w:r>
              <w:rPr>
                <w:noProof/>
                <w:color w:val="000000" w:themeColor="text1"/>
                <w:sz w:val="20"/>
                <w:lang w:val="fr-BE" w:eastAsia="fr-BE"/>
              </w:rPr>
              <w:t>13.0%</w:t>
            </w:r>
          </w:p>
        </w:tc>
        <w:tc>
          <w:tcPr>
            <w:tcW w:w="515" w:type="pct"/>
            <w:tcBorders>
              <w:top w:val="nil"/>
              <w:left w:val="nil"/>
              <w:bottom w:val="single" w:sz="4" w:space="0" w:color="auto"/>
              <w:right w:val="single" w:sz="4" w:space="0" w:color="auto"/>
            </w:tcBorders>
            <w:shd w:val="clear" w:color="auto" w:fill="FFFFFF" w:themeFill="background1"/>
            <w:noWrap/>
            <w:vAlign w:val="bottom"/>
            <w:hideMark/>
          </w:tcPr>
          <w:p>
            <w:pPr>
              <w:spacing w:after="0" w:line="240" w:lineRule="auto"/>
              <w:jc w:val="right"/>
              <w:rPr>
                <w:noProof/>
                <w:color w:val="000000" w:themeColor="text1"/>
                <w:sz w:val="20"/>
                <w:lang w:val="fr-BE" w:eastAsia="fr-BE"/>
              </w:rPr>
            </w:pPr>
            <w:r>
              <w:rPr>
                <w:noProof/>
                <w:color w:val="000000" w:themeColor="text1"/>
                <w:sz w:val="20"/>
                <w:lang w:val="fr-BE" w:eastAsia="fr-BE"/>
              </w:rPr>
              <w:t>13.1%</w:t>
            </w:r>
          </w:p>
        </w:tc>
      </w:tr>
    </w:tbl>
    <w:p>
      <w:pPr>
        <w:keepNext/>
        <w:keepLines/>
        <w:autoSpaceDE w:val="0"/>
        <w:autoSpaceDN w:val="0"/>
        <w:adjustRightInd w:val="0"/>
        <w:rPr>
          <w:i/>
          <w:noProof/>
          <w:sz w:val="16"/>
          <w:szCs w:val="16"/>
          <w:lang w:val="en-US"/>
        </w:rPr>
      </w:pPr>
      <w:r>
        <w:rPr>
          <w:i/>
          <w:iCs/>
          <w:noProof/>
          <w:sz w:val="16"/>
          <w:szCs w:val="16"/>
          <w:lang w:val="en-US"/>
        </w:rPr>
        <w:t>Source: PRIMES-TREMOVE transport model (E3Modelling)</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As possible negative outcome of the transition, households in the lower income deciles might have to compensate higher expenditures related to transport by reducing consumption of other goods. Several policies are possible to mitigate negative distributional effects. Energy taxation plays an important role in how the burden is shared among citizens. Progressive tax rates would have the effect of reducing the costs for vulnerable consumers. Furthermore, a tax shift from labour to carbon could take the form of targeted labour tax cuts for low-income earners’.</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The impact assessment accompanying the Commission Communication “Stepping up Europe’s 2030 climate ambition - Investing in a climate-neutral future for the benefit of our people” has shown that the increased climate ambition would have limited impacts on the employment in the transport sector. The impacts of transport-related measures will depend on the design of the specific measures that will be subject to future impact assessments.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Employment impacts are assessed under a number of scenarios and variants. Given the critical role of economic interactions with the rest of the world, two levels of climate ambition are considered for countries or blocks outside the EU: (1) implementation of Nationally Determined Contributions under the Paris Agreement (“fragmented action”); and (2) mitigation efforts that are compatible with the achievement of the 1.5°C target (“global action”). In addition, variants are assessed regarding the way carbon revenues are used by governments. JRC-GEM-E3 model was used to assess the impacts at sectoral level. For this purpose, exogenous assumptions from the MIX scenario were used in the JRC-GEM-E3 model.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In the absence of complementary policies (recycling of carbon revenues to lower labour taxes), employment in the air transport sector is projected to be around 3.7% below the Baseline scenario in 2030 under the 55% “fragmented action” scenario. The impacts on land and waterborne transport would be more limited (0.5% decrease for land transport and 0.3% reduction for waterborne transport relative to the Baseline scenario in 2030). Complementary policies could nevertheless avoid negative impacts on employment altogether (i.e. for land transport) or generate a small positive impact relative to the Baseline (0.5% increase in the air transport employment in 2030 and 0.2% in waterborne transport).</w:t>
      </w:r>
    </w:p>
    <w:p>
      <w:pPr>
        <w:pStyle w:val="Caption"/>
        <w:keepNext/>
        <w:keepLines/>
        <w:tabs>
          <w:tab w:val="left" w:pos="0"/>
        </w:tabs>
        <w:spacing w:after="0"/>
        <w:rPr>
          <w:i w:val="0"/>
          <w:noProof/>
        </w:rPr>
      </w:pPr>
      <w:bookmarkStart w:id="5565" w:name="_Toc53405308"/>
      <w:bookmarkStart w:id="5566" w:name="_Toc53406098"/>
      <w:bookmarkStart w:id="5567" w:name="_Toc53407464"/>
      <w:bookmarkStart w:id="5568" w:name="_Toc53410911"/>
      <w:bookmarkStart w:id="5569" w:name="_Toc53411974"/>
      <w:bookmarkStart w:id="5570" w:name="_Toc53417221"/>
      <w:bookmarkStart w:id="5571" w:name="_Toc53417573"/>
      <w:bookmarkStart w:id="5572" w:name="_Toc53419606"/>
      <w:bookmarkStart w:id="5573" w:name="_Toc53434911"/>
      <w:bookmarkStart w:id="5574" w:name="_Toc53437051"/>
      <w:bookmarkStart w:id="5575" w:name="_Toc57291710"/>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66</w:t>
      </w:r>
      <w:r>
        <w:rPr>
          <w:noProof/>
        </w:rPr>
        <w:fldChar w:fldCharType="end"/>
      </w:r>
      <w:r>
        <w:rPr>
          <w:i w:val="0"/>
          <w:noProof/>
        </w:rPr>
        <w:t>: Impacts of at least 55% GHG emissions reduction on transport sector employment (% change relative to the Baseline scenario)</w:t>
      </w:r>
      <w:bookmarkEnd w:id="5565"/>
      <w:bookmarkEnd w:id="5566"/>
      <w:bookmarkEnd w:id="5567"/>
      <w:bookmarkEnd w:id="5568"/>
      <w:bookmarkEnd w:id="5569"/>
      <w:bookmarkEnd w:id="5570"/>
      <w:bookmarkEnd w:id="5571"/>
      <w:bookmarkEnd w:id="5572"/>
      <w:bookmarkEnd w:id="5573"/>
      <w:bookmarkEnd w:id="5574"/>
      <w:bookmarkEnd w:id="5575"/>
    </w:p>
    <w:tbl>
      <w:tblPr>
        <w:tblStyle w:val="TableGrid"/>
        <w:tblW w:w="5000" w:type="pct"/>
        <w:tblInd w:w="0" w:type="dxa"/>
        <w:tblLook w:val="04A0" w:firstRow="1" w:lastRow="0" w:firstColumn="1" w:lastColumn="0" w:noHBand="0" w:noVBand="1"/>
      </w:tblPr>
      <w:tblGrid>
        <w:gridCol w:w="3531"/>
        <w:gridCol w:w="2665"/>
        <w:gridCol w:w="2524"/>
      </w:tblGrid>
      <w:tr>
        <w:trPr>
          <w:tblHeader/>
        </w:trPr>
        <w:tc>
          <w:tcPr>
            <w:tcW w:w="5000" w:type="pct"/>
            <w:gridSpan w:val="3"/>
            <w:vAlign w:val="center"/>
          </w:tcPr>
          <w:p>
            <w:pPr>
              <w:spacing w:after="0" w:line="288" w:lineRule="auto"/>
              <w:jc w:val="left"/>
              <w:rPr>
                <w:noProof/>
                <w:sz w:val="20"/>
              </w:rPr>
            </w:pPr>
            <w:r>
              <w:rPr>
                <w:noProof/>
                <w:color w:val="000000"/>
                <w:sz w:val="20"/>
              </w:rPr>
              <w:t>Employment relative to the Baseline scenario in 2030 with diversified policy setup</w:t>
            </w:r>
          </w:p>
        </w:tc>
      </w:tr>
      <w:tr>
        <w:tc>
          <w:tcPr>
            <w:tcW w:w="2025" w:type="pct"/>
            <w:vAlign w:val="center"/>
          </w:tcPr>
          <w:p>
            <w:pPr>
              <w:spacing w:after="0" w:line="288" w:lineRule="auto"/>
              <w:jc w:val="left"/>
              <w:rPr>
                <w:noProof/>
                <w:sz w:val="20"/>
              </w:rPr>
            </w:pPr>
          </w:p>
        </w:tc>
        <w:tc>
          <w:tcPr>
            <w:tcW w:w="1528" w:type="pct"/>
            <w:vAlign w:val="center"/>
          </w:tcPr>
          <w:p>
            <w:pPr>
              <w:spacing w:after="0" w:line="288" w:lineRule="auto"/>
              <w:jc w:val="center"/>
              <w:rPr>
                <w:noProof/>
                <w:sz w:val="20"/>
              </w:rPr>
            </w:pPr>
            <w:r>
              <w:rPr>
                <w:noProof/>
                <w:sz w:val="20"/>
              </w:rPr>
              <w:t>Fragmented action</w:t>
            </w:r>
          </w:p>
        </w:tc>
        <w:tc>
          <w:tcPr>
            <w:tcW w:w="1447" w:type="pct"/>
            <w:vAlign w:val="center"/>
          </w:tcPr>
          <w:p>
            <w:pPr>
              <w:spacing w:after="0" w:line="288" w:lineRule="auto"/>
              <w:jc w:val="center"/>
              <w:rPr>
                <w:noProof/>
                <w:sz w:val="20"/>
              </w:rPr>
            </w:pPr>
            <w:r>
              <w:rPr>
                <w:noProof/>
                <w:sz w:val="20"/>
              </w:rPr>
              <w:t>Global action</w:t>
            </w:r>
          </w:p>
        </w:tc>
      </w:tr>
      <w:tr>
        <w:tc>
          <w:tcPr>
            <w:tcW w:w="2025" w:type="pct"/>
            <w:vAlign w:val="center"/>
          </w:tcPr>
          <w:p>
            <w:pPr>
              <w:spacing w:after="0" w:line="288" w:lineRule="auto"/>
              <w:jc w:val="left"/>
              <w:rPr>
                <w:noProof/>
                <w:sz w:val="20"/>
              </w:rPr>
            </w:pPr>
            <w:r>
              <w:rPr>
                <w:noProof/>
                <w:sz w:val="20"/>
              </w:rPr>
              <w:t xml:space="preserve">Air transport </w:t>
            </w:r>
          </w:p>
        </w:tc>
        <w:tc>
          <w:tcPr>
            <w:tcW w:w="1528" w:type="pct"/>
          </w:tcPr>
          <w:p>
            <w:pPr>
              <w:spacing w:after="0" w:line="288" w:lineRule="auto"/>
              <w:jc w:val="center"/>
              <w:rPr>
                <w:noProof/>
                <w:color w:val="000000"/>
                <w:sz w:val="20"/>
              </w:rPr>
            </w:pPr>
            <w:r>
              <w:rPr>
                <w:noProof/>
                <w:sz w:val="20"/>
              </w:rPr>
              <w:t>-3.7 | 0.5</w:t>
            </w:r>
          </w:p>
        </w:tc>
        <w:tc>
          <w:tcPr>
            <w:tcW w:w="1447" w:type="pct"/>
          </w:tcPr>
          <w:p>
            <w:pPr>
              <w:spacing w:after="0" w:line="288" w:lineRule="auto"/>
              <w:jc w:val="center"/>
              <w:rPr>
                <w:noProof/>
                <w:color w:val="000000"/>
                <w:sz w:val="20"/>
              </w:rPr>
            </w:pPr>
            <w:r>
              <w:rPr>
                <w:noProof/>
                <w:sz w:val="20"/>
              </w:rPr>
              <w:t>-3.8 | 1.5</w:t>
            </w:r>
          </w:p>
        </w:tc>
      </w:tr>
      <w:tr>
        <w:tc>
          <w:tcPr>
            <w:tcW w:w="2025" w:type="pct"/>
            <w:vAlign w:val="center"/>
          </w:tcPr>
          <w:p>
            <w:pPr>
              <w:spacing w:after="0" w:line="288" w:lineRule="auto"/>
              <w:jc w:val="left"/>
              <w:rPr>
                <w:noProof/>
                <w:sz w:val="20"/>
              </w:rPr>
            </w:pPr>
            <w:r>
              <w:rPr>
                <w:noProof/>
                <w:sz w:val="20"/>
              </w:rPr>
              <w:t xml:space="preserve">Land transport </w:t>
            </w:r>
          </w:p>
        </w:tc>
        <w:tc>
          <w:tcPr>
            <w:tcW w:w="1528" w:type="pct"/>
          </w:tcPr>
          <w:p>
            <w:pPr>
              <w:spacing w:after="0" w:line="288" w:lineRule="auto"/>
              <w:jc w:val="center"/>
              <w:rPr>
                <w:noProof/>
                <w:color w:val="000000"/>
                <w:sz w:val="20"/>
              </w:rPr>
            </w:pPr>
            <w:r>
              <w:rPr>
                <w:noProof/>
                <w:sz w:val="20"/>
              </w:rPr>
              <w:t>-0.5 | 0.0</w:t>
            </w:r>
          </w:p>
        </w:tc>
        <w:tc>
          <w:tcPr>
            <w:tcW w:w="1447" w:type="pct"/>
          </w:tcPr>
          <w:p>
            <w:pPr>
              <w:spacing w:after="0" w:line="288" w:lineRule="auto"/>
              <w:jc w:val="center"/>
              <w:rPr>
                <w:noProof/>
                <w:color w:val="000000"/>
                <w:sz w:val="20"/>
              </w:rPr>
            </w:pPr>
            <w:r>
              <w:rPr>
                <w:noProof/>
                <w:sz w:val="20"/>
              </w:rPr>
              <w:t>-0.7 | 0.1</w:t>
            </w:r>
          </w:p>
        </w:tc>
      </w:tr>
      <w:tr>
        <w:tc>
          <w:tcPr>
            <w:tcW w:w="2025" w:type="pct"/>
            <w:vAlign w:val="center"/>
          </w:tcPr>
          <w:p>
            <w:pPr>
              <w:spacing w:after="0" w:line="288" w:lineRule="auto"/>
              <w:jc w:val="left"/>
              <w:rPr>
                <w:noProof/>
                <w:sz w:val="20"/>
              </w:rPr>
            </w:pPr>
            <w:r>
              <w:rPr>
                <w:noProof/>
                <w:sz w:val="20"/>
              </w:rPr>
              <w:t xml:space="preserve">Waterborne transport </w:t>
            </w:r>
          </w:p>
        </w:tc>
        <w:tc>
          <w:tcPr>
            <w:tcW w:w="1528" w:type="pct"/>
          </w:tcPr>
          <w:p>
            <w:pPr>
              <w:spacing w:after="0" w:line="288" w:lineRule="auto"/>
              <w:jc w:val="center"/>
              <w:rPr>
                <w:noProof/>
                <w:color w:val="000000"/>
                <w:sz w:val="20"/>
              </w:rPr>
            </w:pPr>
            <w:r>
              <w:rPr>
                <w:noProof/>
                <w:sz w:val="20"/>
              </w:rPr>
              <w:t>-0.3 | 0.2</w:t>
            </w:r>
          </w:p>
        </w:tc>
        <w:tc>
          <w:tcPr>
            <w:tcW w:w="1447" w:type="pct"/>
          </w:tcPr>
          <w:p>
            <w:pPr>
              <w:spacing w:after="0" w:line="288" w:lineRule="auto"/>
              <w:jc w:val="center"/>
              <w:rPr>
                <w:noProof/>
                <w:color w:val="000000"/>
                <w:sz w:val="20"/>
              </w:rPr>
            </w:pPr>
            <w:r>
              <w:rPr>
                <w:noProof/>
                <w:sz w:val="20"/>
              </w:rPr>
              <w:t>-4.1 | -2.9</w:t>
            </w:r>
          </w:p>
        </w:tc>
      </w:tr>
    </w:tbl>
    <w:p>
      <w:pPr>
        <w:keepNext/>
        <w:keepLines/>
        <w:autoSpaceDE w:val="0"/>
        <w:autoSpaceDN w:val="0"/>
        <w:adjustRightInd w:val="0"/>
        <w:rPr>
          <w:i/>
          <w:noProof/>
          <w:sz w:val="16"/>
          <w:szCs w:val="16"/>
          <w:lang w:val="en-US"/>
        </w:rPr>
      </w:pPr>
      <w:r>
        <w:rPr>
          <w:i/>
          <w:iCs/>
          <w:noProof/>
          <w:sz w:val="16"/>
          <w:szCs w:val="16"/>
          <w:lang w:val="en-US"/>
        </w:rPr>
        <w:t>Source: JRC-GEM-E3 model</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expected significant shifts in the sectoral composition of employment and the associated job changes that workers will have to go through</w:t>
      </w:r>
      <w:r>
        <w:rPr>
          <w:noProof/>
          <w:vertAlign w:val="superscript"/>
        </w:rPr>
        <w:footnoteReference w:id="634"/>
      </w:r>
      <w:r>
        <w:rPr>
          <w:noProof/>
        </w:rPr>
        <w:t xml:space="preserve"> over the next decade under higher climate ambition would generate challenges for the labour market and the labour force. The nature of the challenges relate to the ability of workers to move from a job in a given sector and occupation to another sector and potentially another occupation requiring different skills. They also relate to the ability of the labour market to match labour demand and labour supply, and the ability of the education and vocational training systems to train or re-train workers, which would call for significant investment in human capital. Regional shifts in employment, e.g. with employment creation and employment destruction potentially occurring in different locations, create additional challenges when labour mobility across regions and/or countries is constrained.</w:t>
      </w:r>
    </w:p>
    <w:p>
      <w:pPr>
        <w:pStyle w:val="Heading3"/>
        <w:rPr>
          <w:noProof/>
        </w:rPr>
      </w:pPr>
      <w:bookmarkStart w:id="5576" w:name="_Toc57291557"/>
      <w:r>
        <w:rPr>
          <w:noProof/>
        </w:rPr>
        <w:t>Sensitivity analysis on the COVID-19 pandemic</w:t>
      </w:r>
      <w:bookmarkEnd w:id="5576"/>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As explained in section 2.3, the impact of the COVID-19 pandemic is uncertain. For this analysis an evaluation was made how reduced economic growth and moderate additional structural change may impact the transport sector. While the short-term projections point to a sharp drop in GDP in 2020 followed by significant recovery in 2021, the pandemics is projected in this setting to result in a permanent loss of GDP of around 2.3% by 2030 compared to the pre-COVID projections, as explained in section 2.3.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potential impacts of the COVID-19 pandemic on the EU-27 transport activity and CO</w:t>
      </w:r>
      <w:r>
        <w:rPr>
          <w:noProof/>
          <w:vertAlign w:val="subscript"/>
        </w:rPr>
        <w:t>2</w:t>
      </w:r>
      <w:r>
        <w:rPr>
          <w:noProof/>
        </w:rPr>
        <w:t xml:space="preserve"> emissions by 2030 and 2050 with existing policies have been explained in section 2.3. They showed that despite the sharp decline in CO</w:t>
      </w:r>
      <w:r>
        <w:rPr>
          <w:noProof/>
          <w:vertAlign w:val="subscript"/>
        </w:rPr>
        <w:t>2</w:t>
      </w:r>
      <w:r>
        <w:rPr>
          <w:noProof/>
        </w:rPr>
        <w:t xml:space="preserve"> emissions during the COVID-19 pandemic, existing policies fall well short in delivering the transport contribution to CO</w:t>
      </w:r>
      <w:r>
        <w:rPr>
          <w:noProof/>
          <w:vertAlign w:val="subscript"/>
        </w:rPr>
        <w:t>2</w:t>
      </w:r>
      <w:r>
        <w:rPr>
          <w:noProof/>
        </w:rPr>
        <w:t xml:space="preserve"> reductions under the European Green Deal and the 2030 Climate Target Plan. In the COVID-Baseline emissions from transport excluding international maritime would only be 2.2% lower by 2030 and 3.4% lower by 2050 relative to the pre-COVID Baseline. </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 xml:space="preserve">As explained in section 5.1 a variant of the MIX scenario has been also developed, that includes reduced economic growth assumptions due to the COVID-19 pandemic and corresponding reduced activity in the EU-27 transport sector. The COVID-MIX variant achieves a reduction of 55% in the economy-wide GHG emissions and is similar to the MIX scenario in terms of policy setup, including for the transport sector. </w:t>
      </w:r>
    </w:p>
    <w:p>
      <w:pPr>
        <w:pStyle w:val="LegalNumPar"/>
        <w:numPr>
          <w:ilvl w:val="0"/>
          <w:numId w:val="89"/>
        </w:numPr>
        <w:pBdr>
          <w:top w:val="nil"/>
          <w:left w:val="nil"/>
          <w:bottom w:val="nil"/>
          <w:right w:val="nil"/>
          <w:between w:val="nil"/>
          <w:bar w:val="nil"/>
        </w:pBdr>
        <w:tabs>
          <w:tab w:val="left" w:pos="476"/>
        </w:tabs>
        <w:spacing w:line="240" w:lineRule="auto"/>
        <w:rPr>
          <w:noProof/>
          <w:sz w:val="22"/>
        </w:rPr>
      </w:pPr>
      <w:r>
        <w:rPr>
          <w:noProof/>
        </w:rPr>
        <w:t>A comparison of the key indicators in the MIX and COVID-MIX scenarios is provided in the table below. It shows that the lower transport activity relative to the pre-COVID Baseline results in slightly higher reductions in energy use and transport CO</w:t>
      </w:r>
      <w:r>
        <w:rPr>
          <w:noProof/>
          <w:vertAlign w:val="subscript"/>
        </w:rPr>
        <w:t>2</w:t>
      </w:r>
      <w:r>
        <w:rPr>
          <w:noProof/>
        </w:rPr>
        <w:t xml:space="preserve"> emissions in the COVID-MIX variant relative to the MIX scenario. By 2030, however, the change in the share of renewable energy in transport is very limited compared to the MIX </w:t>
      </w:r>
      <w:r>
        <w:rPr>
          <w:noProof/>
          <w:sz w:val="22"/>
        </w:rPr>
        <w:t xml:space="preserve">scenario. This is also the case with respect to the technology mix by transport mode.  </w:t>
      </w:r>
    </w:p>
    <w:p>
      <w:pPr>
        <w:pStyle w:val="Caption"/>
        <w:keepLines/>
        <w:tabs>
          <w:tab w:val="left" w:pos="0"/>
        </w:tabs>
        <w:spacing w:after="0"/>
        <w:rPr>
          <w:b w:val="0"/>
          <w:i w:val="0"/>
          <w:iCs/>
          <w:noProof/>
        </w:rPr>
      </w:pPr>
      <w:bookmarkStart w:id="5577" w:name="_Toc57291711"/>
      <w:r>
        <w:rPr>
          <w:i w:val="0"/>
          <w:noProof/>
        </w:rPr>
        <w:t xml:space="preserve">Figure </w:t>
      </w:r>
      <w:r>
        <w:rPr>
          <w:b w:val="0"/>
          <w:i w:val="0"/>
          <w:iCs/>
          <w:noProof/>
        </w:rPr>
        <w:fldChar w:fldCharType="begin"/>
      </w:r>
      <w:r>
        <w:rPr>
          <w:i w:val="0"/>
          <w:noProof/>
        </w:rPr>
        <w:instrText xml:space="preserve"> SEQ Figure \* ARABIC </w:instrText>
      </w:r>
      <w:r>
        <w:rPr>
          <w:b w:val="0"/>
          <w:i w:val="0"/>
          <w:iCs/>
          <w:noProof/>
        </w:rPr>
        <w:fldChar w:fldCharType="separate"/>
      </w:r>
      <w:r>
        <w:rPr>
          <w:i w:val="0"/>
          <w:noProof/>
        </w:rPr>
        <w:t>67</w:t>
      </w:r>
      <w:r>
        <w:rPr>
          <w:b w:val="0"/>
          <w:i w:val="0"/>
          <w:iCs/>
          <w:noProof/>
        </w:rPr>
        <w:fldChar w:fldCharType="end"/>
      </w:r>
      <w:r>
        <w:rPr>
          <w:i w:val="0"/>
          <w:noProof/>
        </w:rPr>
        <w:t>: Comparison of key indicators in the MIX scenario and COVID-MIX variant</w:t>
      </w:r>
      <w:bookmarkEnd w:id="5577"/>
    </w:p>
    <w:tbl>
      <w:tblPr>
        <w:tblW w:w="5000" w:type="pct"/>
        <w:tblCellMar>
          <w:left w:w="70" w:type="dxa"/>
          <w:right w:w="70" w:type="dxa"/>
        </w:tblCellMar>
        <w:tblLook w:val="04A0" w:firstRow="1" w:lastRow="0" w:firstColumn="1" w:lastColumn="0" w:noHBand="0" w:noVBand="1"/>
      </w:tblPr>
      <w:tblGrid>
        <w:gridCol w:w="5318"/>
        <w:gridCol w:w="1623"/>
        <w:gridCol w:w="1703"/>
      </w:tblGrid>
      <w:tr>
        <w:trPr>
          <w:trHeight w:val="255"/>
        </w:trPr>
        <w:tc>
          <w:tcPr>
            <w:tcW w:w="307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pPr>
              <w:spacing w:after="0" w:line="240" w:lineRule="auto"/>
              <w:jc w:val="center"/>
              <w:rPr>
                <w:b/>
                <w:bCs/>
                <w:noProof/>
                <w:color w:val="000000"/>
                <w:sz w:val="20"/>
                <w:lang w:val="en-IE" w:eastAsia="fr-BE"/>
              </w:rPr>
            </w:pPr>
            <w:r>
              <w:rPr>
                <w:b/>
                <w:bCs/>
                <w:noProof/>
                <w:color w:val="000000"/>
                <w:sz w:val="20"/>
                <w:lang w:eastAsia="fr-BE"/>
              </w:rPr>
              <w:t> </w:t>
            </w:r>
          </w:p>
        </w:tc>
        <w:tc>
          <w:tcPr>
            <w:tcW w:w="1924" w:type="pct"/>
            <w:gridSpan w:val="2"/>
            <w:tcBorders>
              <w:top w:val="single" w:sz="4" w:space="0" w:color="auto"/>
              <w:left w:val="nil"/>
              <w:bottom w:val="single" w:sz="4" w:space="0" w:color="auto"/>
              <w:right w:val="single" w:sz="4" w:space="0" w:color="auto"/>
            </w:tcBorders>
            <w:shd w:val="clear" w:color="000000" w:fill="FFFFFF"/>
            <w:vAlign w:val="center"/>
            <w:hideMark/>
          </w:tcPr>
          <w:p>
            <w:pPr>
              <w:spacing w:after="0" w:line="240" w:lineRule="auto"/>
              <w:jc w:val="center"/>
              <w:rPr>
                <w:bCs/>
                <w:noProof/>
                <w:color w:val="000000"/>
                <w:sz w:val="20"/>
                <w:lang w:val="fr-BE" w:eastAsia="fr-BE"/>
              </w:rPr>
            </w:pPr>
            <w:r>
              <w:rPr>
                <w:bCs/>
                <w:noProof/>
                <w:color w:val="000000"/>
                <w:sz w:val="20"/>
                <w:lang w:eastAsia="fr-BE"/>
              </w:rPr>
              <w:t>2030</w:t>
            </w:r>
          </w:p>
        </w:tc>
      </w:tr>
      <w:tr>
        <w:trPr>
          <w:trHeight w:val="255"/>
        </w:trPr>
        <w:tc>
          <w:tcPr>
            <w:tcW w:w="3076" w:type="pct"/>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jc w:val="left"/>
              <w:rPr>
                <w:b/>
                <w:bCs/>
                <w:noProof/>
                <w:color w:val="000000"/>
                <w:sz w:val="20"/>
                <w:lang w:val="fr-BE" w:eastAsia="fr-BE"/>
              </w:rPr>
            </w:pPr>
          </w:p>
        </w:tc>
        <w:tc>
          <w:tcPr>
            <w:tcW w:w="939" w:type="pct"/>
            <w:tcBorders>
              <w:top w:val="nil"/>
              <w:left w:val="nil"/>
              <w:bottom w:val="single" w:sz="4" w:space="0" w:color="auto"/>
              <w:right w:val="single" w:sz="4" w:space="0" w:color="auto"/>
            </w:tcBorders>
            <w:shd w:val="clear" w:color="000000" w:fill="FFFFFF"/>
            <w:vAlign w:val="center"/>
            <w:hideMark/>
          </w:tcPr>
          <w:p>
            <w:pPr>
              <w:spacing w:after="0" w:line="240" w:lineRule="auto"/>
              <w:jc w:val="center"/>
              <w:rPr>
                <w:bCs/>
                <w:noProof/>
                <w:color w:val="000000"/>
                <w:sz w:val="20"/>
                <w:lang w:val="fr-BE" w:eastAsia="fr-BE"/>
              </w:rPr>
            </w:pPr>
            <w:r>
              <w:rPr>
                <w:bCs/>
                <w:noProof/>
                <w:color w:val="000000"/>
                <w:sz w:val="20"/>
                <w:lang w:eastAsia="fr-BE"/>
              </w:rPr>
              <w:t>MIX</w:t>
            </w:r>
          </w:p>
        </w:tc>
        <w:tc>
          <w:tcPr>
            <w:tcW w:w="985" w:type="pct"/>
            <w:tcBorders>
              <w:top w:val="nil"/>
              <w:left w:val="nil"/>
              <w:bottom w:val="single" w:sz="4" w:space="0" w:color="auto"/>
              <w:right w:val="single" w:sz="4" w:space="0" w:color="auto"/>
            </w:tcBorders>
            <w:shd w:val="clear" w:color="000000" w:fill="FFFFFF"/>
            <w:vAlign w:val="center"/>
            <w:hideMark/>
          </w:tcPr>
          <w:p>
            <w:pPr>
              <w:spacing w:after="0" w:line="240" w:lineRule="auto"/>
              <w:jc w:val="center"/>
              <w:rPr>
                <w:bCs/>
                <w:noProof/>
                <w:color w:val="000000"/>
                <w:sz w:val="20"/>
                <w:lang w:val="fr-BE" w:eastAsia="fr-BE"/>
              </w:rPr>
            </w:pPr>
            <w:r>
              <w:rPr>
                <w:bCs/>
                <w:noProof/>
                <w:color w:val="000000"/>
                <w:sz w:val="20"/>
                <w:lang w:eastAsia="fr-BE"/>
              </w:rPr>
              <w:t>COVID-MIX</w:t>
            </w:r>
          </w:p>
        </w:tc>
      </w:tr>
      <w:tr>
        <w:trPr>
          <w:trHeight w:val="765"/>
        </w:trPr>
        <w:tc>
          <w:tcPr>
            <w:tcW w:w="3076" w:type="pct"/>
            <w:tcBorders>
              <w:top w:val="nil"/>
              <w:left w:val="single" w:sz="4" w:space="0" w:color="auto"/>
              <w:bottom w:val="single" w:sz="4" w:space="0" w:color="auto"/>
              <w:right w:val="single" w:sz="4" w:space="0" w:color="auto"/>
            </w:tcBorders>
            <w:shd w:val="clear" w:color="000000" w:fill="FFFFFF"/>
            <w:vAlign w:val="center"/>
            <w:hideMark/>
          </w:tcPr>
          <w:p>
            <w:pPr>
              <w:spacing w:after="0" w:line="240" w:lineRule="auto"/>
              <w:jc w:val="left"/>
              <w:rPr>
                <w:noProof/>
                <w:sz w:val="20"/>
                <w:lang w:val="en-IE" w:eastAsia="fr-BE"/>
              </w:rPr>
            </w:pPr>
            <w:r>
              <w:rPr>
                <w:noProof/>
                <w:sz w:val="20"/>
                <w:lang w:val="en-IE" w:eastAsia="fr-BE"/>
              </w:rPr>
              <w:t>CO</w:t>
            </w:r>
            <w:r>
              <w:rPr>
                <w:noProof/>
                <w:sz w:val="20"/>
                <w:vertAlign w:val="subscript"/>
                <w:lang w:val="en-IE" w:eastAsia="fr-BE"/>
              </w:rPr>
              <w:t>2</w:t>
            </w:r>
            <w:r>
              <w:rPr>
                <w:noProof/>
                <w:sz w:val="20"/>
                <w:lang w:val="en-IE" w:eastAsia="fr-BE"/>
              </w:rPr>
              <w:t xml:space="preserve"> emissions reductions from transport (excluding international maritime) compared to 2015 (%)</w:t>
            </w:r>
          </w:p>
        </w:tc>
        <w:tc>
          <w:tcPr>
            <w:tcW w:w="939" w:type="pct"/>
            <w:tcBorders>
              <w:top w:val="nil"/>
              <w:left w:val="nil"/>
              <w:bottom w:val="single" w:sz="4" w:space="0" w:color="auto"/>
              <w:right w:val="single" w:sz="4" w:space="0" w:color="auto"/>
            </w:tcBorders>
            <w:shd w:val="clear" w:color="000000" w:fill="FFFFFF"/>
            <w:vAlign w:val="center"/>
            <w:hideMark/>
          </w:tcPr>
          <w:p>
            <w:pPr>
              <w:spacing w:after="0" w:line="240" w:lineRule="auto"/>
              <w:jc w:val="center"/>
              <w:rPr>
                <w:noProof/>
                <w:color w:val="000000"/>
                <w:sz w:val="20"/>
                <w:lang w:val="fr-BE" w:eastAsia="fr-BE"/>
              </w:rPr>
            </w:pPr>
            <w:r>
              <w:rPr>
                <w:noProof/>
                <w:color w:val="000000"/>
                <w:sz w:val="20"/>
                <w:lang w:eastAsia="fr-BE"/>
              </w:rPr>
              <w:t>-14%</w:t>
            </w:r>
          </w:p>
        </w:tc>
        <w:tc>
          <w:tcPr>
            <w:tcW w:w="985" w:type="pct"/>
            <w:tcBorders>
              <w:top w:val="nil"/>
              <w:left w:val="nil"/>
              <w:bottom w:val="single" w:sz="4" w:space="0" w:color="auto"/>
              <w:right w:val="single" w:sz="4" w:space="0" w:color="auto"/>
            </w:tcBorders>
            <w:shd w:val="clear" w:color="000000" w:fill="FFFFFF"/>
            <w:vAlign w:val="center"/>
            <w:hideMark/>
          </w:tcPr>
          <w:p>
            <w:pPr>
              <w:spacing w:after="0" w:line="240" w:lineRule="auto"/>
              <w:jc w:val="center"/>
              <w:rPr>
                <w:noProof/>
                <w:color w:val="000000"/>
                <w:sz w:val="20"/>
                <w:lang w:val="fr-BE" w:eastAsia="fr-BE"/>
              </w:rPr>
            </w:pPr>
            <w:r>
              <w:rPr>
                <w:noProof/>
                <w:color w:val="000000"/>
                <w:sz w:val="20"/>
                <w:lang w:eastAsia="fr-BE"/>
              </w:rPr>
              <w:t>-16%</w:t>
            </w:r>
          </w:p>
        </w:tc>
      </w:tr>
      <w:tr>
        <w:trPr>
          <w:trHeight w:val="765"/>
        </w:trPr>
        <w:tc>
          <w:tcPr>
            <w:tcW w:w="3076" w:type="pct"/>
            <w:tcBorders>
              <w:top w:val="nil"/>
              <w:left w:val="single" w:sz="4" w:space="0" w:color="auto"/>
              <w:bottom w:val="single" w:sz="4" w:space="0" w:color="auto"/>
              <w:right w:val="single" w:sz="4" w:space="0" w:color="auto"/>
            </w:tcBorders>
            <w:shd w:val="clear" w:color="000000" w:fill="FFFFFF"/>
            <w:vAlign w:val="center"/>
            <w:hideMark/>
          </w:tcPr>
          <w:p>
            <w:pPr>
              <w:spacing w:after="0" w:line="240" w:lineRule="auto"/>
              <w:jc w:val="left"/>
              <w:rPr>
                <w:noProof/>
                <w:sz w:val="20"/>
                <w:lang w:val="en-IE" w:eastAsia="fr-BE"/>
              </w:rPr>
            </w:pPr>
            <w:r>
              <w:rPr>
                <w:noProof/>
                <w:sz w:val="20"/>
                <w:lang w:val="en-IE" w:eastAsia="fr-BE"/>
              </w:rPr>
              <w:t>CO</w:t>
            </w:r>
            <w:r>
              <w:rPr>
                <w:noProof/>
                <w:sz w:val="20"/>
                <w:vertAlign w:val="subscript"/>
                <w:lang w:val="en-IE" w:eastAsia="fr-BE"/>
              </w:rPr>
              <w:t>2</w:t>
            </w:r>
            <w:r>
              <w:rPr>
                <w:noProof/>
                <w:sz w:val="20"/>
                <w:lang w:val="en-IE" w:eastAsia="fr-BE"/>
              </w:rPr>
              <w:t xml:space="preserve"> emissions reductions from transport including intra-EU aviation and maritime compared to 2015 (%)</w:t>
            </w:r>
          </w:p>
        </w:tc>
        <w:tc>
          <w:tcPr>
            <w:tcW w:w="939" w:type="pct"/>
            <w:tcBorders>
              <w:top w:val="nil"/>
              <w:left w:val="nil"/>
              <w:bottom w:val="single" w:sz="4" w:space="0" w:color="auto"/>
              <w:right w:val="single" w:sz="4" w:space="0" w:color="auto"/>
            </w:tcBorders>
            <w:shd w:val="clear" w:color="000000" w:fill="FFFFFF"/>
            <w:vAlign w:val="center"/>
            <w:hideMark/>
          </w:tcPr>
          <w:p>
            <w:pPr>
              <w:spacing w:after="0" w:line="240" w:lineRule="auto"/>
              <w:jc w:val="center"/>
              <w:rPr>
                <w:noProof/>
                <w:color w:val="000000"/>
                <w:sz w:val="20"/>
                <w:lang w:val="fr-BE" w:eastAsia="fr-BE"/>
              </w:rPr>
            </w:pPr>
            <w:r>
              <w:rPr>
                <w:noProof/>
                <w:color w:val="000000"/>
                <w:sz w:val="20"/>
                <w:lang w:val="fr-BE" w:eastAsia="fr-BE"/>
              </w:rPr>
              <w:t>-16%</w:t>
            </w:r>
          </w:p>
        </w:tc>
        <w:tc>
          <w:tcPr>
            <w:tcW w:w="985" w:type="pct"/>
            <w:tcBorders>
              <w:top w:val="nil"/>
              <w:left w:val="nil"/>
              <w:bottom w:val="single" w:sz="4" w:space="0" w:color="auto"/>
              <w:right w:val="single" w:sz="4" w:space="0" w:color="auto"/>
            </w:tcBorders>
            <w:shd w:val="clear" w:color="000000" w:fill="FFFFFF"/>
            <w:vAlign w:val="center"/>
            <w:hideMark/>
          </w:tcPr>
          <w:p>
            <w:pPr>
              <w:spacing w:after="0" w:line="240" w:lineRule="auto"/>
              <w:jc w:val="center"/>
              <w:rPr>
                <w:noProof/>
                <w:color w:val="000000"/>
                <w:sz w:val="20"/>
                <w:lang w:val="fr-BE" w:eastAsia="fr-BE"/>
              </w:rPr>
            </w:pPr>
            <w:r>
              <w:rPr>
                <w:noProof/>
                <w:color w:val="000000"/>
                <w:sz w:val="20"/>
                <w:lang w:val="fr-BE" w:eastAsia="fr-BE"/>
              </w:rPr>
              <w:t>-18%</w:t>
            </w:r>
          </w:p>
        </w:tc>
      </w:tr>
      <w:tr>
        <w:trPr>
          <w:trHeight w:val="255"/>
        </w:trPr>
        <w:tc>
          <w:tcPr>
            <w:tcW w:w="3076" w:type="pct"/>
            <w:tcBorders>
              <w:top w:val="nil"/>
              <w:left w:val="single" w:sz="4" w:space="0" w:color="auto"/>
              <w:bottom w:val="single" w:sz="4" w:space="0" w:color="auto"/>
              <w:right w:val="single" w:sz="4" w:space="0" w:color="auto"/>
            </w:tcBorders>
            <w:shd w:val="clear" w:color="000000" w:fill="FFFFFF"/>
            <w:vAlign w:val="center"/>
            <w:hideMark/>
          </w:tcPr>
          <w:p>
            <w:pPr>
              <w:spacing w:before="60" w:after="60" w:line="240" w:lineRule="auto"/>
              <w:jc w:val="left"/>
              <w:rPr>
                <w:noProof/>
                <w:color w:val="000000"/>
                <w:sz w:val="20"/>
                <w:lang w:val="fr-BE" w:eastAsia="fr-BE"/>
              </w:rPr>
            </w:pPr>
            <w:r>
              <w:rPr>
                <w:noProof/>
                <w:color w:val="000000"/>
                <w:sz w:val="20"/>
                <w:lang w:eastAsia="fr-BE"/>
              </w:rPr>
              <w:t>RES transport share (%)</w:t>
            </w:r>
          </w:p>
        </w:tc>
        <w:tc>
          <w:tcPr>
            <w:tcW w:w="939" w:type="pct"/>
            <w:tcBorders>
              <w:top w:val="nil"/>
              <w:left w:val="nil"/>
              <w:bottom w:val="single" w:sz="4" w:space="0" w:color="auto"/>
              <w:right w:val="single" w:sz="4" w:space="0" w:color="auto"/>
            </w:tcBorders>
            <w:shd w:val="clear" w:color="000000" w:fill="FFFFFF"/>
            <w:noWrap/>
            <w:vAlign w:val="bottom"/>
            <w:hideMark/>
          </w:tcPr>
          <w:p>
            <w:pPr>
              <w:spacing w:before="60" w:after="60" w:line="240" w:lineRule="auto"/>
              <w:jc w:val="center"/>
              <w:rPr>
                <w:noProof/>
                <w:color w:val="000000"/>
                <w:sz w:val="20"/>
                <w:lang w:val="fr-BE" w:eastAsia="fr-BE"/>
              </w:rPr>
            </w:pPr>
            <w:r>
              <w:rPr>
                <w:noProof/>
                <w:color w:val="000000"/>
                <w:sz w:val="20"/>
                <w:lang w:val="fr-BE" w:eastAsia="fr-BE"/>
              </w:rPr>
              <w:t>23.7%</w:t>
            </w:r>
          </w:p>
        </w:tc>
        <w:tc>
          <w:tcPr>
            <w:tcW w:w="985" w:type="pct"/>
            <w:tcBorders>
              <w:top w:val="nil"/>
              <w:left w:val="nil"/>
              <w:bottom w:val="single" w:sz="4" w:space="0" w:color="auto"/>
              <w:right w:val="single" w:sz="4" w:space="0" w:color="auto"/>
            </w:tcBorders>
            <w:shd w:val="clear" w:color="000000" w:fill="FFFFFF"/>
            <w:noWrap/>
            <w:vAlign w:val="bottom"/>
            <w:hideMark/>
          </w:tcPr>
          <w:p>
            <w:pPr>
              <w:spacing w:before="60" w:after="60" w:line="240" w:lineRule="auto"/>
              <w:jc w:val="center"/>
              <w:rPr>
                <w:noProof/>
                <w:color w:val="000000"/>
                <w:sz w:val="20"/>
                <w:lang w:val="fr-BE" w:eastAsia="fr-BE"/>
              </w:rPr>
            </w:pPr>
            <w:r>
              <w:rPr>
                <w:noProof/>
                <w:color w:val="000000"/>
                <w:sz w:val="20"/>
                <w:lang w:val="fr-BE" w:eastAsia="fr-BE"/>
              </w:rPr>
              <w:t>23.5%</w:t>
            </w:r>
          </w:p>
        </w:tc>
      </w:tr>
      <w:tr>
        <w:trPr>
          <w:trHeight w:val="510"/>
        </w:trPr>
        <w:tc>
          <w:tcPr>
            <w:tcW w:w="3076" w:type="pct"/>
            <w:tcBorders>
              <w:top w:val="nil"/>
              <w:left w:val="single" w:sz="4" w:space="0" w:color="auto"/>
              <w:bottom w:val="single" w:sz="4" w:space="0" w:color="auto"/>
              <w:right w:val="single" w:sz="4" w:space="0" w:color="auto"/>
            </w:tcBorders>
            <w:shd w:val="clear" w:color="000000" w:fill="FFFFFF"/>
            <w:vAlign w:val="center"/>
            <w:hideMark/>
          </w:tcPr>
          <w:p>
            <w:pPr>
              <w:spacing w:after="0" w:line="240" w:lineRule="auto"/>
              <w:jc w:val="left"/>
              <w:rPr>
                <w:noProof/>
                <w:color w:val="000000"/>
                <w:sz w:val="20"/>
                <w:lang w:val="en-IE" w:eastAsia="fr-BE"/>
              </w:rPr>
            </w:pPr>
            <w:r>
              <w:rPr>
                <w:noProof/>
                <w:color w:val="000000"/>
                <w:sz w:val="20"/>
                <w:lang w:eastAsia="fr-BE"/>
              </w:rPr>
              <w:t>Total energy savings in transport compared to 2015 (%)</w:t>
            </w:r>
          </w:p>
        </w:tc>
        <w:tc>
          <w:tcPr>
            <w:tcW w:w="939" w:type="pct"/>
            <w:tcBorders>
              <w:top w:val="nil"/>
              <w:left w:val="nil"/>
              <w:bottom w:val="single" w:sz="4" w:space="0" w:color="auto"/>
              <w:right w:val="single" w:sz="4" w:space="0" w:color="auto"/>
            </w:tcBorders>
            <w:shd w:val="clear" w:color="000000" w:fill="FFFFFF"/>
            <w:vAlign w:val="center"/>
            <w:hideMark/>
          </w:tcPr>
          <w:p>
            <w:pPr>
              <w:spacing w:after="0" w:line="240" w:lineRule="auto"/>
              <w:jc w:val="center"/>
              <w:rPr>
                <w:noProof/>
                <w:color w:val="000000"/>
                <w:sz w:val="20"/>
                <w:lang w:val="fr-BE" w:eastAsia="fr-BE"/>
              </w:rPr>
            </w:pPr>
            <w:r>
              <w:rPr>
                <w:noProof/>
                <w:color w:val="000000"/>
                <w:sz w:val="20"/>
                <w:lang w:eastAsia="fr-BE"/>
              </w:rPr>
              <w:t>-5%</w:t>
            </w:r>
          </w:p>
        </w:tc>
        <w:tc>
          <w:tcPr>
            <w:tcW w:w="985" w:type="pct"/>
            <w:tcBorders>
              <w:top w:val="nil"/>
              <w:left w:val="nil"/>
              <w:bottom w:val="single" w:sz="4" w:space="0" w:color="auto"/>
              <w:right w:val="single" w:sz="4" w:space="0" w:color="auto"/>
            </w:tcBorders>
            <w:shd w:val="clear" w:color="000000" w:fill="FFFFFF"/>
            <w:vAlign w:val="center"/>
            <w:hideMark/>
          </w:tcPr>
          <w:p>
            <w:pPr>
              <w:spacing w:after="0" w:line="240" w:lineRule="auto"/>
              <w:jc w:val="center"/>
              <w:rPr>
                <w:noProof/>
                <w:color w:val="000000"/>
                <w:sz w:val="20"/>
                <w:lang w:val="fr-BE" w:eastAsia="fr-BE"/>
              </w:rPr>
            </w:pPr>
            <w:r>
              <w:rPr>
                <w:noProof/>
                <w:color w:val="000000"/>
                <w:sz w:val="20"/>
                <w:lang w:eastAsia="fr-BE"/>
              </w:rPr>
              <w:t>-8%</w:t>
            </w:r>
          </w:p>
        </w:tc>
      </w:tr>
      <w:tr>
        <w:trPr>
          <w:trHeight w:val="510"/>
        </w:trPr>
        <w:tc>
          <w:tcPr>
            <w:tcW w:w="3076" w:type="pct"/>
            <w:tcBorders>
              <w:top w:val="nil"/>
              <w:left w:val="single" w:sz="4" w:space="0" w:color="auto"/>
              <w:bottom w:val="single" w:sz="4" w:space="0" w:color="auto"/>
              <w:right w:val="single" w:sz="4" w:space="0" w:color="auto"/>
            </w:tcBorders>
            <w:shd w:val="clear" w:color="000000" w:fill="FFFFFF"/>
            <w:vAlign w:val="center"/>
            <w:hideMark/>
          </w:tcPr>
          <w:p>
            <w:pPr>
              <w:spacing w:after="0" w:line="240" w:lineRule="auto"/>
              <w:jc w:val="left"/>
              <w:rPr>
                <w:noProof/>
                <w:color w:val="000000"/>
                <w:sz w:val="20"/>
                <w:lang w:val="en-IE" w:eastAsia="fr-BE"/>
              </w:rPr>
            </w:pPr>
            <w:r>
              <w:rPr>
                <w:noProof/>
                <w:color w:val="000000"/>
                <w:sz w:val="20"/>
                <w:lang w:eastAsia="fr-BE"/>
              </w:rPr>
              <w:t>Final energy savings in transport compared to 2015 (%)</w:t>
            </w:r>
          </w:p>
        </w:tc>
        <w:tc>
          <w:tcPr>
            <w:tcW w:w="939" w:type="pct"/>
            <w:tcBorders>
              <w:top w:val="nil"/>
              <w:left w:val="nil"/>
              <w:bottom w:val="single" w:sz="4" w:space="0" w:color="auto"/>
              <w:right w:val="single" w:sz="4" w:space="0" w:color="auto"/>
            </w:tcBorders>
            <w:shd w:val="clear" w:color="000000" w:fill="FFFFFF"/>
            <w:vAlign w:val="center"/>
            <w:hideMark/>
          </w:tcPr>
          <w:p>
            <w:pPr>
              <w:spacing w:after="0" w:line="240" w:lineRule="auto"/>
              <w:jc w:val="center"/>
              <w:rPr>
                <w:noProof/>
                <w:color w:val="000000"/>
                <w:sz w:val="20"/>
                <w:lang w:val="fr-BE" w:eastAsia="fr-BE"/>
              </w:rPr>
            </w:pPr>
            <w:r>
              <w:rPr>
                <w:noProof/>
                <w:color w:val="000000"/>
                <w:sz w:val="20"/>
                <w:lang w:val="fr-BE" w:eastAsia="fr-BE"/>
              </w:rPr>
              <w:t>-12%</w:t>
            </w:r>
          </w:p>
        </w:tc>
        <w:tc>
          <w:tcPr>
            <w:tcW w:w="985" w:type="pct"/>
            <w:tcBorders>
              <w:top w:val="nil"/>
              <w:left w:val="nil"/>
              <w:bottom w:val="single" w:sz="4" w:space="0" w:color="auto"/>
              <w:right w:val="single" w:sz="4" w:space="0" w:color="auto"/>
            </w:tcBorders>
            <w:shd w:val="clear" w:color="000000" w:fill="FFFFFF"/>
            <w:vAlign w:val="center"/>
            <w:hideMark/>
          </w:tcPr>
          <w:p>
            <w:pPr>
              <w:spacing w:after="0" w:line="240" w:lineRule="auto"/>
              <w:jc w:val="center"/>
              <w:rPr>
                <w:noProof/>
                <w:color w:val="000000"/>
                <w:sz w:val="20"/>
                <w:lang w:val="fr-BE" w:eastAsia="fr-BE"/>
              </w:rPr>
            </w:pPr>
            <w:r>
              <w:rPr>
                <w:noProof/>
                <w:color w:val="000000"/>
                <w:sz w:val="20"/>
                <w:lang w:val="fr-BE" w:eastAsia="fr-BE"/>
              </w:rPr>
              <w:t>-14%</w:t>
            </w:r>
          </w:p>
        </w:tc>
      </w:tr>
      <w:tr>
        <w:trPr>
          <w:trHeight w:val="510"/>
        </w:trPr>
        <w:tc>
          <w:tcPr>
            <w:tcW w:w="3076" w:type="pct"/>
            <w:tcBorders>
              <w:top w:val="nil"/>
              <w:left w:val="single" w:sz="4" w:space="0" w:color="auto"/>
              <w:bottom w:val="single" w:sz="4" w:space="0" w:color="auto"/>
              <w:right w:val="single" w:sz="4" w:space="0" w:color="auto"/>
            </w:tcBorders>
            <w:shd w:val="clear" w:color="000000" w:fill="FFFFFF"/>
            <w:vAlign w:val="center"/>
          </w:tcPr>
          <w:p>
            <w:pPr>
              <w:spacing w:after="0" w:line="240" w:lineRule="auto"/>
              <w:jc w:val="left"/>
              <w:rPr>
                <w:noProof/>
                <w:color w:val="000000"/>
                <w:sz w:val="20"/>
                <w:lang w:eastAsia="fr-BE"/>
              </w:rPr>
            </w:pPr>
          </w:p>
        </w:tc>
        <w:tc>
          <w:tcPr>
            <w:tcW w:w="939" w:type="pct"/>
            <w:tcBorders>
              <w:top w:val="nil"/>
              <w:left w:val="nil"/>
              <w:bottom w:val="single" w:sz="4" w:space="0" w:color="auto"/>
              <w:right w:val="single" w:sz="4" w:space="0" w:color="auto"/>
            </w:tcBorders>
            <w:shd w:val="clear" w:color="000000" w:fill="FFFFFF"/>
            <w:noWrap/>
            <w:vAlign w:val="center"/>
          </w:tcPr>
          <w:p>
            <w:pPr>
              <w:spacing w:after="0" w:line="240" w:lineRule="auto"/>
              <w:jc w:val="center"/>
              <w:rPr>
                <w:noProof/>
                <w:color w:val="000000"/>
                <w:sz w:val="20"/>
                <w:lang w:val="fr-BE" w:eastAsia="fr-BE"/>
              </w:rPr>
            </w:pPr>
            <w:r>
              <w:rPr>
                <w:noProof/>
                <w:color w:val="000000"/>
                <w:sz w:val="20"/>
                <w:lang w:val="fr-BE" w:eastAsia="fr-BE"/>
              </w:rPr>
              <w:t>MIX</w:t>
            </w:r>
          </w:p>
        </w:tc>
        <w:tc>
          <w:tcPr>
            <w:tcW w:w="985" w:type="pct"/>
            <w:tcBorders>
              <w:top w:val="nil"/>
              <w:left w:val="nil"/>
              <w:bottom w:val="single" w:sz="4" w:space="0" w:color="auto"/>
              <w:right w:val="single" w:sz="4" w:space="0" w:color="auto"/>
            </w:tcBorders>
            <w:shd w:val="clear" w:color="000000" w:fill="FFFFFF"/>
            <w:noWrap/>
            <w:vAlign w:val="center"/>
          </w:tcPr>
          <w:p>
            <w:pPr>
              <w:spacing w:after="0" w:line="240" w:lineRule="auto"/>
              <w:jc w:val="center"/>
              <w:rPr>
                <w:noProof/>
                <w:color w:val="000000"/>
                <w:sz w:val="20"/>
                <w:lang w:val="fr-BE" w:eastAsia="fr-BE"/>
              </w:rPr>
            </w:pPr>
            <w:r>
              <w:rPr>
                <w:noProof/>
                <w:color w:val="000000"/>
                <w:sz w:val="20"/>
                <w:lang w:val="fr-BE" w:eastAsia="fr-BE"/>
              </w:rPr>
              <w:t>COVID-MIX</w:t>
            </w:r>
          </w:p>
        </w:tc>
      </w:tr>
      <w:tr>
        <w:trPr>
          <w:trHeight w:val="510"/>
        </w:trPr>
        <w:tc>
          <w:tcPr>
            <w:tcW w:w="3076" w:type="pct"/>
            <w:tcBorders>
              <w:top w:val="nil"/>
              <w:left w:val="single" w:sz="4" w:space="0" w:color="auto"/>
              <w:bottom w:val="single" w:sz="4" w:space="0" w:color="auto"/>
              <w:right w:val="single" w:sz="4" w:space="0" w:color="auto"/>
            </w:tcBorders>
            <w:shd w:val="clear" w:color="000000" w:fill="FFFFFF"/>
            <w:vAlign w:val="center"/>
            <w:hideMark/>
          </w:tcPr>
          <w:p>
            <w:pPr>
              <w:spacing w:after="0" w:line="240" w:lineRule="auto"/>
              <w:jc w:val="left"/>
              <w:rPr>
                <w:noProof/>
                <w:color w:val="000000"/>
                <w:sz w:val="20"/>
                <w:lang w:val="en-IE" w:eastAsia="fr-BE"/>
              </w:rPr>
            </w:pPr>
            <w:r>
              <w:rPr>
                <w:noProof/>
                <w:color w:val="000000"/>
                <w:sz w:val="20"/>
                <w:lang w:eastAsia="fr-BE"/>
              </w:rPr>
              <w:t>Average annual investments during the 2021-2030 period in bn EUR'15</w:t>
            </w:r>
          </w:p>
        </w:tc>
        <w:tc>
          <w:tcPr>
            <w:tcW w:w="939" w:type="pct"/>
            <w:tcBorders>
              <w:top w:val="nil"/>
              <w:left w:val="nil"/>
              <w:bottom w:val="single" w:sz="4" w:space="0" w:color="auto"/>
              <w:right w:val="single" w:sz="4" w:space="0" w:color="auto"/>
            </w:tcBorders>
            <w:shd w:val="clear" w:color="000000" w:fill="FFFFFF"/>
            <w:noWrap/>
            <w:vAlign w:val="center"/>
            <w:hideMark/>
          </w:tcPr>
          <w:p>
            <w:pPr>
              <w:spacing w:after="0" w:line="240" w:lineRule="auto"/>
              <w:jc w:val="center"/>
              <w:rPr>
                <w:noProof/>
                <w:color w:val="000000"/>
                <w:sz w:val="20"/>
                <w:lang w:val="fr-BE" w:eastAsia="fr-BE"/>
              </w:rPr>
            </w:pPr>
            <w:r>
              <w:rPr>
                <w:noProof/>
                <w:color w:val="000000"/>
                <w:sz w:val="20"/>
                <w:lang w:val="fr-BE" w:eastAsia="fr-BE"/>
              </w:rPr>
              <w:t>622</w:t>
            </w:r>
          </w:p>
        </w:tc>
        <w:tc>
          <w:tcPr>
            <w:tcW w:w="985" w:type="pct"/>
            <w:tcBorders>
              <w:top w:val="nil"/>
              <w:left w:val="nil"/>
              <w:bottom w:val="single" w:sz="4" w:space="0" w:color="auto"/>
              <w:right w:val="single" w:sz="4" w:space="0" w:color="auto"/>
            </w:tcBorders>
            <w:shd w:val="clear" w:color="000000" w:fill="FFFFFF"/>
            <w:noWrap/>
            <w:vAlign w:val="center"/>
            <w:hideMark/>
          </w:tcPr>
          <w:p>
            <w:pPr>
              <w:spacing w:after="0" w:line="240" w:lineRule="auto"/>
              <w:jc w:val="center"/>
              <w:rPr>
                <w:noProof/>
                <w:color w:val="000000"/>
                <w:sz w:val="20"/>
                <w:lang w:val="fr-BE" w:eastAsia="fr-BE"/>
              </w:rPr>
            </w:pPr>
            <w:r>
              <w:rPr>
                <w:noProof/>
                <w:color w:val="000000"/>
                <w:sz w:val="20"/>
                <w:lang w:val="fr-BE" w:eastAsia="fr-BE"/>
              </w:rPr>
              <w:t>607</w:t>
            </w:r>
          </w:p>
        </w:tc>
      </w:tr>
      <w:tr>
        <w:trPr>
          <w:trHeight w:val="765"/>
        </w:trPr>
        <w:tc>
          <w:tcPr>
            <w:tcW w:w="3076" w:type="pct"/>
            <w:tcBorders>
              <w:top w:val="nil"/>
              <w:left w:val="single" w:sz="4" w:space="0" w:color="auto"/>
              <w:bottom w:val="single" w:sz="4" w:space="0" w:color="auto"/>
              <w:right w:val="single" w:sz="4" w:space="0" w:color="auto"/>
            </w:tcBorders>
            <w:shd w:val="clear" w:color="000000" w:fill="FFFFFF"/>
            <w:vAlign w:val="center"/>
            <w:hideMark/>
          </w:tcPr>
          <w:p>
            <w:pPr>
              <w:spacing w:after="0" w:line="240" w:lineRule="auto"/>
              <w:jc w:val="left"/>
              <w:rPr>
                <w:noProof/>
                <w:color w:val="000000"/>
                <w:sz w:val="20"/>
                <w:lang w:val="en-IE" w:eastAsia="fr-BE"/>
              </w:rPr>
            </w:pPr>
            <w:r>
              <w:rPr>
                <w:noProof/>
                <w:color w:val="000000"/>
                <w:sz w:val="20"/>
                <w:lang w:eastAsia="fr-BE"/>
              </w:rPr>
              <w:t>Additional average annual investments during 2021-2030 compared to the 2011-2020 period in bn EUR'15</w:t>
            </w:r>
          </w:p>
        </w:tc>
        <w:tc>
          <w:tcPr>
            <w:tcW w:w="939" w:type="pct"/>
            <w:tcBorders>
              <w:top w:val="nil"/>
              <w:left w:val="nil"/>
              <w:bottom w:val="single" w:sz="4" w:space="0" w:color="auto"/>
              <w:right w:val="single" w:sz="4" w:space="0" w:color="auto"/>
            </w:tcBorders>
            <w:shd w:val="clear" w:color="000000" w:fill="FFFFFF"/>
            <w:noWrap/>
            <w:vAlign w:val="center"/>
            <w:hideMark/>
          </w:tcPr>
          <w:p>
            <w:pPr>
              <w:spacing w:after="0" w:line="240" w:lineRule="auto"/>
              <w:jc w:val="center"/>
              <w:rPr>
                <w:noProof/>
                <w:color w:val="000000"/>
                <w:sz w:val="20"/>
                <w:lang w:val="fr-BE" w:eastAsia="fr-BE"/>
              </w:rPr>
            </w:pPr>
            <w:r>
              <w:rPr>
                <w:noProof/>
                <w:color w:val="000000"/>
                <w:sz w:val="20"/>
                <w:lang w:val="fr-BE" w:eastAsia="fr-BE"/>
              </w:rPr>
              <w:t>130</w:t>
            </w:r>
          </w:p>
        </w:tc>
        <w:tc>
          <w:tcPr>
            <w:tcW w:w="985" w:type="pct"/>
            <w:tcBorders>
              <w:top w:val="nil"/>
              <w:left w:val="nil"/>
              <w:bottom w:val="single" w:sz="4" w:space="0" w:color="auto"/>
              <w:right w:val="single" w:sz="4" w:space="0" w:color="auto"/>
            </w:tcBorders>
            <w:shd w:val="clear" w:color="000000" w:fill="FFFFFF"/>
            <w:noWrap/>
            <w:vAlign w:val="center"/>
            <w:hideMark/>
          </w:tcPr>
          <w:p>
            <w:pPr>
              <w:spacing w:after="0" w:line="240" w:lineRule="auto"/>
              <w:jc w:val="center"/>
              <w:rPr>
                <w:noProof/>
                <w:color w:val="000000"/>
                <w:sz w:val="20"/>
                <w:lang w:val="fr-BE" w:eastAsia="fr-BE"/>
              </w:rPr>
            </w:pPr>
            <w:r>
              <w:rPr>
                <w:noProof/>
                <w:color w:val="000000"/>
                <w:sz w:val="20"/>
                <w:lang w:val="fr-BE" w:eastAsia="fr-BE"/>
              </w:rPr>
              <w:t>132</w:t>
            </w:r>
          </w:p>
        </w:tc>
      </w:tr>
    </w:tbl>
    <w:p>
      <w:pPr>
        <w:spacing w:after="0"/>
        <w:rPr>
          <w:i/>
          <w:iCs/>
          <w:noProof/>
          <w:sz w:val="16"/>
          <w:szCs w:val="16"/>
          <w:lang w:val="en-US"/>
        </w:rPr>
      </w:pPr>
      <w:r>
        <w:rPr>
          <w:i/>
          <w:iCs/>
          <w:noProof/>
          <w:sz w:val="16"/>
          <w:szCs w:val="16"/>
          <w:lang w:val="en-US"/>
        </w:rPr>
        <w:t>Source: PRIMES-TREMOVE transport model (E3Modelling)</w:t>
      </w:r>
    </w:p>
    <w:p>
      <w:pPr>
        <w:spacing w:after="0"/>
        <w:rPr>
          <w:i/>
          <w:iCs/>
          <w:noProof/>
          <w:sz w:val="16"/>
          <w:szCs w:val="16"/>
          <w:lang w:val="en-US"/>
        </w:rPr>
      </w:pPr>
      <w:r>
        <w:rPr>
          <w:i/>
          <w:iCs/>
          <w:noProof/>
          <w:sz w:val="16"/>
          <w:szCs w:val="16"/>
          <w:lang w:val="en-US"/>
        </w:rPr>
        <w:t>Note: The figures above relate to investments in vehicles, rolling stock, vessels, airplanes and alternative fuels infrastructure deployment</w:t>
      </w:r>
    </w:p>
    <w:p>
      <w:pPr>
        <w:rPr>
          <w:noProof/>
        </w:rPr>
      </w:pP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A critical conclusion that can be drawn from the COVID sensitivity analysis relates to the additional investment needs, which are not affected to any significant extent. The COVID-MIX variant still requires a similar additional amount of investments in vehicles, rolling stock, vessels, airplanes and alternative fuels infrastructure deployment during 2021-2030 compared to the 2011-2020 period.</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The current economic recession and the limited negative impact on GDP projected by 2030 therefore do not reduce the need to invest strongly in the coming decade to support the sustainable and smart mobility. It must be noted also that significant behavioural changes relating to consumption habits and mobility patterns were not assumed to take place to a significant extent under the COVID variants. As indicated in the in-depth analysis in support of the Communication “A clean planet for all”, however, such behavioural changes may reduce investment needs if they are adopted widely and to a significant extent.</w:t>
      </w:r>
    </w:p>
    <w:p>
      <w:pPr>
        <w:pStyle w:val="LegalNumPar"/>
        <w:numPr>
          <w:ilvl w:val="0"/>
          <w:numId w:val="89"/>
        </w:numPr>
        <w:pBdr>
          <w:top w:val="nil"/>
          <w:left w:val="nil"/>
          <w:bottom w:val="nil"/>
          <w:right w:val="nil"/>
          <w:between w:val="nil"/>
          <w:bar w:val="nil"/>
        </w:pBdr>
        <w:tabs>
          <w:tab w:val="left" w:pos="476"/>
        </w:tabs>
        <w:spacing w:line="240" w:lineRule="auto"/>
        <w:rPr>
          <w:noProof/>
        </w:rPr>
      </w:pPr>
      <w:r>
        <w:rPr>
          <w:noProof/>
        </w:rPr>
        <w:t>While investments in the necessary green capital goods improve overall resource efficiency and stimulate more sustainable long-term growth, triggering them at the necessary scale in the current circumstance will be even more challenging than before the crisis and will require additional incentives coupled with a supportive regulatory environment. The scale and focus of the recovery packages currently being put in place at the level of the EU and individual Member States therefore will be of importance for the achievement of sustainable and smart mobility that contributes towards a higher level of climate ambition by 2030, and socially and environmentally sustainable growth, in a context where private investors may face challenging financial situations.</w:t>
      </w:r>
    </w:p>
    <w:p>
      <w:pPr>
        <w:pStyle w:val="LegalNumPar"/>
        <w:pBdr>
          <w:top w:val="nil"/>
          <w:left w:val="nil"/>
          <w:bottom w:val="nil"/>
          <w:right w:val="nil"/>
          <w:between w:val="nil"/>
          <w:bar w:val="nil"/>
        </w:pBdr>
        <w:tabs>
          <w:tab w:val="left" w:pos="476"/>
        </w:tabs>
        <w:spacing w:line="240" w:lineRule="auto"/>
        <w:ind w:left="476"/>
        <w:rPr>
          <w:noProof/>
        </w:rPr>
      </w:pPr>
    </w:p>
    <w:p>
      <w:pPr>
        <w:pStyle w:val="LegalNumPar"/>
        <w:pBdr>
          <w:top w:val="nil"/>
          <w:left w:val="nil"/>
          <w:bottom w:val="nil"/>
          <w:right w:val="nil"/>
          <w:between w:val="nil"/>
          <w:bar w:val="nil"/>
        </w:pBdr>
        <w:tabs>
          <w:tab w:val="left" w:pos="476"/>
        </w:tabs>
        <w:spacing w:line="240" w:lineRule="auto"/>
        <w:ind w:left="476"/>
        <w:rPr>
          <w:noProof/>
        </w:rPr>
        <w:sectPr>
          <w:headerReference w:type="even" r:id="rId107"/>
          <w:headerReference w:type="default" r:id="rId108"/>
          <w:footerReference w:type="even" r:id="rId109"/>
          <w:footerReference w:type="default" r:id="rId110"/>
          <w:headerReference w:type="first" r:id="rId111"/>
          <w:footerReference w:type="first" r:id="rId112"/>
          <w:pgSz w:w="11906" w:h="16838"/>
          <w:pgMar w:top="1020" w:right="1701" w:bottom="1020" w:left="1701" w:header="601" w:footer="1077" w:gutter="0"/>
          <w:cols w:space="720"/>
          <w:titlePg/>
          <w:docGrid w:linePitch="326"/>
        </w:sectPr>
      </w:pPr>
    </w:p>
    <w:p>
      <w:pPr>
        <w:pStyle w:val="Heading1"/>
        <w:rPr>
          <w:noProof/>
        </w:rPr>
      </w:pPr>
      <w:bookmarkStart w:id="5578" w:name="_Toc57291558"/>
      <w:bookmarkStart w:id="5579" w:name="_Ref36767067"/>
      <w:bookmarkStart w:id="5580" w:name="_Toc38314796"/>
      <w:bookmarkStart w:id="5581" w:name="_Toc41432385"/>
      <w:bookmarkStart w:id="5582" w:name="_Toc41471939"/>
      <w:bookmarkStart w:id="5583" w:name="_Toc41473374"/>
      <w:bookmarkStart w:id="5584" w:name="_Toc41675994"/>
      <w:bookmarkStart w:id="5585" w:name="_Toc42064492"/>
      <w:bookmarkStart w:id="5586" w:name="_Toc43114835"/>
      <w:bookmarkStart w:id="5587" w:name="_Toc45119784"/>
      <w:bookmarkStart w:id="5588" w:name="_Toc45147522"/>
      <w:bookmarkStart w:id="5589" w:name="_Toc49346544"/>
      <w:bookmarkStart w:id="5590" w:name="_Toc49437863"/>
      <w:bookmarkStart w:id="5591" w:name="_Toc49441683"/>
      <w:bookmarkStart w:id="5592" w:name="_Toc49516661"/>
      <w:bookmarkStart w:id="5593" w:name="_Toc49518581"/>
      <w:bookmarkStart w:id="5594" w:name="_Toc49525195"/>
      <w:bookmarkStart w:id="5595" w:name="_Toc49530689"/>
      <w:bookmarkStart w:id="5596" w:name="_Toc49530958"/>
      <w:bookmarkStart w:id="5597" w:name="_Toc49531790"/>
      <w:bookmarkStart w:id="5598" w:name="_Toc49532949"/>
      <w:bookmarkStart w:id="5599" w:name="_Toc49775498"/>
      <w:bookmarkStart w:id="5600" w:name="_Toc49774700"/>
      <w:bookmarkStart w:id="5601" w:name="_Toc50396619"/>
      <w:bookmarkStart w:id="5602" w:name="_Toc50406110"/>
      <w:bookmarkStart w:id="5603" w:name="_Toc50995808"/>
      <w:r>
        <w:rPr>
          <w:noProof/>
        </w:rPr>
        <w:t>Annex I - Analytical methods</w:t>
      </w:r>
      <w:bookmarkEnd w:id="5578"/>
    </w:p>
    <w:p>
      <w:pPr>
        <w:pStyle w:val="Heading3"/>
        <w:rPr>
          <w:noProof/>
        </w:rPr>
      </w:pPr>
      <w:bookmarkStart w:id="5604" w:name="_Toc38314797"/>
      <w:bookmarkStart w:id="5605" w:name="_Toc41432386"/>
      <w:bookmarkStart w:id="5606" w:name="_Toc41471940"/>
      <w:bookmarkStart w:id="5607" w:name="_Toc41473375"/>
      <w:bookmarkStart w:id="5608" w:name="_Toc41675995"/>
      <w:bookmarkStart w:id="5609" w:name="_Toc42064493"/>
      <w:bookmarkStart w:id="5610" w:name="_Ref42803844"/>
      <w:bookmarkStart w:id="5611" w:name="_Toc43114836"/>
      <w:bookmarkStart w:id="5612" w:name="_Toc45119785"/>
      <w:bookmarkStart w:id="5613" w:name="_Toc45147523"/>
      <w:bookmarkStart w:id="5614" w:name="_Toc49346545"/>
      <w:bookmarkStart w:id="5615" w:name="_Toc49437864"/>
      <w:bookmarkStart w:id="5616" w:name="_Toc49441684"/>
      <w:bookmarkStart w:id="5617" w:name="_Toc49516662"/>
      <w:bookmarkStart w:id="5618" w:name="_Toc49518582"/>
      <w:bookmarkStart w:id="5619" w:name="_Toc49525196"/>
      <w:bookmarkStart w:id="5620" w:name="_Toc49530690"/>
      <w:bookmarkStart w:id="5621" w:name="_Toc49530959"/>
      <w:bookmarkStart w:id="5622" w:name="_Toc49531791"/>
      <w:bookmarkStart w:id="5623" w:name="_Toc49532950"/>
      <w:bookmarkStart w:id="5624" w:name="_Toc49775499"/>
      <w:bookmarkStart w:id="5625" w:name="_Toc49774701"/>
      <w:bookmarkStart w:id="5626" w:name="_Toc50396620"/>
      <w:bookmarkStart w:id="5627" w:name="_Toc50406111"/>
      <w:bookmarkStart w:id="5628" w:name="_Toc50995809"/>
      <w:bookmarkStart w:id="5629" w:name="_Toc57291559"/>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r>
        <w:rPr>
          <w:noProof/>
        </w:rPr>
        <w:t>Description of the modelling tools used</w:t>
      </w:r>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r>
        <w:rPr>
          <w:noProof/>
        </w:rPr>
        <w:t xml:space="preserve"> </w:t>
      </w:r>
    </w:p>
    <w:p>
      <w:pPr>
        <w:pStyle w:val="Heading4"/>
        <w:rPr>
          <w:noProof/>
        </w:rPr>
      </w:pPr>
      <w:bookmarkStart w:id="5630" w:name="_Ref44359191"/>
      <w:bookmarkStart w:id="5631" w:name="_Ref44967443"/>
      <w:bookmarkStart w:id="5632" w:name="_Toc45119786"/>
      <w:bookmarkStart w:id="5633" w:name="_Toc45147524"/>
      <w:bookmarkStart w:id="5634" w:name="_Toc49346546"/>
      <w:bookmarkStart w:id="5635" w:name="_Toc49437865"/>
      <w:bookmarkStart w:id="5636" w:name="_Toc49441685"/>
      <w:bookmarkStart w:id="5637" w:name="_Toc57291560"/>
      <w:r>
        <w:rPr>
          <w:noProof/>
        </w:rPr>
        <w:t>Main modelling suite</w:t>
      </w:r>
      <w:bookmarkEnd w:id="5630"/>
      <w:bookmarkEnd w:id="5631"/>
      <w:bookmarkEnd w:id="5632"/>
      <w:bookmarkEnd w:id="5633"/>
      <w:bookmarkEnd w:id="5634"/>
      <w:bookmarkEnd w:id="5635"/>
      <w:bookmarkEnd w:id="5636"/>
      <w:bookmarkEnd w:id="5637"/>
      <w:r>
        <w:rPr>
          <w:noProof/>
        </w:rPr>
        <w:t xml:space="preserve"> </w:t>
      </w:r>
    </w:p>
    <w:p>
      <w:pPr>
        <w:spacing w:line="240" w:lineRule="auto"/>
        <w:rPr>
          <w:noProof/>
          <w:sz w:val="24"/>
          <w:szCs w:val="24"/>
        </w:rPr>
      </w:pPr>
      <w:r>
        <w:rPr>
          <w:noProof/>
          <w:sz w:val="24"/>
          <w:szCs w:val="24"/>
        </w:rPr>
        <w:t>The main model suite used to produce the scenarios presented in this Staff Working Document has a successful record of use in the Commission's energy and climate policy assessments. In particular, it has been used for the Commission’s proposal for Long Term Strategy</w:t>
      </w:r>
      <w:r>
        <w:rPr>
          <w:rStyle w:val="FootnoteReference"/>
          <w:noProof/>
          <w:sz w:val="24"/>
          <w:szCs w:val="24"/>
        </w:rPr>
        <w:footnoteReference w:id="635"/>
      </w:r>
      <w:r>
        <w:rPr>
          <w:noProof/>
          <w:sz w:val="24"/>
          <w:szCs w:val="24"/>
          <w:vertAlign w:val="superscript"/>
        </w:rPr>
        <w:t xml:space="preserve"> </w:t>
      </w:r>
      <w:r>
        <w:rPr>
          <w:noProof/>
          <w:sz w:val="24"/>
          <w:szCs w:val="24"/>
        </w:rPr>
        <w:t xml:space="preserve">as well as for the 2020 and 2030 EU’s climate and energy policy framework. </w:t>
      </w:r>
      <w:bookmarkStart w:id="5638" w:name="Aspects"/>
      <w:bookmarkEnd w:id="5638"/>
    </w:p>
    <w:p>
      <w:pPr>
        <w:spacing w:line="240" w:lineRule="auto"/>
        <w:rPr>
          <w:noProof/>
          <w:sz w:val="24"/>
          <w:szCs w:val="24"/>
        </w:rPr>
      </w:pPr>
      <w:r>
        <w:rPr>
          <w:noProof/>
          <w:sz w:val="24"/>
          <w:szCs w:val="24"/>
        </w:rPr>
        <w:t>The PRIMES and PRIMES-TREMOVE models are the core elements of the modelling framework for energy, transport and CO</w:t>
      </w:r>
      <w:r>
        <w:rPr>
          <w:noProof/>
          <w:sz w:val="24"/>
          <w:szCs w:val="24"/>
          <w:vertAlign w:val="subscript"/>
        </w:rPr>
        <w:t>2</w:t>
      </w:r>
      <w:r>
        <w:rPr>
          <w:noProof/>
          <w:sz w:val="24"/>
          <w:szCs w:val="24"/>
        </w:rPr>
        <w:t xml:space="preserve"> emission projections. The GAINS model is used for non-CO</w:t>
      </w:r>
      <w:r>
        <w:rPr>
          <w:noProof/>
          <w:sz w:val="24"/>
          <w:szCs w:val="24"/>
          <w:vertAlign w:val="subscript"/>
        </w:rPr>
        <w:t>2</w:t>
      </w:r>
      <w:r>
        <w:rPr>
          <w:noProof/>
          <w:sz w:val="24"/>
          <w:szCs w:val="24"/>
        </w:rPr>
        <w:t xml:space="preserve"> emission projections and the GLOBIOM-G4M models for projections of LULUCF emissions and removals and the CAPRI model is used for agricultural activity projections. </w:t>
      </w:r>
    </w:p>
    <w:p>
      <w:pPr>
        <w:spacing w:line="240" w:lineRule="auto"/>
        <w:rPr>
          <w:noProof/>
          <w:sz w:val="24"/>
          <w:szCs w:val="24"/>
        </w:rPr>
      </w:pPr>
      <w:r>
        <w:rPr>
          <w:noProof/>
          <w:sz w:val="24"/>
          <w:szCs w:val="24"/>
        </w:rPr>
        <w:t>The model suite thus covers:</w:t>
      </w:r>
    </w:p>
    <w:p>
      <w:pPr>
        <w:pStyle w:val="Date"/>
        <w:numPr>
          <w:ilvl w:val="0"/>
          <w:numId w:val="154"/>
        </w:numPr>
        <w:spacing w:after="120" w:line="240" w:lineRule="auto"/>
        <w:ind w:right="0"/>
        <w:rPr>
          <w:noProof/>
          <w:sz w:val="24"/>
          <w:szCs w:val="24"/>
        </w:rPr>
      </w:pPr>
      <w:r>
        <w:rPr>
          <w:b/>
          <w:bCs/>
          <w:noProof/>
          <w:sz w:val="24"/>
          <w:szCs w:val="24"/>
        </w:rPr>
        <w:t>The entire energy system</w:t>
      </w:r>
      <w:r>
        <w:rPr>
          <w:noProof/>
          <w:sz w:val="24"/>
          <w:szCs w:val="24"/>
        </w:rPr>
        <w:t xml:space="preserve"> (energy demand, supply, prices and investments to the future) and </w:t>
      </w:r>
      <w:r>
        <w:rPr>
          <w:b/>
          <w:bCs/>
          <w:noProof/>
          <w:sz w:val="24"/>
          <w:szCs w:val="24"/>
        </w:rPr>
        <w:t>all GHG emissions and removals</w:t>
      </w:r>
      <w:r>
        <w:rPr>
          <w:noProof/>
          <w:sz w:val="24"/>
          <w:szCs w:val="24"/>
        </w:rPr>
        <w:t xml:space="preserve"> from the EU economy.</w:t>
      </w:r>
    </w:p>
    <w:p>
      <w:pPr>
        <w:numPr>
          <w:ilvl w:val="0"/>
          <w:numId w:val="154"/>
        </w:numPr>
        <w:spacing w:line="240" w:lineRule="auto"/>
        <w:rPr>
          <w:noProof/>
          <w:sz w:val="24"/>
          <w:szCs w:val="24"/>
        </w:rPr>
      </w:pPr>
      <w:r>
        <w:rPr>
          <w:b/>
          <w:bCs/>
          <w:noProof/>
          <w:sz w:val="24"/>
          <w:szCs w:val="24"/>
        </w:rPr>
        <w:t>Time horizon:</w:t>
      </w:r>
      <w:r>
        <w:rPr>
          <w:noProof/>
          <w:sz w:val="24"/>
          <w:szCs w:val="24"/>
        </w:rPr>
        <w:t xml:space="preserve"> 1990 to 2070 (5-year time steps).</w:t>
      </w:r>
    </w:p>
    <w:p>
      <w:pPr>
        <w:numPr>
          <w:ilvl w:val="0"/>
          <w:numId w:val="154"/>
        </w:numPr>
        <w:spacing w:line="240" w:lineRule="auto"/>
        <w:rPr>
          <w:noProof/>
          <w:sz w:val="24"/>
          <w:szCs w:val="24"/>
        </w:rPr>
      </w:pPr>
      <w:r>
        <w:rPr>
          <w:b/>
          <w:bCs/>
          <w:noProof/>
          <w:sz w:val="24"/>
          <w:szCs w:val="24"/>
        </w:rPr>
        <w:t>Geography:</w:t>
      </w:r>
      <w:r>
        <w:rPr>
          <w:noProof/>
          <w:sz w:val="24"/>
          <w:szCs w:val="24"/>
        </w:rPr>
        <w:t xml:space="preserve"> individually all EU Member States, EU candidate countries and, where relevant Norway, Switzerland and Bosnia and Herzegovina.</w:t>
      </w:r>
    </w:p>
    <w:p>
      <w:pPr>
        <w:numPr>
          <w:ilvl w:val="0"/>
          <w:numId w:val="154"/>
        </w:numPr>
        <w:spacing w:line="240" w:lineRule="auto"/>
        <w:rPr>
          <w:noProof/>
          <w:sz w:val="24"/>
          <w:szCs w:val="24"/>
        </w:rPr>
      </w:pPr>
      <w:r>
        <w:rPr>
          <w:b/>
          <w:bCs/>
          <w:noProof/>
          <w:sz w:val="24"/>
          <w:szCs w:val="24"/>
        </w:rPr>
        <w:t>Impacts:</w:t>
      </w:r>
      <w:r>
        <w:rPr>
          <w:noProof/>
          <w:sz w:val="24"/>
          <w:szCs w:val="24"/>
        </w:rPr>
        <w:t xml:space="preserve"> on the energy system (PRIMES and its satellite model on biomass), transport (PRIMES-TREMOVE), agriculture (CAPRI), forestry and land use (GLOBIOM-G4M), atmospheric dispersion, health and ecosystems (acidification, eutrophication) (GAINS); macro-economy with multiple sectors, employment and social welfare (GEM-E3).</w:t>
      </w:r>
    </w:p>
    <w:p>
      <w:pPr>
        <w:spacing w:line="240" w:lineRule="auto"/>
        <w:rPr>
          <w:noProof/>
          <w:sz w:val="24"/>
          <w:szCs w:val="24"/>
        </w:rPr>
      </w:pPr>
      <w:r>
        <w:rPr>
          <w:noProof/>
          <w:sz w:val="24"/>
          <w:szCs w:val="24"/>
        </w:rPr>
        <w:t>The modelling suite was recently updated in the context of the in-depth analysis of the proposal for an EU Long Term Strategy, with addition of a new buildings module, improved representation of electricity sector, more granular representation of hydrogen and synthetic fuels produced with electricity (“e-fuels”), as well updated interlinkages of the models to improve land use and non-CO</w:t>
      </w:r>
      <w:r>
        <w:rPr>
          <w:noProof/>
          <w:sz w:val="24"/>
          <w:szCs w:val="24"/>
          <w:vertAlign w:val="subscript"/>
        </w:rPr>
        <w:t xml:space="preserve">2 </w:t>
      </w:r>
      <w:r>
        <w:rPr>
          <w:noProof/>
          <w:sz w:val="24"/>
          <w:szCs w:val="24"/>
        </w:rPr>
        <w:t>modelling.</w:t>
      </w:r>
    </w:p>
    <w:p>
      <w:pPr>
        <w:spacing w:line="240" w:lineRule="auto"/>
        <w:rPr>
          <w:noProof/>
          <w:sz w:val="24"/>
          <w:szCs w:val="24"/>
        </w:rPr>
      </w:pPr>
      <w:r>
        <w:rPr>
          <w:noProof/>
          <w:sz w:val="24"/>
          <w:szCs w:val="24"/>
        </w:rPr>
        <w:t>The models are linked with each other in such a way to ensure consistency in the building of scenarios (</w:t>
      </w:r>
      <w:r>
        <w:rPr>
          <w:noProof/>
        </w:rPr>
        <w:fldChar w:fldCharType="begin"/>
      </w:r>
      <w:r>
        <w:rPr>
          <w:noProof/>
          <w:sz w:val="24"/>
          <w:szCs w:val="24"/>
        </w:rPr>
        <w:instrText xml:space="preserve"> REF _Ref54044610 \h  \* MERGEFORMAT </w:instrText>
      </w:r>
      <w:r>
        <w:rPr>
          <w:noProof/>
        </w:rPr>
      </w:r>
      <w:r>
        <w:rPr>
          <w:noProof/>
          <w:sz w:val="24"/>
          <w:szCs w:val="24"/>
        </w:rPr>
        <w:fldChar w:fldCharType="separate"/>
      </w:r>
      <w:r>
        <w:rPr>
          <w:noProof/>
          <w:sz w:val="24"/>
          <w:szCs w:val="24"/>
        </w:rPr>
        <w:t>Figure 68</w:t>
      </w:r>
      <w:r>
        <w:rPr>
          <w:noProof/>
        </w:rPr>
        <w:fldChar w:fldCharType="end"/>
      </w:r>
      <w:r>
        <w:rPr>
          <w:noProof/>
          <w:sz w:val="24"/>
          <w:szCs w:val="24"/>
        </w:rPr>
        <w:t xml:space="preserve">). These inter-linkages are necessary to provide the core of the analysis, which are interdependent energy, transport and GHG emissions trends. </w:t>
      </w:r>
    </w:p>
    <w:p>
      <w:pPr>
        <w:pStyle w:val="Caption"/>
        <w:keepNext/>
        <w:keepLines/>
        <w:tabs>
          <w:tab w:val="left" w:pos="0"/>
        </w:tabs>
        <w:spacing w:after="0"/>
        <w:rPr>
          <w:i w:val="0"/>
          <w:noProof/>
        </w:rPr>
      </w:pPr>
      <w:bookmarkStart w:id="5639" w:name="_Ref54044610"/>
      <w:bookmarkStart w:id="5640" w:name="_Toc530415073"/>
      <w:bookmarkStart w:id="5641" w:name="_Toc530415282"/>
      <w:bookmarkStart w:id="5642" w:name="_Toc530422734"/>
      <w:bookmarkStart w:id="5643" w:name="_Toc530480173"/>
      <w:bookmarkStart w:id="5644" w:name="_Toc530482077"/>
      <w:bookmarkStart w:id="5645" w:name="_Toc530488892"/>
      <w:bookmarkStart w:id="5646" w:name="_Toc530489905"/>
      <w:bookmarkStart w:id="5647" w:name="_Toc530490916"/>
      <w:bookmarkStart w:id="5648" w:name="_Toc530491929"/>
      <w:bookmarkStart w:id="5649" w:name="_Toc531131976"/>
      <w:bookmarkStart w:id="5650" w:name="_Toc49262630"/>
      <w:bookmarkStart w:id="5651" w:name="_Toc49269593"/>
      <w:bookmarkStart w:id="5652" w:name="_Toc49271906"/>
      <w:bookmarkStart w:id="5653" w:name="_Toc49272481"/>
      <w:bookmarkStart w:id="5654" w:name="_Toc49437682"/>
      <w:bookmarkStart w:id="5655" w:name="_Toc49441326"/>
      <w:bookmarkStart w:id="5656" w:name="_Toc49525048"/>
      <w:bookmarkStart w:id="5657" w:name="_Toc49530536"/>
      <w:bookmarkStart w:id="5658" w:name="_Toc49529976"/>
      <w:bookmarkStart w:id="5659" w:name="_Toc49531637"/>
      <w:bookmarkStart w:id="5660" w:name="_Toc49532802"/>
      <w:bookmarkStart w:id="5661" w:name="_Toc49775351"/>
      <w:bookmarkStart w:id="5662" w:name="_Toc49774553"/>
      <w:bookmarkStart w:id="5663" w:name="_Toc50396472"/>
      <w:bookmarkStart w:id="5664" w:name="_Toc50406175"/>
      <w:bookmarkStart w:id="5665" w:name="_Toc50995853"/>
      <w:bookmarkStart w:id="5666" w:name="_Toc57291712"/>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68</w:t>
      </w:r>
      <w:r>
        <w:rPr>
          <w:noProof/>
        </w:rPr>
        <w:fldChar w:fldCharType="end"/>
      </w:r>
      <w:bookmarkEnd w:id="5639"/>
      <w:r>
        <w:rPr>
          <w:i w:val="0"/>
          <w:noProof/>
        </w:rPr>
        <w:t>: Interlinkages between models</w:t>
      </w:r>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p>
    <w:p>
      <w:pPr>
        <w:keepNext/>
        <w:rPr>
          <w:noProof/>
        </w:rPr>
      </w:pPr>
      <w:r>
        <w:rPr>
          <w:noProof/>
        </w:rPr>
        <w:drawing>
          <wp:inline distT="0" distB="0" distL="0" distR="0">
            <wp:extent cx="5467985" cy="2244725"/>
            <wp:effectExtent l="0" t="0" r="0" b="3175"/>
            <wp:docPr id="1657890236" name="Picture 1657890236" descr="C:\Users\sulyoge\Documents\Pictur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ulyoge\Documents\Picture18.jpg"/>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5467985" cy="2244725"/>
                    </a:xfrm>
                    <a:prstGeom prst="rect">
                      <a:avLst/>
                    </a:prstGeom>
                    <a:noFill/>
                    <a:ln>
                      <a:noFill/>
                    </a:ln>
                  </pic:spPr>
                </pic:pic>
              </a:graphicData>
            </a:graphic>
          </wp:inline>
        </w:drawing>
      </w:r>
    </w:p>
    <w:p>
      <w:pPr>
        <w:pStyle w:val="Heading5"/>
        <w:keepLines/>
        <w:spacing w:before="240" w:after="240"/>
        <w:ind w:left="1009" w:hanging="1009"/>
        <w:rPr>
          <w:noProof/>
          <w:sz w:val="24"/>
          <w:szCs w:val="24"/>
        </w:rPr>
      </w:pPr>
      <w:bookmarkStart w:id="5667" w:name="Models"/>
      <w:bookmarkEnd w:id="5667"/>
      <w:r>
        <w:rPr>
          <w:noProof/>
          <w:sz w:val="24"/>
          <w:szCs w:val="24"/>
        </w:rPr>
        <w:t>Energy: the PRIMES model</w:t>
      </w:r>
    </w:p>
    <w:p>
      <w:pPr>
        <w:keepNext/>
        <w:spacing w:line="240" w:lineRule="auto"/>
        <w:rPr>
          <w:noProof/>
          <w:sz w:val="24"/>
          <w:szCs w:val="24"/>
        </w:rPr>
      </w:pPr>
      <w:r>
        <w:rPr>
          <w:noProof/>
          <w:sz w:val="24"/>
          <w:szCs w:val="24"/>
        </w:rPr>
        <w:t>The PRIMES model (Price-Induced Market Equilibrium System)</w:t>
      </w:r>
      <w:r>
        <w:rPr>
          <w:rStyle w:val="FootnoteReference"/>
          <w:noProof/>
          <w:sz w:val="24"/>
          <w:szCs w:val="24"/>
        </w:rPr>
        <w:footnoteReference w:id="636"/>
      </w:r>
      <w:r>
        <w:rPr>
          <w:noProof/>
          <w:sz w:val="24"/>
          <w:szCs w:val="24"/>
        </w:rPr>
        <w:t xml:space="preserve"> is a large scale applied energy system model that provides detailed projections of energy demand, supply, prices and investment to the future, covering the entire energy system including emissions. The distinctive feature of PRIMES is the combination of behavioural modelling (following a micro-economic foundation) with engineering aspects, covering all energy sectors and markets. The model has a detailed representation of policy instruments related to energy markets and climate , including market drivers, standards, and targets by sector or overall. It simulates the EU Emissions Trading System in its current form. It handles multiple policy objectives, such as GHG emissions reductions, energy efficiency, and renewable energy targets, and provides pan-European simulation of internal markets for electricity and gas.</w:t>
      </w:r>
    </w:p>
    <w:p>
      <w:pPr>
        <w:spacing w:line="240" w:lineRule="auto"/>
        <w:rPr>
          <w:noProof/>
          <w:sz w:val="24"/>
          <w:szCs w:val="24"/>
        </w:rPr>
      </w:pPr>
      <w:r>
        <w:rPr>
          <w:noProof/>
          <w:sz w:val="24"/>
          <w:szCs w:val="24"/>
        </w:rPr>
        <w:t>PRIMES offer the possibility of handling market distortions, barriers to rational decisions, behaviours and market coordination issues and it has full accounting of costs (CAPEX and OPEX) and investment on infrastructure needs. The model covers the horizon up to 2070 in 5-year interval periods and includes all Member States of the EU individually, as well as neighbouring and candidate countries. PRIMES is designed to analyse complex interactions within the energy system in a multiple agent – multiple markets framework.</w:t>
      </w:r>
    </w:p>
    <w:p>
      <w:pPr>
        <w:spacing w:line="240" w:lineRule="auto"/>
        <w:rPr>
          <w:noProof/>
          <w:sz w:val="24"/>
          <w:szCs w:val="24"/>
        </w:rPr>
      </w:pPr>
      <w:r>
        <w:rPr>
          <w:noProof/>
          <w:sz w:val="24"/>
          <w:szCs w:val="24"/>
        </w:rPr>
        <w:t>Decisions by agents are formulated based on microeconomic foundation (utility maximization, cost minimization and market equilibrium) embedding engineering constraints and explicit representation of technologies and vintages; optionally perfect or imperfect foresight for the modelling of investment in all sectors.</w:t>
      </w:r>
    </w:p>
    <w:p>
      <w:pPr>
        <w:spacing w:line="240" w:lineRule="auto"/>
        <w:rPr>
          <w:noProof/>
          <w:sz w:val="24"/>
          <w:szCs w:val="24"/>
        </w:rPr>
      </w:pPr>
      <w:r>
        <w:rPr>
          <w:noProof/>
          <w:sz w:val="24"/>
          <w:szCs w:val="24"/>
        </w:rPr>
        <w:t xml:space="preserve">PRIMES allows simulating long-term transformations/transitions and includes non-linear formulation of potentials by type (resources, sites, acceptability etc.) and technology learning. </w:t>
      </w:r>
      <w:r>
        <w:rPr>
          <w:noProof/>
        </w:rPr>
        <w:fldChar w:fldCharType="begin"/>
      </w:r>
      <w:r>
        <w:rPr>
          <w:noProof/>
          <w:sz w:val="24"/>
          <w:szCs w:val="24"/>
        </w:rPr>
        <w:instrText xml:space="preserve"> REF _Ref54044817 \h  \* MERGEFORMAT </w:instrText>
      </w:r>
      <w:r>
        <w:rPr>
          <w:noProof/>
        </w:rPr>
      </w:r>
      <w:r>
        <w:rPr>
          <w:noProof/>
          <w:sz w:val="24"/>
          <w:szCs w:val="24"/>
        </w:rPr>
        <w:fldChar w:fldCharType="separate"/>
      </w:r>
      <w:r>
        <w:rPr>
          <w:noProof/>
          <w:sz w:val="24"/>
          <w:szCs w:val="24"/>
        </w:rPr>
        <w:t>Figure 69</w:t>
      </w:r>
      <w:r>
        <w:rPr>
          <w:noProof/>
        </w:rPr>
        <w:fldChar w:fldCharType="end"/>
      </w:r>
      <w:r>
        <w:rPr>
          <w:noProof/>
          <w:sz w:val="24"/>
          <w:szCs w:val="24"/>
        </w:rPr>
        <w:t xml:space="preserve"> shows a schematic representation of the PRIMES model.</w:t>
      </w:r>
    </w:p>
    <w:p>
      <w:pPr>
        <w:pStyle w:val="Caption"/>
        <w:keepNext/>
        <w:keepLines/>
        <w:tabs>
          <w:tab w:val="left" w:pos="0"/>
        </w:tabs>
        <w:spacing w:after="0"/>
        <w:rPr>
          <w:i w:val="0"/>
          <w:noProof/>
        </w:rPr>
      </w:pPr>
      <w:bookmarkStart w:id="5668" w:name="_Ref54044817"/>
      <w:bookmarkStart w:id="5669" w:name="_Toc49271907"/>
      <w:bookmarkStart w:id="5670" w:name="_Toc49441327"/>
      <w:bookmarkStart w:id="5671" w:name="_Toc49530537"/>
      <w:bookmarkStart w:id="5672" w:name="_Toc49529977"/>
      <w:bookmarkStart w:id="5673" w:name="_Toc49531638"/>
      <w:bookmarkStart w:id="5674" w:name="_Toc49262631"/>
      <w:bookmarkStart w:id="5675" w:name="_Toc49269594"/>
      <w:bookmarkStart w:id="5676" w:name="_Toc49272482"/>
      <w:bookmarkStart w:id="5677" w:name="_Toc49437683"/>
      <w:bookmarkStart w:id="5678" w:name="_Toc49525049"/>
      <w:bookmarkStart w:id="5679" w:name="_Toc49532803"/>
      <w:bookmarkStart w:id="5680" w:name="_Toc49775352"/>
      <w:bookmarkStart w:id="5681" w:name="_Toc49774554"/>
      <w:bookmarkStart w:id="5682" w:name="_Toc50396473"/>
      <w:bookmarkStart w:id="5683" w:name="_Toc50406176"/>
      <w:bookmarkStart w:id="5684" w:name="_Toc50995854"/>
      <w:bookmarkStart w:id="5685" w:name="_Toc57291713"/>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69</w:t>
      </w:r>
      <w:r>
        <w:rPr>
          <w:noProof/>
        </w:rPr>
        <w:fldChar w:fldCharType="end"/>
      </w:r>
      <w:bookmarkEnd w:id="5668"/>
      <w:r>
        <w:rPr>
          <w:i w:val="0"/>
          <w:noProof/>
        </w:rPr>
        <w:t>: Schematic representation of the PRIMES model</w:t>
      </w:r>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p>
    <w:p>
      <w:pPr>
        <w:spacing w:before="120"/>
        <w:jc w:val="center"/>
        <w:rPr>
          <w:noProof/>
        </w:rPr>
      </w:pPr>
      <w:r>
        <w:rPr>
          <w:noProof/>
        </w:rPr>
        <w:drawing>
          <wp:inline distT="0" distB="0" distL="0" distR="0">
            <wp:extent cx="4648200" cy="4533900"/>
            <wp:effectExtent l="0" t="0" r="0" b="0"/>
            <wp:docPr id="1657890227" name="Picture 1657890227" descr="\\NET1.cec.eu.int\homes\115\sulyoge\My Documents\White Paper\SWD\Figures\Pictur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T1.cec.eu.int\homes\115\sulyoge\My Documents\White Paper\SWD\Figures\Picture20.jpg"/>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4648200" cy="4533900"/>
                    </a:xfrm>
                    <a:prstGeom prst="rect">
                      <a:avLst/>
                    </a:prstGeom>
                    <a:noFill/>
                    <a:ln>
                      <a:noFill/>
                    </a:ln>
                  </pic:spPr>
                </pic:pic>
              </a:graphicData>
            </a:graphic>
          </wp:inline>
        </w:drawing>
      </w:r>
    </w:p>
    <w:p>
      <w:pPr>
        <w:spacing w:line="240" w:lineRule="auto"/>
        <w:rPr>
          <w:noProof/>
          <w:sz w:val="24"/>
          <w:szCs w:val="24"/>
        </w:rPr>
      </w:pPr>
      <w:r>
        <w:rPr>
          <w:noProof/>
          <w:sz w:val="24"/>
          <w:szCs w:val="24"/>
        </w:rPr>
        <w:t>It includes a detailed numerical model on biomass supply, namely PRIMES-Biomass, which simulates the economics of supply of biomass and waste for energy purposes through a network of current and future processes. The model transforms biomass (or waste) feedstock, thus primary feedstock or residues, into bio-energy commodities which undergo further transformation in the energy system e.g. as input into power plants, heating boilers or fuels for transportation. The model calculates the inputs in terms of primary feedstock of biomass and waste to satisfy a given demand for bio-energy commodities and provides quantification of the required production capacity (for plants transforming feedstock into bioenergy commodities). Furthermore, all the costs resulting from the production of bioenergy commodities and the resulting prices are quantified. The PRIMES-Biomass model is a key link of communication between the energy system projections obtained by the core PRIMES energy system model and the projections on agriculture, forestry and non-CO</w:t>
      </w:r>
      <w:r>
        <w:rPr>
          <w:noProof/>
          <w:sz w:val="24"/>
          <w:szCs w:val="24"/>
          <w:vertAlign w:val="subscript"/>
        </w:rPr>
        <w:t>2</w:t>
      </w:r>
      <w:r>
        <w:rPr>
          <w:noProof/>
          <w:sz w:val="24"/>
          <w:szCs w:val="24"/>
        </w:rPr>
        <w:t xml:space="preserve"> emissions provided by other modelling tools participating in the scenario modelling suite (CAPRI, GLOBIOM/G4M, GAINS). </w:t>
      </w:r>
    </w:p>
    <w:p>
      <w:pPr>
        <w:spacing w:line="240" w:lineRule="auto"/>
        <w:rPr>
          <w:noProof/>
          <w:sz w:val="24"/>
          <w:szCs w:val="24"/>
        </w:rPr>
      </w:pPr>
      <w:r>
        <w:rPr>
          <w:noProof/>
          <w:sz w:val="24"/>
          <w:szCs w:val="24"/>
        </w:rPr>
        <w:t>PRIMES is a private model maintained by E3Modelling</w:t>
      </w:r>
      <w:r>
        <w:rPr>
          <w:rStyle w:val="FootnoteReference"/>
          <w:noProof/>
          <w:sz w:val="24"/>
          <w:szCs w:val="24"/>
        </w:rPr>
        <w:footnoteReference w:id="637"/>
      </w:r>
      <w:r>
        <w:rPr>
          <w:noProof/>
          <w:sz w:val="24"/>
          <w:szCs w:val="24"/>
        </w:rPr>
        <w:t>, originally developed in the context of a series of research programmes co-financed by the European Commission. The model has been successfully peer-reviewed, most recently in 2011</w:t>
      </w:r>
      <w:r>
        <w:rPr>
          <w:rStyle w:val="FootnoteReference"/>
          <w:noProof/>
          <w:sz w:val="24"/>
          <w:szCs w:val="24"/>
        </w:rPr>
        <w:footnoteReference w:id="638"/>
      </w:r>
      <w:r>
        <w:rPr>
          <w:noProof/>
          <w:sz w:val="24"/>
          <w:szCs w:val="24"/>
        </w:rPr>
        <w:t>; team members regularly participate in international conferences and publish in scientific peer-reviewed journals.</w:t>
      </w:r>
    </w:p>
    <w:p>
      <w:pPr>
        <w:spacing w:line="240" w:lineRule="auto"/>
        <w:rPr>
          <w:noProof/>
          <w:sz w:val="24"/>
          <w:szCs w:val="24"/>
          <w:u w:val="single"/>
        </w:rPr>
      </w:pPr>
      <w:r>
        <w:rPr>
          <w:noProof/>
          <w:sz w:val="24"/>
          <w:szCs w:val="24"/>
          <w:u w:val="single"/>
        </w:rPr>
        <w:t>Sources for data inputs</w:t>
      </w:r>
    </w:p>
    <w:p>
      <w:pPr>
        <w:spacing w:line="240" w:lineRule="auto"/>
        <w:rPr>
          <w:noProof/>
          <w:sz w:val="24"/>
          <w:szCs w:val="24"/>
        </w:rPr>
      </w:pPr>
      <w:r>
        <w:rPr>
          <w:noProof/>
          <w:sz w:val="24"/>
          <w:szCs w:val="24"/>
        </w:rPr>
        <w:t>A summary of database sources, in the current version of PRIMES, is provided below:</w:t>
      </w:r>
    </w:p>
    <w:p>
      <w:pPr>
        <w:pStyle w:val="ListParagraph"/>
        <w:numPr>
          <w:ilvl w:val="0"/>
          <w:numId w:val="150"/>
        </w:numPr>
        <w:spacing w:after="160" w:line="259" w:lineRule="auto"/>
        <w:ind w:left="426" w:hanging="426"/>
        <w:rPr>
          <w:noProof/>
          <w:sz w:val="24"/>
          <w:szCs w:val="24"/>
        </w:rPr>
      </w:pPr>
      <w:r>
        <w:rPr>
          <w:noProof/>
          <w:sz w:val="24"/>
          <w:szCs w:val="24"/>
        </w:rPr>
        <w:t>Eurostat and EEA: Energy Balance sheets, Energy prices (complemented by other sources, such IEA), macroeconomic and sectoral activity data (PRIMES sectors correspond to NACE 3-digit classification), population data and projections, physical activity data (complemented by other sources), CHP surveys, CO</w:t>
      </w:r>
      <w:r>
        <w:rPr>
          <w:noProof/>
          <w:sz w:val="24"/>
          <w:szCs w:val="24"/>
          <w:vertAlign w:val="subscript"/>
        </w:rPr>
        <w:t>2</w:t>
      </w:r>
      <w:r>
        <w:rPr>
          <w:noProof/>
          <w:sz w:val="24"/>
          <w:szCs w:val="24"/>
        </w:rPr>
        <w:t xml:space="preserve"> emission factors (sectoral and reference approaches) and EU ETS registry for allocating emissions between ETS and non ETS</w:t>
      </w:r>
    </w:p>
    <w:p>
      <w:pPr>
        <w:pStyle w:val="ListParagraph"/>
        <w:numPr>
          <w:ilvl w:val="0"/>
          <w:numId w:val="150"/>
        </w:numPr>
        <w:spacing w:after="160" w:line="259" w:lineRule="auto"/>
        <w:ind w:left="426" w:hanging="426"/>
        <w:rPr>
          <w:noProof/>
          <w:sz w:val="24"/>
          <w:szCs w:val="24"/>
        </w:rPr>
      </w:pPr>
      <w:r>
        <w:rPr>
          <w:noProof/>
          <w:sz w:val="24"/>
          <w:szCs w:val="24"/>
        </w:rPr>
        <w:t>Technology databases: ODYSSEE-MURE</w:t>
      </w:r>
      <w:r>
        <w:rPr>
          <w:rStyle w:val="FootnoteReference"/>
          <w:noProof/>
          <w:sz w:val="24"/>
          <w:szCs w:val="24"/>
        </w:rPr>
        <w:footnoteReference w:id="639"/>
      </w:r>
      <w:r>
        <w:rPr>
          <w:noProof/>
          <w:sz w:val="24"/>
          <w:szCs w:val="24"/>
        </w:rPr>
        <w:t>, ICARUS, Eco-design, VGB (power technology costs), TECHPOL – supply sector technologies, NEMS model database</w:t>
      </w:r>
      <w:r>
        <w:rPr>
          <w:rStyle w:val="FootnoteReference"/>
          <w:noProof/>
          <w:sz w:val="24"/>
          <w:szCs w:val="24"/>
        </w:rPr>
        <w:footnoteReference w:id="640"/>
      </w:r>
      <w:r>
        <w:rPr>
          <w:noProof/>
          <w:sz w:val="24"/>
          <w:szCs w:val="24"/>
        </w:rPr>
        <w:t>, IPPC BAT Technologies</w:t>
      </w:r>
      <w:r>
        <w:rPr>
          <w:rStyle w:val="FootnoteReference"/>
          <w:noProof/>
          <w:sz w:val="24"/>
          <w:szCs w:val="24"/>
        </w:rPr>
        <w:footnoteReference w:id="641"/>
      </w:r>
    </w:p>
    <w:p>
      <w:pPr>
        <w:pStyle w:val="ListParagraph"/>
        <w:numPr>
          <w:ilvl w:val="0"/>
          <w:numId w:val="150"/>
        </w:numPr>
        <w:spacing w:after="160" w:line="259" w:lineRule="auto"/>
        <w:ind w:left="426" w:hanging="426"/>
        <w:rPr>
          <w:noProof/>
          <w:sz w:val="24"/>
          <w:szCs w:val="24"/>
        </w:rPr>
      </w:pPr>
      <w:r>
        <w:rPr>
          <w:noProof/>
          <w:sz w:val="24"/>
          <w:szCs w:val="24"/>
        </w:rPr>
        <w:t>Power Plant Inventory: ESAP SA and PLATTS</w:t>
      </w:r>
    </w:p>
    <w:p>
      <w:pPr>
        <w:pStyle w:val="ListParagraph"/>
        <w:numPr>
          <w:ilvl w:val="0"/>
          <w:numId w:val="150"/>
        </w:numPr>
        <w:spacing w:after="160" w:line="259" w:lineRule="auto"/>
        <w:ind w:left="426" w:hanging="426"/>
        <w:rPr>
          <w:noProof/>
          <w:sz w:val="24"/>
          <w:szCs w:val="24"/>
        </w:rPr>
      </w:pPr>
      <w:r>
        <w:rPr>
          <w:noProof/>
          <w:sz w:val="24"/>
          <w:szCs w:val="24"/>
        </w:rPr>
        <w:t>RES capacities, potential and availability: JRC ENSPRESO</w:t>
      </w:r>
      <w:r>
        <w:rPr>
          <w:rStyle w:val="FootnoteReference"/>
          <w:noProof/>
          <w:sz w:val="24"/>
          <w:szCs w:val="24"/>
        </w:rPr>
        <w:footnoteReference w:id="642"/>
      </w:r>
      <w:r>
        <w:rPr>
          <w:noProof/>
          <w:sz w:val="24"/>
          <w:szCs w:val="24"/>
        </w:rPr>
        <w:t>, JRC EMHIRES</w:t>
      </w:r>
      <w:r>
        <w:rPr>
          <w:rStyle w:val="FootnoteReference"/>
          <w:noProof/>
          <w:sz w:val="24"/>
          <w:szCs w:val="24"/>
        </w:rPr>
        <w:footnoteReference w:id="643"/>
      </w:r>
      <w:r>
        <w:rPr>
          <w:noProof/>
          <w:sz w:val="24"/>
          <w:szCs w:val="24"/>
        </w:rPr>
        <w:t>, RES ninja</w:t>
      </w:r>
      <w:r>
        <w:rPr>
          <w:rStyle w:val="FootnoteReference"/>
          <w:noProof/>
          <w:sz w:val="24"/>
          <w:szCs w:val="24"/>
        </w:rPr>
        <w:footnoteReference w:id="644"/>
      </w:r>
      <w:r>
        <w:rPr>
          <w:noProof/>
          <w:sz w:val="24"/>
          <w:szCs w:val="24"/>
        </w:rPr>
        <w:t>, ECN, DLR and Observer, IRENA</w:t>
      </w:r>
    </w:p>
    <w:p>
      <w:pPr>
        <w:pStyle w:val="ListParagraph"/>
        <w:numPr>
          <w:ilvl w:val="0"/>
          <w:numId w:val="150"/>
        </w:numPr>
        <w:spacing w:before="120" w:line="259" w:lineRule="auto"/>
        <w:ind w:left="426" w:hanging="426"/>
        <w:rPr>
          <w:noProof/>
          <w:sz w:val="24"/>
          <w:szCs w:val="24"/>
        </w:rPr>
      </w:pPr>
      <w:r>
        <w:rPr>
          <w:noProof/>
          <w:sz w:val="24"/>
          <w:szCs w:val="24"/>
        </w:rPr>
        <w:t>Network infrastructure: ENTSOE, GIE, other operators</w:t>
      </w:r>
    </w:p>
    <w:p>
      <w:pPr>
        <w:pStyle w:val="ListParagraph"/>
        <w:numPr>
          <w:ilvl w:val="0"/>
          <w:numId w:val="150"/>
        </w:numPr>
        <w:spacing w:before="120" w:line="259" w:lineRule="auto"/>
        <w:ind w:left="426" w:hanging="426"/>
        <w:rPr>
          <w:noProof/>
          <w:sz w:val="24"/>
          <w:szCs w:val="24"/>
        </w:rPr>
      </w:pPr>
      <w:r>
        <w:rPr>
          <w:noProof/>
          <w:sz w:val="24"/>
          <w:szCs w:val="24"/>
        </w:rPr>
        <w:t>Other databases: District heating surveys (e.g. from COGEN), buildings and houses statistics and surveys (various sources, including ENTRANZE project</w:t>
      </w:r>
      <w:r>
        <w:rPr>
          <w:rStyle w:val="FootnoteReference"/>
          <w:noProof/>
          <w:sz w:val="24"/>
          <w:szCs w:val="24"/>
        </w:rPr>
        <w:footnoteReference w:id="645"/>
      </w:r>
      <w:r>
        <w:rPr>
          <w:noProof/>
          <w:sz w:val="24"/>
          <w:szCs w:val="24"/>
        </w:rPr>
        <w:t>, INSPIRE archive, BPIE</w:t>
      </w:r>
      <w:r>
        <w:rPr>
          <w:rStyle w:val="FootnoteReference"/>
          <w:noProof/>
          <w:sz w:val="24"/>
          <w:szCs w:val="24"/>
        </w:rPr>
        <w:footnoteReference w:id="646"/>
      </w:r>
      <w:r>
        <w:rPr>
          <w:noProof/>
          <w:sz w:val="24"/>
          <w:szCs w:val="24"/>
        </w:rPr>
        <w:t>), JRC-IDEES</w:t>
      </w:r>
      <w:r>
        <w:rPr>
          <w:rStyle w:val="FootnoteReference"/>
          <w:noProof/>
          <w:sz w:val="24"/>
          <w:szCs w:val="24"/>
        </w:rPr>
        <w:footnoteReference w:id="647"/>
      </w:r>
      <w:r>
        <w:rPr>
          <w:noProof/>
          <w:sz w:val="24"/>
          <w:szCs w:val="24"/>
        </w:rPr>
        <w:t>, update to the EU Building stock Observatory</w:t>
      </w:r>
      <w:r>
        <w:rPr>
          <w:rStyle w:val="FootnoteReference"/>
          <w:noProof/>
          <w:sz w:val="24"/>
          <w:szCs w:val="24"/>
        </w:rPr>
        <w:footnoteReference w:id="648"/>
      </w:r>
    </w:p>
    <w:p>
      <w:pPr>
        <w:pStyle w:val="Heading5"/>
        <w:keepLines/>
        <w:spacing w:before="240" w:after="240"/>
        <w:ind w:left="1009" w:hanging="1009"/>
        <w:rPr>
          <w:noProof/>
          <w:sz w:val="24"/>
          <w:szCs w:val="24"/>
        </w:rPr>
      </w:pPr>
      <w:r>
        <w:rPr>
          <w:noProof/>
          <w:sz w:val="24"/>
          <w:szCs w:val="24"/>
        </w:rPr>
        <w:t xml:space="preserve">Transport: the PRIMES-TREMOVE model </w:t>
      </w:r>
    </w:p>
    <w:p>
      <w:pPr>
        <w:spacing w:line="240" w:lineRule="auto"/>
        <w:rPr>
          <w:noProof/>
          <w:sz w:val="24"/>
          <w:szCs w:val="24"/>
        </w:rPr>
      </w:pPr>
      <w:r>
        <w:rPr>
          <w:noProof/>
          <w:sz w:val="24"/>
          <w:szCs w:val="24"/>
        </w:rPr>
        <w:t xml:space="preserve">The PRIMES-TREMOVE transport model projects the evolution of demand for passengers and freight transport, by transport mode, and transport vehicle/technology, following a formulation based on microeconomic foundation of decisions of multiple actors. Operation, investment and emission costs, various policy measures, utility factors and congestion are among the drivers that influence the projections of the model. The projections of activity, equipment (fleet), usage of equipment, energy consumption and emissions (and other externalities) constitute the set of model outputs. </w:t>
      </w:r>
    </w:p>
    <w:p>
      <w:pPr>
        <w:spacing w:line="240" w:lineRule="auto"/>
        <w:rPr>
          <w:noProof/>
          <w:sz w:val="24"/>
          <w:szCs w:val="24"/>
        </w:rPr>
      </w:pPr>
      <w:r>
        <w:rPr>
          <w:noProof/>
          <w:sz w:val="24"/>
          <w:szCs w:val="24"/>
        </w:rPr>
        <w:t>The PRIMES-TREMOVE transport model can therefore provide the quantitative analysis for the transport sector in the EU, candidate and neighbouring countries covering activity, equipment, energy and emissions. The model accounts for each country separately which means that the detailed long-term outlooks are available both for each country and in aggregate forms (e.g. EU level).</w:t>
      </w:r>
    </w:p>
    <w:p>
      <w:pPr>
        <w:spacing w:line="240" w:lineRule="auto"/>
        <w:rPr>
          <w:noProof/>
          <w:sz w:val="24"/>
          <w:szCs w:val="24"/>
        </w:rPr>
      </w:pPr>
      <w:r>
        <w:rPr>
          <w:noProof/>
          <w:sz w:val="24"/>
          <w:szCs w:val="24"/>
        </w:rPr>
        <w:t xml:space="preserve">In the transport field, PRIMES-TREMOVE is suitable for modelling </w:t>
      </w:r>
      <w:r>
        <w:rPr>
          <w:i/>
          <w:iCs/>
          <w:noProof/>
          <w:sz w:val="24"/>
          <w:szCs w:val="24"/>
        </w:rPr>
        <w:t>soft measures</w:t>
      </w:r>
      <w:r>
        <w:rPr>
          <w:noProof/>
          <w:sz w:val="24"/>
          <w:szCs w:val="24"/>
        </w:rPr>
        <w:t xml:space="preserve"> (e.g. eco-driving, labelling); </w:t>
      </w:r>
      <w:r>
        <w:rPr>
          <w:i/>
          <w:iCs/>
          <w:noProof/>
          <w:sz w:val="24"/>
          <w:szCs w:val="24"/>
        </w:rPr>
        <w:t>economic measures</w:t>
      </w:r>
      <w:r>
        <w:rPr>
          <w:noProof/>
          <w:sz w:val="24"/>
          <w:szCs w:val="24"/>
        </w:rPr>
        <w:t xml:space="preserve"> (e.g. subsidies and taxes on fuels, vehicles, emissions; ETS for transport when linked with PRIMES; pricing of congestion and other externalities such as air pollution; accidents and noise; measures supporting R&amp;D); </w:t>
      </w:r>
      <w:r>
        <w:rPr>
          <w:i/>
          <w:iCs/>
          <w:noProof/>
          <w:sz w:val="24"/>
          <w:szCs w:val="24"/>
        </w:rPr>
        <w:t>regulatory measures</w:t>
      </w:r>
      <w:r>
        <w:rPr>
          <w:noProof/>
          <w:sz w:val="24"/>
          <w:szCs w:val="24"/>
        </w:rPr>
        <w:t xml:space="preserve"> (e.g. CO</w:t>
      </w:r>
      <w:r>
        <w:rPr>
          <w:noProof/>
          <w:sz w:val="24"/>
          <w:szCs w:val="24"/>
          <w:vertAlign w:val="subscript"/>
        </w:rPr>
        <w:t>2</w:t>
      </w:r>
      <w:r>
        <w:rPr>
          <w:noProof/>
          <w:sz w:val="24"/>
          <w:szCs w:val="24"/>
        </w:rPr>
        <w:t xml:space="preserve"> emission performance standards for new passenger and heavy duty vehicles; EURO standards on road transport vehicles; technology standards for non-road transport technologies, deployment of Intelligent Transport Systems) and </w:t>
      </w:r>
      <w:r>
        <w:rPr>
          <w:i/>
          <w:iCs/>
          <w:noProof/>
          <w:sz w:val="24"/>
          <w:szCs w:val="24"/>
        </w:rPr>
        <w:t>infrastructure policies for alternative fuels</w:t>
      </w:r>
      <w:r>
        <w:rPr>
          <w:noProof/>
          <w:sz w:val="24"/>
          <w:szCs w:val="24"/>
        </w:rPr>
        <w:t xml:space="preserve"> (e.g. deployment of refuelling/recharging infrastructure for electricity, hydrogen, LNG, CNG). Used as a module that contributes to the PRIMES model energy system model, PRIMES-TREMOVE can show how policies and trends in the field of transport contribute to economy-wide trends in energy use and emissions. Using data disaggregated per Member State, the model can show differentiated trends across Member States. </w:t>
      </w:r>
    </w:p>
    <w:p>
      <w:pPr>
        <w:spacing w:line="240" w:lineRule="auto"/>
        <w:rPr>
          <w:noProof/>
          <w:color w:val="000000"/>
          <w:sz w:val="24"/>
          <w:szCs w:val="24"/>
        </w:rPr>
      </w:pPr>
      <w:r>
        <w:rPr>
          <w:noProof/>
          <w:sz w:val="24"/>
          <w:szCs w:val="24"/>
        </w:rPr>
        <w:t>The PRIMES-TREMOVE has been developed and is maintained by E3Modelling, based on, but extending features of, the open source TREMOVE model developed by the TREMOVE</w:t>
      </w:r>
      <w:r>
        <w:rPr>
          <w:rStyle w:val="FootnoteReference"/>
          <w:noProof/>
          <w:sz w:val="24"/>
          <w:szCs w:val="24"/>
        </w:rPr>
        <w:footnoteReference w:id="649"/>
      </w:r>
      <w:r>
        <w:rPr>
          <w:noProof/>
          <w:sz w:val="24"/>
          <w:szCs w:val="24"/>
        </w:rPr>
        <w:t xml:space="preserve"> modelling community. </w:t>
      </w:r>
      <w:r>
        <w:rPr>
          <w:noProof/>
          <w:color w:val="000000"/>
          <w:sz w:val="24"/>
          <w:szCs w:val="24"/>
        </w:rPr>
        <w:t>Part of the model (e.g. the utility nested tree) was built following the TREMOVE model.</w:t>
      </w:r>
      <w:r>
        <w:rPr>
          <w:rStyle w:val="FootnoteReference"/>
          <w:noProof/>
          <w:color w:val="000000"/>
          <w:sz w:val="24"/>
          <w:szCs w:val="24"/>
        </w:rPr>
        <w:footnoteReference w:id="650"/>
      </w:r>
      <w:r>
        <w:rPr>
          <w:noProof/>
          <w:color w:val="000000"/>
          <w:sz w:val="24"/>
          <w:szCs w:val="24"/>
        </w:rPr>
        <w:t xml:space="preserve"> Other parts, like the component on fuel consumption and emissions, follow the COPERT model.</w:t>
      </w:r>
    </w:p>
    <w:p>
      <w:pPr>
        <w:spacing w:line="240" w:lineRule="auto"/>
        <w:rPr>
          <w:noProof/>
          <w:sz w:val="24"/>
          <w:szCs w:val="24"/>
          <w:u w:val="single"/>
        </w:rPr>
      </w:pPr>
      <w:bookmarkStart w:id="5686" w:name="section_3"/>
      <w:bookmarkEnd w:id="5686"/>
      <w:r>
        <w:rPr>
          <w:noProof/>
          <w:sz w:val="24"/>
          <w:szCs w:val="24"/>
          <w:u w:val="single"/>
        </w:rPr>
        <w:t>Data inputs</w:t>
      </w:r>
    </w:p>
    <w:p>
      <w:pPr>
        <w:spacing w:line="240" w:lineRule="auto"/>
        <w:rPr>
          <w:noProof/>
          <w:sz w:val="24"/>
          <w:szCs w:val="24"/>
        </w:rPr>
      </w:pPr>
      <w:r>
        <w:rPr>
          <w:noProof/>
          <w:sz w:val="24"/>
          <w:szCs w:val="24"/>
        </w:rPr>
        <w:t>The main data sources for inputs to the PRIMES-TREMOVE model, such as for activity and energy consumption, comes from EUROSTAT database and from the Statistical Pocketbook "EU transport in figures</w:t>
      </w:r>
      <w:r>
        <w:rPr>
          <w:rStyle w:val="FootnoteReference"/>
          <w:noProof/>
          <w:sz w:val="24"/>
          <w:szCs w:val="24"/>
        </w:rPr>
        <w:footnoteReference w:id="651"/>
      </w:r>
      <w:r>
        <w:rPr>
          <w:noProof/>
          <w:sz w:val="24"/>
          <w:szCs w:val="24"/>
        </w:rPr>
        <w:t>. Excise taxes are derived from DG TAXUD excise duty tables. Other data comes from different sources such as research projects (e.g. TRACCS project) and reports.</w:t>
      </w:r>
    </w:p>
    <w:p>
      <w:pPr>
        <w:spacing w:line="240" w:lineRule="auto"/>
        <w:rPr>
          <w:noProof/>
          <w:sz w:val="24"/>
          <w:szCs w:val="24"/>
        </w:rPr>
      </w:pPr>
      <w:r>
        <w:rPr>
          <w:noProof/>
          <w:sz w:val="24"/>
          <w:szCs w:val="24"/>
        </w:rPr>
        <w:t>In the context of this exercise, the PRIMES-TREMOVE transport model is calibrated to 2005, 2010 and 2015 historical data.</w:t>
      </w:r>
    </w:p>
    <w:p>
      <w:pPr>
        <w:pStyle w:val="Heading5"/>
        <w:keepLines/>
        <w:spacing w:before="240" w:after="240"/>
        <w:ind w:left="1009" w:hanging="1009"/>
        <w:rPr>
          <w:noProof/>
          <w:sz w:val="24"/>
          <w:szCs w:val="24"/>
        </w:rPr>
      </w:pPr>
      <w:r>
        <w:rPr>
          <w:noProof/>
          <w:sz w:val="24"/>
          <w:szCs w:val="24"/>
        </w:rPr>
        <w:t>Non-CO</w:t>
      </w:r>
      <w:r>
        <w:rPr>
          <w:noProof/>
          <w:sz w:val="24"/>
          <w:szCs w:val="24"/>
          <w:vertAlign w:val="subscript"/>
        </w:rPr>
        <w:t>2</w:t>
      </w:r>
      <w:r>
        <w:rPr>
          <w:noProof/>
          <w:sz w:val="24"/>
          <w:szCs w:val="24"/>
        </w:rPr>
        <w:t xml:space="preserve"> GHG emissions and air pollution: GAINS </w:t>
      </w:r>
    </w:p>
    <w:p>
      <w:pPr>
        <w:spacing w:line="240" w:lineRule="auto"/>
        <w:rPr>
          <w:noProof/>
          <w:sz w:val="24"/>
          <w:szCs w:val="24"/>
        </w:rPr>
      </w:pPr>
      <w:r>
        <w:rPr>
          <w:noProof/>
          <w:sz w:val="24"/>
          <w:szCs w:val="24"/>
        </w:rPr>
        <w:t>The GAINS (Greenhouse gas and Air Pollution Information and Simulation) model is an integrated assessment model of air pollutant and greenhouse gas emissions and their interactions. GAINS brings together data on economic development, the structure, control potential and costs of emission sources and the formation and dispersion of pollutants in the atmosphere.</w:t>
      </w:r>
    </w:p>
    <w:p>
      <w:pPr>
        <w:spacing w:line="240" w:lineRule="auto"/>
        <w:rPr>
          <w:noProof/>
          <w:sz w:val="24"/>
          <w:szCs w:val="24"/>
        </w:rPr>
      </w:pPr>
      <w:r>
        <w:rPr>
          <w:noProof/>
          <w:sz w:val="24"/>
          <w:szCs w:val="24"/>
        </w:rPr>
        <w:t>In addition to the projection and mitigation of greenhouse gas emissions at detailed sub-sectorial level, GAINS assesses air pollution impacts on human health from fine particulate matter and ground-level ozone, vegetation damage caused by ground-level ozone, the acidification of terrestrial and aquatic ecosystems and excess nitrogen deposition of soils.</w:t>
      </w:r>
    </w:p>
    <w:p>
      <w:pPr>
        <w:spacing w:line="240" w:lineRule="auto"/>
        <w:rPr>
          <w:noProof/>
          <w:sz w:val="24"/>
          <w:szCs w:val="24"/>
        </w:rPr>
      </w:pPr>
      <w:r>
        <w:rPr>
          <w:noProof/>
          <w:sz w:val="24"/>
          <w:szCs w:val="24"/>
        </w:rPr>
        <w:t>Model uses include the projection of non-CO</w:t>
      </w:r>
      <w:r>
        <w:rPr>
          <w:noProof/>
          <w:sz w:val="24"/>
          <w:szCs w:val="24"/>
          <w:vertAlign w:val="subscript"/>
        </w:rPr>
        <w:t>2</w:t>
      </w:r>
      <w:r>
        <w:rPr>
          <w:noProof/>
          <w:sz w:val="24"/>
          <w:szCs w:val="24"/>
        </w:rPr>
        <w:t xml:space="preserve"> GHG emissions and air pollutant emissions for EU Reference scenario and policy scenarios, calibrated to UNFCCC emission data as historical data source. This allows for an assessment, per Member State, of the (technical) options and emission potential for non-CO</w:t>
      </w:r>
      <w:r>
        <w:rPr>
          <w:noProof/>
          <w:sz w:val="24"/>
          <w:szCs w:val="24"/>
          <w:vertAlign w:val="subscript"/>
        </w:rPr>
        <w:t>2</w:t>
      </w:r>
      <w:r>
        <w:rPr>
          <w:noProof/>
          <w:sz w:val="24"/>
          <w:szCs w:val="24"/>
        </w:rPr>
        <w:t xml:space="preserve"> emissions. Health and environmental co-benefits of climate and energy policies such as energy efficiency can also be assessed.</w:t>
      </w:r>
    </w:p>
    <w:p>
      <w:pPr>
        <w:spacing w:line="240" w:lineRule="auto"/>
        <w:rPr>
          <w:noProof/>
          <w:sz w:val="24"/>
          <w:szCs w:val="24"/>
        </w:rPr>
      </w:pPr>
      <w:r>
        <w:rPr>
          <w:noProof/>
          <w:sz w:val="24"/>
          <w:szCs w:val="24"/>
        </w:rPr>
        <w:t>The GAINS model is accessible for expert users through a model interface</w:t>
      </w:r>
      <w:r>
        <w:rPr>
          <w:rStyle w:val="FootnoteReference"/>
          <w:noProof/>
          <w:sz w:val="24"/>
          <w:szCs w:val="24"/>
        </w:rPr>
        <w:footnoteReference w:id="652"/>
      </w:r>
      <w:r>
        <w:rPr>
          <w:noProof/>
          <w:sz w:val="24"/>
          <w:szCs w:val="24"/>
        </w:rPr>
        <w:t xml:space="preserve"> and has been developed and is maintained by the International Institute of Applied Systems Analysis</w:t>
      </w:r>
      <w:r>
        <w:rPr>
          <w:rStyle w:val="FootnoteReference"/>
          <w:noProof/>
          <w:sz w:val="24"/>
          <w:szCs w:val="24"/>
        </w:rPr>
        <w:footnoteReference w:id="653"/>
      </w:r>
      <w:r>
        <w:rPr>
          <w:noProof/>
          <w:sz w:val="24"/>
          <w:szCs w:val="24"/>
        </w:rPr>
        <w:t>. The underlying algorithms are described in publicly available literature. GAINS and its predecessor RAINS have been peer reviewed multiple times, in 2004, 2009 and 2011.</w:t>
      </w:r>
    </w:p>
    <w:p>
      <w:pPr>
        <w:spacing w:line="240" w:lineRule="auto"/>
        <w:rPr>
          <w:noProof/>
          <w:sz w:val="24"/>
          <w:szCs w:val="24"/>
          <w:u w:val="single"/>
        </w:rPr>
      </w:pPr>
      <w:r>
        <w:rPr>
          <w:noProof/>
          <w:sz w:val="24"/>
          <w:szCs w:val="24"/>
          <w:u w:val="single"/>
        </w:rPr>
        <w:t>Sources for data inputs</w:t>
      </w:r>
    </w:p>
    <w:p>
      <w:pPr>
        <w:spacing w:line="240" w:lineRule="auto"/>
        <w:rPr>
          <w:noProof/>
          <w:sz w:val="24"/>
          <w:szCs w:val="24"/>
        </w:rPr>
      </w:pPr>
      <w:r>
        <w:rPr>
          <w:noProof/>
          <w:sz w:val="24"/>
          <w:szCs w:val="24"/>
        </w:rPr>
        <w:t xml:space="preserve">The GAINS model assess emissions to air for given externally produced activity data scenarios. For Europe, GAINS uses macroeconomic and energy sector scenarios from the PRIMES model, for agricultural sector activity data GAINS adopts historical data from EUROSTAT and aligns these with future projections from the CAPRI model. Projections for waste generation, organic content of wastewater and consumption of F-gases are projected in GAINS in consistency with macroeconomic and population scenarios from PRIMES. For global scenarios, GAINS uses macroeconomic and energy sector projections from IEA World Energy Outlook scenarios and agricultural sector projections from FAO. All other input data to GAINS, i.e., sector- and technology- specific emission factors and cost parameters, are taken from literature and referenced in the documentation. </w:t>
      </w:r>
    </w:p>
    <w:p>
      <w:pPr>
        <w:pStyle w:val="Heading5"/>
        <w:keepLines/>
        <w:spacing w:before="240" w:after="240" w:line="240" w:lineRule="auto"/>
        <w:ind w:left="1009" w:hanging="1009"/>
        <w:rPr>
          <w:noProof/>
          <w:sz w:val="24"/>
          <w:szCs w:val="24"/>
        </w:rPr>
      </w:pPr>
      <w:r>
        <w:rPr>
          <w:noProof/>
          <w:sz w:val="24"/>
          <w:szCs w:val="24"/>
        </w:rPr>
        <w:t xml:space="preserve">Forestry and land-use: GLOBIOM-G4M </w:t>
      </w:r>
    </w:p>
    <w:p>
      <w:pPr>
        <w:keepNext/>
        <w:spacing w:line="240" w:lineRule="auto"/>
        <w:rPr>
          <w:noProof/>
          <w:sz w:val="24"/>
          <w:szCs w:val="24"/>
        </w:rPr>
      </w:pPr>
      <w:r>
        <w:rPr>
          <w:noProof/>
          <w:sz w:val="24"/>
          <w:szCs w:val="24"/>
        </w:rPr>
        <w:t>The Global Biosphere Management Model (GLOBIOM) is a global recursive dynamic partial equilibrium model integrating the agricultural, bioenergy and forestry sectors with the aim to provide policy analysis on global issues concerning land use competition between the major land-based production sectors. Agricultural and forestry production as well as bioenergy production are modelled in a detailed way accounting for about 20 globally most important crops, a range of livestock production activities, forestry commodities as well as different energy transformation pathways.</w:t>
      </w:r>
    </w:p>
    <w:p>
      <w:pPr>
        <w:spacing w:line="240" w:lineRule="auto"/>
        <w:rPr>
          <w:noProof/>
          <w:sz w:val="24"/>
          <w:szCs w:val="24"/>
        </w:rPr>
      </w:pPr>
      <w:r>
        <w:rPr>
          <w:noProof/>
          <w:sz w:val="24"/>
          <w:szCs w:val="24"/>
        </w:rPr>
        <w:t xml:space="preserve">GLOBIOM covers 50 world regions / countries, including the EU-27 Member States. </w:t>
      </w:r>
    </w:p>
    <w:p>
      <w:pPr>
        <w:spacing w:line="240" w:lineRule="auto"/>
        <w:rPr>
          <w:noProof/>
          <w:sz w:val="24"/>
          <w:szCs w:val="24"/>
        </w:rPr>
      </w:pPr>
      <w:r>
        <w:rPr>
          <w:noProof/>
          <w:sz w:val="24"/>
          <w:szCs w:val="24"/>
        </w:rPr>
        <w:t>Model uses include the projection of emissions from land use, land use change and forestry (LULUCF) for EU Reference scenario and policy scenarios. For the forestry sector, emissions and removals are projected by the Global Forestry Model (G4M), a geographically explicit agent-based model that assesses afforestation, deforestation and forest management decisions. GLOBIOM-G4M is also used in the LULUCF impact assessment to assess the options (afforestation, deforestation, forest management, and cropland and grassland management) and costs of enhancing the LULUCF sink for each Member State.</w:t>
      </w:r>
    </w:p>
    <w:p>
      <w:pPr>
        <w:spacing w:line="240" w:lineRule="auto"/>
        <w:rPr>
          <w:noProof/>
          <w:sz w:val="24"/>
          <w:szCs w:val="24"/>
        </w:rPr>
      </w:pPr>
      <w:r>
        <w:rPr>
          <w:noProof/>
          <w:sz w:val="24"/>
          <w:szCs w:val="24"/>
        </w:rPr>
        <w:t>The GLOBIOM-G4M has been developed and is maintained by the International Institute of Applied Systems Analysis</w:t>
      </w:r>
      <w:r>
        <w:rPr>
          <w:rStyle w:val="FootnoteReference"/>
          <w:noProof/>
          <w:sz w:val="24"/>
          <w:szCs w:val="24"/>
        </w:rPr>
        <w:footnoteReference w:id="654"/>
      </w:r>
      <w:r>
        <w:rPr>
          <w:noProof/>
          <w:sz w:val="24"/>
          <w:szCs w:val="24"/>
        </w:rPr>
        <w:t>.</w:t>
      </w:r>
    </w:p>
    <w:p>
      <w:pPr>
        <w:spacing w:line="240" w:lineRule="auto"/>
        <w:rPr>
          <w:noProof/>
          <w:sz w:val="24"/>
          <w:szCs w:val="24"/>
          <w:u w:val="single"/>
        </w:rPr>
      </w:pPr>
      <w:r>
        <w:rPr>
          <w:noProof/>
          <w:sz w:val="24"/>
          <w:szCs w:val="24"/>
          <w:u w:val="single"/>
        </w:rPr>
        <w:t>Sources for data inputs</w:t>
      </w:r>
    </w:p>
    <w:p>
      <w:pPr>
        <w:spacing w:line="240" w:lineRule="auto"/>
        <w:rPr>
          <w:noProof/>
          <w:sz w:val="24"/>
          <w:szCs w:val="24"/>
        </w:rPr>
      </w:pPr>
      <w:r>
        <w:rPr>
          <w:noProof/>
          <w:sz w:val="24"/>
          <w:szCs w:val="24"/>
        </w:rPr>
        <w:t>The main market data sources for GLOBIOM-EU are EUROSTAT and FAOSTAT, which provide data at the national level and which are spatially allocated using data from the SPAM model</w:t>
      </w:r>
      <w:r>
        <w:rPr>
          <w:rStyle w:val="FootnoteReference"/>
          <w:noProof/>
          <w:sz w:val="24"/>
          <w:szCs w:val="24"/>
        </w:rPr>
        <w:footnoteReference w:id="655"/>
      </w:r>
      <w:r>
        <w:rPr>
          <w:noProof/>
          <w:sz w:val="24"/>
          <w:szCs w:val="24"/>
        </w:rPr>
        <w:t>. Crop management systems are parameterised based on simulations from the biophysical process-based crop model EPIC. The livestock production system parameterization relies on the dataset by Herrero et al</w:t>
      </w:r>
      <w:r>
        <w:rPr>
          <w:rStyle w:val="FootnoteReference"/>
          <w:noProof/>
          <w:sz w:val="24"/>
          <w:szCs w:val="24"/>
        </w:rPr>
        <w:footnoteReference w:id="656"/>
      </w:r>
      <w:r>
        <w:rPr>
          <w:noProof/>
          <w:sz w:val="24"/>
          <w:szCs w:val="24"/>
        </w:rPr>
        <w:t>. Further datasets are incorporated, coming from the scientific literature and other research projects.</w:t>
      </w:r>
    </w:p>
    <w:p>
      <w:pPr>
        <w:spacing w:line="240" w:lineRule="auto"/>
        <w:rPr>
          <w:noProof/>
          <w:sz w:val="24"/>
          <w:szCs w:val="24"/>
        </w:rPr>
      </w:pPr>
      <w:r>
        <w:rPr>
          <w:noProof/>
          <w:sz w:val="24"/>
          <w:szCs w:val="24"/>
        </w:rPr>
        <w:t>GLOBIOM is calibrated to FAOSTAT data for the year 2000 (average 1998 - 2002) and runs recursively dynamic in 10-year time-steps. In the context of this exercise, baseline trends of agricultural commodities are aligned with FAOSTAT data for 2010/2020 and broadly with AGLINK-COSIMO trends for main agricultural commodities in the EU until 2030.</w:t>
      </w:r>
    </w:p>
    <w:p>
      <w:pPr>
        <w:spacing w:line="240" w:lineRule="auto"/>
        <w:rPr>
          <w:noProof/>
          <w:sz w:val="24"/>
          <w:szCs w:val="24"/>
        </w:rPr>
      </w:pPr>
      <w:r>
        <w:rPr>
          <w:noProof/>
          <w:sz w:val="24"/>
          <w:szCs w:val="24"/>
        </w:rPr>
        <w:t>The main data sources for G4M are CORINE, Forest Europe (MCPFE, 2015)</w:t>
      </w:r>
      <w:r>
        <w:rPr>
          <w:rStyle w:val="FootnoteReference"/>
          <w:noProof/>
          <w:sz w:val="24"/>
          <w:szCs w:val="24"/>
        </w:rPr>
        <w:footnoteReference w:id="657"/>
      </w:r>
      <w:r>
        <w:rPr>
          <w:noProof/>
          <w:sz w:val="24"/>
          <w:szCs w:val="24"/>
        </w:rPr>
        <w:t>, countries’ submissions to UNFCCC and KP, FAO Forest Resource Assessments, and national forest inventory reports. Afforestation and deforestation trends in G4M are calibrated to historical data for the period 2000-2013.</w:t>
      </w:r>
    </w:p>
    <w:p>
      <w:pPr>
        <w:pStyle w:val="Heading5"/>
        <w:keepLines/>
        <w:spacing w:before="240" w:after="240" w:line="240" w:lineRule="auto"/>
        <w:ind w:left="1009" w:hanging="1009"/>
        <w:rPr>
          <w:noProof/>
          <w:sz w:val="24"/>
          <w:szCs w:val="24"/>
        </w:rPr>
      </w:pPr>
      <w:r>
        <w:rPr>
          <w:noProof/>
          <w:sz w:val="24"/>
          <w:szCs w:val="24"/>
        </w:rPr>
        <w:t xml:space="preserve">Agriculture: CAPRI </w:t>
      </w:r>
    </w:p>
    <w:p>
      <w:pPr>
        <w:spacing w:line="240" w:lineRule="auto"/>
        <w:rPr>
          <w:noProof/>
          <w:sz w:val="24"/>
          <w:szCs w:val="24"/>
        </w:rPr>
      </w:pPr>
      <w:r>
        <w:rPr>
          <w:noProof/>
          <w:sz w:val="24"/>
          <w:szCs w:val="24"/>
        </w:rPr>
        <w:t>CAPRI is a global multi-country agricultural sector model, supporting decision making related to the Common Agricultural Policy and environmental policy and therefore with far greater detail for Europe than for other world regions. It is maintained and developed in a network of public and private agencies including the European Commission (JRC), Universities (Bonn University, Swedish University of Agricultural Sciences, Universidad Politécnica de Madrid), research agencies (Thünen Institute), and private agencies (EuroCARE, in charge for use in this modelling cluster); the model takes inputs from GEM-E3, PRIMES and PRIMES Biomass model, provides outputs to GAINS, and exchanges information with GLOBIOM on livestock, crops, and forestry as well as LULUCF effects.</w:t>
      </w:r>
    </w:p>
    <w:p>
      <w:pPr>
        <w:spacing w:line="240" w:lineRule="auto"/>
        <w:rPr>
          <w:noProof/>
          <w:sz w:val="24"/>
          <w:szCs w:val="24"/>
        </w:rPr>
      </w:pPr>
      <w:r>
        <w:rPr>
          <w:noProof/>
          <w:sz w:val="24"/>
          <w:szCs w:val="24"/>
        </w:rPr>
        <w:t>The CAPRI model provides the agricultural outlook for the Reference Scenario, in particular on livestock and fertilisers use, further it provides the impacts on the agricultural sector from changed biofuel demand. Depending on need it may also be used to run climate mitigation scenarios, diet shift scenarios or CAP scenarios.</w:t>
      </w:r>
    </w:p>
    <w:p>
      <w:pPr>
        <w:spacing w:line="240" w:lineRule="auto"/>
        <w:rPr>
          <w:noProof/>
          <w:sz w:val="24"/>
          <w:szCs w:val="24"/>
        </w:rPr>
      </w:pPr>
      <w:r>
        <w:rPr>
          <w:noProof/>
          <w:sz w:val="24"/>
          <w:szCs w:val="24"/>
        </w:rPr>
        <w:t xml:space="preserve">Cross checks are undertaken ex-ante and ex-post to ensure consistency with GLOBIOM on overlapping variables, in particular for the crop sector. </w:t>
      </w:r>
    </w:p>
    <w:p>
      <w:pPr>
        <w:spacing w:line="240" w:lineRule="auto"/>
        <w:rPr>
          <w:noProof/>
          <w:sz w:val="24"/>
          <w:szCs w:val="24"/>
          <w:u w:val="single"/>
        </w:rPr>
      </w:pPr>
      <w:r>
        <w:rPr>
          <w:noProof/>
          <w:sz w:val="24"/>
          <w:szCs w:val="24"/>
          <w:u w:val="single"/>
        </w:rPr>
        <w:t>Sources for data inputs</w:t>
      </w:r>
    </w:p>
    <w:p>
      <w:pPr>
        <w:spacing w:line="240" w:lineRule="auto"/>
        <w:rPr>
          <w:noProof/>
          <w:sz w:val="24"/>
          <w:szCs w:val="24"/>
        </w:rPr>
      </w:pPr>
      <w:r>
        <w:rPr>
          <w:noProof/>
          <w:sz w:val="24"/>
          <w:szCs w:val="24"/>
        </w:rPr>
        <w:t>The main data source for CAPRI is EUROSTAT. This concerns data on production, market balances, land use, animal herds, prices, and sectoral income. EUROSTAT data are complemented with sources for specific topics (like CAP payments or biofuel production). For Western Balkan regions a database matching with the EUROSTAT inputs for CAPRI has been compiled based on national data. For non-European regions the key data source is FAOSTAT, which also serves as a fall back option in case of missing EUROSTAT data. The database compilation is a modelling exercise on its own because usually several sources are available for the same or related items and their reconciliation involves the optimisation to reproduce the hard data as good as possible while maintaining all technical constraints like adding up conditions.</w:t>
      </w:r>
    </w:p>
    <w:p>
      <w:pPr>
        <w:spacing w:line="240" w:lineRule="auto"/>
        <w:rPr>
          <w:noProof/>
          <w:sz w:val="24"/>
          <w:szCs w:val="24"/>
        </w:rPr>
      </w:pPr>
      <w:r>
        <w:rPr>
          <w:noProof/>
          <w:sz w:val="24"/>
          <w:szCs w:val="24"/>
        </w:rPr>
        <w:t>In the context of this exercise, the CAPRI model uses historical data series at least up to 2017, and the first simulation years (2010 and 2015) are calibrated to reproduce the historical data as good as possible.</w:t>
      </w:r>
    </w:p>
    <w:p>
      <w:pPr>
        <w:pStyle w:val="Heading5"/>
        <w:keepLines/>
        <w:spacing w:before="240" w:after="240" w:line="240" w:lineRule="auto"/>
        <w:ind w:left="1009" w:hanging="1009"/>
        <w:rPr>
          <w:noProof/>
          <w:sz w:val="24"/>
          <w:szCs w:val="24"/>
        </w:rPr>
      </w:pPr>
      <w:r>
        <w:rPr>
          <w:noProof/>
          <w:sz w:val="24"/>
          <w:szCs w:val="24"/>
        </w:rPr>
        <w:t>Global climate and energy policy context: POLES-JRC</w:t>
      </w:r>
    </w:p>
    <w:p>
      <w:pPr>
        <w:spacing w:line="240" w:lineRule="auto"/>
        <w:rPr>
          <w:noProof/>
          <w:sz w:val="24"/>
          <w:szCs w:val="24"/>
        </w:rPr>
      </w:pPr>
      <w:r>
        <w:rPr>
          <w:noProof/>
          <w:sz w:val="24"/>
          <w:szCs w:val="24"/>
        </w:rPr>
        <w:t>The POLES-JRC model used to provide the global energy and climate policy context is operated by the JRC</w:t>
      </w:r>
      <w:r>
        <w:rPr>
          <w:rStyle w:val="FootnoteReference"/>
          <w:noProof/>
          <w:sz w:val="24"/>
          <w:szCs w:val="24"/>
        </w:rPr>
        <w:footnoteReference w:id="658"/>
      </w:r>
      <w:r>
        <w:rPr>
          <w:noProof/>
          <w:sz w:val="24"/>
          <w:szCs w:val="24"/>
        </w:rPr>
        <w:t xml:space="preserve">. </w:t>
      </w:r>
    </w:p>
    <w:p>
      <w:pPr>
        <w:spacing w:line="240" w:lineRule="auto"/>
        <w:rPr>
          <w:noProof/>
          <w:sz w:val="24"/>
          <w:szCs w:val="24"/>
        </w:rPr>
      </w:pPr>
      <w:r>
        <w:rPr>
          <w:noProof/>
          <w:sz w:val="24"/>
          <w:szCs w:val="24"/>
        </w:rPr>
        <w:t>POLES is a global energy model that covers the entire energy balance, from final energy demand, transformation and power production to primary supply and trade of energy commodities across countries and regions. It allows assessing the contribution to future energy needs of the various energy types (fossil fuels, nuclear, renewables) and energy vectors.</w:t>
      </w:r>
    </w:p>
    <w:p>
      <w:pPr>
        <w:spacing w:line="240" w:lineRule="auto"/>
        <w:rPr>
          <w:noProof/>
          <w:sz w:val="24"/>
          <w:szCs w:val="24"/>
        </w:rPr>
      </w:pPr>
      <w:r>
        <w:rPr>
          <w:noProof/>
          <w:sz w:val="24"/>
          <w:szCs w:val="24"/>
        </w:rPr>
        <w:t>In addition, it calculates the evolution of GHG emissions: endogenously for the energy-industry sectors and through linkage with specialist models for GHG emissions from land-use and agriculture (GLOBIOM-G4M), and air pollution (GAINS).</w:t>
      </w:r>
    </w:p>
    <w:p>
      <w:pPr>
        <w:spacing w:line="240" w:lineRule="auto"/>
        <w:rPr>
          <w:noProof/>
          <w:sz w:val="24"/>
          <w:szCs w:val="24"/>
        </w:rPr>
      </w:pPr>
      <w:r>
        <w:rPr>
          <w:noProof/>
          <w:sz w:val="24"/>
          <w:szCs w:val="24"/>
        </w:rPr>
        <w:t>The model includes a detailed geographical representation, with a total of 39 non-EU-27 regions and countries covering the world; that includes all G20 countries, detailed OECD and the main non-OECD economies. It operates on a yearly time step, allowing integrating recent developments.</w:t>
      </w:r>
    </w:p>
    <w:p>
      <w:pPr>
        <w:spacing w:line="240" w:lineRule="auto"/>
        <w:rPr>
          <w:noProof/>
          <w:sz w:val="24"/>
          <w:szCs w:val="24"/>
        </w:rPr>
      </w:pPr>
      <w:r>
        <w:rPr>
          <w:noProof/>
          <w:sz w:val="24"/>
          <w:szCs w:val="24"/>
        </w:rPr>
        <w:t>The POLES model is well suited to evaluate the evolution of energy demand in the main world economies and international markets as well as to assess international climate and energy policies. The POLES model has participated in numerous research projects, and has contributed to peer-reviewed analyses published widely</w:t>
      </w:r>
      <w:r>
        <w:rPr>
          <w:rStyle w:val="FootnoteReference"/>
          <w:noProof/>
          <w:sz w:val="24"/>
          <w:szCs w:val="24"/>
        </w:rPr>
        <w:footnoteReference w:id="659"/>
      </w:r>
      <w:r>
        <w:rPr>
          <w:noProof/>
          <w:sz w:val="24"/>
          <w:szCs w:val="24"/>
        </w:rPr>
        <w:t>.</w:t>
      </w:r>
    </w:p>
    <w:p>
      <w:pPr>
        <w:spacing w:line="240" w:lineRule="auto"/>
        <w:rPr>
          <w:noProof/>
          <w:sz w:val="24"/>
          <w:szCs w:val="24"/>
          <w:u w:val="single"/>
        </w:rPr>
      </w:pPr>
      <w:r>
        <w:rPr>
          <w:noProof/>
          <w:sz w:val="24"/>
          <w:szCs w:val="24"/>
          <w:u w:val="single"/>
        </w:rPr>
        <w:t>Sources for data inputs</w:t>
      </w:r>
      <w:r>
        <w:rPr>
          <w:rStyle w:val="FootnoteReference"/>
          <w:noProof/>
          <w:sz w:val="24"/>
          <w:szCs w:val="24"/>
          <w:u w:val="single"/>
        </w:rPr>
        <w:footnoteReference w:id="660"/>
      </w:r>
    </w:p>
    <w:p>
      <w:pPr>
        <w:spacing w:line="240" w:lineRule="auto"/>
        <w:rPr>
          <w:noProof/>
          <w:sz w:val="24"/>
          <w:szCs w:val="24"/>
        </w:rPr>
      </w:pPr>
      <w:r>
        <w:rPr>
          <w:noProof/>
          <w:sz w:val="24"/>
          <w:szCs w:val="24"/>
        </w:rPr>
        <w:t xml:space="preserve">Data on socio-economic activity come from the UN and IIASA (population), the World Bank, IMF and OECD (GDP and economic activity), sectoral databases on industrial and mobility activity. </w:t>
      </w:r>
    </w:p>
    <w:p>
      <w:pPr>
        <w:spacing w:line="240" w:lineRule="auto"/>
        <w:rPr>
          <w:noProof/>
          <w:sz w:val="24"/>
          <w:szCs w:val="24"/>
          <w:lang w:eastAsia="en-US"/>
        </w:rPr>
      </w:pPr>
      <w:r>
        <w:rPr>
          <w:noProof/>
          <w:sz w:val="24"/>
          <w:szCs w:val="24"/>
        </w:rPr>
        <w:t>The main energy data sources of the POLES-JRC model are IEA, Enerdata, BGR, USGS, Platts, BP, NEA.</w:t>
      </w:r>
    </w:p>
    <w:p>
      <w:pPr>
        <w:spacing w:line="240" w:lineRule="auto"/>
        <w:rPr>
          <w:noProof/>
          <w:sz w:val="24"/>
          <w:szCs w:val="24"/>
        </w:rPr>
      </w:pPr>
      <w:r>
        <w:rPr>
          <w:noProof/>
          <w:sz w:val="24"/>
          <w:szCs w:val="24"/>
        </w:rPr>
        <w:t>Fossil energy production costs are based on Rystad, complemented by information from the literature. Renewables potentials are based on NREL, DLR, and GLOBIOM, complemented by information from the literature. The technology costs and learning curves are based on extensive literature review, including but not limited to IEA and the SETIS database.</w:t>
      </w:r>
    </w:p>
    <w:p>
      <w:pPr>
        <w:spacing w:line="240" w:lineRule="auto"/>
        <w:rPr>
          <w:noProof/>
          <w:sz w:val="24"/>
          <w:szCs w:val="24"/>
        </w:rPr>
      </w:pPr>
      <w:r>
        <w:rPr>
          <w:noProof/>
          <w:sz w:val="24"/>
          <w:szCs w:val="24"/>
        </w:rPr>
        <w:t>Emissions data are for UNFCCC, EDGAR, National inventories, FAO.</w:t>
      </w:r>
    </w:p>
    <w:p>
      <w:pPr>
        <w:spacing w:line="240" w:lineRule="auto"/>
        <w:rPr>
          <w:noProof/>
          <w:sz w:val="24"/>
          <w:szCs w:val="24"/>
        </w:rPr>
      </w:pPr>
      <w:r>
        <w:rPr>
          <w:noProof/>
          <w:sz w:val="24"/>
          <w:szCs w:val="24"/>
        </w:rPr>
        <w:t>POLES-JRC work developed for this exercise is based on JRC work for the Global Energy and Climate Outlook (GECO) report series</w:t>
      </w:r>
      <w:r>
        <w:rPr>
          <w:rStyle w:val="FootnoteReference"/>
          <w:noProof/>
          <w:sz w:val="24"/>
          <w:szCs w:val="24"/>
        </w:rPr>
        <w:footnoteReference w:id="661"/>
      </w:r>
      <w:r>
        <w:rPr>
          <w:noProof/>
          <w:sz w:val="24"/>
          <w:szCs w:val="24"/>
        </w:rPr>
        <w:t>. The POLES-JRC model was updated with historical data up to 2018 (population, GDP, energy balances) and 2019 (international energy prices, GDP projections). It includes country policies that have been legislated as of June 2019 or correspond to objectives found in the UNFCCC’s Nationally Determined Contributions.</w:t>
      </w:r>
    </w:p>
    <w:p>
      <w:pPr>
        <w:pStyle w:val="Heading5"/>
        <w:keepLines/>
        <w:spacing w:before="240" w:after="240"/>
        <w:ind w:left="1009" w:hanging="1009"/>
        <w:rPr>
          <w:noProof/>
          <w:sz w:val="24"/>
          <w:szCs w:val="24"/>
        </w:rPr>
      </w:pPr>
      <w:r>
        <w:rPr>
          <w:noProof/>
          <w:sz w:val="24"/>
          <w:szCs w:val="24"/>
        </w:rPr>
        <w:t>GEM-E3</w:t>
      </w:r>
    </w:p>
    <w:p>
      <w:pPr>
        <w:spacing w:line="240" w:lineRule="auto"/>
        <w:rPr>
          <w:noProof/>
          <w:sz w:val="24"/>
          <w:szCs w:val="24"/>
          <w:lang w:eastAsia="en-US"/>
        </w:rPr>
      </w:pPr>
      <w:r>
        <w:rPr>
          <w:noProof/>
          <w:sz w:val="24"/>
          <w:szCs w:val="24"/>
        </w:rPr>
        <w:t xml:space="preserve">GEM-E3 is a large scale multi-sectoral CGE model that features a series of modelling innovations that enables its departure from the constraining framework of standard/textbook CGE models (where all resources are assumed to be fully used) to a modelling system that features a more realistic representation of the complex economic system. The key innovations of the model relate to the explicit representation of the financial sector, semi-endogenous dynamics based on R&amp;D induced technical progress and knowledge spillovers, the representation of multiple households, unemployment in the labour market and endogenous formation of labour skills. The model has detailed sectoral and geographical coverage, with 51 products and 46 countries/regions (global coverage) and it is calibrated to a wide range of datasets comprising of IO tables, financial accounting matrices, institutional transactions, energy balances, GHG inventories, bilateral trade matrices, investment matrices and household budget surveys. All countries in the model are linked through endogenous bilateral trade transactions identifying origin and destination. Particular focus is placed on the representation of the energy system where specialised bottom-up modules of the power generation, buildings and transport sectors have been developed. The model is recursive dynamic coupled with a forward-looking expectations mechanism and produces projections of the economic and energy systems until 2100 in increasing time steps: annual from 2015 to 2030 and then five-year period until 2100. </w:t>
      </w:r>
      <w:r>
        <w:rPr>
          <w:noProof/>
        </w:rPr>
        <w:fldChar w:fldCharType="begin"/>
      </w:r>
      <w:r>
        <w:rPr>
          <w:noProof/>
          <w:sz w:val="24"/>
          <w:szCs w:val="24"/>
        </w:rPr>
        <w:instrText xml:space="preserve"> REF _Ref54045565 \h  \* MERGEFORMAT </w:instrText>
      </w:r>
      <w:r>
        <w:rPr>
          <w:noProof/>
        </w:rPr>
      </w:r>
      <w:r>
        <w:rPr>
          <w:noProof/>
          <w:sz w:val="24"/>
          <w:szCs w:val="24"/>
        </w:rPr>
        <w:fldChar w:fldCharType="separate"/>
      </w:r>
      <w:r>
        <w:rPr>
          <w:noProof/>
          <w:sz w:val="24"/>
          <w:szCs w:val="24"/>
        </w:rPr>
        <w:t>Figure 70</w:t>
      </w:r>
      <w:r>
        <w:rPr>
          <w:noProof/>
        </w:rPr>
        <w:fldChar w:fldCharType="end"/>
      </w:r>
      <w:r>
        <w:rPr>
          <w:noProof/>
          <w:sz w:val="24"/>
          <w:szCs w:val="24"/>
        </w:rPr>
        <w:t xml:space="preserve"> shows a schematic representation of the GEM-E3 model. </w:t>
      </w:r>
    </w:p>
    <w:p>
      <w:pPr>
        <w:pStyle w:val="Caption"/>
        <w:rPr>
          <w:i w:val="0"/>
          <w:noProof/>
        </w:rPr>
      </w:pPr>
      <w:bookmarkStart w:id="5687" w:name="_Ref54045565"/>
      <w:bookmarkStart w:id="5688" w:name="_Toc49271908"/>
      <w:bookmarkStart w:id="5689" w:name="_Toc49441328"/>
      <w:bookmarkStart w:id="5690" w:name="_Toc49530538"/>
      <w:bookmarkStart w:id="5691" w:name="_Toc49529978"/>
      <w:bookmarkStart w:id="5692" w:name="_Toc49531639"/>
      <w:bookmarkStart w:id="5693" w:name="_Toc49262632"/>
      <w:bookmarkStart w:id="5694" w:name="_Toc49269595"/>
      <w:bookmarkStart w:id="5695" w:name="_Toc49272483"/>
      <w:bookmarkStart w:id="5696" w:name="_Toc49437684"/>
      <w:bookmarkStart w:id="5697" w:name="_Toc49525050"/>
      <w:bookmarkStart w:id="5698" w:name="_Toc49532804"/>
      <w:bookmarkStart w:id="5699" w:name="_Toc49775353"/>
      <w:bookmarkStart w:id="5700" w:name="_Toc49774555"/>
      <w:bookmarkStart w:id="5701" w:name="_Toc50396474"/>
      <w:bookmarkStart w:id="5702" w:name="_Toc50406177"/>
      <w:bookmarkStart w:id="5703" w:name="_Toc50995855"/>
      <w:bookmarkStart w:id="5704" w:name="_Toc57291714"/>
      <w:r>
        <w:rPr>
          <w:i w:val="0"/>
          <w:noProof/>
        </w:rPr>
        <w:t xml:space="preserve">Figure </w:t>
      </w:r>
      <w:r>
        <w:rPr>
          <w:noProof/>
        </w:rPr>
        <w:fldChar w:fldCharType="begin"/>
      </w:r>
      <w:r>
        <w:rPr>
          <w:i w:val="0"/>
          <w:noProof/>
        </w:rPr>
        <w:instrText xml:space="preserve"> SEQ Figure \* ARABIC </w:instrText>
      </w:r>
      <w:r>
        <w:rPr>
          <w:i w:val="0"/>
          <w:noProof/>
        </w:rPr>
        <w:fldChar w:fldCharType="separate"/>
      </w:r>
      <w:r>
        <w:rPr>
          <w:i w:val="0"/>
          <w:noProof/>
        </w:rPr>
        <w:t>70</w:t>
      </w:r>
      <w:r>
        <w:rPr>
          <w:noProof/>
        </w:rPr>
        <w:fldChar w:fldCharType="end"/>
      </w:r>
      <w:bookmarkEnd w:id="5687"/>
      <w:r>
        <w:rPr>
          <w:i w:val="0"/>
          <w:noProof/>
        </w:rPr>
        <w:t>: Schematic representation of the GEM-E3 model</w:t>
      </w:r>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p>
    <w:p>
      <w:pPr>
        <w:spacing w:before="120"/>
        <w:jc w:val="center"/>
        <w:rPr>
          <w:noProof/>
        </w:rPr>
      </w:pPr>
      <w:r>
        <w:rPr>
          <w:noProof/>
        </w:rPr>
        <w:drawing>
          <wp:inline distT="0" distB="0" distL="0" distR="0">
            <wp:extent cx="3803650" cy="2875915"/>
            <wp:effectExtent l="0" t="0" r="6350" b="635"/>
            <wp:docPr id="1657890212" name="Picture 165789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3803650" cy="2875915"/>
                    </a:xfrm>
                    <a:prstGeom prst="rect">
                      <a:avLst/>
                    </a:prstGeom>
                    <a:noFill/>
                    <a:ln>
                      <a:noFill/>
                    </a:ln>
                  </pic:spPr>
                </pic:pic>
              </a:graphicData>
            </a:graphic>
          </wp:inline>
        </w:drawing>
      </w:r>
    </w:p>
    <w:p>
      <w:pPr>
        <w:spacing w:before="120"/>
        <w:rPr>
          <w:noProof/>
        </w:rPr>
      </w:pPr>
    </w:p>
    <w:p>
      <w:pPr>
        <w:spacing w:line="240" w:lineRule="auto"/>
        <w:rPr>
          <w:noProof/>
          <w:sz w:val="24"/>
          <w:szCs w:val="24"/>
        </w:rPr>
      </w:pPr>
      <w:r>
        <w:rPr>
          <w:noProof/>
          <w:sz w:val="24"/>
          <w:szCs w:val="24"/>
        </w:rPr>
        <w:t>The model has been used to provide the sectoral economic assumptions as input for this modelling exercise. GEM-E3 produces consistent sectorial value added and trade projections matching GDP and population projections by country taken from other sources such as the ECFIN t+10 projections for economic activity, the Europop and the Ageing Report. The model can also be used to assess the impacts of the energy and climate targets on macroeconomic aggregates such as GDP and employment.</w:t>
      </w:r>
    </w:p>
    <w:p>
      <w:pPr>
        <w:spacing w:line="240" w:lineRule="auto"/>
        <w:rPr>
          <w:noProof/>
          <w:sz w:val="24"/>
          <w:szCs w:val="24"/>
        </w:rPr>
      </w:pPr>
      <w:r>
        <w:rPr>
          <w:noProof/>
          <w:sz w:val="24"/>
          <w:szCs w:val="24"/>
        </w:rPr>
        <w:t>The most important results, provided by GEM-E3 are: Full Input-Output tables for each country/region identified in the model, dynamic projections in constant values and deflators of national accounts by country, employment by economic activity and by skill and unemployment rates, capital, interest rates and investment by country and sector, private and public consumption, bilateral trade flows, consumption matrices by product and investment matrix by ownership branch, GHG emissions by country, sector and fuel and detailed energy system projections (energy demand by sector and fuel, power generation mix, deployment of transport technologies, energy efficiency improvements).</w:t>
      </w:r>
    </w:p>
    <w:p>
      <w:pPr>
        <w:spacing w:line="240" w:lineRule="auto"/>
        <w:rPr>
          <w:noProof/>
          <w:sz w:val="24"/>
          <w:szCs w:val="24"/>
        </w:rPr>
      </w:pPr>
      <w:r>
        <w:rPr>
          <w:noProof/>
          <w:sz w:val="24"/>
          <w:szCs w:val="24"/>
        </w:rPr>
        <w:t>This analysis has used mainly the European Commission’s JRC version JRC</w:t>
      </w:r>
      <w:r>
        <w:rPr>
          <w:noProof/>
          <w:sz w:val="24"/>
          <w:szCs w:val="24"/>
        </w:rPr>
        <w:noBreakHyphen/>
        <w:t>GEM</w:t>
      </w:r>
      <w:r>
        <w:rPr>
          <w:noProof/>
          <w:sz w:val="24"/>
          <w:szCs w:val="24"/>
        </w:rPr>
        <w:noBreakHyphen/>
        <w:t>E3</w:t>
      </w:r>
      <w:r>
        <w:rPr>
          <w:rStyle w:val="FootnoteReference"/>
          <w:noProof/>
          <w:sz w:val="24"/>
          <w:szCs w:val="24"/>
        </w:rPr>
        <w:footnoteReference w:id="662"/>
      </w:r>
      <w:r>
        <w:rPr>
          <w:noProof/>
          <w:sz w:val="24"/>
          <w:szCs w:val="24"/>
        </w:rPr>
        <w:t>, complemented by the GEM-E3-FIT version operated by E3Modelling</w:t>
      </w:r>
      <w:r>
        <w:rPr>
          <w:rStyle w:val="FootnoteReference"/>
          <w:noProof/>
          <w:sz w:val="24"/>
          <w:szCs w:val="24"/>
        </w:rPr>
        <w:footnoteReference w:id="663"/>
      </w:r>
      <w:r>
        <w:rPr>
          <w:noProof/>
          <w:sz w:val="24"/>
          <w:szCs w:val="24"/>
        </w:rPr>
        <w:t>. Detailed documentation is publicly available.</w:t>
      </w:r>
    </w:p>
    <w:p>
      <w:pPr>
        <w:spacing w:line="240" w:lineRule="auto"/>
        <w:rPr>
          <w:noProof/>
          <w:sz w:val="24"/>
          <w:szCs w:val="24"/>
        </w:rPr>
      </w:pPr>
      <w:r>
        <w:rPr>
          <w:noProof/>
          <w:sz w:val="24"/>
          <w:szCs w:val="24"/>
        </w:rPr>
        <w:t>Sources</w:t>
      </w:r>
      <w:r>
        <w:rPr>
          <w:rStyle w:val="FootnoteReference"/>
          <w:noProof/>
          <w:sz w:val="24"/>
          <w:szCs w:val="24"/>
        </w:rPr>
        <w:footnoteReference w:id="664"/>
      </w:r>
      <w:r>
        <w:rPr>
          <w:noProof/>
          <w:sz w:val="24"/>
          <w:szCs w:val="24"/>
        </w:rPr>
        <w:t xml:space="preserve"> for data inputs</w:t>
      </w:r>
    </w:p>
    <w:p>
      <w:pPr>
        <w:pStyle w:val="ListParagraph"/>
        <w:numPr>
          <w:ilvl w:val="0"/>
          <w:numId w:val="150"/>
        </w:numPr>
        <w:spacing w:after="0" w:line="240" w:lineRule="auto"/>
        <w:ind w:left="426" w:hanging="426"/>
        <w:contextualSpacing w:val="0"/>
        <w:rPr>
          <w:noProof/>
          <w:sz w:val="24"/>
          <w:szCs w:val="24"/>
          <w:lang w:eastAsia="en-US"/>
        </w:rPr>
      </w:pPr>
      <w:r>
        <w:rPr>
          <w:noProof/>
          <w:sz w:val="24"/>
          <w:szCs w:val="24"/>
        </w:rPr>
        <w:t>EUROSTAT, WIOD, EU-KLEMS and GTAP: Input Output tables, National Accounts, Employment, Institutional Transactions, Labour force and Participation rates, Bilateral Trade, GHG emissions, Capital stock, taxes, Household consumption by purpose</w:t>
      </w:r>
    </w:p>
    <w:p>
      <w:pPr>
        <w:pStyle w:val="ListParagraph"/>
        <w:numPr>
          <w:ilvl w:val="0"/>
          <w:numId w:val="150"/>
        </w:numPr>
        <w:spacing w:after="0" w:line="240" w:lineRule="auto"/>
        <w:ind w:left="426" w:hanging="426"/>
        <w:contextualSpacing w:val="0"/>
        <w:rPr>
          <w:noProof/>
          <w:sz w:val="24"/>
          <w:szCs w:val="24"/>
        </w:rPr>
      </w:pPr>
      <w:r>
        <w:rPr>
          <w:noProof/>
          <w:sz w:val="24"/>
          <w:szCs w:val="24"/>
        </w:rPr>
        <w:t>National Statistical Offices: Consumption Matrices</w:t>
      </w:r>
    </w:p>
    <w:p>
      <w:pPr>
        <w:pStyle w:val="ListParagraph"/>
        <w:numPr>
          <w:ilvl w:val="0"/>
          <w:numId w:val="150"/>
        </w:numPr>
        <w:spacing w:after="0" w:line="240" w:lineRule="auto"/>
        <w:ind w:left="426" w:hanging="426"/>
        <w:contextualSpacing w:val="0"/>
        <w:rPr>
          <w:noProof/>
          <w:sz w:val="24"/>
          <w:szCs w:val="24"/>
        </w:rPr>
      </w:pPr>
      <w:r>
        <w:rPr>
          <w:noProof/>
          <w:sz w:val="24"/>
          <w:szCs w:val="24"/>
        </w:rPr>
        <w:t>ECB: Bonds, Treasury bills</w:t>
      </w:r>
    </w:p>
    <w:p>
      <w:pPr>
        <w:pStyle w:val="ListParagraph"/>
        <w:numPr>
          <w:ilvl w:val="0"/>
          <w:numId w:val="150"/>
        </w:numPr>
        <w:spacing w:after="0" w:line="240" w:lineRule="auto"/>
        <w:ind w:left="426" w:hanging="426"/>
        <w:contextualSpacing w:val="0"/>
        <w:rPr>
          <w:noProof/>
          <w:sz w:val="24"/>
          <w:szCs w:val="24"/>
        </w:rPr>
      </w:pPr>
      <w:r>
        <w:rPr>
          <w:noProof/>
          <w:sz w:val="24"/>
          <w:szCs w:val="24"/>
        </w:rPr>
        <w:t>ILO: Employment, Unemployment rate</w:t>
      </w:r>
    </w:p>
    <w:p>
      <w:pPr>
        <w:pStyle w:val="ListParagraph"/>
        <w:numPr>
          <w:ilvl w:val="0"/>
          <w:numId w:val="150"/>
        </w:numPr>
        <w:spacing w:after="0" w:line="240" w:lineRule="auto"/>
        <w:ind w:left="426" w:hanging="426"/>
        <w:contextualSpacing w:val="0"/>
        <w:rPr>
          <w:noProof/>
          <w:sz w:val="24"/>
          <w:szCs w:val="24"/>
        </w:rPr>
      </w:pPr>
      <w:r>
        <w:rPr>
          <w:noProof/>
          <w:sz w:val="24"/>
          <w:szCs w:val="24"/>
        </w:rPr>
        <w:t>World Bank: Infrastructure</w:t>
      </w:r>
    </w:p>
    <w:p>
      <w:pPr>
        <w:pStyle w:val="ListParagraph"/>
        <w:numPr>
          <w:ilvl w:val="0"/>
          <w:numId w:val="150"/>
        </w:numPr>
        <w:spacing w:line="240" w:lineRule="auto"/>
        <w:ind w:left="426" w:hanging="426"/>
        <w:contextualSpacing w:val="0"/>
        <w:rPr>
          <w:noProof/>
          <w:sz w:val="24"/>
          <w:szCs w:val="24"/>
        </w:rPr>
      </w:pPr>
      <w:r>
        <w:rPr>
          <w:noProof/>
          <w:sz w:val="24"/>
          <w:szCs w:val="24"/>
        </w:rPr>
        <w:t>IMF and OECD: Interest rates, Inflation, Bonds, Treasury bills</w:t>
      </w:r>
    </w:p>
    <w:p>
      <w:pPr>
        <w:pStyle w:val="Heading3"/>
        <w:rPr>
          <w:noProof/>
        </w:rPr>
      </w:pPr>
      <w:bookmarkStart w:id="5705" w:name="_Toc45117102"/>
      <w:bookmarkStart w:id="5706" w:name="_Toc45119135"/>
      <w:bookmarkStart w:id="5707" w:name="_Toc45120531"/>
      <w:bookmarkStart w:id="5708" w:name="_Toc41429448"/>
      <w:bookmarkStart w:id="5709" w:name="_Toc41432023"/>
      <w:bookmarkStart w:id="5710" w:name="_Toc41432387"/>
      <w:bookmarkStart w:id="5711" w:name="_Toc41434225"/>
      <w:bookmarkStart w:id="5712" w:name="_Toc41473376"/>
      <w:bookmarkStart w:id="5713" w:name="_Toc41675656"/>
      <w:bookmarkStart w:id="5714" w:name="_Toc41675826"/>
      <w:bookmarkStart w:id="5715" w:name="_Toc41675996"/>
      <w:bookmarkStart w:id="5716" w:name="_Toc41676132"/>
      <w:bookmarkStart w:id="5717" w:name="_Toc41676302"/>
      <w:bookmarkStart w:id="5718" w:name="_Toc41676473"/>
      <w:bookmarkStart w:id="5719" w:name="_Toc41676896"/>
      <w:bookmarkStart w:id="5720" w:name="_Toc41429449"/>
      <w:bookmarkStart w:id="5721" w:name="_Toc41432024"/>
      <w:bookmarkStart w:id="5722" w:name="_Toc41432388"/>
      <w:bookmarkStart w:id="5723" w:name="_Toc41434226"/>
      <w:bookmarkStart w:id="5724" w:name="_Toc41473377"/>
      <w:bookmarkStart w:id="5725" w:name="_Toc41675657"/>
      <w:bookmarkStart w:id="5726" w:name="_Toc41675827"/>
      <w:bookmarkStart w:id="5727" w:name="_Toc41675997"/>
      <w:bookmarkStart w:id="5728" w:name="_Toc41676133"/>
      <w:bookmarkStart w:id="5729" w:name="_Toc41676303"/>
      <w:bookmarkStart w:id="5730" w:name="_Toc41676474"/>
      <w:bookmarkStart w:id="5731" w:name="_Toc41676897"/>
      <w:bookmarkStart w:id="5732" w:name="_Toc49441687"/>
      <w:bookmarkStart w:id="5733" w:name="_Toc49530691"/>
      <w:bookmarkStart w:id="5734" w:name="_Toc49531792"/>
      <w:bookmarkStart w:id="5735" w:name="_Ref44947183"/>
      <w:bookmarkStart w:id="5736" w:name="_Toc45119788"/>
      <w:bookmarkStart w:id="5737" w:name="_Toc45147526"/>
      <w:bookmarkStart w:id="5738" w:name="_Toc49346548"/>
      <w:bookmarkStart w:id="5739" w:name="_Toc49437867"/>
      <w:bookmarkStart w:id="5740" w:name="_Toc49516663"/>
      <w:bookmarkStart w:id="5741" w:name="_Toc49518583"/>
      <w:bookmarkStart w:id="5742" w:name="_Toc49525197"/>
      <w:bookmarkStart w:id="5743" w:name="_Toc49530960"/>
      <w:bookmarkStart w:id="5744" w:name="_Toc49532951"/>
      <w:bookmarkStart w:id="5745" w:name="_Ref36767102"/>
      <w:bookmarkStart w:id="5746" w:name="_Toc38314798"/>
      <w:bookmarkStart w:id="5747" w:name="_Toc41432389"/>
      <w:bookmarkStart w:id="5748" w:name="_Toc41471941"/>
      <w:bookmarkStart w:id="5749" w:name="_Toc41473378"/>
      <w:bookmarkStart w:id="5750" w:name="_Toc41675998"/>
      <w:bookmarkStart w:id="5751" w:name="_Toc42064494"/>
      <w:bookmarkStart w:id="5752" w:name="_Toc43114837"/>
      <w:bookmarkStart w:id="5753" w:name="_Toc49775500"/>
      <w:bookmarkStart w:id="5754" w:name="_Toc49774702"/>
      <w:bookmarkStart w:id="5755" w:name="_Toc50396621"/>
      <w:bookmarkStart w:id="5756" w:name="_Toc50406112"/>
      <w:bookmarkStart w:id="5757" w:name="_Toc50995810"/>
      <w:bookmarkStart w:id="5758" w:name="_Toc57291561"/>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r>
        <w:rPr>
          <w:noProof/>
        </w:rPr>
        <w:t>Assumptions on technology, economics and energy prices</w:t>
      </w:r>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p>
    <w:p>
      <w:pPr>
        <w:spacing w:line="240" w:lineRule="auto"/>
        <w:rPr>
          <w:noProof/>
          <w:sz w:val="24"/>
          <w:szCs w:val="24"/>
        </w:rPr>
      </w:pPr>
      <w:r>
        <w:rPr>
          <w:noProof/>
          <w:sz w:val="24"/>
          <w:szCs w:val="24"/>
        </w:rPr>
        <w:t>In order to reflect the fundamental socio-economic, technological and policy developments, the Commission prepares periodically an EU Reference Scenario on energy, transport and GHG emissions. The latest one dates from 2016</w:t>
      </w:r>
      <w:r>
        <w:rPr>
          <w:rStyle w:val="FootnoteReference"/>
          <w:noProof/>
          <w:sz w:val="24"/>
          <w:szCs w:val="24"/>
        </w:rPr>
        <w:footnoteReference w:id="665"/>
      </w:r>
      <w:r>
        <w:rPr>
          <w:noProof/>
          <w:sz w:val="24"/>
          <w:szCs w:val="24"/>
        </w:rPr>
        <w:t xml:space="preserve"> and is currently being revised. This update is not yet finalised and work is ongoing on Member States details and the related consultations. Furthermore this work will also be updated to incorporate the impacts of the COVID-19 pandemic. </w:t>
      </w:r>
    </w:p>
    <w:p>
      <w:pPr>
        <w:spacing w:line="240" w:lineRule="auto"/>
        <w:rPr>
          <w:noProof/>
          <w:sz w:val="24"/>
          <w:szCs w:val="24"/>
        </w:rPr>
      </w:pPr>
      <w:r>
        <w:rPr>
          <w:noProof/>
          <w:sz w:val="24"/>
          <w:szCs w:val="24"/>
        </w:rPr>
        <w:t>The scenarios assessment as used in this Staff Working Document incorporate the latest developments in the update of the Reference scenario, notably related to the socio-economic assumptions, energy price projections and technological assumptions.</w:t>
      </w:r>
    </w:p>
    <w:p>
      <w:pPr>
        <w:pStyle w:val="Heading4"/>
        <w:rPr>
          <w:noProof/>
        </w:rPr>
      </w:pPr>
      <w:bookmarkStart w:id="5759" w:name="_Toc45119789"/>
      <w:bookmarkStart w:id="5760" w:name="_Toc45147527"/>
      <w:bookmarkStart w:id="5761" w:name="_Ref48044251"/>
      <w:bookmarkStart w:id="5762" w:name="_Toc49346549"/>
      <w:bookmarkStart w:id="5763" w:name="_Toc49437868"/>
      <w:bookmarkStart w:id="5764" w:name="_Toc49441688"/>
      <w:bookmarkStart w:id="5765" w:name="_Toc57291562"/>
      <w:r>
        <w:rPr>
          <w:noProof/>
        </w:rPr>
        <w:t>Economic assumptions</w:t>
      </w:r>
      <w:bookmarkEnd w:id="5759"/>
      <w:bookmarkEnd w:id="5760"/>
      <w:bookmarkEnd w:id="5761"/>
      <w:bookmarkEnd w:id="5762"/>
      <w:bookmarkEnd w:id="5763"/>
      <w:bookmarkEnd w:id="5764"/>
      <w:bookmarkEnd w:id="5765"/>
    </w:p>
    <w:p>
      <w:pPr>
        <w:spacing w:line="240" w:lineRule="auto"/>
        <w:rPr>
          <w:noProof/>
          <w:sz w:val="24"/>
          <w:szCs w:val="24"/>
        </w:rPr>
      </w:pPr>
      <w:r>
        <w:rPr>
          <w:noProof/>
          <w:sz w:val="24"/>
          <w:szCs w:val="24"/>
        </w:rPr>
        <w:t>The modelling work is based on socio-economic assumptions describing the expected evolution of the European society. Long-term projections on population dynamics and economic activity form part of the input to the energy model and are used to estimate final energy demand. Population projections from Eurostat</w:t>
      </w:r>
      <w:r>
        <w:rPr>
          <w:rStyle w:val="FootnoteReference"/>
          <w:noProof/>
          <w:sz w:val="24"/>
          <w:szCs w:val="24"/>
        </w:rPr>
        <w:footnoteReference w:id="666"/>
      </w:r>
      <w:r>
        <w:rPr>
          <w:noProof/>
          <w:sz w:val="24"/>
          <w:szCs w:val="24"/>
        </w:rPr>
        <w:t xml:space="preserve"> are used to estimate the evolution of the European population that is projected to change very little in total number in the coming decades.</w:t>
      </w:r>
    </w:p>
    <w:p>
      <w:pPr>
        <w:pStyle w:val="ListParagraph"/>
        <w:numPr>
          <w:ilvl w:val="0"/>
          <w:numId w:val="46"/>
        </w:numPr>
        <w:spacing w:line="240" w:lineRule="auto"/>
        <w:contextualSpacing w:val="0"/>
        <w:rPr>
          <w:noProof/>
          <w:sz w:val="24"/>
          <w:szCs w:val="24"/>
        </w:rPr>
      </w:pPr>
      <w:r>
        <w:rPr>
          <w:noProof/>
          <w:sz w:val="24"/>
          <w:szCs w:val="24"/>
        </w:rPr>
        <w:t>Pre-COVID economic assumptions</w:t>
      </w:r>
    </w:p>
    <w:p>
      <w:pPr>
        <w:spacing w:line="240" w:lineRule="auto"/>
        <w:rPr>
          <w:noProof/>
          <w:sz w:val="24"/>
          <w:szCs w:val="24"/>
        </w:rPr>
      </w:pPr>
      <w:r>
        <w:rPr>
          <w:noProof/>
          <w:sz w:val="24"/>
          <w:szCs w:val="24"/>
        </w:rPr>
        <w:t>The pre-COVD socio-economic assumptions were prepared before the COVID pandemic unfolded. The long-term evolution of economic activity was estimated from three sources: DG ECFIN’s short term economic forecast, t+10 projections and the 2018 Aging Report projections elaborated by the European Commission. For the short-term (2020-2021), the projections are based on actual growth forecast by the Directorate General for Economic and Financial Affairs (Autumn Forecast 2019). Projections up to 2029 use the associated t+10 work from DG ECFIN, which is based on projections of potential output growth and a closure of any output gap in the medium term. The long-term per capita GDP growth projections of the 2018 Ageing Report are used for the period 2030-2070</w:t>
      </w:r>
      <w:r>
        <w:rPr>
          <w:rStyle w:val="FootnoteReference"/>
          <w:noProof/>
          <w:sz w:val="24"/>
          <w:szCs w:val="24"/>
        </w:rPr>
        <w:footnoteReference w:id="667"/>
      </w:r>
      <w:r>
        <w:rPr>
          <w:noProof/>
          <w:sz w:val="24"/>
          <w:szCs w:val="24"/>
        </w:rPr>
        <w:t xml:space="preserve">. </w:t>
      </w:r>
      <w:r>
        <w:rPr>
          <w:noProof/>
        </w:rPr>
        <w:fldChar w:fldCharType="begin"/>
      </w:r>
      <w:r>
        <w:rPr>
          <w:noProof/>
          <w:sz w:val="24"/>
          <w:szCs w:val="24"/>
        </w:rPr>
        <w:instrText xml:space="preserve"> REF _Ref54045943 \h  \* MERGEFORMAT </w:instrText>
      </w:r>
      <w:r>
        <w:rPr>
          <w:noProof/>
        </w:rPr>
      </w:r>
      <w:r>
        <w:rPr>
          <w:noProof/>
          <w:sz w:val="24"/>
          <w:szCs w:val="24"/>
        </w:rPr>
        <w:fldChar w:fldCharType="separate"/>
      </w:r>
      <w:r>
        <w:rPr>
          <w:noProof/>
          <w:sz w:val="24"/>
          <w:szCs w:val="24"/>
        </w:rPr>
        <w:t>Figure 71</w:t>
      </w:r>
      <w:r>
        <w:rPr>
          <w:noProof/>
        </w:rPr>
        <w:fldChar w:fldCharType="end"/>
      </w:r>
      <w:r>
        <w:rPr>
          <w:noProof/>
          <w:sz w:val="24"/>
          <w:szCs w:val="24"/>
        </w:rPr>
        <w:t xml:space="preserve"> shows the projected evolution of the EU GDP up to 2050. Transport activity projections complement the socio-economic projections.</w:t>
      </w:r>
    </w:p>
    <w:p>
      <w:pPr>
        <w:pStyle w:val="Caption"/>
        <w:jc w:val="center"/>
        <w:rPr>
          <w:i w:val="0"/>
          <w:noProof/>
        </w:rPr>
      </w:pPr>
      <w:bookmarkStart w:id="5766" w:name="_Ref54045943"/>
      <w:bookmarkStart w:id="5767" w:name="_Toc49271909"/>
      <w:bookmarkStart w:id="5768" w:name="_Toc49441329"/>
      <w:bookmarkStart w:id="5769" w:name="_Toc49530539"/>
      <w:bookmarkStart w:id="5770" w:name="_Toc49529979"/>
      <w:bookmarkStart w:id="5771" w:name="_Toc49531640"/>
      <w:bookmarkStart w:id="5772" w:name="_Toc49262633"/>
      <w:bookmarkStart w:id="5773" w:name="_Toc49269596"/>
      <w:bookmarkStart w:id="5774" w:name="_Toc49272484"/>
      <w:bookmarkStart w:id="5775" w:name="_Toc49437685"/>
      <w:bookmarkStart w:id="5776" w:name="_Toc49525051"/>
      <w:bookmarkStart w:id="5777" w:name="_Toc49532805"/>
      <w:bookmarkStart w:id="5778" w:name="_Toc49775354"/>
      <w:bookmarkStart w:id="5779" w:name="_Toc49774556"/>
      <w:bookmarkStart w:id="5780" w:name="_Toc50396475"/>
      <w:bookmarkStart w:id="5781" w:name="_Toc50406178"/>
      <w:bookmarkStart w:id="5782" w:name="_Toc50995856"/>
      <w:bookmarkStart w:id="5783" w:name="_Toc57291715"/>
      <w:r>
        <w:rPr>
          <w:i w:val="0"/>
          <w:noProof/>
        </w:rPr>
        <w:t xml:space="preserve">Figure </w:t>
      </w:r>
      <w:r>
        <w:rPr>
          <w:noProof/>
        </w:rPr>
        <w:fldChar w:fldCharType="begin"/>
      </w:r>
      <w:r>
        <w:rPr>
          <w:i w:val="0"/>
          <w:noProof/>
          <w:szCs w:val="22"/>
        </w:rPr>
        <w:instrText xml:space="preserve"> SEQ Figure \* ARABIC </w:instrText>
      </w:r>
      <w:r>
        <w:rPr>
          <w:i w:val="0"/>
          <w:noProof/>
          <w:szCs w:val="22"/>
        </w:rPr>
        <w:fldChar w:fldCharType="separate"/>
      </w:r>
      <w:r>
        <w:rPr>
          <w:i w:val="0"/>
          <w:noProof/>
          <w:szCs w:val="22"/>
        </w:rPr>
        <w:t>71</w:t>
      </w:r>
      <w:r>
        <w:rPr>
          <w:noProof/>
        </w:rPr>
        <w:fldChar w:fldCharType="end"/>
      </w:r>
      <w:bookmarkEnd w:id="5766"/>
      <w:r>
        <w:rPr>
          <w:i w:val="0"/>
          <w:noProof/>
        </w:rPr>
        <w:t>: Projected EU GDP (2015 = 100)</w:t>
      </w:r>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p>
    <w:p>
      <w:pPr>
        <w:rPr>
          <w:noProof/>
        </w:rPr>
      </w:pPr>
      <w:r>
        <w:rPr>
          <w:noProof/>
        </w:rPr>
        <w:drawing>
          <wp:inline distT="0" distB="0" distL="0" distR="0">
            <wp:extent cx="5375275" cy="2835275"/>
            <wp:effectExtent l="0" t="0" r="0" b="3175"/>
            <wp:docPr id="1657890238" name="Picture 1657890238" descr="C:\Users\sulyoge\Documents\Pictur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ulyoge\Documents\Picture19.jpg"/>
                    <pic:cNvPicPr>
                      <a:picLocks noChangeAspect="1" noChangeArrowheads="1"/>
                    </pic:cNvPicPr>
                  </pic:nvPicPr>
                  <pic:blipFill>
                    <a:blip r:embed="rId116">
                      <a:extLst>
                        <a:ext uri="{28A0092B-C50C-407E-A947-70E740481C1C}">
                          <a14:useLocalDpi xmlns:a14="http://schemas.microsoft.com/office/drawing/2010/main"/>
                        </a:ext>
                      </a:extLst>
                    </a:blip>
                    <a:srcRect/>
                    <a:stretch>
                      <a:fillRect/>
                    </a:stretch>
                  </pic:blipFill>
                  <pic:spPr bwMode="auto">
                    <a:xfrm>
                      <a:off x="0" y="0"/>
                      <a:ext cx="5375275" cy="2835275"/>
                    </a:xfrm>
                    <a:prstGeom prst="rect">
                      <a:avLst/>
                    </a:prstGeom>
                    <a:noFill/>
                    <a:ln>
                      <a:noFill/>
                    </a:ln>
                  </pic:spPr>
                </pic:pic>
              </a:graphicData>
            </a:graphic>
          </wp:inline>
        </w:drawing>
      </w:r>
    </w:p>
    <w:p>
      <w:pPr>
        <w:spacing w:line="240" w:lineRule="auto"/>
        <w:rPr>
          <w:noProof/>
          <w:sz w:val="24"/>
          <w:szCs w:val="24"/>
        </w:rPr>
      </w:pPr>
      <w:r>
        <w:rPr>
          <w:noProof/>
          <w:sz w:val="24"/>
          <w:szCs w:val="24"/>
        </w:rPr>
        <w:t>These pre-COVID socio-economic assumptions were used as modelling inputs for all scenario runs, except COVID-BSL and COVID-MIX.</w:t>
      </w:r>
    </w:p>
    <w:p>
      <w:pPr>
        <w:pStyle w:val="ListParagraph"/>
        <w:numPr>
          <w:ilvl w:val="0"/>
          <w:numId w:val="46"/>
        </w:numPr>
        <w:spacing w:line="240" w:lineRule="auto"/>
        <w:rPr>
          <w:noProof/>
          <w:sz w:val="24"/>
          <w:szCs w:val="24"/>
        </w:rPr>
      </w:pPr>
      <w:r>
        <w:rPr>
          <w:noProof/>
          <w:sz w:val="24"/>
          <w:szCs w:val="24"/>
        </w:rPr>
        <w:t>Post-COVID assumptions</w:t>
      </w:r>
    </w:p>
    <w:p>
      <w:pPr>
        <w:spacing w:line="240" w:lineRule="auto"/>
        <w:rPr>
          <w:noProof/>
          <w:sz w:val="24"/>
          <w:szCs w:val="24"/>
        </w:rPr>
      </w:pPr>
      <w:r>
        <w:rPr>
          <w:noProof/>
          <w:sz w:val="24"/>
          <w:szCs w:val="24"/>
        </w:rPr>
        <w:t>The COVID-19 pandemic upended economic projections made in preparation of this analysis. In particular, the Commission’s Spring Economic Forecast 2020 projected that the EU economy would contract by 7.4% in 2020 and pick up in 2021 with growth of 6.1%. Together with the associated revision of DG ECFIN’s t+10 projections, this implies that real GDP in 2030 could be approximately 2.3% lower compared to the pre-COVID estimates presented above, based on the Autumn Forecast 2019.</w:t>
      </w:r>
    </w:p>
    <w:p>
      <w:pPr>
        <w:spacing w:line="240" w:lineRule="auto"/>
        <w:rPr>
          <w:noProof/>
          <w:sz w:val="24"/>
          <w:szCs w:val="24"/>
        </w:rPr>
      </w:pPr>
      <w:r>
        <w:rPr>
          <w:noProof/>
          <w:sz w:val="24"/>
          <w:szCs w:val="24"/>
        </w:rPr>
        <w:t xml:space="preserve">Beyond the update of the population and growth assumptions, an update of the projections on the sectoral composition of GDP was also carried out. This aims to integrate the potential medium- to long-term impacts of the COVID-19 pandemic on the structure of the economy, even though this is clouded with uncertainty. </w:t>
      </w:r>
    </w:p>
    <w:p>
      <w:pPr>
        <w:pStyle w:val="Heading4"/>
        <w:rPr>
          <w:noProof/>
        </w:rPr>
      </w:pPr>
      <w:bookmarkStart w:id="5784" w:name="_Toc45119790"/>
      <w:bookmarkStart w:id="5785" w:name="_Toc45147528"/>
      <w:bookmarkStart w:id="5786" w:name="_Ref47623442"/>
      <w:bookmarkStart w:id="5787" w:name="_Ref48044254"/>
      <w:bookmarkStart w:id="5788" w:name="_Ref48251457"/>
      <w:bookmarkStart w:id="5789" w:name="_Toc49346550"/>
      <w:bookmarkStart w:id="5790" w:name="_Toc49437869"/>
      <w:bookmarkStart w:id="5791" w:name="_Toc49441689"/>
      <w:bookmarkStart w:id="5792" w:name="_Toc57291563"/>
      <w:r>
        <w:rPr>
          <w:noProof/>
        </w:rPr>
        <w:t>Energy prices assumptions</w:t>
      </w:r>
      <w:bookmarkEnd w:id="5784"/>
      <w:bookmarkEnd w:id="5785"/>
      <w:bookmarkEnd w:id="5786"/>
      <w:bookmarkEnd w:id="5787"/>
      <w:bookmarkEnd w:id="5788"/>
      <w:bookmarkEnd w:id="5789"/>
      <w:bookmarkEnd w:id="5790"/>
      <w:bookmarkEnd w:id="5791"/>
      <w:bookmarkEnd w:id="5792"/>
    </w:p>
    <w:p>
      <w:pPr>
        <w:spacing w:line="240" w:lineRule="auto"/>
        <w:rPr>
          <w:noProof/>
          <w:sz w:val="24"/>
          <w:szCs w:val="24"/>
        </w:rPr>
      </w:pPr>
      <w:r>
        <w:rPr>
          <w:noProof/>
          <w:sz w:val="24"/>
          <w:szCs w:val="24"/>
        </w:rPr>
        <w:t xml:space="preserve">Alongside socio-economic projections, EU energy modelling requires projections of international fuel prices. The projections of the POLES-JRC model – elaborated by the Joint Research Centre in the context of the Global Energy and Climate Outlook 2019 (GECO 2019) – are used to obtain long-term estimates of the international fuel prices. The projected evolution of fossil fuel prices is lower than estimates used by the European Commission in the Reference 2016 Scenario. Among other factors, the development of unconventional oil and gas resources increased fossil fuel supply estimates for the coming decade. </w:t>
      </w:r>
    </w:p>
    <w:p>
      <w:pPr>
        <w:spacing w:line="240" w:lineRule="auto"/>
        <w:rPr>
          <w:noProof/>
          <w:sz w:val="24"/>
          <w:szCs w:val="24"/>
        </w:rPr>
      </w:pPr>
      <w:r>
        <w:rPr>
          <w:noProof/>
        </w:rPr>
        <w:fldChar w:fldCharType="begin"/>
      </w:r>
      <w:r>
        <w:rPr>
          <w:noProof/>
          <w:sz w:val="24"/>
          <w:szCs w:val="24"/>
        </w:rPr>
        <w:instrText xml:space="preserve"> REF _Ref54046217 \h  \* MERGEFORMAT </w:instrText>
      </w:r>
      <w:r>
        <w:rPr>
          <w:noProof/>
        </w:rPr>
      </w:r>
      <w:r>
        <w:rPr>
          <w:noProof/>
          <w:sz w:val="24"/>
          <w:szCs w:val="24"/>
        </w:rPr>
        <w:fldChar w:fldCharType="separate"/>
      </w:r>
      <w:r>
        <w:rPr>
          <w:noProof/>
          <w:sz w:val="24"/>
          <w:szCs w:val="24"/>
        </w:rPr>
        <w:t>Figure 72</w:t>
      </w:r>
      <w:r>
        <w:rPr>
          <w:noProof/>
        </w:rPr>
        <w:fldChar w:fldCharType="end"/>
      </w:r>
      <w:r>
        <w:rPr>
          <w:noProof/>
          <w:sz w:val="24"/>
          <w:szCs w:val="24"/>
        </w:rPr>
        <w:t xml:space="preserve"> shows the international fuel prices that were used in the different “pre-COVID” scenarios (BSL, MIX-50, REG, MIX, CPRICE, ALLBNK).</w:t>
      </w:r>
    </w:p>
    <w:p>
      <w:pPr>
        <w:pStyle w:val="Caption"/>
        <w:rPr>
          <w:i w:val="0"/>
          <w:noProof/>
        </w:rPr>
      </w:pPr>
      <w:bookmarkStart w:id="5793" w:name="_Ref54046217"/>
      <w:bookmarkStart w:id="5794" w:name="_Ref48055593"/>
      <w:bookmarkStart w:id="5795" w:name="_Toc49269550"/>
      <w:bookmarkStart w:id="5796" w:name="_Toc49271863"/>
      <w:bookmarkStart w:id="5797" w:name="_Toc49272438"/>
      <w:bookmarkStart w:id="5798" w:name="_Toc49437642"/>
      <w:bookmarkStart w:id="5799" w:name="_Toc49441286"/>
      <w:bookmarkStart w:id="5800" w:name="_Toc49525007"/>
      <w:bookmarkStart w:id="5801" w:name="_Toc49530495"/>
      <w:bookmarkStart w:id="5802" w:name="_Toc49529935"/>
      <w:bookmarkStart w:id="5803" w:name="_Toc49531596"/>
      <w:bookmarkStart w:id="5804" w:name="_Toc49532761"/>
      <w:bookmarkStart w:id="5805" w:name="_Toc49775310"/>
      <w:bookmarkStart w:id="5806" w:name="_Toc49774512"/>
      <w:bookmarkStart w:id="5807" w:name="_Toc50396430"/>
      <w:bookmarkStart w:id="5808" w:name="_Toc50406291"/>
      <w:bookmarkStart w:id="5809" w:name="_Toc50995941"/>
      <w:bookmarkStart w:id="5810" w:name="_Toc57291716"/>
      <w:r>
        <w:rPr>
          <w:i w:val="0"/>
          <w:noProof/>
        </w:rPr>
        <w:t xml:space="preserve">Figure </w:t>
      </w:r>
      <w:r>
        <w:rPr>
          <w:noProof/>
        </w:rPr>
        <w:fldChar w:fldCharType="begin"/>
      </w:r>
      <w:r>
        <w:rPr>
          <w:i w:val="0"/>
          <w:noProof/>
          <w:szCs w:val="22"/>
        </w:rPr>
        <w:instrText xml:space="preserve"> SEQ Figure \* ARABIC </w:instrText>
      </w:r>
      <w:r>
        <w:rPr>
          <w:i w:val="0"/>
          <w:noProof/>
          <w:szCs w:val="22"/>
        </w:rPr>
        <w:fldChar w:fldCharType="separate"/>
      </w:r>
      <w:r>
        <w:rPr>
          <w:i w:val="0"/>
          <w:noProof/>
          <w:szCs w:val="22"/>
        </w:rPr>
        <w:t>72</w:t>
      </w:r>
      <w:r>
        <w:rPr>
          <w:noProof/>
        </w:rPr>
        <w:fldChar w:fldCharType="end"/>
      </w:r>
      <w:bookmarkEnd w:id="5793"/>
      <w:r>
        <w:rPr>
          <w:i w:val="0"/>
          <w:noProof/>
        </w:rPr>
        <w:t>: International fuel prices assumptions – non-COVID scenarios</w:t>
      </w:r>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p>
    <w:tbl>
      <w:tblPr>
        <w:tblStyle w:val="TableGrid"/>
        <w:tblW w:w="5000" w:type="pct"/>
        <w:tblInd w:w="0" w:type="dxa"/>
        <w:tblLook w:val="04A0" w:firstRow="1" w:lastRow="0" w:firstColumn="1" w:lastColumn="0" w:noHBand="0" w:noVBand="1"/>
      </w:tblPr>
      <w:tblGrid>
        <w:gridCol w:w="1653"/>
        <w:gridCol w:w="728"/>
        <w:gridCol w:w="615"/>
        <w:gridCol w:w="615"/>
        <w:gridCol w:w="615"/>
        <w:gridCol w:w="615"/>
        <w:gridCol w:w="615"/>
        <w:gridCol w:w="615"/>
        <w:gridCol w:w="615"/>
        <w:gridCol w:w="715"/>
        <w:gridCol w:w="715"/>
        <w:gridCol w:w="717"/>
      </w:tblGrid>
      <w:tr>
        <w:tc>
          <w:tcPr>
            <w:tcW w:w="936" w:type="pct"/>
            <w:vAlign w:val="bottom"/>
          </w:tcPr>
          <w:p>
            <w:pPr>
              <w:rPr>
                <w:noProof/>
              </w:rPr>
            </w:pPr>
            <w:r>
              <w:rPr>
                <w:rFonts w:ascii="Tahoma" w:hAnsi="Tahoma" w:cs="Tahoma"/>
                <w:b/>
                <w:bCs/>
                <w:i/>
                <w:iCs/>
                <w:noProof/>
                <w:color w:val="000080"/>
                <w:sz w:val="16"/>
                <w:szCs w:val="16"/>
              </w:rPr>
              <w:t>in USD'15 per boe</w:t>
            </w:r>
          </w:p>
        </w:tc>
        <w:tc>
          <w:tcPr>
            <w:tcW w:w="412" w:type="pct"/>
            <w:vAlign w:val="bottom"/>
          </w:tcPr>
          <w:p>
            <w:pPr>
              <w:rPr>
                <w:noProof/>
              </w:rPr>
            </w:pPr>
            <w:r>
              <w:rPr>
                <w:rFonts w:ascii="Tahoma" w:hAnsi="Tahoma" w:cs="Tahoma"/>
                <w:b/>
                <w:bCs/>
                <w:noProof/>
                <w:color w:val="000080"/>
                <w:sz w:val="16"/>
                <w:szCs w:val="16"/>
              </w:rPr>
              <w:t>2000</w:t>
            </w:r>
          </w:p>
        </w:tc>
        <w:tc>
          <w:tcPr>
            <w:tcW w:w="348" w:type="pct"/>
            <w:vAlign w:val="bottom"/>
          </w:tcPr>
          <w:p>
            <w:pPr>
              <w:rPr>
                <w:noProof/>
              </w:rPr>
            </w:pPr>
            <w:r>
              <w:rPr>
                <w:rFonts w:ascii="Tahoma" w:hAnsi="Tahoma" w:cs="Tahoma"/>
                <w:b/>
                <w:bCs/>
                <w:noProof/>
                <w:color w:val="000080"/>
                <w:sz w:val="16"/>
                <w:szCs w:val="16"/>
              </w:rPr>
              <w:t>'05</w:t>
            </w:r>
          </w:p>
        </w:tc>
        <w:tc>
          <w:tcPr>
            <w:tcW w:w="348" w:type="pct"/>
            <w:vAlign w:val="bottom"/>
          </w:tcPr>
          <w:p>
            <w:pPr>
              <w:rPr>
                <w:noProof/>
              </w:rPr>
            </w:pPr>
            <w:r>
              <w:rPr>
                <w:rFonts w:ascii="Tahoma" w:hAnsi="Tahoma" w:cs="Tahoma"/>
                <w:b/>
                <w:bCs/>
                <w:noProof/>
                <w:color w:val="000080"/>
                <w:sz w:val="16"/>
                <w:szCs w:val="16"/>
              </w:rPr>
              <w:t>'10</w:t>
            </w:r>
          </w:p>
        </w:tc>
        <w:tc>
          <w:tcPr>
            <w:tcW w:w="348" w:type="pct"/>
            <w:vAlign w:val="bottom"/>
          </w:tcPr>
          <w:p>
            <w:pPr>
              <w:rPr>
                <w:noProof/>
              </w:rPr>
            </w:pPr>
            <w:r>
              <w:rPr>
                <w:rFonts w:ascii="Tahoma" w:hAnsi="Tahoma" w:cs="Tahoma"/>
                <w:b/>
                <w:bCs/>
                <w:noProof/>
                <w:color w:val="000080"/>
                <w:sz w:val="16"/>
                <w:szCs w:val="16"/>
              </w:rPr>
              <w:t>'15</w:t>
            </w:r>
          </w:p>
        </w:tc>
        <w:tc>
          <w:tcPr>
            <w:tcW w:w="348" w:type="pct"/>
            <w:vAlign w:val="bottom"/>
          </w:tcPr>
          <w:p>
            <w:pPr>
              <w:rPr>
                <w:noProof/>
              </w:rPr>
            </w:pPr>
            <w:r>
              <w:rPr>
                <w:rFonts w:ascii="Tahoma" w:hAnsi="Tahoma" w:cs="Tahoma"/>
                <w:b/>
                <w:bCs/>
                <w:noProof/>
                <w:color w:val="000080"/>
                <w:sz w:val="16"/>
                <w:szCs w:val="16"/>
              </w:rPr>
              <w:t>'20</w:t>
            </w:r>
          </w:p>
        </w:tc>
        <w:tc>
          <w:tcPr>
            <w:tcW w:w="348" w:type="pct"/>
            <w:vAlign w:val="bottom"/>
          </w:tcPr>
          <w:p>
            <w:pPr>
              <w:rPr>
                <w:noProof/>
              </w:rPr>
            </w:pPr>
            <w:r>
              <w:rPr>
                <w:rFonts w:ascii="Tahoma" w:hAnsi="Tahoma" w:cs="Tahoma"/>
                <w:b/>
                <w:bCs/>
                <w:noProof/>
                <w:color w:val="000080"/>
                <w:sz w:val="16"/>
                <w:szCs w:val="16"/>
              </w:rPr>
              <w:t>'25</w:t>
            </w:r>
          </w:p>
        </w:tc>
        <w:tc>
          <w:tcPr>
            <w:tcW w:w="348" w:type="pct"/>
            <w:vAlign w:val="bottom"/>
          </w:tcPr>
          <w:p>
            <w:pPr>
              <w:rPr>
                <w:noProof/>
              </w:rPr>
            </w:pPr>
            <w:r>
              <w:rPr>
                <w:rFonts w:ascii="Tahoma" w:hAnsi="Tahoma" w:cs="Tahoma"/>
                <w:b/>
                <w:bCs/>
                <w:noProof/>
                <w:color w:val="000080"/>
                <w:sz w:val="16"/>
                <w:szCs w:val="16"/>
              </w:rPr>
              <w:t>'30</w:t>
            </w:r>
          </w:p>
        </w:tc>
        <w:tc>
          <w:tcPr>
            <w:tcW w:w="348" w:type="pct"/>
            <w:vAlign w:val="bottom"/>
          </w:tcPr>
          <w:p>
            <w:pPr>
              <w:rPr>
                <w:noProof/>
              </w:rPr>
            </w:pPr>
            <w:r>
              <w:rPr>
                <w:rFonts w:ascii="Tahoma" w:hAnsi="Tahoma" w:cs="Tahoma"/>
                <w:b/>
                <w:bCs/>
                <w:noProof/>
                <w:color w:val="000080"/>
                <w:sz w:val="16"/>
                <w:szCs w:val="16"/>
              </w:rPr>
              <w:t>'35</w:t>
            </w:r>
          </w:p>
        </w:tc>
        <w:tc>
          <w:tcPr>
            <w:tcW w:w="405" w:type="pct"/>
            <w:vAlign w:val="bottom"/>
          </w:tcPr>
          <w:p>
            <w:pPr>
              <w:rPr>
                <w:noProof/>
              </w:rPr>
            </w:pPr>
            <w:r>
              <w:rPr>
                <w:rFonts w:ascii="Tahoma" w:hAnsi="Tahoma" w:cs="Tahoma"/>
                <w:b/>
                <w:bCs/>
                <w:noProof/>
                <w:color w:val="000080"/>
                <w:sz w:val="16"/>
                <w:szCs w:val="16"/>
              </w:rPr>
              <w:t>'40</w:t>
            </w:r>
          </w:p>
        </w:tc>
        <w:tc>
          <w:tcPr>
            <w:tcW w:w="405" w:type="pct"/>
            <w:vAlign w:val="bottom"/>
          </w:tcPr>
          <w:p>
            <w:pPr>
              <w:rPr>
                <w:noProof/>
              </w:rPr>
            </w:pPr>
            <w:r>
              <w:rPr>
                <w:rFonts w:ascii="Tahoma" w:hAnsi="Tahoma" w:cs="Tahoma"/>
                <w:b/>
                <w:bCs/>
                <w:noProof/>
                <w:color w:val="000080"/>
                <w:sz w:val="16"/>
                <w:szCs w:val="16"/>
              </w:rPr>
              <w:t>'45</w:t>
            </w:r>
          </w:p>
        </w:tc>
        <w:tc>
          <w:tcPr>
            <w:tcW w:w="405" w:type="pct"/>
            <w:vAlign w:val="bottom"/>
          </w:tcPr>
          <w:p>
            <w:pPr>
              <w:rPr>
                <w:noProof/>
              </w:rPr>
            </w:pPr>
            <w:r>
              <w:rPr>
                <w:rFonts w:ascii="Tahoma" w:hAnsi="Tahoma" w:cs="Tahoma"/>
                <w:b/>
                <w:bCs/>
                <w:noProof/>
                <w:color w:val="000080"/>
                <w:sz w:val="16"/>
                <w:szCs w:val="16"/>
              </w:rPr>
              <w:t>'50</w:t>
            </w:r>
          </w:p>
        </w:tc>
      </w:tr>
      <w:tr>
        <w:tc>
          <w:tcPr>
            <w:tcW w:w="936" w:type="pct"/>
            <w:vAlign w:val="bottom"/>
          </w:tcPr>
          <w:p>
            <w:pPr>
              <w:rPr>
                <w:noProof/>
              </w:rPr>
            </w:pPr>
            <w:r>
              <w:rPr>
                <w:rFonts w:ascii="Tahoma" w:hAnsi="Tahoma" w:cs="Tahoma"/>
                <w:noProof/>
                <w:sz w:val="16"/>
                <w:szCs w:val="16"/>
              </w:rPr>
              <w:t>Oil</w:t>
            </w:r>
          </w:p>
        </w:tc>
        <w:tc>
          <w:tcPr>
            <w:tcW w:w="412" w:type="pct"/>
            <w:vAlign w:val="bottom"/>
          </w:tcPr>
          <w:p>
            <w:pPr>
              <w:rPr>
                <w:noProof/>
              </w:rPr>
            </w:pPr>
            <w:r>
              <w:rPr>
                <w:rFonts w:ascii="Tahoma" w:hAnsi="Tahoma" w:cs="Tahoma"/>
                <w:noProof/>
                <w:sz w:val="16"/>
                <w:szCs w:val="16"/>
              </w:rPr>
              <w:t>38.4</w:t>
            </w:r>
          </w:p>
        </w:tc>
        <w:tc>
          <w:tcPr>
            <w:tcW w:w="348" w:type="pct"/>
            <w:vAlign w:val="bottom"/>
          </w:tcPr>
          <w:p>
            <w:pPr>
              <w:rPr>
                <w:noProof/>
              </w:rPr>
            </w:pPr>
            <w:r>
              <w:rPr>
                <w:rFonts w:ascii="Tahoma" w:hAnsi="Tahoma" w:cs="Tahoma"/>
                <w:noProof/>
                <w:sz w:val="16"/>
                <w:szCs w:val="16"/>
              </w:rPr>
              <w:t>65.4</w:t>
            </w:r>
          </w:p>
        </w:tc>
        <w:tc>
          <w:tcPr>
            <w:tcW w:w="348" w:type="pct"/>
            <w:vAlign w:val="bottom"/>
          </w:tcPr>
          <w:p>
            <w:pPr>
              <w:rPr>
                <w:noProof/>
              </w:rPr>
            </w:pPr>
            <w:r>
              <w:rPr>
                <w:rFonts w:ascii="Tahoma" w:hAnsi="Tahoma" w:cs="Tahoma"/>
                <w:noProof/>
                <w:sz w:val="16"/>
                <w:szCs w:val="16"/>
              </w:rPr>
              <w:t>86.7</w:t>
            </w:r>
          </w:p>
        </w:tc>
        <w:tc>
          <w:tcPr>
            <w:tcW w:w="348" w:type="pct"/>
            <w:vAlign w:val="bottom"/>
          </w:tcPr>
          <w:p>
            <w:pPr>
              <w:rPr>
                <w:noProof/>
              </w:rPr>
            </w:pPr>
            <w:r>
              <w:rPr>
                <w:rFonts w:ascii="Tahoma" w:hAnsi="Tahoma" w:cs="Tahoma"/>
                <w:noProof/>
                <w:sz w:val="16"/>
                <w:szCs w:val="16"/>
              </w:rPr>
              <w:t>52.3</w:t>
            </w:r>
          </w:p>
        </w:tc>
        <w:tc>
          <w:tcPr>
            <w:tcW w:w="348" w:type="pct"/>
            <w:vAlign w:val="bottom"/>
          </w:tcPr>
          <w:p>
            <w:pPr>
              <w:rPr>
                <w:noProof/>
              </w:rPr>
            </w:pPr>
            <w:r>
              <w:rPr>
                <w:rFonts w:ascii="Tahoma" w:hAnsi="Tahoma" w:cs="Tahoma"/>
                <w:noProof/>
                <w:sz w:val="16"/>
                <w:szCs w:val="16"/>
              </w:rPr>
              <w:t>58.0</w:t>
            </w:r>
          </w:p>
        </w:tc>
        <w:tc>
          <w:tcPr>
            <w:tcW w:w="348" w:type="pct"/>
            <w:vAlign w:val="bottom"/>
          </w:tcPr>
          <w:p>
            <w:pPr>
              <w:rPr>
                <w:noProof/>
              </w:rPr>
            </w:pPr>
            <w:r>
              <w:rPr>
                <w:rFonts w:ascii="Tahoma" w:hAnsi="Tahoma" w:cs="Tahoma"/>
                <w:noProof/>
                <w:sz w:val="16"/>
                <w:szCs w:val="16"/>
              </w:rPr>
              <w:t>73.2</w:t>
            </w:r>
          </w:p>
        </w:tc>
        <w:tc>
          <w:tcPr>
            <w:tcW w:w="348" w:type="pct"/>
            <w:vAlign w:val="bottom"/>
          </w:tcPr>
          <w:p>
            <w:pPr>
              <w:rPr>
                <w:noProof/>
              </w:rPr>
            </w:pPr>
            <w:r>
              <w:rPr>
                <w:rFonts w:ascii="Tahoma" w:hAnsi="Tahoma" w:cs="Tahoma"/>
                <w:noProof/>
                <w:sz w:val="16"/>
                <w:szCs w:val="16"/>
              </w:rPr>
              <w:t>86.9</w:t>
            </w:r>
          </w:p>
        </w:tc>
        <w:tc>
          <w:tcPr>
            <w:tcW w:w="348" w:type="pct"/>
            <w:vAlign w:val="bottom"/>
          </w:tcPr>
          <w:p>
            <w:pPr>
              <w:rPr>
                <w:noProof/>
              </w:rPr>
            </w:pPr>
            <w:r>
              <w:rPr>
                <w:rFonts w:ascii="Tahoma" w:hAnsi="Tahoma" w:cs="Tahoma"/>
                <w:noProof/>
                <w:sz w:val="16"/>
                <w:szCs w:val="16"/>
              </w:rPr>
              <w:t>93.9</w:t>
            </w:r>
          </w:p>
        </w:tc>
        <w:tc>
          <w:tcPr>
            <w:tcW w:w="405" w:type="pct"/>
            <w:vAlign w:val="bottom"/>
          </w:tcPr>
          <w:p>
            <w:pPr>
              <w:rPr>
                <w:noProof/>
              </w:rPr>
            </w:pPr>
            <w:r>
              <w:rPr>
                <w:rFonts w:ascii="Tahoma" w:hAnsi="Tahoma" w:cs="Tahoma"/>
                <w:noProof/>
                <w:sz w:val="16"/>
                <w:szCs w:val="16"/>
              </w:rPr>
              <w:t>100.8</w:t>
            </w:r>
          </w:p>
        </w:tc>
        <w:tc>
          <w:tcPr>
            <w:tcW w:w="405" w:type="pct"/>
            <w:vAlign w:val="bottom"/>
          </w:tcPr>
          <w:p>
            <w:pPr>
              <w:rPr>
                <w:noProof/>
              </w:rPr>
            </w:pPr>
            <w:r>
              <w:rPr>
                <w:rFonts w:ascii="Tahoma" w:hAnsi="Tahoma" w:cs="Tahoma"/>
                <w:noProof/>
                <w:sz w:val="16"/>
                <w:szCs w:val="16"/>
              </w:rPr>
              <w:t>110.4</w:t>
            </w:r>
          </w:p>
        </w:tc>
        <w:tc>
          <w:tcPr>
            <w:tcW w:w="405" w:type="pct"/>
            <w:vAlign w:val="bottom"/>
          </w:tcPr>
          <w:p>
            <w:pPr>
              <w:rPr>
                <w:noProof/>
              </w:rPr>
            </w:pPr>
            <w:r>
              <w:rPr>
                <w:rFonts w:ascii="Tahoma" w:hAnsi="Tahoma" w:cs="Tahoma"/>
                <w:noProof/>
                <w:sz w:val="16"/>
                <w:szCs w:val="16"/>
              </w:rPr>
              <w:t>125.5</w:t>
            </w:r>
          </w:p>
        </w:tc>
      </w:tr>
      <w:tr>
        <w:tc>
          <w:tcPr>
            <w:tcW w:w="936" w:type="pct"/>
            <w:vAlign w:val="bottom"/>
          </w:tcPr>
          <w:p>
            <w:pPr>
              <w:rPr>
                <w:noProof/>
              </w:rPr>
            </w:pPr>
            <w:r>
              <w:rPr>
                <w:rFonts w:ascii="Tahoma" w:hAnsi="Tahoma" w:cs="Tahoma"/>
                <w:noProof/>
                <w:sz w:val="16"/>
                <w:szCs w:val="16"/>
              </w:rPr>
              <w:t>Gas (NCV)</w:t>
            </w:r>
          </w:p>
        </w:tc>
        <w:tc>
          <w:tcPr>
            <w:tcW w:w="412" w:type="pct"/>
            <w:vAlign w:val="bottom"/>
          </w:tcPr>
          <w:p>
            <w:pPr>
              <w:rPr>
                <w:noProof/>
              </w:rPr>
            </w:pPr>
            <w:r>
              <w:rPr>
                <w:rFonts w:ascii="Tahoma" w:hAnsi="Tahoma" w:cs="Tahoma"/>
                <w:noProof/>
                <w:sz w:val="16"/>
                <w:szCs w:val="16"/>
              </w:rPr>
              <w:t>26.5</w:t>
            </w:r>
          </w:p>
        </w:tc>
        <w:tc>
          <w:tcPr>
            <w:tcW w:w="348" w:type="pct"/>
            <w:vAlign w:val="bottom"/>
          </w:tcPr>
          <w:p>
            <w:pPr>
              <w:rPr>
                <w:noProof/>
              </w:rPr>
            </w:pPr>
            <w:r>
              <w:rPr>
                <w:rFonts w:ascii="Tahoma" w:hAnsi="Tahoma" w:cs="Tahoma"/>
                <w:noProof/>
                <w:sz w:val="16"/>
                <w:szCs w:val="16"/>
              </w:rPr>
              <w:t>35.8</w:t>
            </w:r>
          </w:p>
        </w:tc>
        <w:tc>
          <w:tcPr>
            <w:tcW w:w="348" w:type="pct"/>
            <w:vAlign w:val="bottom"/>
          </w:tcPr>
          <w:p>
            <w:pPr>
              <w:rPr>
                <w:noProof/>
              </w:rPr>
            </w:pPr>
            <w:r>
              <w:rPr>
                <w:rFonts w:ascii="Tahoma" w:hAnsi="Tahoma" w:cs="Tahoma"/>
                <w:noProof/>
                <w:sz w:val="16"/>
                <w:szCs w:val="16"/>
              </w:rPr>
              <w:t>45.8</w:t>
            </w:r>
          </w:p>
        </w:tc>
        <w:tc>
          <w:tcPr>
            <w:tcW w:w="348" w:type="pct"/>
            <w:vAlign w:val="bottom"/>
          </w:tcPr>
          <w:p>
            <w:pPr>
              <w:rPr>
                <w:noProof/>
              </w:rPr>
            </w:pPr>
            <w:r>
              <w:rPr>
                <w:rFonts w:ascii="Tahoma" w:hAnsi="Tahoma" w:cs="Tahoma"/>
                <w:noProof/>
                <w:sz w:val="16"/>
                <w:szCs w:val="16"/>
              </w:rPr>
              <w:t>43.7</w:t>
            </w:r>
          </w:p>
        </w:tc>
        <w:tc>
          <w:tcPr>
            <w:tcW w:w="348" w:type="pct"/>
            <w:vAlign w:val="bottom"/>
          </w:tcPr>
          <w:p>
            <w:pPr>
              <w:rPr>
                <w:noProof/>
              </w:rPr>
            </w:pPr>
            <w:r>
              <w:rPr>
                <w:rFonts w:ascii="Tahoma" w:hAnsi="Tahoma" w:cs="Tahoma"/>
                <w:noProof/>
                <w:sz w:val="16"/>
                <w:szCs w:val="16"/>
              </w:rPr>
              <w:t>35.7</w:t>
            </w:r>
          </w:p>
        </w:tc>
        <w:tc>
          <w:tcPr>
            <w:tcW w:w="348" w:type="pct"/>
            <w:vAlign w:val="bottom"/>
          </w:tcPr>
          <w:p>
            <w:pPr>
              <w:rPr>
                <w:noProof/>
              </w:rPr>
            </w:pPr>
            <w:r>
              <w:rPr>
                <w:rFonts w:ascii="Tahoma" w:hAnsi="Tahoma" w:cs="Tahoma"/>
                <w:noProof/>
                <w:sz w:val="16"/>
                <w:szCs w:val="16"/>
              </w:rPr>
              <w:t>39.9</w:t>
            </w:r>
          </w:p>
        </w:tc>
        <w:tc>
          <w:tcPr>
            <w:tcW w:w="348" w:type="pct"/>
            <w:vAlign w:val="bottom"/>
          </w:tcPr>
          <w:p>
            <w:pPr>
              <w:rPr>
                <w:noProof/>
              </w:rPr>
            </w:pPr>
            <w:r>
              <w:rPr>
                <w:rFonts w:ascii="Tahoma" w:hAnsi="Tahoma" w:cs="Tahoma"/>
                <w:noProof/>
                <w:sz w:val="16"/>
                <w:szCs w:val="16"/>
              </w:rPr>
              <w:t>41.8</w:t>
            </w:r>
          </w:p>
        </w:tc>
        <w:tc>
          <w:tcPr>
            <w:tcW w:w="348" w:type="pct"/>
            <w:vAlign w:val="bottom"/>
          </w:tcPr>
          <w:p>
            <w:pPr>
              <w:rPr>
                <w:noProof/>
              </w:rPr>
            </w:pPr>
            <w:r>
              <w:rPr>
                <w:rFonts w:ascii="Tahoma" w:hAnsi="Tahoma" w:cs="Tahoma"/>
                <w:noProof/>
                <w:sz w:val="16"/>
                <w:szCs w:val="16"/>
              </w:rPr>
              <w:t>47.9</w:t>
            </w:r>
          </w:p>
        </w:tc>
        <w:tc>
          <w:tcPr>
            <w:tcW w:w="405" w:type="pct"/>
            <w:vAlign w:val="bottom"/>
          </w:tcPr>
          <w:p>
            <w:pPr>
              <w:rPr>
                <w:noProof/>
              </w:rPr>
            </w:pPr>
            <w:r>
              <w:rPr>
                <w:rFonts w:ascii="Tahoma" w:hAnsi="Tahoma" w:cs="Tahoma"/>
                <w:noProof/>
                <w:sz w:val="16"/>
                <w:szCs w:val="16"/>
              </w:rPr>
              <w:t>57.3</w:t>
            </w:r>
          </w:p>
        </w:tc>
        <w:tc>
          <w:tcPr>
            <w:tcW w:w="405" w:type="pct"/>
            <w:vAlign w:val="bottom"/>
          </w:tcPr>
          <w:p>
            <w:pPr>
              <w:rPr>
                <w:noProof/>
              </w:rPr>
            </w:pPr>
            <w:r>
              <w:rPr>
                <w:rFonts w:ascii="Tahoma" w:hAnsi="Tahoma" w:cs="Tahoma"/>
                <w:noProof/>
                <w:sz w:val="16"/>
                <w:szCs w:val="16"/>
              </w:rPr>
              <w:t>56.7</w:t>
            </w:r>
          </w:p>
        </w:tc>
        <w:tc>
          <w:tcPr>
            <w:tcW w:w="405" w:type="pct"/>
            <w:vAlign w:val="bottom"/>
          </w:tcPr>
          <w:p>
            <w:pPr>
              <w:rPr>
                <w:noProof/>
              </w:rPr>
            </w:pPr>
            <w:r>
              <w:rPr>
                <w:rFonts w:ascii="Tahoma" w:hAnsi="Tahoma" w:cs="Tahoma"/>
                <w:noProof/>
                <w:sz w:val="16"/>
                <w:szCs w:val="16"/>
              </w:rPr>
              <w:t>58.9</w:t>
            </w:r>
          </w:p>
        </w:tc>
      </w:tr>
      <w:tr>
        <w:tc>
          <w:tcPr>
            <w:tcW w:w="936" w:type="pct"/>
            <w:vAlign w:val="bottom"/>
          </w:tcPr>
          <w:p>
            <w:pPr>
              <w:rPr>
                <w:noProof/>
              </w:rPr>
            </w:pPr>
            <w:r>
              <w:rPr>
                <w:rFonts w:ascii="Tahoma" w:hAnsi="Tahoma" w:cs="Tahoma"/>
                <w:noProof/>
                <w:sz w:val="16"/>
                <w:szCs w:val="16"/>
              </w:rPr>
              <w:t>Coal</w:t>
            </w:r>
          </w:p>
        </w:tc>
        <w:tc>
          <w:tcPr>
            <w:tcW w:w="412" w:type="pct"/>
            <w:vAlign w:val="bottom"/>
          </w:tcPr>
          <w:p>
            <w:pPr>
              <w:rPr>
                <w:noProof/>
              </w:rPr>
            </w:pPr>
            <w:r>
              <w:rPr>
                <w:rFonts w:ascii="Tahoma" w:hAnsi="Tahoma" w:cs="Tahoma"/>
                <w:noProof/>
                <w:sz w:val="16"/>
                <w:szCs w:val="16"/>
              </w:rPr>
              <w:t>11.2</w:t>
            </w:r>
          </w:p>
        </w:tc>
        <w:tc>
          <w:tcPr>
            <w:tcW w:w="348" w:type="pct"/>
            <w:vAlign w:val="bottom"/>
          </w:tcPr>
          <w:p>
            <w:pPr>
              <w:rPr>
                <w:noProof/>
              </w:rPr>
            </w:pPr>
            <w:r>
              <w:rPr>
                <w:rFonts w:ascii="Tahoma" w:hAnsi="Tahoma" w:cs="Tahoma"/>
                <w:noProof/>
                <w:sz w:val="16"/>
                <w:szCs w:val="16"/>
              </w:rPr>
              <w:t>16.9</w:t>
            </w:r>
          </w:p>
        </w:tc>
        <w:tc>
          <w:tcPr>
            <w:tcW w:w="348" w:type="pct"/>
            <w:vAlign w:val="bottom"/>
          </w:tcPr>
          <w:p>
            <w:pPr>
              <w:rPr>
                <w:noProof/>
              </w:rPr>
            </w:pPr>
            <w:r>
              <w:rPr>
                <w:rFonts w:ascii="Tahoma" w:hAnsi="Tahoma" w:cs="Tahoma"/>
                <w:noProof/>
                <w:sz w:val="16"/>
                <w:szCs w:val="16"/>
              </w:rPr>
              <w:t>23.2</w:t>
            </w:r>
          </w:p>
        </w:tc>
        <w:tc>
          <w:tcPr>
            <w:tcW w:w="348" w:type="pct"/>
            <w:vAlign w:val="bottom"/>
          </w:tcPr>
          <w:p>
            <w:pPr>
              <w:rPr>
                <w:noProof/>
              </w:rPr>
            </w:pPr>
            <w:r>
              <w:rPr>
                <w:rFonts w:ascii="Tahoma" w:hAnsi="Tahoma" w:cs="Tahoma"/>
                <w:noProof/>
                <w:sz w:val="16"/>
                <w:szCs w:val="16"/>
              </w:rPr>
              <w:t>13.1</w:t>
            </w:r>
          </w:p>
        </w:tc>
        <w:tc>
          <w:tcPr>
            <w:tcW w:w="348" w:type="pct"/>
            <w:vAlign w:val="bottom"/>
          </w:tcPr>
          <w:p>
            <w:pPr>
              <w:rPr>
                <w:noProof/>
              </w:rPr>
            </w:pPr>
            <w:r>
              <w:rPr>
                <w:rFonts w:ascii="Tahoma" w:hAnsi="Tahoma" w:cs="Tahoma"/>
                <w:noProof/>
                <w:sz w:val="16"/>
                <w:szCs w:val="16"/>
              </w:rPr>
              <w:t>13.2</w:t>
            </w:r>
          </w:p>
        </w:tc>
        <w:tc>
          <w:tcPr>
            <w:tcW w:w="348" w:type="pct"/>
            <w:vAlign w:val="bottom"/>
          </w:tcPr>
          <w:p>
            <w:pPr>
              <w:rPr>
                <w:noProof/>
              </w:rPr>
            </w:pPr>
            <w:r>
              <w:rPr>
                <w:rFonts w:ascii="Tahoma" w:hAnsi="Tahoma" w:cs="Tahoma"/>
                <w:noProof/>
                <w:sz w:val="16"/>
                <w:szCs w:val="16"/>
              </w:rPr>
              <w:t>16.9</w:t>
            </w:r>
          </w:p>
        </w:tc>
        <w:tc>
          <w:tcPr>
            <w:tcW w:w="348" w:type="pct"/>
            <w:vAlign w:val="bottom"/>
          </w:tcPr>
          <w:p>
            <w:pPr>
              <w:rPr>
                <w:noProof/>
              </w:rPr>
            </w:pPr>
            <w:r>
              <w:rPr>
                <w:rFonts w:ascii="Tahoma" w:hAnsi="Tahoma" w:cs="Tahoma"/>
                <w:noProof/>
                <w:sz w:val="16"/>
                <w:szCs w:val="16"/>
              </w:rPr>
              <w:t>18.4</w:t>
            </w:r>
          </w:p>
        </w:tc>
        <w:tc>
          <w:tcPr>
            <w:tcW w:w="348" w:type="pct"/>
            <w:vAlign w:val="bottom"/>
          </w:tcPr>
          <w:p>
            <w:pPr>
              <w:rPr>
                <w:noProof/>
              </w:rPr>
            </w:pPr>
            <w:r>
              <w:rPr>
                <w:rFonts w:ascii="Tahoma" w:hAnsi="Tahoma" w:cs="Tahoma"/>
                <w:noProof/>
                <w:sz w:val="16"/>
                <w:szCs w:val="16"/>
              </w:rPr>
              <w:t>19.8</w:t>
            </w:r>
          </w:p>
        </w:tc>
        <w:tc>
          <w:tcPr>
            <w:tcW w:w="405" w:type="pct"/>
            <w:vAlign w:val="bottom"/>
          </w:tcPr>
          <w:p>
            <w:pPr>
              <w:rPr>
                <w:noProof/>
              </w:rPr>
            </w:pPr>
            <w:r>
              <w:rPr>
                <w:rFonts w:ascii="Tahoma" w:hAnsi="Tahoma" w:cs="Tahoma"/>
                <w:noProof/>
                <w:sz w:val="16"/>
                <w:szCs w:val="16"/>
              </w:rPr>
              <w:t>20.8</w:t>
            </w:r>
          </w:p>
        </w:tc>
        <w:tc>
          <w:tcPr>
            <w:tcW w:w="405" w:type="pct"/>
            <w:vAlign w:val="bottom"/>
          </w:tcPr>
          <w:p>
            <w:pPr>
              <w:rPr>
                <w:noProof/>
              </w:rPr>
            </w:pPr>
            <w:r>
              <w:rPr>
                <w:rFonts w:ascii="Tahoma" w:hAnsi="Tahoma" w:cs="Tahoma"/>
                <w:noProof/>
                <w:sz w:val="16"/>
                <w:szCs w:val="16"/>
              </w:rPr>
              <w:t>21.8</w:t>
            </w:r>
          </w:p>
        </w:tc>
        <w:tc>
          <w:tcPr>
            <w:tcW w:w="405" w:type="pct"/>
            <w:vAlign w:val="bottom"/>
          </w:tcPr>
          <w:p>
            <w:pPr>
              <w:rPr>
                <w:noProof/>
              </w:rPr>
            </w:pPr>
            <w:r>
              <w:rPr>
                <w:rFonts w:ascii="Tahoma" w:hAnsi="Tahoma" w:cs="Tahoma"/>
                <w:noProof/>
                <w:sz w:val="16"/>
                <w:szCs w:val="16"/>
              </w:rPr>
              <w:t>22.8</w:t>
            </w:r>
          </w:p>
        </w:tc>
      </w:tr>
      <w:tr>
        <w:trPr>
          <w:gridAfter w:val="11"/>
          <w:wAfter w:w="4064" w:type="pct"/>
          <w:trHeight w:val="78"/>
        </w:trPr>
        <w:tc>
          <w:tcPr>
            <w:tcW w:w="936" w:type="pct"/>
          </w:tcPr>
          <w:p>
            <w:pPr>
              <w:rPr>
                <w:noProof/>
              </w:rPr>
            </w:pPr>
          </w:p>
        </w:tc>
      </w:tr>
      <w:tr>
        <w:tc>
          <w:tcPr>
            <w:tcW w:w="936" w:type="pct"/>
            <w:vAlign w:val="bottom"/>
          </w:tcPr>
          <w:p>
            <w:pPr>
              <w:rPr>
                <w:noProof/>
              </w:rPr>
            </w:pPr>
            <w:r>
              <w:rPr>
                <w:rFonts w:ascii="Tahoma" w:hAnsi="Tahoma" w:cs="Tahoma"/>
                <w:b/>
                <w:bCs/>
                <w:i/>
                <w:iCs/>
                <w:noProof/>
                <w:color w:val="000080"/>
                <w:sz w:val="16"/>
                <w:szCs w:val="16"/>
              </w:rPr>
              <w:t>in EUR'15 per boe</w:t>
            </w:r>
          </w:p>
        </w:tc>
        <w:tc>
          <w:tcPr>
            <w:tcW w:w="412" w:type="pct"/>
            <w:vAlign w:val="bottom"/>
          </w:tcPr>
          <w:p>
            <w:pPr>
              <w:rPr>
                <w:noProof/>
              </w:rPr>
            </w:pPr>
            <w:r>
              <w:rPr>
                <w:rFonts w:ascii="Tahoma" w:hAnsi="Tahoma" w:cs="Tahoma"/>
                <w:b/>
                <w:bCs/>
                <w:noProof/>
                <w:color w:val="000080"/>
                <w:sz w:val="16"/>
                <w:szCs w:val="16"/>
              </w:rPr>
              <w:t>2000</w:t>
            </w:r>
          </w:p>
        </w:tc>
        <w:tc>
          <w:tcPr>
            <w:tcW w:w="348" w:type="pct"/>
            <w:vAlign w:val="bottom"/>
          </w:tcPr>
          <w:p>
            <w:pPr>
              <w:rPr>
                <w:noProof/>
              </w:rPr>
            </w:pPr>
            <w:r>
              <w:rPr>
                <w:rFonts w:ascii="Tahoma" w:hAnsi="Tahoma" w:cs="Tahoma"/>
                <w:b/>
                <w:bCs/>
                <w:noProof/>
                <w:color w:val="000080"/>
                <w:sz w:val="16"/>
                <w:szCs w:val="16"/>
              </w:rPr>
              <w:t>'05</w:t>
            </w:r>
          </w:p>
        </w:tc>
        <w:tc>
          <w:tcPr>
            <w:tcW w:w="348" w:type="pct"/>
            <w:vAlign w:val="bottom"/>
          </w:tcPr>
          <w:p>
            <w:pPr>
              <w:rPr>
                <w:noProof/>
              </w:rPr>
            </w:pPr>
            <w:r>
              <w:rPr>
                <w:rFonts w:ascii="Tahoma" w:hAnsi="Tahoma" w:cs="Tahoma"/>
                <w:b/>
                <w:bCs/>
                <w:noProof/>
                <w:color w:val="000080"/>
                <w:sz w:val="16"/>
                <w:szCs w:val="16"/>
              </w:rPr>
              <w:t>'10</w:t>
            </w:r>
          </w:p>
        </w:tc>
        <w:tc>
          <w:tcPr>
            <w:tcW w:w="348" w:type="pct"/>
            <w:vAlign w:val="bottom"/>
          </w:tcPr>
          <w:p>
            <w:pPr>
              <w:rPr>
                <w:noProof/>
              </w:rPr>
            </w:pPr>
            <w:r>
              <w:rPr>
                <w:rFonts w:ascii="Tahoma" w:hAnsi="Tahoma" w:cs="Tahoma"/>
                <w:b/>
                <w:bCs/>
                <w:noProof/>
                <w:color w:val="000080"/>
                <w:sz w:val="16"/>
                <w:szCs w:val="16"/>
              </w:rPr>
              <w:t>'15</w:t>
            </w:r>
          </w:p>
        </w:tc>
        <w:tc>
          <w:tcPr>
            <w:tcW w:w="348" w:type="pct"/>
            <w:vAlign w:val="bottom"/>
          </w:tcPr>
          <w:p>
            <w:pPr>
              <w:rPr>
                <w:noProof/>
              </w:rPr>
            </w:pPr>
            <w:r>
              <w:rPr>
                <w:rFonts w:ascii="Tahoma" w:hAnsi="Tahoma" w:cs="Tahoma"/>
                <w:b/>
                <w:bCs/>
                <w:noProof/>
                <w:color w:val="000080"/>
                <w:sz w:val="16"/>
                <w:szCs w:val="16"/>
              </w:rPr>
              <w:t>'20</w:t>
            </w:r>
          </w:p>
        </w:tc>
        <w:tc>
          <w:tcPr>
            <w:tcW w:w="348" w:type="pct"/>
            <w:vAlign w:val="bottom"/>
          </w:tcPr>
          <w:p>
            <w:pPr>
              <w:rPr>
                <w:noProof/>
              </w:rPr>
            </w:pPr>
            <w:r>
              <w:rPr>
                <w:rFonts w:ascii="Tahoma" w:hAnsi="Tahoma" w:cs="Tahoma"/>
                <w:b/>
                <w:bCs/>
                <w:noProof/>
                <w:color w:val="000080"/>
                <w:sz w:val="16"/>
                <w:szCs w:val="16"/>
              </w:rPr>
              <w:t>'25</w:t>
            </w:r>
          </w:p>
        </w:tc>
        <w:tc>
          <w:tcPr>
            <w:tcW w:w="348" w:type="pct"/>
            <w:vAlign w:val="bottom"/>
          </w:tcPr>
          <w:p>
            <w:pPr>
              <w:rPr>
                <w:noProof/>
              </w:rPr>
            </w:pPr>
            <w:r>
              <w:rPr>
                <w:rFonts w:ascii="Tahoma" w:hAnsi="Tahoma" w:cs="Tahoma"/>
                <w:b/>
                <w:bCs/>
                <w:noProof/>
                <w:color w:val="000080"/>
                <w:sz w:val="16"/>
                <w:szCs w:val="16"/>
              </w:rPr>
              <w:t>'30</w:t>
            </w:r>
          </w:p>
        </w:tc>
        <w:tc>
          <w:tcPr>
            <w:tcW w:w="348" w:type="pct"/>
            <w:vAlign w:val="bottom"/>
          </w:tcPr>
          <w:p>
            <w:pPr>
              <w:rPr>
                <w:noProof/>
              </w:rPr>
            </w:pPr>
            <w:r>
              <w:rPr>
                <w:rFonts w:ascii="Tahoma" w:hAnsi="Tahoma" w:cs="Tahoma"/>
                <w:b/>
                <w:bCs/>
                <w:noProof/>
                <w:color w:val="000080"/>
                <w:sz w:val="16"/>
                <w:szCs w:val="16"/>
              </w:rPr>
              <w:t>'35</w:t>
            </w:r>
          </w:p>
        </w:tc>
        <w:tc>
          <w:tcPr>
            <w:tcW w:w="405" w:type="pct"/>
            <w:vAlign w:val="bottom"/>
          </w:tcPr>
          <w:p>
            <w:pPr>
              <w:rPr>
                <w:noProof/>
              </w:rPr>
            </w:pPr>
            <w:r>
              <w:rPr>
                <w:rFonts w:ascii="Tahoma" w:hAnsi="Tahoma" w:cs="Tahoma"/>
                <w:b/>
                <w:bCs/>
                <w:noProof/>
                <w:color w:val="000080"/>
                <w:sz w:val="16"/>
                <w:szCs w:val="16"/>
              </w:rPr>
              <w:t>'40</w:t>
            </w:r>
          </w:p>
        </w:tc>
        <w:tc>
          <w:tcPr>
            <w:tcW w:w="405" w:type="pct"/>
            <w:vAlign w:val="bottom"/>
          </w:tcPr>
          <w:p>
            <w:pPr>
              <w:rPr>
                <w:noProof/>
              </w:rPr>
            </w:pPr>
            <w:r>
              <w:rPr>
                <w:rFonts w:ascii="Tahoma" w:hAnsi="Tahoma" w:cs="Tahoma"/>
                <w:b/>
                <w:bCs/>
                <w:noProof/>
                <w:color w:val="000080"/>
                <w:sz w:val="16"/>
                <w:szCs w:val="16"/>
              </w:rPr>
              <w:t>'45</w:t>
            </w:r>
          </w:p>
        </w:tc>
        <w:tc>
          <w:tcPr>
            <w:tcW w:w="405" w:type="pct"/>
            <w:vAlign w:val="bottom"/>
          </w:tcPr>
          <w:p>
            <w:pPr>
              <w:rPr>
                <w:noProof/>
              </w:rPr>
            </w:pPr>
            <w:r>
              <w:rPr>
                <w:rFonts w:ascii="Tahoma" w:hAnsi="Tahoma" w:cs="Tahoma"/>
                <w:b/>
                <w:bCs/>
                <w:noProof/>
                <w:color w:val="000080"/>
                <w:sz w:val="16"/>
                <w:szCs w:val="16"/>
              </w:rPr>
              <w:t>'50</w:t>
            </w:r>
          </w:p>
        </w:tc>
      </w:tr>
      <w:tr>
        <w:tc>
          <w:tcPr>
            <w:tcW w:w="936" w:type="pct"/>
            <w:vAlign w:val="bottom"/>
          </w:tcPr>
          <w:p>
            <w:pPr>
              <w:rPr>
                <w:noProof/>
              </w:rPr>
            </w:pPr>
            <w:r>
              <w:rPr>
                <w:rFonts w:ascii="Tahoma" w:hAnsi="Tahoma" w:cs="Tahoma"/>
                <w:noProof/>
                <w:sz w:val="16"/>
                <w:szCs w:val="16"/>
              </w:rPr>
              <w:t>Oil</w:t>
            </w:r>
          </w:p>
        </w:tc>
        <w:tc>
          <w:tcPr>
            <w:tcW w:w="412" w:type="pct"/>
            <w:vAlign w:val="bottom"/>
          </w:tcPr>
          <w:p>
            <w:pPr>
              <w:rPr>
                <w:noProof/>
              </w:rPr>
            </w:pPr>
            <w:r>
              <w:rPr>
                <w:rFonts w:ascii="Tahoma" w:hAnsi="Tahoma" w:cs="Tahoma"/>
                <w:noProof/>
                <w:sz w:val="16"/>
                <w:szCs w:val="16"/>
              </w:rPr>
              <w:t>34.6</w:t>
            </w:r>
          </w:p>
        </w:tc>
        <w:tc>
          <w:tcPr>
            <w:tcW w:w="348" w:type="pct"/>
            <w:vAlign w:val="bottom"/>
          </w:tcPr>
          <w:p>
            <w:pPr>
              <w:rPr>
                <w:noProof/>
              </w:rPr>
            </w:pPr>
            <w:r>
              <w:rPr>
                <w:rFonts w:ascii="Tahoma" w:hAnsi="Tahoma" w:cs="Tahoma"/>
                <w:noProof/>
                <w:sz w:val="16"/>
                <w:szCs w:val="16"/>
              </w:rPr>
              <w:t>58.9</w:t>
            </w:r>
          </w:p>
        </w:tc>
        <w:tc>
          <w:tcPr>
            <w:tcW w:w="348" w:type="pct"/>
            <w:vAlign w:val="bottom"/>
          </w:tcPr>
          <w:p>
            <w:pPr>
              <w:rPr>
                <w:noProof/>
              </w:rPr>
            </w:pPr>
            <w:r>
              <w:rPr>
                <w:rFonts w:ascii="Tahoma" w:hAnsi="Tahoma" w:cs="Tahoma"/>
                <w:noProof/>
                <w:sz w:val="16"/>
                <w:szCs w:val="16"/>
              </w:rPr>
              <w:t>78.2</w:t>
            </w:r>
          </w:p>
        </w:tc>
        <w:tc>
          <w:tcPr>
            <w:tcW w:w="348" w:type="pct"/>
            <w:vAlign w:val="bottom"/>
          </w:tcPr>
          <w:p>
            <w:pPr>
              <w:rPr>
                <w:noProof/>
              </w:rPr>
            </w:pPr>
            <w:r>
              <w:rPr>
                <w:rFonts w:ascii="Tahoma" w:hAnsi="Tahoma" w:cs="Tahoma"/>
                <w:noProof/>
                <w:sz w:val="16"/>
                <w:szCs w:val="16"/>
              </w:rPr>
              <w:t>47.2</w:t>
            </w:r>
          </w:p>
        </w:tc>
        <w:tc>
          <w:tcPr>
            <w:tcW w:w="348" w:type="pct"/>
            <w:vAlign w:val="bottom"/>
          </w:tcPr>
          <w:p>
            <w:pPr>
              <w:rPr>
                <w:noProof/>
              </w:rPr>
            </w:pPr>
            <w:r>
              <w:rPr>
                <w:rFonts w:ascii="Tahoma" w:hAnsi="Tahoma" w:cs="Tahoma"/>
                <w:noProof/>
                <w:sz w:val="16"/>
                <w:szCs w:val="16"/>
              </w:rPr>
              <w:t>52.3</w:t>
            </w:r>
          </w:p>
        </w:tc>
        <w:tc>
          <w:tcPr>
            <w:tcW w:w="348" w:type="pct"/>
            <w:vAlign w:val="bottom"/>
          </w:tcPr>
          <w:p>
            <w:pPr>
              <w:rPr>
                <w:noProof/>
              </w:rPr>
            </w:pPr>
            <w:r>
              <w:rPr>
                <w:rFonts w:ascii="Tahoma" w:hAnsi="Tahoma" w:cs="Tahoma"/>
                <w:noProof/>
                <w:sz w:val="16"/>
                <w:szCs w:val="16"/>
              </w:rPr>
              <w:t>66.0</w:t>
            </w:r>
          </w:p>
        </w:tc>
        <w:tc>
          <w:tcPr>
            <w:tcW w:w="348" w:type="pct"/>
            <w:vAlign w:val="bottom"/>
          </w:tcPr>
          <w:p>
            <w:pPr>
              <w:rPr>
                <w:noProof/>
              </w:rPr>
            </w:pPr>
            <w:r>
              <w:rPr>
                <w:rFonts w:ascii="Tahoma" w:hAnsi="Tahoma" w:cs="Tahoma"/>
                <w:noProof/>
                <w:sz w:val="16"/>
                <w:szCs w:val="16"/>
              </w:rPr>
              <w:t>78.3</w:t>
            </w:r>
          </w:p>
        </w:tc>
        <w:tc>
          <w:tcPr>
            <w:tcW w:w="348" w:type="pct"/>
            <w:vAlign w:val="bottom"/>
          </w:tcPr>
          <w:p>
            <w:pPr>
              <w:rPr>
                <w:noProof/>
              </w:rPr>
            </w:pPr>
            <w:r>
              <w:rPr>
                <w:rFonts w:ascii="Tahoma" w:hAnsi="Tahoma" w:cs="Tahoma"/>
                <w:noProof/>
                <w:sz w:val="16"/>
                <w:szCs w:val="16"/>
              </w:rPr>
              <w:t>84.7</w:t>
            </w:r>
          </w:p>
        </w:tc>
        <w:tc>
          <w:tcPr>
            <w:tcW w:w="405" w:type="pct"/>
            <w:vAlign w:val="bottom"/>
          </w:tcPr>
          <w:p>
            <w:pPr>
              <w:rPr>
                <w:noProof/>
              </w:rPr>
            </w:pPr>
            <w:r>
              <w:rPr>
                <w:rFonts w:ascii="Tahoma" w:hAnsi="Tahoma" w:cs="Tahoma"/>
                <w:noProof/>
                <w:sz w:val="16"/>
                <w:szCs w:val="16"/>
              </w:rPr>
              <w:t>90.9</w:t>
            </w:r>
          </w:p>
        </w:tc>
        <w:tc>
          <w:tcPr>
            <w:tcW w:w="405" w:type="pct"/>
            <w:vAlign w:val="bottom"/>
          </w:tcPr>
          <w:p>
            <w:pPr>
              <w:rPr>
                <w:noProof/>
              </w:rPr>
            </w:pPr>
            <w:r>
              <w:rPr>
                <w:rFonts w:ascii="Tahoma" w:hAnsi="Tahoma" w:cs="Tahoma"/>
                <w:noProof/>
                <w:sz w:val="16"/>
                <w:szCs w:val="16"/>
              </w:rPr>
              <w:t>99.5</w:t>
            </w:r>
          </w:p>
        </w:tc>
        <w:tc>
          <w:tcPr>
            <w:tcW w:w="405" w:type="pct"/>
            <w:vAlign w:val="bottom"/>
          </w:tcPr>
          <w:p>
            <w:pPr>
              <w:rPr>
                <w:noProof/>
              </w:rPr>
            </w:pPr>
            <w:r>
              <w:rPr>
                <w:rFonts w:ascii="Tahoma" w:hAnsi="Tahoma" w:cs="Tahoma"/>
                <w:noProof/>
                <w:sz w:val="16"/>
                <w:szCs w:val="16"/>
              </w:rPr>
              <w:t>113.2</w:t>
            </w:r>
          </w:p>
        </w:tc>
      </w:tr>
      <w:tr>
        <w:tc>
          <w:tcPr>
            <w:tcW w:w="936" w:type="pct"/>
            <w:vAlign w:val="bottom"/>
          </w:tcPr>
          <w:p>
            <w:pPr>
              <w:rPr>
                <w:noProof/>
              </w:rPr>
            </w:pPr>
            <w:r>
              <w:rPr>
                <w:rFonts w:ascii="Tahoma" w:hAnsi="Tahoma" w:cs="Tahoma"/>
                <w:noProof/>
                <w:sz w:val="16"/>
                <w:szCs w:val="16"/>
              </w:rPr>
              <w:t>Gas (NCV)</w:t>
            </w:r>
          </w:p>
        </w:tc>
        <w:tc>
          <w:tcPr>
            <w:tcW w:w="412" w:type="pct"/>
            <w:vAlign w:val="bottom"/>
          </w:tcPr>
          <w:p>
            <w:pPr>
              <w:rPr>
                <w:noProof/>
              </w:rPr>
            </w:pPr>
            <w:r>
              <w:rPr>
                <w:rFonts w:ascii="Tahoma" w:hAnsi="Tahoma" w:cs="Tahoma"/>
                <w:noProof/>
                <w:sz w:val="16"/>
                <w:szCs w:val="16"/>
              </w:rPr>
              <w:t>23.4</w:t>
            </w:r>
          </w:p>
        </w:tc>
        <w:tc>
          <w:tcPr>
            <w:tcW w:w="348" w:type="pct"/>
            <w:vAlign w:val="bottom"/>
          </w:tcPr>
          <w:p>
            <w:pPr>
              <w:rPr>
                <w:noProof/>
              </w:rPr>
            </w:pPr>
            <w:r>
              <w:rPr>
                <w:rFonts w:ascii="Tahoma" w:hAnsi="Tahoma" w:cs="Tahoma"/>
                <w:noProof/>
                <w:sz w:val="16"/>
                <w:szCs w:val="16"/>
              </w:rPr>
              <w:t>31.7</w:t>
            </w:r>
          </w:p>
        </w:tc>
        <w:tc>
          <w:tcPr>
            <w:tcW w:w="348" w:type="pct"/>
            <w:vAlign w:val="bottom"/>
          </w:tcPr>
          <w:p>
            <w:pPr>
              <w:rPr>
                <w:noProof/>
              </w:rPr>
            </w:pPr>
            <w:r>
              <w:rPr>
                <w:rFonts w:ascii="Tahoma" w:hAnsi="Tahoma" w:cs="Tahoma"/>
                <w:noProof/>
                <w:sz w:val="16"/>
                <w:szCs w:val="16"/>
              </w:rPr>
              <w:t>40.6</w:t>
            </w:r>
          </w:p>
        </w:tc>
        <w:tc>
          <w:tcPr>
            <w:tcW w:w="348" w:type="pct"/>
            <w:vAlign w:val="bottom"/>
          </w:tcPr>
          <w:p>
            <w:pPr>
              <w:rPr>
                <w:noProof/>
              </w:rPr>
            </w:pPr>
            <w:r>
              <w:rPr>
                <w:rFonts w:ascii="Tahoma" w:hAnsi="Tahoma" w:cs="Tahoma"/>
                <w:noProof/>
                <w:sz w:val="16"/>
                <w:szCs w:val="16"/>
              </w:rPr>
              <w:t>38.7</w:t>
            </w:r>
          </w:p>
        </w:tc>
        <w:tc>
          <w:tcPr>
            <w:tcW w:w="348" w:type="pct"/>
            <w:vAlign w:val="bottom"/>
          </w:tcPr>
          <w:p>
            <w:pPr>
              <w:rPr>
                <w:noProof/>
              </w:rPr>
            </w:pPr>
            <w:r>
              <w:rPr>
                <w:rFonts w:ascii="Tahoma" w:hAnsi="Tahoma" w:cs="Tahoma"/>
                <w:noProof/>
                <w:sz w:val="16"/>
                <w:szCs w:val="16"/>
              </w:rPr>
              <w:t>31.6</w:t>
            </w:r>
          </w:p>
        </w:tc>
        <w:tc>
          <w:tcPr>
            <w:tcW w:w="348" w:type="pct"/>
            <w:vAlign w:val="bottom"/>
          </w:tcPr>
          <w:p>
            <w:pPr>
              <w:rPr>
                <w:noProof/>
              </w:rPr>
            </w:pPr>
            <w:r>
              <w:rPr>
                <w:rFonts w:ascii="Tahoma" w:hAnsi="Tahoma" w:cs="Tahoma"/>
                <w:noProof/>
                <w:sz w:val="16"/>
                <w:szCs w:val="16"/>
              </w:rPr>
              <w:t>35.4</w:t>
            </w:r>
          </w:p>
        </w:tc>
        <w:tc>
          <w:tcPr>
            <w:tcW w:w="348" w:type="pct"/>
            <w:vAlign w:val="bottom"/>
          </w:tcPr>
          <w:p>
            <w:pPr>
              <w:rPr>
                <w:noProof/>
              </w:rPr>
            </w:pPr>
            <w:r>
              <w:rPr>
                <w:rFonts w:ascii="Tahoma" w:hAnsi="Tahoma" w:cs="Tahoma"/>
                <w:noProof/>
                <w:sz w:val="16"/>
                <w:szCs w:val="16"/>
              </w:rPr>
              <w:t>37.0</w:t>
            </w:r>
          </w:p>
        </w:tc>
        <w:tc>
          <w:tcPr>
            <w:tcW w:w="348" w:type="pct"/>
            <w:vAlign w:val="bottom"/>
          </w:tcPr>
          <w:p>
            <w:pPr>
              <w:rPr>
                <w:noProof/>
              </w:rPr>
            </w:pPr>
            <w:r>
              <w:rPr>
                <w:rFonts w:ascii="Tahoma" w:hAnsi="Tahoma" w:cs="Tahoma"/>
                <w:noProof/>
                <w:sz w:val="16"/>
                <w:szCs w:val="16"/>
              </w:rPr>
              <w:t>42.4</w:t>
            </w:r>
          </w:p>
        </w:tc>
        <w:tc>
          <w:tcPr>
            <w:tcW w:w="405" w:type="pct"/>
            <w:vAlign w:val="bottom"/>
          </w:tcPr>
          <w:p>
            <w:pPr>
              <w:rPr>
                <w:noProof/>
              </w:rPr>
            </w:pPr>
            <w:r>
              <w:rPr>
                <w:rFonts w:ascii="Tahoma" w:hAnsi="Tahoma" w:cs="Tahoma"/>
                <w:noProof/>
                <w:sz w:val="16"/>
                <w:szCs w:val="16"/>
              </w:rPr>
              <w:t>50.7</w:t>
            </w:r>
          </w:p>
        </w:tc>
        <w:tc>
          <w:tcPr>
            <w:tcW w:w="405" w:type="pct"/>
            <w:vAlign w:val="bottom"/>
          </w:tcPr>
          <w:p>
            <w:pPr>
              <w:rPr>
                <w:noProof/>
              </w:rPr>
            </w:pPr>
            <w:r>
              <w:rPr>
                <w:rFonts w:ascii="Tahoma" w:hAnsi="Tahoma" w:cs="Tahoma"/>
                <w:noProof/>
                <w:sz w:val="16"/>
                <w:szCs w:val="16"/>
              </w:rPr>
              <w:t>50.2</w:t>
            </w:r>
          </w:p>
        </w:tc>
        <w:tc>
          <w:tcPr>
            <w:tcW w:w="405" w:type="pct"/>
            <w:vAlign w:val="bottom"/>
          </w:tcPr>
          <w:p>
            <w:pPr>
              <w:rPr>
                <w:noProof/>
              </w:rPr>
            </w:pPr>
            <w:r>
              <w:rPr>
                <w:rFonts w:ascii="Tahoma" w:hAnsi="Tahoma" w:cs="Tahoma"/>
                <w:noProof/>
                <w:sz w:val="16"/>
                <w:szCs w:val="16"/>
              </w:rPr>
              <w:t>52.1</w:t>
            </w:r>
          </w:p>
        </w:tc>
      </w:tr>
      <w:tr>
        <w:tc>
          <w:tcPr>
            <w:tcW w:w="936" w:type="pct"/>
            <w:vAlign w:val="bottom"/>
          </w:tcPr>
          <w:p>
            <w:pPr>
              <w:rPr>
                <w:noProof/>
              </w:rPr>
            </w:pPr>
            <w:r>
              <w:rPr>
                <w:rFonts w:ascii="Tahoma" w:hAnsi="Tahoma" w:cs="Tahoma"/>
                <w:noProof/>
                <w:sz w:val="16"/>
                <w:szCs w:val="16"/>
              </w:rPr>
              <w:t>Coal</w:t>
            </w:r>
          </w:p>
        </w:tc>
        <w:tc>
          <w:tcPr>
            <w:tcW w:w="412" w:type="pct"/>
            <w:vAlign w:val="bottom"/>
          </w:tcPr>
          <w:p>
            <w:pPr>
              <w:rPr>
                <w:noProof/>
              </w:rPr>
            </w:pPr>
            <w:r>
              <w:rPr>
                <w:rFonts w:ascii="Tahoma" w:hAnsi="Tahoma" w:cs="Tahoma"/>
                <w:noProof/>
                <w:sz w:val="16"/>
                <w:szCs w:val="16"/>
              </w:rPr>
              <w:t>9.9</w:t>
            </w:r>
          </w:p>
        </w:tc>
        <w:tc>
          <w:tcPr>
            <w:tcW w:w="348" w:type="pct"/>
            <w:vAlign w:val="bottom"/>
          </w:tcPr>
          <w:p>
            <w:pPr>
              <w:rPr>
                <w:noProof/>
              </w:rPr>
            </w:pPr>
            <w:r>
              <w:rPr>
                <w:rFonts w:ascii="Tahoma" w:hAnsi="Tahoma" w:cs="Tahoma"/>
                <w:noProof/>
                <w:sz w:val="16"/>
                <w:szCs w:val="16"/>
              </w:rPr>
              <w:t>15.0</w:t>
            </w:r>
          </w:p>
        </w:tc>
        <w:tc>
          <w:tcPr>
            <w:tcW w:w="348" w:type="pct"/>
            <w:vAlign w:val="bottom"/>
          </w:tcPr>
          <w:p>
            <w:pPr>
              <w:rPr>
                <w:noProof/>
              </w:rPr>
            </w:pPr>
            <w:r>
              <w:rPr>
                <w:rFonts w:ascii="Tahoma" w:hAnsi="Tahoma" w:cs="Tahoma"/>
                <w:noProof/>
                <w:sz w:val="16"/>
                <w:szCs w:val="16"/>
              </w:rPr>
              <w:t>20.6</w:t>
            </w:r>
          </w:p>
        </w:tc>
        <w:tc>
          <w:tcPr>
            <w:tcW w:w="348" w:type="pct"/>
            <w:vAlign w:val="bottom"/>
          </w:tcPr>
          <w:p>
            <w:pPr>
              <w:rPr>
                <w:noProof/>
              </w:rPr>
            </w:pPr>
            <w:r>
              <w:rPr>
                <w:rFonts w:ascii="Tahoma" w:hAnsi="Tahoma" w:cs="Tahoma"/>
                <w:noProof/>
                <w:sz w:val="16"/>
                <w:szCs w:val="16"/>
              </w:rPr>
              <w:t>11.6</w:t>
            </w:r>
          </w:p>
        </w:tc>
        <w:tc>
          <w:tcPr>
            <w:tcW w:w="348" w:type="pct"/>
            <w:vAlign w:val="bottom"/>
          </w:tcPr>
          <w:p>
            <w:pPr>
              <w:rPr>
                <w:noProof/>
              </w:rPr>
            </w:pPr>
            <w:r>
              <w:rPr>
                <w:rFonts w:ascii="Tahoma" w:hAnsi="Tahoma" w:cs="Tahoma"/>
                <w:noProof/>
                <w:sz w:val="16"/>
                <w:szCs w:val="16"/>
              </w:rPr>
              <w:t>11.7</w:t>
            </w:r>
          </w:p>
        </w:tc>
        <w:tc>
          <w:tcPr>
            <w:tcW w:w="348" w:type="pct"/>
            <w:vAlign w:val="bottom"/>
          </w:tcPr>
          <w:p>
            <w:pPr>
              <w:rPr>
                <w:noProof/>
              </w:rPr>
            </w:pPr>
            <w:r>
              <w:rPr>
                <w:rFonts w:ascii="Tahoma" w:hAnsi="Tahoma" w:cs="Tahoma"/>
                <w:noProof/>
                <w:sz w:val="16"/>
                <w:szCs w:val="16"/>
              </w:rPr>
              <w:t>14.9</w:t>
            </w:r>
          </w:p>
        </w:tc>
        <w:tc>
          <w:tcPr>
            <w:tcW w:w="348" w:type="pct"/>
            <w:vAlign w:val="bottom"/>
          </w:tcPr>
          <w:p>
            <w:pPr>
              <w:rPr>
                <w:noProof/>
              </w:rPr>
            </w:pPr>
            <w:r>
              <w:rPr>
                <w:rFonts w:ascii="Tahoma" w:hAnsi="Tahoma" w:cs="Tahoma"/>
                <w:noProof/>
                <w:sz w:val="16"/>
                <w:szCs w:val="16"/>
              </w:rPr>
              <w:t>16.3</w:t>
            </w:r>
          </w:p>
        </w:tc>
        <w:tc>
          <w:tcPr>
            <w:tcW w:w="348" w:type="pct"/>
            <w:vAlign w:val="bottom"/>
          </w:tcPr>
          <w:p>
            <w:pPr>
              <w:rPr>
                <w:noProof/>
              </w:rPr>
            </w:pPr>
            <w:r>
              <w:rPr>
                <w:rFonts w:ascii="Tahoma" w:hAnsi="Tahoma" w:cs="Tahoma"/>
                <w:noProof/>
                <w:sz w:val="16"/>
                <w:szCs w:val="16"/>
              </w:rPr>
              <w:t>17.5</w:t>
            </w:r>
          </w:p>
        </w:tc>
        <w:tc>
          <w:tcPr>
            <w:tcW w:w="405" w:type="pct"/>
            <w:vAlign w:val="bottom"/>
          </w:tcPr>
          <w:p>
            <w:pPr>
              <w:rPr>
                <w:noProof/>
              </w:rPr>
            </w:pPr>
            <w:r>
              <w:rPr>
                <w:rFonts w:ascii="Tahoma" w:hAnsi="Tahoma" w:cs="Tahoma"/>
                <w:noProof/>
                <w:sz w:val="16"/>
                <w:szCs w:val="16"/>
              </w:rPr>
              <w:t>18.4</w:t>
            </w:r>
          </w:p>
        </w:tc>
        <w:tc>
          <w:tcPr>
            <w:tcW w:w="405" w:type="pct"/>
            <w:vAlign w:val="bottom"/>
          </w:tcPr>
          <w:p>
            <w:pPr>
              <w:rPr>
                <w:noProof/>
              </w:rPr>
            </w:pPr>
            <w:r>
              <w:rPr>
                <w:rFonts w:ascii="Tahoma" w:hAnsi="Tahoma" w:cs="Tahoma"/>
                <w:noProof/>
                <w:sz w:val="16"/>
                <w:szCs w:val="16"/>
              </w:rPr>
              <w:t>19.3</w:t>
            </w:r>
          </w:p>
        </w:tc>
        <w:tc>
          <w:tcPr>
            <w:tcW w:w="405" w:type="pct"/>
            <w:vAlign w:val="bottom"/>
          </w:tcPr>
          <w:p>
            <w:pPr>
              <w:rPr>
                <w:noProof/>
              </w:rPr>
            </w:pPr>
            <w:r>
              <w:rPr>
                <w:rFonts w:ascii="Tahoma" w:hAnsi="Tahoma" w:cs="Tahoma"/>
                <w:noProof/>
                <w:sz w:val="16"/>
                <w:szCs w:val="16"/>
              </w:rPr>
              <w:t>20.1</w:t>
            </w:r>
          </w:p>
        </w:tc>
      </w:tr>
    </w:tbl>
    <w:p>
      <w:pPr>
        <w:pStyle w:val="Source"/>
        <w:rPr>
          <w:lang w:val="en-GB"/>
        </w:rPr>
      </w:pPr>
      <w:r>
        <w:rPr>
          <w:lang w:val="en-GB"/>
        </w:rPr>
        <w:t>Source: JRC, POLES-JRC model, derived from GECO 2019</w:t>
      </w:r>
    </w:p>
    <w:p>
      <w:pPr>
        <w:spacing w:line="240" w:lineRule="auto"/>
        <w:rPr>
          <w:noProof/>
          <w:sz w:val="24"/>
          <w:szCs w:val="24"/>
        </w:rPr>
      </w:pPr>
      <w:r>
        <w:rPr>
          <w:noProof/>
          <w:sz w:val="24"/>
          <w:szCs w:val="24"/>
        </w:rPr>
        <w:t xml:space="preserve">In order to obtain robust results, international fuel price assumptions were compared to the similar projections from several sources. </w:t>
      </w:r>
      <w:r>
        <w:rPr>
          <w:noProof/>
        </w:rPr>
        <w:fldChar w:fldCharType="begin"/>
      </w:r>
      <w:r>
        <w:rPr>
          <w:noProof/>
          <w:sz w:val="24"/>
          <w:szCs w:val="24"/>
        </w:rPr>
        <w:instrText xml:space="preserve"> REF _Ref54046288 \h  \* MERGEFORMAT </w:instrText>
      </w:r>
      <w:r>
        <w:rPr>
          <w:noProof/>
        </w:rPr>
      </w:r>
      <w:r>
        <w:rPr>
          <w:noProof/>
          <w:sz w:val="24"/>
          <w:szCs w:val="24"/>
        </w:rPr>
        <w:fldChar w:fldCharType="separate"/>
      </w:r>
      <w:r>
        <w:rPr>
          <w:noProof/>
          <w:sz w:val="24"/>
          <w:szCs w:val="24"/>
        </w:rPr>
        <w:t>Figure 73</w:t>
      </w:r>
      <w:r>
        <w:rPr>
          <w:noProof/>
        </w:rPr>
        <w:fldChar w:fldCharType="end"/>
      </w:r>
      <w:r>
        <w:rPr>
          <w:noProof/>
          <w:sz w:val="24"/>
          <w:szCs w:val="24"/>
        </w:rPr>
        <w:t xml:space="preserve"> shows the comparison between projected oil prices in 2030 and estimates from selected studies by international organizations: Rystad, World Bank, Energy Information Administration, International Energy Agency. The price used in the EU Reference Scenario 2016</w:t>
      </w:r>
      <w:r>
        <w:rPr>
          <w:rStyle w:val="FootnoteReference"/>
          <w:noProof/>
          <w:sz w:val="24"/>
          <w:szCs w:val="24"/>
        </w:rPr>
        <w:footnoteReference w:id="668"/>
      </w:r>
      <w:r>
        <w:rPr>
          <w:noProof/>
          <w:sz w:val="24"/>
          <w:szCs w:val="24"/>
        </w:rPr>
        <w:t xml:space="preserve"> is also reported for comparison.</w:t>
      </w:r>
    </w:p>
    <w:p>
      <w:pPr>
        <w:pStyle w:val="Caption"/>
        <w:jc w:val="center"/>
        <w:rPr>
          <w:i w:val="0"/>
          <w:noProof/>
        </w:rPr>
      </w:pPr>
      <w:bookmarkStart w:id="5811" w:name="_Ref54046288"/>
      <w:bookmarkStart w:id="5812" w:name="_Toc49262634"/>
      <w:bookmarkStart w:id="5813" w:name="_Toc49269597"/>
      <w:bookmarkStart w:id="5814" w:name="_Toc49271910"/>
      <w:bookmarkStart w:id="5815" w:name="_Toc49272485"/>
      <w:bookmarkStart w:id="5816" w:name="_Toc49437686"/>
      <w:bookmarkStart w:id="5817" w:name="_Toc49441330"/>
      <w:bookmarkStart w:id="5818" w:name="_Toc49525052"/>
      <w:bookmarkStart w:id="5819" w:name="_Toc49530540"/>
      <w:bookmarkStart w:id="5820" w:name="_Toc49529980"/>
      <w:bookmarkStart w:id="5821" w:name="_Toc49531641"/>
      <w:bookmarkStart w:id="5822" w:name="_Toc49532806"/>
      <w:bookmarkStart w:id="5823" w:name="_Toc49775355"/>
      <w:bookmarkStart w:id="5824" w:name="_Toc49774557"/>
      <w:bookmarkStart w:id="5825" w:name="_Toc50396476"/>
      <w:bookmarkStart w:id="5826" w:name="_Toc50406179"/>
      <w:bookmarkStart w:id="5827" w:name="_Toc50995857"/>
      <w:bookmarkStart w:id="5828" w:name="_Toc57291717"/>
      <w:r>
        <w:rPr>
          <w:i w:val="0"/>
          <w:noProof/>
        </w:rPr>
        <w:t xml:space="preserve">Figure </w:t>
      </w:r>
      <w:r>
        <w:rPr>
          <w:noProof/>
        </w:rPr>
        <w:fldChar w:fldCharType="begin"/>
      </w:r>
      <w:r>
        <w:rPr>
          <w:i w:val="0"/>
          <w:noProof/>
          <w:szCs w:val="22"/>
        </w:rPr>
        <w:instrText xml:space="preserve"> SEQ Figure \* ARABIC </w:instrText>
      </w:r>
      <w:r>
        <w:rPr>
          <w:i w:val="0"/>
          <w:noProof/>
          <w:szCs w:val="22"/>
        </w:rPr>
        <w:fldChar w:fldCharType="separate"/>
      </w:r>
      <w:r>
        <w:rPr>
          <w:i w:val="0"/>
          <w:noProof/>
          <w:szCs w:val="22"/>
        </w:rPr>
        <w:t>73</w:t>
      </w:r>
      <w:r>
        <w:rPr>
          <w:noProof/>
        </w:rPr>
        <w:fldChar w:fldCharType="end"/>
      </w:r>
      <w:bookmarkEnd w:id="5811"/>
      <w:r>
        <w:rPr>
          <w:i w:val="0"/>
          <w:noProof/>
        </w:rPr>
        <w:t>: Oil price projections in 2030 according to various sources</w:t>
      </w:r>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p>
    <w:p>
      <w:pPr>
        <w:rPr>
          <w:noProof/>
        </w:rPr>
      </w:pPr>
      <w:r>
        <w:rPr>
          <w:noProof/>
        </w:rPr>
        <w:drawing>
          <wp:inline distT="0" distB="0" distL="0" distR="0">
            <wp:extent cx="5334000" cy="2076450"/>
            <wp:effectExtent l="0" t="0" r="0" b="0"/>
            <wp:docPr id="12351" name="Picture 1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7" cstate="email">
                      <a:extLst>
                        <a:ext uri="{28A0092B-C50C-407E-A947-70E740481C1C}">
                          <a14:useLocalDpi xmlns:a14="http://schemas.microsoft.com/office/drawing/2010/main"/>
                        </a:ext>
                      </a:extLst>
                    </a:blip>
                    <a:srcRect b="19260"/>
                    <a:stretch/>
                  </pic:blipFill>
                  <pic:spPr bwMode="auto">
                    <a:xfrm>
                      <a:off x="0" y="0"/>
                      <a:ext cx="5334000" cy="2076450"/>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Notes"/>
        <w:rPr>
          <w:lang w:val="en-GB"/>
        </w:rPr>
      </w:pPr>
      <w:r>
        <w:rPr>
          <w:lang w:val="en-GB"/>
        </w:rPr>
        <w:t>Note: Rystad and World Bank estimates as of 2019</w:t>
      </w:r>
    </w:p>
    <w:p>
      <w:pPr>
        <w:rPr>
          <w:noProof/>
        </w:rPr>
      </w:pPr>
    </w:p>
    <w:p>
      <w:pPr>
        <w:spacing w:line="240" w:lineRule="auto"/>
        <w:rPr>
          <w:noProof/>
          <w:sz w:val="24"/>
          <w:szCs w:val="24"/>
        </w:rPr>
      </w:pPr>
      <w:r>
        <w:rPr>
          <w:noProof/>
          <w:sz w:val="24"/>
          <w:szCs w:val="24"/>
        </w:rPr>
        <w:t>The COVID crisis has had a major impact on international fuel prices. In the months following the first wave of outbreaks, a majority of countries across the world enacted lockdowns, hence limiting transport of people and goods and changing work pattern. This impacted energy demand with a historic shock only seen worse during the Spanish flu, the Great Depression and World War II.</w:t>
      </w:r>
      <w:r>
        <w:rPr>
          <w:rStyle w:val="FootnoteReference"/>
          <w:noProof/>
          <w:sz w:val="24"/>
          <w:szCs w:val="24"/>
        </w:rPr>
        <w:footnoteReference w:id="669"/>
      </w:r>
      <w:r>
        <w:rPr>
          <w:noProof/>
          <w:sz w:val="24"/>
          <w:szCs w:val="24"/>
        </w:rPr>
        <w:t xml:space="preserve"> The demand decrease during the 2008 financial crisis came nowhere near the impact of COVID. The lost demand left an oversupply leading to decreasing prices.</w:t>
      </w:r>
    </w:p>
    <w:p>
      <w:pPr>
        <w:spacing w:line="240" w:lineRule="auto"/>
        <w:rPr>
          <w:noProof/>
          <w:sz w:val="24"/>
          <w:szCs w:val="24"/>
        </w:rPr>
      </w:pPr>
      <w:r>
        <w:rPr>
          <w:noProof/>
          <w:sz w:val="24"/>
          <w:szCs w:val="24"/>
        </w:rPr>
        <w:t>This impact hit oil first and foremost, being the main fuel for transport (culminating in negative oil prices in one occurrence). Coal consumption also decreased sharply due to lower electricity demand. In general, fossil fuels were most strongly affected. This effect on prices compared to pre-COVID estimates is expected to be still felt up to 2030, although this will depend on the recovery of global oil demand as well as on the compliance with the OPEC+ existing and possible future deals</w:t>
      </w:r>
      <w:r>
        <w:rPr>
          <w:rStyle w:val="FootnoteReference"/>
          <w:noProof/>
          <w:sz w:val="24"/>
          <w:szCs w:val="24"/>
        </w:rPr>
        <w:footnoteReference w:id="670"/>
      </w:r>
      <w:r>
        <w:rPr>
          <w:noProof/>
          <w:sz w:val="24"/>
          <w:szCs w:val="24"/>
        </w:rPr>
        <w:t xml:space="preserve"> to adjust supply.</w:t>
      </w:r>
    </w:p>
    <w:p>
      <w:pPr>
        <w:spacing w:line="240" w:lineRule="auto"/>
        <w:rPr>
          <w:noProof/>
          <w:sz w:val="24"/>
          <w:szCs w:val="24"/>
        </w:rPr>
      </w:pPr>
      <w:r>
        <w:rPr>
          <w:noProof/>
        </w:rPr>
        <w:fldChar w:fldCharType="begin"/>
      </w:r>
      <w:r>
        <w:rPr>
          <w:noProof/>
          <w:sz w:val="24"/>
          <w:szCs w:val="24"/>
        </w:rPr>
        <w:instrText xml:space="preserve"> REF _Ref54046416 \h  \* MERGEFORMAT </w:instrText>
      </w:r>
      <w:r>
        <w:rPr>
          <w:noProof/>
        </w:rPr>
      </w:r>
      <w:r>
        <w:rPr>
          <w:noProof/>
          <w:sz w:val="24"/>
          <w:szCs w:val="24"/>
        </w:rPr>
        <w:fldChar w:fldCharType="separate"/>
      </w:r>
      <w:r>
        <w:rPr>
          <w:noProof/>
          <w:sz w:val="24"/>
          <w:szCs w:val="24"/>
        </w:rPr>
        <w:t>Figure 74</w:t>
      </w:r>
      <w:r>
        <w:rPr>
          <w:noProof/>
        </w:rPr>
        <w:fldChar w:fldCharType="end"/>
      </w:r>
      <w:r>
        <w:rPr>
          <w:noProof/>
          <w:sz w:val="24"/>
          <w:szCs w:val="24"/>
        </w:rPr>
        <w:t xml:space="preserve"> shows the alternative assumptions retained to reflect the COVID impact on the fuel prices in the two COVID scenarios analysed (COVID-BSL and COVID-MIX).</w:t>
      </w:r>
    </w:p>
    <w:p>
      <w:pPr>
        <w:pStyle w:val="Caption"/>
        <w:rPr>
          <w:i w:val="0"/>
          <w:noProof/>
        </w:rPr>
      </w:pPr>
      <w:bookmarkStart w:id="5829" w:name="_Ref54046416"/>
      <w:bookmarkStart w:id="5830" w:name="_Toc49269551"/>
      <w:bookmarkStart w:id="5831" w:name="_Toc49271864"/>
      <w:bookmarkStart w:id="5832" w:name="_Toc49272439"/>
      <w:bookmarkStart w:id="5833" w:name="_Toc49437643"/>
      <w:bookmarkStart w:id="5834" w:name="_Toc49441287"/>
      <w:bookmarkStart w:id="5835" w:name="_Toc49525008"/>
      <w:bookmarkStart w:id="5836" w:name="_Toc49530496"/>
      <w:bookmarkStart w:id="5837" w:name="_Toc49529936"/>
      <w:bookmarkStart w:id="5838" w:name="_Toc49531597"/>
      <w:bookmarkStart w:id="5839" w:name="_Toc49532762"/>
      <w:bookmarkStart w:id="5840" w:name="_Toc49775311"/>
      <w:bookmarkStart w:id="5841" w:name="_Toc49774513"/>
      <w:bookmarkStart w:id="5842" w:name="_Toc50396431"/>
      <w:bookmarkStart w:id="5843" w:name="_Toc50406292"/>
      <w:bookmarkStart w:id="5844" w:name="_Toc50995942"/>
      <w:bookmarkStart w:id="5845" w:name="_Toc57291718"/>
      <w:r>
        <w:rPr>
          <w:i w:val="0"/>
          <w:noProof/>
        </w:rPr>
        <w:t xml:space="preserve">Figure </w:t>
      </w:r>
      <w:r>
        <w:rPr>
          <w:noProof/>
        </w:rPr>
        <w:fldChar w:fldCharType="begin"/>
      </w:r>
      <w:r>
        <w:rPr>
          <w:i w:val="0"/>
          <w:noProof/>
          <w:szCs w:val="22"/>
        </w:rPr>
        <w:instrText xml:space="preserve"> SEQ Figure \* ARABIC </w:instrText>
      </w:r>
      <w:r>
        <w:rPr>
          <w:i w:val="0"/>
          <w:noProof/>
          <w:szCs w:val="22"/>
        </w:rPr>
        <w:fldChar w:fldCharType="separate"/>
      </w:r>
      <w:r>
        <w:rPr>
          <w:i w:val="0"/>
          <w:noProof/>
          <w:szCs w:val="22"/>
        </w:rPr>
        <w:t>74</w:t>
      </w:r>
      <w:r>
        <w:rPr>
          <w:noProof/>
        </w:rPr>
        <w:fldChar w:fldCharType="end"/>
      </w:r>
      <w:bookmarkEnd w:id="5829"/>
      <w:r>
        <w:rPr>
          <w:i w:val="0"/>
          <w:noProof/>
        </w:rPr>
        <w:t>: International fuel prices assumptions – COVID scenarios</w:t>
      </w:r>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r>
        <w:rPr>
          <w:i w:val="0"/>
          <w:noProof/>
        </w:rPr>
        <w:t xml:space="preserve"> </w:t>
      </w:r>
    </w:p>
    <w:tbl>
      <w:tblPr>
        <w:tblW w:w="5000" w:type="pct"/>
        <w:tblLook w:val="04A0" w:firstRow="1" w:lastRow="0" w:firstColumn="1" w:lastColumn="0" w:noHBand="0" w:noVBand="1"/>
      </w:tblPr>
      <w:tblGrid>
        <w:gridCol w:w="1670"/>
        <w:gridCol w:w="685"/>
        <w:gridCol w:w="684"/>
        <w:gridCol w:w="867"/>
        <w:gridCol w:w="576"/>
        <w:gridCol w:w="648"/>
        <w:gridCol w:w="620"/>
        <w:gridCol w:w="576"/>
        <w:gridCol w:w="576"/>
        <w:gridCol w:w="576"/>
        <w:gridCol w:w="671"/>
        <w:gridCol w:w="684"/>
      </w:tblGrid>
      <w:tr>
        <w:trPr>
          <w:trHeight w:val="234"/>
        </w:trPr>
        <w:tc>
          <w:tcPr>
            <w:tcW w:w="9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pPr>
              <w:rPr>
                <w:rFonts w:ascii="Tahoma" w:hAnsi="Tahoma" w:cs="Tahoma"/>
                <w:b/>
                <w:i/>
                <w:noProof/>
                <w:color w:val="000080"/>
                <w:sz w:val="16"/>
                <w:szCs w:val="16"/>
                <w:lang w:eastAsia="en-US"/>
              </w:rPr>
            </w:pPr>
            <w:r>
              <w:rPr>
                <w:rFonts w:ascii="Tahoma" w:hAnsi="Tahoma" w:cs="Tahoma"/>
                <w:b/>
                <w:bCs/>
                <w:i/>
                <w:iCs/>
                <w:noProof/>
                <w:color w:val="000080"/>
                <w:sz w:val="16"/>
                <w:szCs w:val="16"/>
                <w:lang w:eastAsia="en-US"/>
              </w:rPr>
              <w:t>in USD'15 per boe</w:t>
            </w:r>
          </w:p>
        </w:tc>
        <w:tc>
          <w:tcPr>
            <w:tcW w:w="387" w:type="pct"/>
            <w:tcBorders>
              <w:top w:val="single" w:sz="4" w:space="0" w:color="auto"/>
              <w:left w:val="nil"/>
              <w:bottom w:val="single" w:sz="4" w:space="0" w:color="auto"/>
              <w:right w:val="single" w:sz="4" w:space="0" w:color="auto"/>
            </w:tcBorders>
            <w:shd w:val="clear" w:color="auto" w:fill="auto"/>
            <w:noWrap/>
            <w:vAlign w:val="bottom"/>
            <w:hideMark/>
          </w:tcPr>
          <w:p>
            <w:pPr>
              <w:jc w:val="center"/>
              <w:rPr>
                <w:rFonts w:ascii="Tahoma" w:hAnsi="Tahoma" w:cs="Tahoma"/>
                <w:b/>
                <w:bCs/>
                <w:noProof/>
                <w:color w:val="000080"/>
                <w:sz w:val="16"/>
                <w:szCs w:val="16"/>
                <w:lang w:eastAsia="en-US"/>
              </w:rPr>
            </w:pPr>
            <w:r>
              <w:rPr>
                <w:rFonts w:ascii="Tahoma" w:hAnsi="Tahoma" w:cs="Tahoma"/>
                <w:b/>
                <w:bCs/>
                <w:noProof/>
                <w:color w:val="000080"/>
                <w:sz w:val="16"/>
                <w:szCs w:val="16"/>
                <w:lang w:eastAsia="en-US"/>
              </w:rPr>
              <w:t>2000</w:t>
            </w:r>
          </w:p>
        </w:tc>
        <w:tc>
          <w:tcPr>
            <w:tcW w:w="387" w:type="pct"/>
            <w:tcBorders>
              <w:top w:val="single" w:sz="4" w:space="0" w:color="auto"/>
              <w:left w:val="nil"/>
              <w:bottom w:val="single" w:sz="4" w:space="0" w:color="auto"/>
              <w:right w:val="single" w:sz="4" w:space="0" w:color="auto"/>
            </w:tcBorders>
            <w:shd w:val="clear" w:color="auto" w:fill="auto"/>
            <w:noWrap/>
            <w:vAlign w:val="bottom"/>
            <w:hideMark/>
          </w:tcPr>
          <w:p>
            <w:pPr>
              <w:jc w:val="center"/>
              <w:rPr>
                <w:rFonts w:ascii="Tahoma" w:hAnsi="Tahoma" w:cs="Tahoma"/>
                <w:b/>
                <w:bCs/>
                <w:noProof/>
                <w:color w:val="000080"/>
                <w:sz w:val="16"/>
                <w:szCs w:val="16"/>
                <w:lang w:eastAsia="en-US"/>
              </w:rPr>
            </w:pPr>
            <w:r>
              <w:rPr>
                <w:rFonts w:ascii="Tahoma" w:hAnsi="Tahoma" w:cs="Tahoma"/>
                <w:b/>
                <w:bCs/>
                <w:noProof/>
                <w:color w:val="000080"/>
                <w:sz w:val="16"/>
                <w:szCs w:val="16"/>
                <w:lang w:eastAsia="en-US"/>
              </w:rPr>
              <w:t>‘05</w:t>
            </w:r>
          </w:p>
        </w:tc>
        <w:tc>
          <w:tcPr>
            <w:tcW w:w="491" w:type="pct"/>
            <w:tcBorders>
              <w:top w:val="single" w:sz="4" w:space="0" w:color="auto"/>
              <w:left w:val="nil"/>
              <w:bottom w:val="single" w:sz="4" w:space="0" w:color="auto"/>
              <w:right w:val="single" w:sz="4" w:space="0" w:color="auto"/>
            </w:tcBorders>
            <w:shd w:val="clear" w:color="auto" w:fill="auto"/>
            <w:noWrap/>
            <w:vAlign w:val="bottom"/>
            <w:hideMark/>
          </w:tcPr>
          <w:p>
            <w:pPr>
              <w:jc w:val="center"/>
              <w:rPr>
                <w:rFonts w:ascii="Tahoma" w:hAnsi="Tahoma" w:cs="Tahoma"/>
                <w:b/>
                <w:bCs/>
                <w:noProof/>
                <w:color w:val="000080"/>
                <w:sz w:val="16"/>
                <w:szCs w:val="16"/>
                <w:lang w:eastAsia="en-US"/>
              </w:rPr>
            </w:pPr>
            <w:r>
              <w:rPr>
                <w:rFonts w:ascii="Tahoma" w:hAnsi="Tahoma" w:cs="Tahoma"/>
                <w:b/>
                <w:bCs/>
                <w:noProof/>
                <w:color w:val="000080"/>
                <w:sz w:val="16"/>
                <w:szCs w:val="16"/>
                <w:lang w:eastAsia="en-US"/>
              </w:rPr>
              <w:t>‘10</w:t>
            </w:r>
          </w:p>
        </w:tc>
        <w:tc>
          <w:tcPr>
            <w:tcW w:w="326" w:type="pct"/>
            <w:tcBorders>
              <w:top w:val="single" w:sz="4" w:space="0" w:color="auto"/>
              <w:left w:val="nil"/>
              <w:bottom w:val="single" w:sz="4" w:space="0" w:color="auto"/>
              <w:right w:val="single" w:sz="4" w:space="0" w:color="auto"/>
            </w:tcBorders>
            <w:shd w:val="clear" w:color="auto" w:fill="auto"/>
            <w:noWrap/>
            <w:vAlign w:val="bottom"/>
            <w:hideMark/>
          </w:tcPr>
          <w:p>
            <w:pPr>
              <w:jc w:val="center"/>
              <w:rPr>
                <w:rFonts w:ascii="Tahoma" w:hAnsi="Tahoma" w:cs="Tahoma"/>
                <w:b/>
                <w:bCs/>
                <w:noProof/>
                <w:color w:val="000080"/>
                <w:sz w:val="16"/>
                <w:szCs w:val="16"/>
                <w:lang w:eastAsia="en-US"/>
              </w:rPr>
            </w:pPr>
            <w:r>
              <w:rPr>
                <w:rFonts w:ascii="Tahoma" w:hAnsi="Tahoma" w:cs="Tahoma"/>
                <w:b/>
                <w:bCs/>
                <w:noProof/>
                <w:color w:val="000080"/>
                <w:sz w:val="16"/>
                <w:szCs w:val="16"/>
                <w:lang w:eastAsia="en-US"/>
              </w:rPr>
              <w:t>‘15</w:t>
            </w:r>
          </w:p>
        </w:tc>
        <w:tc>
          <w:tcPr>
            <w:tcW w:w="367" w:type="pct"/>
            <w:tcBorders>
              <w:top w:val="single" w:sz="4" w:space="0" w:color="auto"/>
              <w:left w:val="nil"/>
              <w:bottom w:val="single" w:sz="4" w:space="0" w:color="auto"/>
              <w:right w:val="single" w:sz="4" w:space="0" w:color="auto"/>
            </w:tcBorders>
            <w:shd w:val="clear" w:color="auto" w:fill="auto"/>
            <w:noWrap/>
            <w:vAlign w:val="bottom"/>
            <w:hideMark/>
          </w:tcPr>
          <w:p>
            <w:pPr>
              <w:jc w:val="center"/>
              <w:rPr>
                <w:rFonts w:ascii="Tahoma" w:hAnsi="Tahoma" w:cs="Tahoma"/>
                <w:b/>
                <w:bCs/>
                <w:noProof/>
                <w:color w:val="000080"/>
                <w:sz w:val="16"/>
                <w:szCs w:val="16"/>
                <w:lang w:eastAsia="en-US"/>
              </w:rPr>
            </w:pPr>
            <w:r>
              <w:rPr>
                <w:rFonts w:ascii="Tahoma" w:hAnsi="Tahoma" w:cs="Tahoma"/>
                <w:b/>
                <w:bCs/>
                <w:noProof/>
                <w:color w:val="000080"/>
                <w:sz w:val="16"/>
                <w:szCs w:val="16"/>
                <w:lang w:eastAsia="en-US"/>
              </w:rPr>
              <w:t>‘20</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pPr>
              <w:jc w:val="center"/>
              <w:rPr>
                <w:rFonts w:ascii="Tahoma" w:hAnsi="Tahoma" w:cs="Tahoma"/>
                <w:b/>
                <w:bCs/>
                <w:noProof/>
                <w:color w:val="000080"/>
                <w:sz w:val="16"/>
                <w:szCs w:val="16"/>
                <w:lang w:eastAsia="en-US"/>
              </w:rPr>
            </w:pPr>
            <w:r>
              <w:rPr>
                <w:rFonts w:ascii="Tahoma" w:hAnsi="Tahoma" w:cs="Tahoma"/>
                <w:b/>
                <w:bCs/>
                <w:noProof/>
                <w:color w:val="000080"/>
                <w:sz w:val="16"/>
                <w:szCs w:val="16"/>
                <w:lang w:eastAsia="en-US"/>
              </w:rPr>
              <w:t>‘25</w:t>
            </w:r>
          </w:p>
        </w:tc>
        <w:tc>
          <w:tcPr>
            <w:tcW w:w="326" w:type="pct"/>
            <w:tcBorders>
              <w:top w:val="single" w:sz="4" w:space="0" w:color="auto"/>
              <w:left w:val="nil"/>
              <w:bottom w:val="single" w:sz="4" w:space="0" w:color="auto"/>
              <w:right w:val="single" w:sz="4" w:space="0" w:color="auto"/>
            </w:tcBorders>
            <w:shd w:val="clear" w:color="auto" w:fill="auto"/>
            <w:noWrap/>
            <w:vAlign w:val="bottom"/>
            <w:hideMark/>
          </w:tcPr>
          <w:p>
            <w:pPr>
              <w:jc w:val="center"/>
              <w:rPr>
                <w:rFonts w:ascii="Tahoma" w:hAnsi="Tahoma" w:cs="Tahoma"/>
                <w:b/>
                <w:bCs/>
                <w:noProof/>
                <w:color w:val="000080"/>
                <w:sz w:val="16"/>
                <w:szCs w:val="16"/>
                <w:lang w:eastAsia="en-US"/>
              </w:rPr>
            </w:pPr>
            <w:r>
              <w:rPr>
                <w:rFonts w:ascii="Tahoma" w:hAnsi="Tahoma" w:cs="Tahoma"/>
                <w:b/>
                <w:bCs/>
                <w:noProof/>
                <w:color w:val="000080"/>
                <w:sz w:val="16"/>
                <w:szCs w:val="16"/>
                <w:lang w:eastAsia="en-US"/>
              </w:rPr>
              <w:t>‘30</w:t>
            </w:r>
          </w:p>
        </w:tc>
        <w:tc>
          <w:tcPr>
            <w:tcW w:w="326" w:type="pct"/>
            <w:tcBorders>
              <w:top w:val="single" w:sz="4" w:space="0" w:color="auto"/>
              <w:left w:val="nil"/>
              <w:bottom w:val="single" w:sz="4" w:space="0" w:color="auto"/>
              <w:right w:val="single" w:sz="4" w:space="0" w:color="auto"/>
            </w:tcBorders>
            <w:shd w:val="clear" w:color="auto" w:fill="auto"/>
            <w:noWrap/>
            <w:vAlign w:val="bottom"/>
            <w:hideMark/>
          </w:tcPr>
          <w:p>
            <w:pPr>
              <w:jc w:val="center"/>
              <w:rPr>
                <w:rFonts w:ascii="Tahoma" w:hAnsi="Tahoma" w:cs="Tahoma"/>
                <w:b/>
                <w:bCs/>
                <w:noProof/>
                <w:color w:val="000080"/>
                <w:sz w:val="16"/>
                <w:szCs w:val="16"/>
                <w:lang w:eastAsia="en-US"/>
              </w:rPr>
            </w:pPr>
            <w:r>
              <w:rPr>
                <w:rFonts w:ascii="Tahoma" w:hAnsi="Tahoma" w:cs="Tahoma"/>
                <w:b/>
                <w:bCs/>
                <w:noProof/>
                <w:color w:val="000080"/>
                <w:sz w:val="16"/>
                <w:szCs w:val="16"/>
                <w:lang w:eastAsia="en-US"/>
              </w:rPr>
              <w:t>‘35</w:t>
            </w:r>
          </w:p>
        </w:tc>
        <w:tc>
          <w:tcPr>
            <w:tcW w:w="326" w:type="pct"/>
            <w:tcBorders>
              <w:top w:val="single" w:sz="4" w:space="0" w:color="auto"/>
              <w:left w:val="nil"/>
              <w:bottom w:val="single" w:sz="4" w:space="0" w:color="auto"/>
              <w:right w:val="single" w:sz="4" w:space="0" w:color="auto"/>
            </w:tcBorders>
            <w:shd w:val="clear" w:color="auto" w:fill="auto"/>
            <w:noWrap/>
            <w:vAlign w:val="bottom"/>
            <w:hideMark/>
          </w:tcPr>
          <w:p>
            <w:pPr>
              <w:jc w:val="center"/>
              <w:rPr>
                <w:rFonts w:ascii="Tahoma" w:hAnsi="Tahoma" w:cs="Tahoma"/>
                <w:b/>
                <w:bCs/>
                <w:noProof/>
                <w:color w:val="000080"/>
                <w:sz w:val="16"/>
                <w:szCs w:val="16"/>
                <w:lang w:eastAsia="en-US"/>
              </w:rPr>
            </w:pPr>
            <w:r>
              <w:rPr>
                <w:rFonts w:ascii="Tahoma" w:hAnsi="Tahoma" w:cs="Tahoma"/>
                <w:b/>
                <w:bCs/>
                <w:noProof/>
                <w:color w:val="000080"/>
                <w:sz w:val="16"/>
                <w:szCs w:val="16"/>
                <w:lang w:eastAsia="en-US"/>
              </w:rPr>
              <w:t>‘40</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pPr>
              <w:jc w:val="center"/>
              <w:rPr>
                <w:rFonts w:ascii="Tahoma" w:hAnsi="Tahoma" w:cs="Tahoma"/>
                <w:b/>
                <w:bCs/>
                <w:noProof/>
                <w:color w:val="000080"/>
                <w:sz w:val="16"/>
                <w:szCs w:val="16"/>
                <w:lang w:eastAsia="en-US"/>
              </w:rPr>
            </w:pPr>
            <w:r>
              <w:rPr>
                <w:rFonts w:ascii="Tahoma" w:hAnsi="Tahoma" w:cs="Tahoma"/>
                <w:b/>
                <w:bCs/>
                <w:noProof/>
                <w:color w:val="000080"/>
                <w:sz w:val="16"/>
                <w:szCs w:val="16"/>
                <w:lang w:eastAsia="en-US"/>
              </w:rPr>
              <w:t>‘45</w:t>
            </w:r>
          </w:p>
        </w:tc>
        <w:tc>
          <w:tcPr>
            <w:tcW w:w="387" w:type="pct"/>
            <w:tcBorders>
              <w:top w:val="single" w:sz="4" w:space="0" w:color="auto"/>
              <w:left w:val="nil"/>
              <w:bottom w:val="single" w:sz="4" w:space="0" w:color="auto"/>
              <w:right w:val="single" w:sz="4" w:space="0" w:color="auto"/>
            </w:tcBorders>
            <w:shd w:val="clear" w:color="auto" w:fill="auto"/>
            <w:noWrap/>
            <w:vAlign w:val="bottom"/>
            <w:hideMark/>
          </w:tcPr>
          <w:p>
            <w:pPr>
              <w:jc w:val="center"/>
              <w:rPr>
                <w:rFonts w:ascii="Tahoma" w:hAnsi="Tahoma" w:cs="Tahoma"/>
                <w:b/>
                <w:bCs/>
                <w:noProof/>
                <w:color w:val="000080"/>
                <w:sz w:val="16"/>
                <w:szCs w:val="16"/>
                <w:lang w:eastAsia="en-US"/>
              </w:rPr>
            </w:pPr>
            <w:r>
              <w:rPr>
                <w:rFonts w:ascii="Tahoma" w:hAnsi="Tahoma" w:cs="Tahoma"/>
                <w:b/>
                <w:bCs/>
                <w:noProof/>
                <w:color w:val="000080"/>
                <w:sz w:val="16"/>
                <w:szCs w:val="16"/>
                <w:lang w:eastAsia="en-US"/>
              </w:rPr>
              <w:t>‘50</w:t>
            </w:r>
          </w:p>
        </w:tc>
      </w:tr>
      <w:tr>
        <w:trPr>
          <w:trHeight w:val="234"/>
        </w:trPr>
        <w:tc>
          <w:tcPr>
            <w:tcW w:w="945" w:type="pct"/>
            <w:tcBorders>
              <w:top w:val="nil"/>
              <w:left w:val="single" w:sz="4" w:space="0" w:color="auto"/>
              <w:bottom w:val="single" w:sz="4" w:space="0" w:color="auto"/>
              <w:right w:val="single" w:sz="4" w:space="0" w:color="auto"/>
            </w:tcBorders>
            <w:shd w:val="clear" w:color="auto" w:fill="auto"/>
            <w:noWrap/>
            <w:vAlign w:val="bottom"/>
            <w:hideMark/>
          </w:tcPr>
          <w:p>
            <w:pPr>
              <w:ind w:firstLineChars="100" w:firstLine="160"/>
              <w:jc w:val="left"/>
              <w:rPr>
                <w:rFonts w:ascii="Tahoma" w:hAnsi="Tahoma" w:cs="Tahoma"/>
                <w:noProof/>
                <w:sz w:val="16"/>
                <w:szCs w:val="16"/>
                <w:lang w:eastAsia="en-US"/>
              </w:rPr>
            </w:pPr>
            <w:r>
              <w:rPr>
                <w:rFonts w:ascii="Tahoma" w:hAnsi="Tahoma" w:cs="Tahoma"/>
                <w:noProof/>
                <w:sz w:val="16"/>
                <w:szCs w:val="16"/>
                <w:lang w:eastAsia="en-US"/>
              </w:rPr>
              <w:t>Oil</w:t>
            </w:r>
          </w:p>
        </w:tc>
        <w:tc>
          <w:tcPr>
            <w:tcW w:w="387"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38.4</w:t>
            </w:r>
          </w:p>
        </w:tc>
        <w:tc>
          <w:tcPr>
            <w:tcW w:w="387"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65.4</w:t>
            </w:r>
          </w:p>
        </w:tc>
        <w:tc>
          <w:tcPr>
            <w:tcW w:w="491"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86.7</w:t>
            </w:r>
          </w:p>
        </w:tc>
        <w:tc>
          <w:tcPr>
            <w:tcW w:w="326"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52.3</w:t>
            </w:r>
          </w:p>
        </w:tc>
        <w:tc>
          <w:tcPr>
            <w:tcW w:w="367"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37.2</w:t>
            </w:r>
          </w:p>
        </w:tc>
        <w:tc>
          <w:tcPr>
            <w:tcW w:w="351"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58.6</w:t>
            </w:r>
          </w:p>
        </w:tc>
        <w:tc>
          <w:tcPr>
            <w:tcW w:w="326"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80.1</w:t>
            </w:r>
          </w:p>
        </w:tc>
        <w:tc>
          <w:tcPr>
            <w:tcW w:w="326"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90.4</w:t>
            </w:r>
          </w:p>
        </w:tc>
        <w:tc>
          <w:tcPr>
            <w:tcW w:w="326"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97.4</w:t>
            </w:r>
          </w:p>
        </w:tc>
        <w:tc>
          <w:tcPr>
            <w:tcW w:w="380"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105.6</w:t>
            </w:r>
          </w:p>
        </w:tc>
        <w:tc>
          <w:tcPr>
            <w:tcW w:w="387"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117.9</w:t>
            </w:r>
          </w:p>
        </w:tc>
      </w:tr>
      <w:tr>
        <w:trPr>
          <w:trHeight w:val="234"/>
        </w:trPr>
        <w:tc>
          <w:tcPr>
            <w:tcW w:w="945" w:type="pct"/>
            <w:tcBorders>
              <w:top w:val="nil"/>
              <w:left w:val="single" w:sz="4" w:space="0" w:color="auto"/>
              <w:bottom w:val="single" w:sz="4" w:space="0" w:color="auto"/>
              <w:right w:val="single" w:sz="4" w:space="0" w:color="auto"/>
            </w:tcBorders>
            <w:shd w:val="clear" w:color="auto" w:fill="auto"/>
            <w:noWrap/>
            <w:vAlign w:val="bottom"/>
            <w:hideMark/>
          </w:tcPr>
          <w:p>
            <w:pPr>
              <w:ind w:firstLineChars="100" w:firstLine="160"/>
              <w:jc w:val="left"/>
              <w:rPr>
                <w:rFonts w:ascii="Tahoma" w:hAnsi="Tahoma" w:cs="Tahoma"/>
                <w:noProof/>
                <w:sz w:val="16"/>
                <w:szCs w:val="16"/>
                <w:lang w:eastAsia="en-US"/>
              </w:rPr>
            </w:pPr>
            <w:r>
              <w:rPr>
                <w:rFonts w:ascii="Tahoma" w:hAnsi="Tahoma" w:cs="Tahoma"/>
                <w:noProof/>
                <w:sz w:val="16"/>
                <w:szCs w:val="16"/>
                <w:lang w:eastAsia="en-US"/>
              </w:rPr>
              <w:t>Gas (NCV)</w:t>
            </w:r>
          </w:p>
        </w:tc>
        <w:tc>
          <w:tcPr>
            <w:tcW w:w="387"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26.5</w:t>
            </w:r>
          </w:p>
        </w:tc>
        <w:tc>
          <w:tcPr>
            <w:tcW w:w="387"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35.8</w:t>
            </w:r>
          </w:p>
        </w:tc>
        <w:tc>
          <w:tcPr>
            <w:tcW w:w="491"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45.8</w:t>
            </w:r>
          </w:p>
        </w:tc>
        <w:tc>
          <w:tcPr>
            <w:tcW w:w="326"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43.7</w:t>
            </w:r>
          </w:p>
        </w:tc>
        <w:tc>
          <w:tcPr>
            <w:tcW w:w="367"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22.2</w:t>
            </w:r>
          </w:p>
        </w:tc>
        <w:tc>
          <w:tcPr>
            <w:tcW w:w="351"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31.5</w:t>
            </w:r>
          </w:p>
        </w:tc>
        <w:tc>
          <w:tcPr>
            <w:tcW w:w="326"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40.9</w:t>
            </w:r>
          </w:p>
        </w:tc>
        <w:tc>
          <w:tcPr>
            <w:tcW w:w="326"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44.9</w:t>
            </w:r>
          </w:p>
        </w:tc>
        <w:tc>
          <w:tcPr>
            <w:tcW w:w="326"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52.6</w:t>
            </w:r>
          </w:p>
        </w:tc>
        <w:tc>
          <w:tcPr>
            <w:tcW w:w="380"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57.0</w:t>
            </w:r>
          </w:p>
        </w:tc>
        <w:tc>
          <w:tcPr>
            <w:tcW w:w="387"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57.8</w:t>
            </w:r>
          </w:p>
        </w:tc>
      </w:tr>
      <w:tr>
        <w:trPr>
          <w:trHeight w:val="234"/>
        </w:trPr>
        <w:tc>
          <w:tcPr>
            <w:tcW w:w="945" w:type="pct"/>
            <w:tcBorders>
              <w:top w:val="nil"/>
              <w:left w:val="single" w:sz="4" w:space="0" w:color="auto"/>
              <w:bottom w:val="nil"/>
              <w:right w:val="single" w:sz="4" w:space="0" w:color="auto"/>
            </w:tcBorders>
            <w:shd w:val="clear" w:color="auto" w:fill="auto"/>
            <w:noWrap/>
            <w:vAlign w:val="bottom"/>
            <w:hideMark/>
          </w:tcPr>
          <w:p>
            <w:pPr>
              <w:ind w:firstLineChars="100" w:firstLine="160"/>
              <w:jc w:val="left"/>
              <w:rPr>
                <w:rFonts w:ascii="Tahoma" w:hAnsi="Tahoma" w:cs="Tahoma"/>
                <w:noProof/>
                <w:sz w:val="16"/>
                <w:szCs w:val="16"/>
                <w:lang w:eastAsia="en-US"/>
              </w:rPr>
            </w:pPr>
            <w:r>
              <w:rPr>
                <w:rFonts w:ascii="Tahoma" w:hAnsi="Tahoma" w:cs="Tahoma"/>
                <w:noProof/>
                <w:sz w:val="16"/>
                <w:szCs w:val="16"/>
                <w:lang w:eastAsia="en-US"/>
              </w:rPr>
              <w:t>Coal</w:t>
            </w:r>
          </w:p>
        </w:tc>
        <w:tc>
          <w:tcPr>
            <w:tcW w:w="387" w:type="pct"/>
            <w:tcBorders>
              <w:top w:val="nil"/>
              <w:left w:val="nil"/>
              <w:bottom w:val="nil"/>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11.2</w:t>
            </w:r>
          </w:p>
        </w:tc>
        <w:tc>
          <w:tcPr>
            <w:tcW w:w="387" w:type="pct"/>
            <w:tcBorders>
              <w:top w:val="nil"/>
              <w:left w:val="nil"/>
              <w:bottom w:val="nil"/>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16.9</w:t>
            </w:r>
          </w:p>
        </w:tc>
        <w:tc>
          <w:tcPr>
            <w:tcW w:w="491" w:type="pct"/>
            <w:tcBorders>
              <w:top w:val="nil"/>
              <w:left w:val="nil"/>
              <w:bottom w:val="nil"/>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23.2</w:t>
            </w:r>
          </w:p>
        </w:tc>
        <w:tc>
          <w:tcPr>
            <w:tcW w:w="326" w:type="pct"/>
            <w:tcBorders>
              <w:top w:val="nil"/>
              <w:left w:val="nil"/>
              <w:bottom w:val="nil"/>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13.1</w:t>
            </w:r>
          </w:p>
        </w:tc>
        <w:tc>
          <w:tcPr>
            <w:tcW w:w="367" w:type="pct"/>
            <w:tcBorders>
              <w:top w:val="nil"/>
              <w:left w:val="nil"/>
              <w:bottom w:val="nil"/>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10.1</w:t>
            </w:r>
          </w:p>
        </w:tc>
        <w:tc>
          <w:tcPr>
            <w:tcW w:w="351" w:type="pct"/>
            <w:tcBorders>
              <w:top w:val="nil"/>
              <w:left w:val="nil"/>
              <w:bottom w:val="nil"/>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13.9</w:t>
            </w:r>
          </w:p>
        </w:tc>
        <w:tc>
          <w:tcPr>
            <w:tcW w:w="326" w:type="pct"/>
            <w:tcBorders>
              <w:top w:val="nil"/>
              <w:left w:val="nil"/>
              <w:bottom w:val="nil"/>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17.6</w:t>
            </w:r>
          </w:p>
        </w:tc>
        <w:tc>
          <w:tcPr>
            <w:tcW w:w="326" w:type="pct"/>
            <w:tcBorders>
              <w:top w:val="nil"/>
              <w:left w:val="nil"/>
              <w:bottom w:val="nil"/>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19.1</w:t>
            </w:r>
          </w:p>
        </w:tc>
        <w:tc>
          <w:tcPr>
            <w:tcW w:w="326" w:type="pct"/>
            <w:tcBorders>
              <w:top w:val="nil"/>
              <w:left w:val="nil"/>
              <w:bottom w:val="nil"/>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20.3</w:t>
            </w:r>
          </w:p>
        </w:tc>
        <w:tc>
          <w:tcPr>
            <w:tcW w:w="380" w:type="pct"/>
            <w:tcBorders>
              <w:top w:val="nil"/>
              <w:left w:val="nil"/>
              <w:bottom w:val="nil"/>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21.3</w:t>
            </w:r>
          </w:p>
        </w:tc>
        <w:tc>
          <w:tcPr>
            <w:tcW w:w="387" w:type="pct"/>
            <w:tcBorders>
              <w:top w:val="nil"/>
              <w:left w:val="nil"/>
              <w:bottom w:val="nil"/>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22.3</w:t>
            </w:r>
          </w:p>
        </w:tc>
      </w:tr>
      <w:tr>
        <w:trPr>
          <w:trHeight w:val="234"/>
        </w:trPr>
        <w:tc>
          <w:tcPr>
            <w:tcW w:w="945" w:type="pct"/>
            <w:tcBorders>
              <w:top w:val="single" w:sz="4" w:space="0" w:color="auto"/>
              <w:left w:val="single" w:sz="4" w:space="0" w:color="auto"/>
              <w:bottom w:val="single" w:sz="4" w:space="0" w:color="auto"/>
              <w:right w:val="nil"/>
            </w:tcBorders>
            <w:shd w:val="clear" w:color="auto" w:fill="auto"/>
            <w:noWrap/>
            <w:vAlign w:val="bottom"/>
            <w:hideMark/>
          </w:tcPr>
          <w:p>
            <w:pPr>
              <w:jc w:val="left"/>
              <w:rPr>
                <w:rFonts w:ascii="Tahoma" w:hAnsi="Tahoma" w:cs="Tahoma"/>
                <w:noProof/>
                <w:sz w:val="16"/>
                <w:szCs w:val="16"/>
                <w:lang w:eastAsia="en-US"/>
              </w:rPr>
            </w:pPr>
          </w:p>
        </w:tc>
        <w:tc>
          <w:tcPr>
            <w:tcW w:w="387" w:type="pct"/>
            <w:tcBorders>
              <w:top w:val="single" w:sz="4" w:space="0" w:color="auto"/>
              <w:left w:val="nil"/>
              <w:bottom w:val="single" w:sz="4" w:space="0" w:color="auto"/>
              <w:right w:val="nil"/>
            </w:tcBorders>
            <w:shd w:val="clear" w:color="auto" w:fill="auto"/>
            <w:noWrap/>
            <w:vAlign w:val="bottom"/>
            <w:hideMark/>
          </w:tcPr>
          <w:p>
            <w:pPr>
              <w:jc w:val="left"/>
              <w:rPr>
                <w:rFonts w:ascii="Tahoma" w:hAnsi="Tahoma" w:cs="Tahoma"/>
                <w:noProof/>
                <w:sz w:val="16"/>
                <w:szCs w:val="16"/>
                <w:lang w:eastAsia="en-US"/>
              </w:rPr>
            </w:pPr>
          </w:p>
        </w:tc>
        <w:tc>
          <w:tcPr>
            <w:tcW w:w="387" w:type="pct"/>
            <w:tcBorders>
              <w:top w:val="single" w:sz="4" w:space="0" w:color="auto"/>
              <w:left w:val="nil"/>
              <w:bottom w:val="single" w:sz="4" w:space="0" w:color="auto"/>
              <w:right w:val="nil"/>
            </w:tcBorders>
            <w:shd w:val="clear" w:color="auto" w:fill="auto"/>
            <w:noWrap/>
            <w:vAlign w:val="bottom"/>
            <w:hideMark/>
          </w:tcPr>
          <w:p>
            <w:pPr>
              <w:jc w:val="left"/>
              <w:rPr>
                <w:rFonts w:ascii="Tahoma" w:hAnsi="Tahoma" w:cs="Tahoma"/>
                <w:noProof/>
                <w:sz w:val="16"/>
                <w:szCs w:val="16"/>
                <w:lang w:eastAsia="en-US"/>
              </w:rPr>
            </w:pPr>
          </w:p>
        </w:tc>
        <w:tc>
          <w:tcPr>
            <w:tcW w:w="491" w:type="pct"/>
            <w:tcBorders>
              <w:top w:val="single" w:sz="4" w:space="0" w:color="auto"/>
              <w:left w:val="nil"/>
              <w:bottom w:val="single" w:sz="4" w:space="0" w:color="auto"/>
              <w:right w:val="nil"/>
            </w:tcBorders>
            <w:shd w:val="clear" w:color="auto" w:fill="auto"/>
            <w:noWrap/>
            <w:vAlign w:val="bottom"/>
            <w:hideMark/>
          </w:tcPr>
          <w:p>
            <w:pPr>
              <w:jc w:val="left"/>
              <w:rPr>
                <w:rFonts w:ascii="Tahoma" w:hAnsi="Tahoma" w:cs="Tahoma"/>
                <w:noProof/>
                <w:sz w:val="16"/>
                <w:szCs w:val="16"/>
                <w:lang w:eastAsia="en-US"/>
              </w:rPr>
            </w:pPr>
          </w:p>
        </w:tc>
        <w:tc>
          <w:tcPr>
            <w:tcW w:w="326" w:type="pct"/>
            <w:tcBorders>
              <w:top w:val="single" w:sz="4" w:space="0" w:color="auto"/>
              <w:left w:val="nil"/>
              <w:bottom w:val="single" w:sz="4" w:space="0" w:color="auto"/>
              <w:right w:val="nil"/>
            </w:tcBorders>
            <w:shd w:val="clear" w:color="auto" w:fill="auto"/>
            <w:noWrap/>
            <w:vAlign w:val="bottom"/>
            <w:hideMark/>
          </w:tcPr>
          <w:p>
            <w:pPr>
              <w:jc w:val="left"/>
              <w:rPr>
                <w:rFonts w:ascii="Tahoma" w:hAnsi="Tahoma" w:cs="Tahoma"/>
                <w:noProof/>
                <w:sz w:val="16"/>
                <w:szCs w:val="16"/>
                <w:lang w:eastAsia="en-US"/>
              </w:rPr>
            </w:pPr>
          </w:p>
        </w:tc>
        <w:tc>
          <w:tcPr>
            <w:tcW w:w="367" w:type="pct"/>
            <w:tcBorders>
              <w:top w:val="single" w:sz="4" w:space="0" w:color="auto"/>
              <w:left w:val="nil"/>
              <w:bottom w:val="single" w:sz="4" w:space="0" w:color="auto"/>
              <w:right w:val="nil"/>
            </w:tcBorders>
            <w:shd w:val="clear" w:color="auto" w:fill="auto"/>
            <w:noWrap/>
            <w:vAlign w:val="bottom"/>
            <w:hideMark/>
          </w:tcPr>
          <w:p>
            <w:pPr>
              <w:jc w:val="left"/>
              <w:rPr>
                <w:rFonts w:ascii="Tahoma" w:hAnsi="Tahoma" w:cs="Tahoma"/>
                <w:noProof/>
                <w:sz w:val="16"/>
                <w:szCs w:val="16"/>
                <w:lang w:eastAsia="en-US"/>
              </w:rPr>
            </w:pPr>
          </w:p>
        </w:tc>
        <w:tc>
          <w:tcPr>
            <w:tcW w:w="351" w:type="pct"/>
            <w:tcBorders>
              <w:top w:val="single" w:sz="4" w:space="0" w:color="auto"/>
              <w:left w:val="nil"/>
              <w:bottom w:val="single" w:sz="4" w:space="0" w:color="auto"/>
              <w:right w:val="nil"/>
            </w:tcBorders>
            <w:shd w:val="clear" w:color="auto" w:fill="auto"/>
            <w:noWrap/>
            <w:vAlign w:val="bottom"/>
            <w:hideMark/>
          </w:tcPr>
          <w:p>
            <w:pPr>
              <w:jc w:val="left"/>
              <w:rPr>
                <w:rFonts w:ascii="Tahoma" w:hAnsi="Tahoma" w:cs="Tahoma"/>
                <w:noProof/>
                <w:sz w:val="16"/>
                <w:szCs w:val="16"/>
                <w:lang w:eastAsia="en-US"/>
              </w:rPr>
            </w:pPr>
          </w:p>
        </w:tc>
        <w:tc>
          <w:tcPr>
            <w:tcW w:w="326" w:type="pct"/>
            <w:tcBorders>
              <w:top w:val="single" w:sz="4" w:space="0" w:color="auto"/>
              <w:left w:val="nil"/>
              <w:bottom w:val="single" w:sz="4" w:space="0" w:color="auto"/>
              <w:right w:val="nil"/>
            </w:tcBorders>
            <w:shd w:val="clear" w:color="auto" w:fill="auto"/>
            <w:noWrap/>
            <w:vAlign w:val="bottom"/>
            <w:hideMark/>
          </w:tcPr>
          <w:p>
            <w:pPr>
              <w:jc w:val="left"/>
              <w:rPr>
                <w:rFonts w:ascii="Tahoma" w:hAnsi="Tahoma" w:cs="Tahoma"/>
                <w:noProof/>
                <w:sz w:val="16"/>
                <w:szCs w:val="16"/>
                <w:lang w:eastAsia="en-US"/>
              </w:rPr>
            </w:pPr>
          </w:p>
        </w:tc>
        <w:tc>
          <w:tcPr>
            <w:tcW w:w="326" w:type="pct"/>
            <w:tcBorders>
              <w:top w:val="single" w:sz="4" w:space="0" w:color="auto"/>
              <w:left w:val="nil"/>
              <w:bottom w:val="single" w:sz="4" w:space="0" w:color="auto"/>
              <w:right w:val="nil"/>
            </w:tcBorders>
            <w:shd w:val="clear" w:color="auto" w:fill="auto"/>
            <w:noWrap/>
            <w:vAlign w:val="bottom"/>
            <w:hideMark/>
          </w:tcPr>
          <w:p>
            <w:pPr>
              <w:jc w:val="left"/>
              <w:rPr>
                <w:rFonts w:ascii="Tahoma" w:hAnsi="Tahoma" w:cs="Tahoma"/>
                <w:noProof/>
                <w:sz w:val="16"/>
                <w:szCs w:val="16"/>
                <w:lang w:eastAsia="en-US"/>
              </w:rPr>
            </w:pPr>
          </w:p>
        </w:tc>
        <w:tc>
          <w:tcPr>
            <w:tcW w:w="326" w:type="pct"/>
            <w:tcBorders>
              <w:top w:val="single" w:sz="4" w:space="0" w:color="auto"/>
              <w:left w:val="nil"/>
              <w:bottom w:val="single" w:sz="4" w:space="0" w:color="auto"/>
              <w:right w:val="nil"/>
            </w:tcBorders>
            <w:shd w:val="clear" w:color="auto" w:fill="auto"/>
            <w:noWrap/>
            <w:vAlign w:val="bottom"/>
            <w:hideMark/>
          </w:tcPr>
          <w:p>
            <w:pPr>
              <w:jc w:val="left"/>
              <w:rPr>
                <w:rFonts w:ascii="Tahoma" w:hAnsi="Tahoma" w:cs="Tahoma"/>
                <w:noProof/>
                <w:sz w:val="16"/>
                <w:szCs w:val="16"/>
                <w:lang w:eastAsia="en-US"/>
              </w:rPr>
            </w:pPr>
          </w:p>
        </w:tc>
        <w:tc>
          <w:tcPr>
            <w:tcW w:w="380" w:type="pct"/>
            <w:tcBorders>
              <w:top w:val="single" w:sz="4" w:space="0" w:color="auto"/>
              <w:left w:val="nil"/>
              <w:bottom w:val="single" w:sz="4" w:space="0" w:color="auto"/>
              <w:right w:val="nil"/>
            </w:tcBorders>
            <w:shd w:val="clear" w:color="auto" w:fill="auto"/>
            <w:noWrap/>
            <w:vAlign w:val="bottom"/>
            <w:hideMark/>
          </w:tcPr>
          <w:p>
            <w:pPr>
              <w:jc w:val="left"/>
              <w:rPr>
                <w:rFonts w:ascii="Tahoma" w:hAnsi="Tahoma" w:cs="Tahoma"/>
                <w:noProof/>
                <w:sz w:val="16"/>
                <w:szCs w:val="16"/>
                <w:lang w:eastAsia="en-US"/>
              </w:rPr>
            </w:pPr>
          </w:p>
        </w:tc>
        <w:tc>
          <w:tcPr>
            <w:tcW w:w="387" w:type="pct"/>
            <w:tcBorders>
              <w:top w:val="single" w:sz="4" w:space="0" w:color="auto"/>
              <w:left w:val="nil"/>
              <w:bottom w:val="single" w:sz="4" w:space="0" w:color="auto"/>
              <w:right w:val="single" w:sz="4" w:space="0" w:color="auto"/>
            </w:tcBorders>
            <w:shd w:val="clear" w:color="auto" w:fill="auto"/>
            <w:noWrap/>
            <w:vAlign w:val="bottom"/>
            <w:hideMark/>
          </w:tcPr>
          <w:p>
            <w:pPr>
              <w:jc w:val="left"/>
              <w:rPr>
                <w:rFonts w:ascii="Tahoma" w:hAnsi="Tahoma" w:cs="Tahoma"/>
                <w:noProof/>
                <w:sz w:val="16"/>
                <w:szCs w:val="16"/>
                <w:lang w:eastAsia="en-US"/>
              </w:rPr>
            </w:pPr>
          </w:p>
        </w:tc>
      </w:tr>
      <w:tr>
        <w:trPr>
          <w:trHeight w:val="246"/>
        </w:trPr>
        <w:tc>
          <w:tcPr>
            <w:tcW w:w="945" w:type="pct"/>
            <w:tcBorders>
              <w:top w:val="nil"/>
              <w:left w:val="single" w:sz="4" w:space="0" w:color="auto"/>
              <w:bottom w:val="single" w:sz="4" w:space="0" w:color="auto"/>
              <w:right w:val="single" w:sz="4" w:space="0" w:color="auto"/>
            </w:tcBorders>
            <w:shd w:val="clear" w:color="auto" w:fill="auto"/>
            <w:noWrap/>
            <w:vAlign w:val="bottom"/>
            <w:hideMark/>
          </w:tcPr>
          <w:p>
            <w:pPr>
              <w:jc w:val="left"/>
              <w:rPr>
                <w:rFonts w:ascii="Tahoma" w:hAnsi="Tahoma" w:cs="Tahoma"/>
                <w:b/>
                <w:bCs/>
                <w:i/>
                <w:iCs/>
                <w:noProof/>
                <w:color w:val="000080"/>
                <w:sz w:val="16"/>
                <w:szCs w:val="16"/>
                <w:lang w:eastAsia="en-US"/>
              </w:rPr>
            </w:pPr>
            <w:r>
              <w:rPr>
                <w:rFonts w:ascii="Tahoma" w:hAnsi="Tahoma" w:cs="Tahoma"/>
                <w:b/>
                <w:bCs/>
                <w:i/>
                <w:iCs/>
                <w:noProof/>
                <w:color w:val="000080"/>
                <w:sz w:val="16"/>
                <w:szCs w:val="16"/>
                <w:lang w:eastAsia="en-US"/>
              </w:rPr>
              <w:t xml:space="preserve">in </w:t>
            </w:r>
            <w:r>
              <w:rPr>
                <w:rFonts w:ascii="Calibri" w:hAnsi="Calibri" w:cs="Calibri"/>
                <w:b/>
                <w:bCs/>
                <w:i/>
                <w:noProof/>
                <w:color w:val="000080"/>
                <w:sz w:val="16"/>
                <w:szCs w:val="16"/>
                <w:lang w:eastAsia="en-US"/>
              </w:rPr>
              <w:t>EUR</w:t>
            </w:r>
            <w:r>
              <w:rPr>
                <w:rFonts w:ascii="Tahoma" w:hAnsi="Tahoma" w:cs="Tahoma"/>
                <w:b/>
                <w:bCs/>
                <w:i/>
                <w:iCs/>
                <w:noProof/>
                <w:color w:val="000080"/>
                <w:sz w:val="16"/>
                <w:szCs w:val="16"/>
                <w:lang w:eastAsia="en-US"/>
              </w:rPr>
              <w:t>'15 per boe</w:t>
            </w:r>
          </w:p>
        </w:tc>
        <w:tc>
          <w:tcPr>
            <w:tcW w:w="387" w:type="pct"/>
            <w:tcBorders>
              <w:top w:val="nil"/>
              <w:left w:val="nil"/>
              <w:bottom w:val="single" w:sz="4" w:space="0" w:color="auto"/>
              <w:right w:val="single" w:sz="4" w:space="0" w:color="auto"/>
            </w:tcBorders>
            <w:shd w:val="clear" w:color="auto" w:fill="auto"/>
            <w:noWrap/>
            <w:vAlign w:val="bottom"/>
            <w:hideMark/>
          </w:tcPr>
          <w:p>
            <w:pPr>
              <w:jc w:val="center"/>
              <w:rPr>
                <w:rFonts w:ascii="Tahoma" w:hAnsi="Tahoma" w:cs="Tahoma"/>
                <w:b/>
                <w:bCs/>
                <w:noProof/>
                <w:color w:val="000080"/>
                <w:sz w:val="16"/>
                <w:szCs w:val="16"/>
                <w:lang w:eastAsia="en-US"/>
              </w:rPr>
            </w:pPr>
            <w:r>
              <w:rPr>
                <w:rFonts w:ascii="Tahoma" w:hAnsi="Tahoma" w:cs="Tahoma"/>
                <w:b/>
                <w:bCs/>
                <w:noProof/>
                <w:color w:val="000080"/>
                <w:sz w:val="16"/>
                <w:szCs w:val="16"/>
                <w:lang w:eastAsia="en-US"/>
              </w:rPr>
              <w:t>2000</w:t>
            </w:r>
          </w:p>
        </w:tc>
        <w:tc>
          <w:tcPr>
            <w:tcW w:w="387" w:type="pct"/>
            <w:tcBorders>
              <w:top w:val="nil"/>
              <w:left w:val="nil"/>
              <w:bottom w:val="single" w:sz="4" w:space="0" w:color="auto"/>
              <w:right w:val="single" w:sz="4" w:space="0" w:color="auto"/>
            </w:tcBorders>
            <w:shd w:val="clear" w:color="auto" w:fill="auto"/>
            <w:noWrap/>
            <w:vAlign w:val="bottom"/>
            <w:hideMark/>
          </w:tcPr>
          <w:p>
            <w:pPr>
              <w:jc w:val="center"/>
              <w:rPr>
                <w:rFonts w:ascii="Tahoma" w:hAnsi="Tahoma" w:cs="Tahoma"/>
                <w:b/>
                <w:bCs/>
                <w:noProof/>
                <w:color w:val="000080"/>
                <w:sz w:val="16"/>
                <w:szCs w:val="16"/>
                <w:lang w:eastAsia="en-US"/>
              </w:rPr>
            </w:pPr>
            <w:r>
              <w:rPr>
                <w:rFonts w:ascii="Tahoma" w:hAnsi="Tahoma" w:cs="Tahoma"/>
                <w:b/>
                <w:bCs/>
                <w:noProof/>
                <w:color w:val="000080"/>
                <w:sz w:val="16"/>
                <w:szCs w:val="16"/>
                <w:lang w:eastAsia="en-US"/>
              </w:rPr>
              <w:t>2005</w:t>
            </w:r>
          </w:p>
        </w:tc>
        <w:tc>
          <w:tcPr>
            <w:tcW w:w="491" w:type="pct"/>
            <w:tcBorders>
              <w:top w:val="nil"/>
              <w:left w:val="nil"/>
              <w:bottom w:val="single" w:sz="4" w:space="0" w:color="auto"/>
              <w:right w:val="single" w:sz="4" w:space="0" w:color="auto"/>
            </w:tcBorders>
            <w:shd w:val="clear" w:color="auto" w:fill="auto"/>
            <w:noWrap/>
            <w:vAlign w:val="bottom"/>
            <w:hideMark/>
          </w:tcPr>
          <w:p>
            <w:pPr>
              <w:jc w:val="center"/>
              <w:rPr>
                <w:rFonts w:ascii="Tahoma" w:hAnsi="Tahoma" w:cs="Tahoma"/>
                <w:b/>
                <w:bCs/>
                <w:noProof/>
                <w:color w:val="000080"/>
                <w:sz w:val="16"/>
                <w:szCs w:val="16"/>
                <w:lang w:eastAsia="en-US"/>
              </w:rPr>
            </w:pPr>
            <w:r>
              <w:rPr>
                <w:rFonts w:ascii="Tahoma" w:hAnsi="Tahoma" w:cs="Tahoma"/>
                <w:b/>
                <w:bCs/>
                <w:noProof/>
                <w:color w:val="000080"/>
                <w:sz w:val="16"/>
                <w:szCs w:val="16"/>
                <w:lang w:eastAsia="en-US"/>
              </w:rPr>
              <w:t>‘10</w:t>
            </w:r>
          </w:p>
        </w:tc>
        <w:tc>
          <w:tcPr>
            <w:tcW w:w="326" w:type="pct"/>
            <w:tcBorders>
              <w:top w:val="nil"/>
              <w:left w:val="nil"/>
              <w:bottom w:val="single" w:sz="4" w:space="0" w:color="auto"/>
              <w:right w:val="single" w:sz="4" w:space="0" w:color="auto"/>
            </w:tcBorders>
            <w:shd w:val="clear" w:color="auto" w:fill="auto"/>
            <w:noWrap/>
            <w:vAlign w:val="bottom"/>
            <w:hideMark/>
          </w:tcPr>
          <w:p>
            <w:pPr>
              <w:jc w:val="center"/>
              <w:rPr>
                <w:rFonts w:ascii="Tahoma" w:hAnsi="Tahoma" w:cs="Tahoma"/>
                <w:b/>
                <w:bCs/>
                <w:noProof/>
                <w:color w:val="000080"/>
                <w:sz w:val="16"/>
                <w:szCs w:val="16"/>
                <w:lang w:eastAsia="en-US"/>
              </w:rPr>
            </w:pPr>
            <w:r>
              <w:rPr>
                <w:rFonts w:ascii="Tahoma" w:hAnsi="Tahoma" w:cs="Tahoma"/>
                <w:b/>
                <w:bCs/>
                <w:noProof/>
                <w:color w:val="000080"/>
                <w:sz w:val="16"/>
                <w:szCs w:val="16"/>
                <w:lang w:eastAsia="en-US"/>
              </w:rPr>
              <w:t>‘15</w:t>
            </w:r>
          </w:p>
        </w:tc>
        <w:tc>
          <w:tcPr>
            <w:tcW w:w="367" w:type="pct"/>
            <w:tcBorders>
              <w:top w:val="nil"/>
              <w:left w:val="nil"/>
              <w:bottom w:val="single" w:sz="4" w:space="0" w:color="auto"/>
              <w:right w:val="single" w:sz="4" w:space="0" w:color="auto"/>
            </w:tcBorders>
            <w:shd w:val="clear" w:color="auto" w:fill="auto"/>
            <w:noWrap/>
            <w:vAlign w:val="bottom"/>
            <w:hideMark/>
          </w:tcPr>
          <w:p>
            <w:pPr>
              <w:jc w:val="center"/>
              <w:rPr>
                <w:rFonts w:ascii="Tahoma" w:hAnsi="Tahoma" w:cs="Tahoma"/>
                <w:b/>
                <w:bCs/>
                <w:noProof/>
                <w:color w:val="000080"/>
                <w:sz w:val="16"/>
                <w:szCs w:val="16"/>
                <w:lang w:eastAsia="en-US"/>
              </w:rPr>
            </w:pPr>
            <w:r>
              <w:rPr>
                <w:rFonts w:ascii="Tahoma" w:hAnsi="Tahoma" w:cs="Tahoma"/>
                <w:b/>
                <w:bCs/>
                <w:noProof/>
                <w:color w:val="000080"/>
                <w:sz w:val="16"/>
                <w:szCs w:val="16"/>
                <w:lang w:eastAsia="en-US"/>
              </w:rPr>
              <w:t>‘20</w:t>
            </w:r>
          </w:p>
        </w:tc>
        <w:tc>
          <w:tcPr>
            <w:tcW w:w="351" w:type="pct"/>
            <w:tcBorders>
              <w:top w:val="nil"/>
              <w:left w:val="nil"/>
              <w:bottom w:val="single" w:sz="4" w:space="0" w:color="auto"/>
              <w:right w:val="single" w:sz="4" w:space="0" w:color="auto"/>
            </w:tcBorders>
            <w:shd w:val="clear" w:color="auto" w:fill="auto"/>
            <w:noWrap/>
            <w:vAlign w:val="bottom"/>
            <w:hideMark/>
          </w:tcPr>
          <w:p>
            <w:pPr>
              <w:jc w:val="center"/>
              <w:rPr>
                <w:rFonts w:ascii="Tahoma" w:hAnsi="Tahoma" w:cs="Tahoma"/>
                <w:b/>
                <w:bCs/>
                <w:noProof/>
                <w:color w:val="000080"/>
                <w:sz w:val="16"/>
                <w:szCs w:val="16"/>
                <w:lang w:eastAsia="en-US"/>
              </w:rPr>
            </w:pPr>
            <w:r>
              <w:rPr>
                <w:rFonts w:ascii="Tahoma" w:hAnsi="Tahoma" w:cs="Tahoma"/>
                <w:b/>
                <w:bCs/>
                <w:noProof/>
                <w:color w:val="000080"/>
                <w:sz w:val="16"/>
                <w:szCs w:val="16"/>
                <w:lang w:eastAsia="en-US"/>
              </w:rPr>
              <w:t>‘25</w:t>
            </w:r>
          </w:p>
        </w:tc>
        <w:tc>
          <w:tcPr>
            <w:tcW w:w="326" w:type="pct"/>
            <w:tcBorders>
              <w:top w:val="nil"/>
              <w:left w:val="nil"/>
              <w:bottom w:val="single" w:sz="4" w:space="0" w:color="auto"/>
              <w:right w:val="single" w:sz="4" w:space="0" w:color="auto"/>
            </w:tcBorders>
            <w:shd w:val="clear" w:color="auto" w:fill="auto"/>
            <w:noWrap/>
            <w:vAlign w:val="bottom"/>
            <w:hideMark/>
          </w:tcPr>
          <w:p>
            <w:pPr>
              <w:jc w:val="center"/>
              <w:rPr>
                <w:rFonts w:ascii="Tahoma" w:hAnsi="Tahoma" w:cs="Tahoma"/>
                <w:b/>
                <w:bCs/>
                <w:noProof/>
                <w:color w:val="000080"/>
                <w:sz w:val="16"/>
                <w:szCs w:val="16"/>
                <w:lang w:eastAsia="en-US"/>
              </w:rPr>
            </w:pPr>
            <w:r>
              <w:rPr>
                <w:rFonts w:ascii="Tahoma" w:hAnsi="Tahoma" w:cs="Tahoma"/>
                <w:b/>
                <w:bCs/>
                <w:noProof/>
                <w:color w:val="000080"/>
                <w:sz w:val="16"/>
                <w:szCs w:val="16"/>
                <w:lang w:eastAsia="en-US"/>
              </w:rPr>
              <w:t>‘30</w:t>
            </w:r>
          </w:p>
        </w:tc>
        <w:tc>
          <w:tcPr>
            <w:tcW w:w="326" w:type="pct"/>
            <w:tcBorders>
              <w:top w:val="nil"/>
              <w:left w:val="nil"/>
              <w:bottom w:val="single" w:sz="4" w:space="0" w:color="auto"/>
              <w:right w:val="single" w:sz="4" w:space="0" w:color="auto"/>
            </w:tcBorders>
            <w:shd w:val="clear" w:color="auto" w:fill="auto"/>
            <w:noWrap/>
            <w:vAlign w:val="bottom"/>
            <w:hideMark/>
          </w:tcPr>
          <w:p>
            <w:pPr>
              <w:jc w:val="center"/>
              <w:rPr>
                <w:rFonts w:ascii="Tahoma" w:hAnsi="Tahoma" w:cs="Tahoma"/>
                <w:b/>
                <w:bCs/>
                <w:noProof/>
                <w:color w:val="000080"/>
                <w:sz w:val="16"/>
                <w:szCs w:val="16"/>
                <w:lang w:eastAsia="en-US"/>
              </w:rPr>
            </w:pPr>
            <w:r>
              <w:rPr>
                <w:rFonts w:ascii="Tahoma" w:hAnsi="Tahoma" w:cs="Tahoma"/>
                <w:b/>
                <w:bCs/>
                <w:noProof/>
                <w:color w:val="000080"/>
                <w:sz w:val="16"/>
                <w:szCs w:val="16"/>
                <w:lang w:eastAsia="en-US"/>
              </w:rPr>
              <w:t>‘35</w:t>
            </w:r>
          </w:p>
        </w:tc>
        <w:tc>
          <w:tcPr>
            <w:tcW w:w="326" w:type="pct"/>
            <w:tcBorders>
              <w:top w:val="nil"/>
              <w:left w:val="nil"/>
              <w:bottom w:val="single" w:sz="4" w:space="0" w:color="auto"/>
              <w:right w:val="single" w:sz="4" w:space="0" w:color="auto"/>
            </w:tcBorders>
            <w:shd w:val="clear" w:color="auto" w:fill="auto"/>
            <w:noWrap/>
            <w:vAlign w:val="bottom"/>
            <w:hideMark/>
          </w:tcPr>
          <w:p>
            <w:pPr>
              <w:jc w:val="center"/>
              <w:rPr>
                <w:rFonts w:ascii="Tahoma" w:hAnsi="Tahoma" w:cs="Tahoma"/>
                <w:b/>
                <w:bCs/>
                <w:noProof/>
                <w:color w:val="000080"/>
                <w:sz w:val="16"/>
                <w:szCs w:val="16"/>
                <w:lang w:eastAsia="en-US"/>
              </w:rPr>
            </w:pPr>
            <w:r>
              <w:rPr>
                <w:rFonts w:ascii="Tahoma" w:hAnsi="Tahoma" w:cs="Tahoma"/>
                <w:b/>
                <w:bCs/>
                <w:noProof/>
                <w:color w:val="000080"/>
                <w:sz w:val="16"/>
                <w:szCs w:val="16"/>
                <w:lang w:eastAsia="en-US"/>
              </w:rPr>
              <w:t>‘40</w:t>
            </w:r>
          </w:p>
        </w:tc>
        <w:tc>
          <w:tcPr>
            <w:tcW w:w="380" w:type="pct"/>
            <w:tcBorders>
              <w:top w:val="nil"/>
              <w:left w:val="nil"/>
              <w:bottom w:val="single" w:sz="4" w:space="0" w:color="auto"/>
              <w:right w:val="single" w:sz="4" w:space="0" w:color="auto"/>
            </w:tcBorders>
            <w:shd w:val="clear" w:color="auto" w:fill="auto"/>
            <w:noWrap/>
            <w:vAlign w:val="bottom"/>
            <w:hideMark/>
          </w:tcPr>
          <w:p>
            <w:pPr>
              <w:jc w:val="center"/>
              <w:rPr>
                <w:rFonts w:ascii="Tahoma" w:hAnsi="Tahoma" w:cs="Tahoma"/>
                <w:b/>
                <w:bCs/>
                <w:noProof/>
                <w:color w:val="000080"/>
                <w:sz w:val="16"/>
                <w:szCs w:val="16"/>
                <w:lang w:eastAsia="en-US"/>
              </w:rPr>
            </w:pPr>
            <w:r>
              <w:rPr>
                <w:rFonts w:ascii="Tahoma" w:hAnsi="Tahoma" w:cs="Tahoma"/>
                <w:b/>
                <w:bCs/>
                <w:noProof/>
                <w:color w:val="000080"/>
                <w:sz w:val="16"/>
                <w:szCs w:val="16"/>
                <w:lang w:eastAsia="en-US"/>
              </w:rPr>
              <w:t>‘45</w:t>
            </w:r>
          </w:p>
        </w:tc>
        <w:tc>
          <w:tcPr>
            <w:tcW w:w="387" w:type="pct"/>
            <w:tcBorders>
              <w:top w:val="nil"/>
              <w:left w:val="nil"/>
              <w:bottom w:val="single" w:sz="4" w:space="0" w:color="auto"/>
              <w:right w:val="single" w:sz="4" w:space="0" w:color="auto"/>
            </w:tcBorders>
            <w:shd w:val="clear" w:color="auto" w:fill="auto"/>
            <w:noWrap/>
            <w:vAlign w:val="bottom"/>
            <w:hideMark/>
          </w:tcPr>
          <w:p>
            <w:pPr>
              <w:jc w:val="center"/>
              <w:rPr>
                <w:rFonts w:ascii="Tahoma" w:hAnsi="Tahoma" w:cs="Tahoma"/>
                <w:b/>
                <w:bCs/>
                <w:noProof/>
                <w:color w:val="000080"/>
                <w:sz w:val="16"/>
                <w:szCs w:val="16"/>
                <w:lang w:eastAsia="en-US"/>
              </w:rPr>
            </w:pPr>
            <w:r>
              <w:rPr>
                <w:rFonts w:ascii="Tahoma" w:hAnsi="Tahoma" w:cs="Tahoma"/>
                <w:b/>
                <w:bCs/>
                <w:noProof/>
                <w:color w:val="000080"/>
                <w:sz w:val="16"/>
                <w:szCs w:val="16"/>
                <w:lang w:eastAsia="en-US"/>
              </w:rPr>
              <w:t>‘50</w:t>
            </w:r>
          </w:p>
        </w:tc>
      </w:tr>
      <w:tr>
        <w:trPr>
          <w:trHeight w:val="234"/>
        </w:trPr>
        <w:tc>
          <w:tcPr>
            <w:tcW w:w="945" w:type="pct"/>
            <w:tcBorders>
              <w:top w:val="nil"/>
              <w:left w:val="single" w:sz="4" w:space="0" w:color="auto"/>
              <w:bottom w:val="single" w:sz="4" w:space="0" w:color="auto"/>
              <w:right w:val="single" w:sz="4" w:space="0" w:color="auto"/>
            </w:tcBorders>
            <w:shd w:val="clear" w:color="auto" w:fill="auto"/>
            <w:noWrap/>
            <w:vAlign w:val="bottom"/>
            <w:hideMark/>
          </w:tcPr>
          <w:p>
            <w:pPr>
              <w:ind w:firstLineChars="100" w:firstLine="160"/>
              <w:jc w:val="left"/>
              <w:rPr>
                <w:rFonts w:ascii="Tahoma" w:hAnsi="Tahoma" w:cs="Tahoma"/>
                <w:noProof/>
                <w:sz w:val="16"/>
                <w:szCs w:val="16"/>
                <w:lang w:eastAsia="en-US"/>
              </w:rPr>
            </w:pPr>
            <w:r>
              <w:rPr>
                <w:rFonts w:ascii="Tahoma" w:hAnsi="Tahoma" w:cs="Tahoma"/>
                <w:noProof/>
                <w:sz w:val="16"/>
                <w:szCs w:val="16"/>
                <w:lang w:eastAsia="en-US"/>
              </w:rPr>
              <w:t>Oil</w:t>
            </w:r>
          </w:p>
        </w:tc>
        <w:tc>
          <w:tcPr>
            <w:tcW w:w="387"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34.6</w:t>
            </w:r>
          </w:p>
        </w:tc>
        <w:tc>
          <w:tcPr>
            <w:tcW w:w="387"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58.9</w:t>
            </w:r>
          </w:p>
        </w:tc>
        <w:tc>
          <w:tcPr>
            <w:tcW w:w="491"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78.2</w:t>
            </w:r>
          </w:p>
        </w:tc>
        <w:tc>
          <w:tcPr>
            <w:tcW w:w="326"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47.2</w:t>
            </w:r>
          </w:p>
        </w:tc>
        <w:tc>
          <w:tcPr>
            <w:tcW w:w="367"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33.5</w:t>
            </w:r>
          </w:p>
        </w:tc>
        <w:tc>
          <w:tcPr>
            <w:tcW w:w="351"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52.8</w:t>
            </w:r>
          </w:p>
        </w:tc>
        <w:tc>
          <w:tcPr>
            <w:tcW w:w="326"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72.2</w:t>
            </w:r>
          </w:p>
        </w:tc>
        <w:tc>
          <w:tcPr>
            <w:tcW w:w="326"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81.5</w:t>
            </w:r>
          </w:p>
        </w:tc>
        <w:tc>
          <w:tcPr>
            <w:tcW w:w="326"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87.8</w:t>
            </w:r>
          </w:p>
        </w:tc>
        <w:tc>
          <w:tcPr>
            <w:tcW w:w="380"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95.2</w:t>
            </w:r>
          </w:p>
        </w:tc>
        <w:tc>
          <w:tcPr>
            <w:tcW w:w="387"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106.3</w:t>
            </w:r>
          </w:p>
        </w:tc>
      </w:tr>
      <w:tr>
        <w:trPr>
          <w:trHeight w:val="234"/>
        </w:trPr>
        <w:tc>
          <w:tcPr>
            <w:tcW w:w="945" w:type="pct"/>
            <w:tcBorders>
              <w:top w:val="nil"/>
              <w:left w:val="single" w:sz="4" w:space="0" w:color="auto"/>
              <w:bottom w:val="single" w:sz="4" w:space="0" w:color="auto"/>
              <w:right w:val="single" w:sz="4" w:space="0" w:color="auto"/>
            </w:tcBorders>
            <w:shd w:val="clear" w:color="auto" w:fill="auto"/>
            <w:noWrap/>
            <w:vAlign w:val="bottom"/>
            <w:hideMark/>
          </w:tcPr>
          <w:p>
            <w:pPr>
              <w:ind w:firstLineChars="100" w:firstLine="160"/>
              <w:jc w:val="left"/>
              <w:rPr>
                <w:rFonts w:ascii="Tahoma" w:hAnsi="Tahoma" w:cs="Tahoma"/>
                <w:noProof/>
                <w:sz w:val="16"/>
                <w:szCs w:val="16"/>
                <w:lang w:eastAsia="en-US"/>
              </w:rPr>
            </w:pPr>
            <w:r>
              <w:rPr>
                <w:rFonts w:ascii="Tahoma" w:hAnsi="Tahoma" w:cs="Tahoma"/>
                <w:noProof/>
                <w:sz w:val="16"/>
                <w:szCs w:val="16"/>
                <w:lang w:eastAsia="en-US"/>
              </w:rPr>
              <w:t>Gas (NCV)</w:t>
            </w:r>
          </w:p>
        </w:tc>
        <w:tc>
          <w:tcPr>
            <w:tcW w:w="387"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23.4</w:t>
            </w:r>
          </w:p>
        </w:tc>
        <w:tc>
          <w:tcPr>
            <w:tcW w:w="387"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31.7</w:t>
            </w:r>
          </w:p>
        </w:tc>
        <w:tc>
          <w:tcPr>
            <w:tcW w:w="491"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40.6</w:t>
            </w:r>
          </w:p>
        </w:tc>
        <w:tc>
          <w:tcPr>
            <w:tcW w:w="326"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38.7</w:t>
            </w:r>
          </w:p>
        </w:tc>
        <w:tc>
          <w:tcPr>
            <w:tcW w:w="367"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19.7</w:t>
            </w:r>
          </w:p>
        </w:tc>
        <w:tc>
          <w:tcPr>
            <w:tcW w:w="351"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27.9</w:t>
            </w:r>
          </w:p>
        </w:tc>
        <w:tc>
          <w:tcPr>
            <w:tcW w:w="326"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36.2</w:t>
            </w:r>
          </w:p>
        </w:tc>
        <w:tc>
          <w:tcPr>
            <w:tcW w:w="326"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39.7</w:t>
            </w:r>
          </w:p>
        </w:tc>
        <w:tc>
          <w:tcPr>
            <w:tcW w:w="326"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46.6</w:t>
            </w:r>
          </w:p>
        </w:tc>
        <w:tc>
          <w:tcPr>
            <w:tcW w:w="380"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50.5</w:t>
            </w:r>
          </w:p>
        </w:tc>
        <w:tc>
          <w:tcPr>
            <w:tcW w:w="387"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51.2</w:t>
            </w:r>
          </w:p>
        </w:tc>
      </w:tr>
      <w:tr>
        <w:trPr>
          <w:trHeight w:val="234"/>
        </w:trPr>
        <w:tc>
          <w:tcPr>
            <w:tcW w:w="945" w:type="pct"/>
            <w:tcBorders>
              <w:top w:val="nil"/>
              <w:left w:val="single" w:sz="4" w:space="0" w:color="auto"/>
              <w:bottom w:val="single" w:sz="4" w:space="0" w:color="auto"/>
              <w:right w:val="single" w:sz="4" w:space="0" w:color="auto"/>
            </w:tcBorders>
            <w:shd w:val="clear" w:color="auto" w:fill="auto"/>
            <w:noWrap/>
            <w:vAlign w:val="bottom"/>
            <w:hideMark/>
          </w:tcPr>
          <w:p>
            <w:pPr>
              <w:ind w:firstLineChars="100" w:firstLine="160"/>
              <w:jc w:val="left"/>
              <w:rPr>
                <w:rFonts w:ascii="Tahoma" w:hAnsi="Tahoma" w:cs="Tahoma"/>
                <w:noProof/>
                <w:sz w:val="16"/>
                <w:szCs w:val="16"/>
                <w:lang w:eastAsia="en-US"/>
              </w:rPr>
            </w:pPr>
            <w:r>
              <w:rPr>
                <w:rFonts w:ascii="Tahoma" w:hAnsi="Tahoma" w:cs="Tahoma"/>
                <w:noProof/>
                <w:sz w:val="16"/>
                <w:szCs w:val="16"/>
                <w:lang w:eastAsia="en-US"/>
              </w:rPr>
              <w:t>Coal</w:t>
            </w:r>
          </w:p>
        </w:tc>
        <w:tc>
          <w:tcPr>
            <w:tcW w:w="387"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9.9</w:t>
            </w:r>
          </w:p>
        </w:tc>
        <w:tc>
          <w:tcPr>
            <w:tcW w:w="387"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15.0</w:t>
            </w:r>
          </w:p>
        </w:tc>
        <w:tc>
          <w:tcPr>
            <w:tcW w:w="491"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20.6</w:t>
            </w:r>
          </w:p>
        </w:tc>
        <w:tc>
          <w:tcPr>
            <w:tcW w:w="326"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11.6</w:t>
            </w:r>
          </w:p>
        </w:tc>
        <w:tc>
          <w:tcPr>
            <w:tcW w:w="367"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8.9</w:t>
            </w:r>
          </w:p>
        </w:tc>
        <w:tc>
          <w:tcPr>
            <w:tcW w:w="351"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12.3</w:t>
            </w:r>
          </w:p>
        </w:tc>
        <w:tc>
          <w:tcPr>
            <w:tcW w:w="326"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15.6</w:t>
            </w:r>
          </w:p>
        </w:tc>
        <w:tc>
          <w:tcPr>
            <w:tcW w:w="326"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16.9</w:t>
            </w:r>
          </w:p>
        </w:tc>
        <w:tc>
          <w:tcPr>
            <w:tcW w:w="326"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18.0</w:t>
            </w:r>
          </w:p>
        </w:tc>
        <w:tc>
          <w:tcPr>
            <w:tcW w:w="380"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18.9</w:t>
            </w:r>
          </w:p>
        </w:tc>
        <w:tc>
          <w:tcPr>
            <w:tcW w:w="387" w:type="pct"/>
            <w:tcBorders>
              <w:top w:val="nil"/>
              <w:left w:val="nil"/>
              <w:bottom w:val="single" w:sz="4" w:space="0" w:color="auto"/>
              <w:right w:val="single" w:sz="4" w:space="0" w:color="auto"/>
            </w:tcBorders>
            <w:shd w:val="clear" w:color="auto" w:fill="auto"/>
            <w:noWrap/>
            <w:vAlign w:val="bottom"/>
            <w:hideMark/>
          </w:tcPr>
          <w:p>
            <w:pPr>
              <w:jc w:val="right"/>
              <w:rPr>
                <w:rFonts w:ascii="Tahoma" w:hAnsi="Tahoma" w:cs="Tahoma"/>
                <w:noProof/>
                <w:sz w:val="16"/>
                <w:szCs w:val="16"/>
                <w:lang w:eastAsia="en-US"/>
              </w:rPr>
            </w:pPr>
            <w:r>
              <w:rPr>
                <w:rFonts w:ascii="Tahoma" w:hAnsi="Tahoma" w:cs="Tahoma"/>
                <w:noProof/>
                <w:sz w:val="16"/>
                <w:szCs w:val="16"/>
                <w:lang w:eastAsia="en-US"/>
              </w:rPr>
              <w:t>19.7</w:t>
            </w:r>
          </w:p>
        </w:tc>
      </w:tr>
    </w:tbl>
    <w:p>
      <w:pPr>
        <w:pStyle w:val="Source"/>
        <w:rPr>
          <w:lang w:val="en-GB"/>
        </w:rPr>
      </w:pPr>
      <w:r>
        <w:rPr>
          <w:lang w:val="en-GB"/>
        </w:rPr>
        <w:t>Source: Estimates, derived from JRC, POLES-JRC model, GECO 2019</w:t>
      </w:r>
    </w:p>
    <w:p>
      <w:pPr>
        <w:pStyle w:val="Heading4"/>
        <w:rPr>
          <w:noProof/>
        </w:rPr>
      </w:pPr>
      <w:bookmarkStart w:id="5846" w:name="_Toc49436716"/>
      <w:bookmarkStart w:id="5847" w:name="_Toc49441690"/>
      <w:bookmarkStart w:id="5848" w:name="_Toc49447293"/>
      <w:bookmarkStart w:id="5849" w:name="_Toc45119791"/>
      <w:bookmarkStart w:id="5850" w:name="_Toc45147529"/>
      <w:bookmarkStart w:id="5851" w:name="_Toc49346551"/>
      <w:bookmarkStart w:id="5852" w:name="_Toc49437870"/>
      <w:bookmarkStart w:id="5853" w:name="_Toc49441691"/>
      <w:bookmarkStart w:id="5854" w:name="_Toc57291564"/>
      <w:bookmarkEnd w:id="5846"/>
      <w:bookmarkEnd w:id="5847"/>
      <w:bookmarkEnd w:id="5848"/>
      <w:r>
        <w:rPr>
          <w:noProof/>
        </w:rPr>
        <w:t>Technology assumptions</w:t>
      </w:r>
      <w:bookmarkEnd w:id="5849"/>
      <w:bookmarkEnd w:id="5850"/>
      <w:bookmarkEnd w:id="5851"/>
      <w:bookmarkEnd w:id="5852"/>
      <w:bookmarkEnd w:id="5853"/>
      <w:bookmarkEnd w:id="5854"/>
    </w:p>
    <w:p>
      <w:pPr>
        <w:spacing w:line="240" w:lineRule="auto"/>
        <w:rPr>
          <w:noProof/>
          <w:sz w:val="24"/>
          <w:szCs w:val="24"/>
        </w:rPr>
      </w:pPr>
      <w:r>
        <w:rPr>
          <w:noProof/>
          <w:sz w:val="24"/>
          <w:szCs w:val="24"/>
        </w:rPr>
        <w:t>Modelling scenarios on the evolution of the energy system is highly dependent on the assumptions on the development of technologies - both in terms of performance and costs. For the purpose of this modelling exercise, these assumptions have been updated based on a rigorous literature review carried out by external consultants in collaboration with the JRC</w:t>
      </w:r>
      <w:r>
        <w:rPr>
          <w:rStyle w:val="FootnoteReference"/>
          <w:noProof/>
          <w:sz w:val="24"/>
          <w:szCs w:val="24"/>
        </w:rPr>
        <w:footnoteReference w:id="671"/>
      </w:r>
      <w:r>
        <w:rPr>
          <w:noProof/>
          <w:sz w:val="24"/>
          <w:szCs w:val="24"/>
        </w:rPr>
        <w:t xml:space="preserve">. </w:t>
      </w:r>
    </w:p>
    <w:p>
      <w:pPr>
        <w:spacing w:line="240" w:lineRule="auto"/>
        <w:rPr>
          <w:noProof/>
          <w:sz w:val="24"/>
          <w:szCs w:val="24"/>
        </w:rPr>
      </w:pPr>
      <w:r>
        <w:rPr>
          <w:noProof/>
          <w:sz w:val="24"/>
          <w:szCs w:val="24"/>
        </w:rPr>
        <w:t>Continuing the approach adopted in the long-term strategy in 2018, the Commission consulted technology assumption with stakeholders in 2019. In particular, the technology database of the main model suite (PRIMES, PRIMES-TREMOVE, GAINS, GLOBIOM, and CAPRI) benefited from a dedicated consultation workshop held on 16</w:t>
      </w:r>
      <w:r>
        <w:rPr>
          <w:noProof/>
          <w:sz w:val="24"/>
          <w:szCs w:val="24"/>
          <w:vertAlign w:val="superscript"/>
        </w:rPr>
        <w:t>th</w:t>
      </w:r>
      <w:r>
        <w:rPr>
          <w:noProof/>
          <w:sz w:val="24"/>
          <w:szCs w:val="24"/>
        </w:rPr>
        <w:t xml:space="preserve"> May 2018 and a more recent one on 11</w:t>
      </w:r>
      <w:r>
        <w:rPr>
          <w:noProof/>
          <w:sz w:val="24"/>
          <w:szCs w:val="24"/>
          <w:vertAlign w:val="superscript"/>
        </w:rPr>
        <w:t>th</w:t>
      </w:r>
      <w:r>
        <w:rPr>
          <w:noProof/>
          <w:sz w:val="24"/>
          <w:szCs w:val="24"/>
        </w:rPr>
        <w:t xml:space="preserve"> November 2019. EU Member States representatives had also the opportunity to comment on the costs elements during a workshop held on 25</w:t>
      </w:r>
      <w:r>
        <w:rPr>
          <w:noProof/>
          <w:sz w:val="24"/>
          <w:szCs w:val="24"/>
          <w:vertAlign w:val="superscript"/>
        </w:rPr>
        <w:t>th</w:t>
      </w:r>
      <w:r>
        <w:rPr>
          <w:noProof/>
          <w:sz w:val="24"/>
          <w:szCs w:val="24"/>
        </w:rPr>
        <w:t xml:space="preserve"> November 2019. The updated list of technology assumptions will be published together with the upcoming Reference Scenario update.</w:t>
      </w:r>
    </w:p>
    <w:p>
      <w:pPr>
        <w:pStyle w:val="Heading3"/>
        <w:rPr>
          <w:noProof/>
        </w:rPr>
      </w:pPr>
      <w:bookmarkStart w:id="5855" w:name="_Toc41675999"/>
      <w:bookmarkStart w:id="5856" w:name="_Ref42064215"/>
      <w:bookmarkStart w:id="5857" w:name="_Toc42064495"/>
      <w:bookmarkStart w:id="5858" w:name="_Toc43114838"/>
      <w:bookmarkStart w:id="5859" w:name="_Ref43323707"/>
      <w:bookmarkStart w:id="5860" w:name="_Ref43325550"/>
      <w:bookmarkStart w:id="5861" w:name="_Ref43410261"/>
      <w:bookmarkStart w:id="5862" w:name="_Ref43412710"/>
      <w:bookmarkStart w:id="5863" w:name="_Toc57291565"/>
      <w:bookmarkStart w:id="5864" w:name="_Toc45119793"/>
      <w:bookmarkStart w:id="5865" w:name="_Ref45147126"/>
      <w:bookmarkStart w:id="5866" w:name="_Toc45147530"/>
      <w:bookmarkStart w:id="5867" w:name="_Toc49346552"/>
      <w:bookmarkStart w:id="5868" w:name="_Toc49437871"/>
      <w:bookmarkStart w:id="5869" w:name="_Toc49441692"/>
      <w:bookmarkStart w:id="5870" w:name="_Toc49516664"/>
      <w:bookmarkStart w:id="5871" w:name="_Toc49518584"/>
      <w:bookmarkStart w:id="5872" w:name="_Toc49525198"/>
      <w:bookmarkStart w:id="5873" w:name="_Toc49530692"/>
      <w:bookmarkStart w:id="5874" w:name="_Toc49530961"/>
      <w:bookmarkStart w:id="5875" w:name="_Toc49531793"/>
      <w:bookmarkStart w:id="5876" w:name="_Toc49532952"/>
      <w:bookmarkStart w:id="5877" w:name="_Ref49772719"/>
      <w:bookmarkStart w:id="5878" w:name="_Toc49775501"/>
      <w:bookmarkStart w:id="5879" w:name="_Toc49774703"/>
      <w:bookmarkStart w:id="5880" w:name="_Toc50396622"/>
      <w:bookmarkStart w:id="5881" w:name="_Toc50406113"/>
      <w:bookmarkStart w:id="5882" w:name="_Toc50995811"/>
      <w:bookmarkEnd w:id="5855"/>
      <w:bookmarkEnd w:id="5856"/>
      <w:bookmarkEnd w:id="5857"/>
      <w:bookmarkEnd w:id="5858"/>
      <w:bookmarkEnd w:id="5859"/>
      <w:bookmarkEnd w:id="5860"/>
      <w:bookmarkEnd w:id="5861"/>
      <w:bookmarkEnd w:id="5862"/>
      <w:r>
        <w:rPr>
          <w:noProof/>
        </w:rPr>
        <w:t>Policies in the existing policies scenario (Baseline scenario)</w:t>
      </w:r>
      <w:bookmarkEnd w:id="5863"/>
      <w:r>
        <w:rPr>
          <w:noProof/>
        </w:rPr>
        <w:t xml:space="preserve"> </w:t>
      </w:r>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p>
    <w:p>
      <w:pPr>
        <w:spacing w:line="240" w:lineRule="auto"/>
        <w:rPr>
          <w:noProof/>
          <w:sz w:val="24"/>
          <w:szCs w:val="24"/>
        </w:rPr>
      </w:pPr>
      <w:r>
        <w:rPr>
          <w:noProof/>
          <w:sz w:val="24"/>
          <w:szCs w:val="24"/>
        </w:rPr>
        <w:t xml:space="preserve">In order to assess the trajectory that is entailed by the recent policies and objectives adopted at EU level, a Baseline scenario was developed. </w:t>
      </w:r>
    </w:p>
    <w:p>
      <w:pPr>
        <w:spacing w:line="240" w:lineRule="auto"/>
        <w:rPr>
          <w:noProof/>
          <w:sz w:val="24"/>
          <w:szCs w:val="24"/>
        </w:rPr>
      </w:pPr>
      <w:r>
        <w:rPr>
          <w:noProof/>
          <w:sz w:val="24"/>
          <w:szCs w:val="24"/>
        </w:rPr>
        <w:t>It assumes that measures are taken either at EU or MS level in order to achieve the energy and climate 2030 targets</w:t>
      </w:r>
      <w:r>
        <w:rPr>
          <w:noProof/>
          <w:sz w:val="24"/>
          <w:szCs w:val="24"/>
          <w:vertAlign w:val="superscript"/>
        </w:rPr>
        <w:footnoteReference w:id="672"/>
      </w:r>
      <w:r>
        <w:rPr>
          <w:noProof/>
          <w:sz w:val="24"/>
          <w:szCs w:val="24"/>
        </w:rPr>
        <w:t>, as adopted by EU leaders on October 2014</w:t>
      </w:r>
      <w:r>
        <w:rPr>
          <w:rStyle w:val="FootnoteReference"/>
          <w:noProof/>
          <w:sz w:val="24"/>
          <w:szCs w:val="24"/>
        </w:rPr>
        <w:footnoteReference w:id="673"/>
      </w:r>
      <w:r>
        <w:rPr>
          <w:noProof/>
          <w:sz w:val="24"/>
          <w:szCs w:val="24"/>
        </w:rPr>
        <w:t>, further refined on May 2018 with the agreement on the Effort Sharing Regulation and enhanced on June 2018 with the agreement on the recast of Renewable Energy Directive and the revised Energy Efficiency Directive.</w:t>
      </w:r>
    </w:p>
    <w:p>
      <w:pPr>
        <w:spacing w:line="240" w:lineRule="auto"/>
        <w:rPr>
          <w:noProof/>
          <w:sz w:val="24"/>
          <w:szCs w:val="24"/>
        </w:rPr>
      </w:pPr>
      <w:r>
        <w:rPr>
          <w:noProof/>
          <w:sz w:val="24"/>
          <w:szCs w:val="24"/>
        </w:rPr>
        <w:t>In addition to the headline targets, some of the policies included in this baseline are:</w:t>
      </w:r>
    </w:p>
    <w:p>
      <w:pPr>
        <w:pStyle w:val="ListParagraph"/>
        <w:numPr>
          <w:ilvl w:val="0"/>
          <w:numId w:val="155"/>
        </w:numPr>
        <w:spacing w:line="240" w:lineRule="auto"/>
        <w:ind w:left="284" w:hanging="284"/>
        <w:contextualSpacing w:val="0"/>
        <w:rPr>
          <w:noProof/>
          <w:sz w:val="24"/>
          <w:szCs w:val="24"/>
        </w:rPr>
      </w:pPr>
      <w:r>
        <w:rPr>
          <w:noProof/>
          <w:sz w:val="24"/>
          <w:szCs w:val="24"/>
        </w:rPr>
        <w:t>The EU Emissions Trading System</w:t>
      </w:r>
      <w:r>
        <w:rPr>
          <w:rStyle w:val="FootnoteReference"/>
          <w:noProof/>
          <w:sz w:val="24"/>
          <w:szCs w:val="24"/>
        </w:rPr>
        <w:footnoteReference w:id="674"/>
      </w:r>
      <w:r>
        <w:rPr>
          <w:noProof/>
          <w:sz w:val="24"/>
          <w:szCs w:val="24"/>
        </w:rPr>
        <w:t xml:space="preserve"> (EU ETS) covers 45% of EU GHG emissions, notably from industry, the power sector and aviation. Emissions for the ensemble of sectors under the system are capped to reduce by 43% by 2030 compared to 2005. The baseline scenario additionally assumes that the Market Stability Reserve will ensure that the ETS contributes to the achievement of the overall target cost-effectively. MSR functioning is set to be reviewed</w:t>
      </w:r>
      <w:r>
        <w:rPr>
          <w:rStyle w:val="FootnoteReference"/>
          <w:noProof/>
          <w:sz w:val="24"/>
          <w:szCs w:val="24"/>
        </w:rPr>
        <w:footnoteReference w:id="675"/>
      </w:r>
      <w:r>
        <w:rPr>
          <w:noProof/>
          <w:sz w:val="24"/>
          <w:szCs w:val="24"/>
        </w:rPr>
        <w:t xml:space="preserve"> in 2021 and every five years after to ensure its aim of tackling structural supply-demand imbalances.</w:t>
      </w:r>
    </w:p>
    <w:p>
      <w:pPr>
        <w:pStyle w:val="ListParagraph"/>
        <w:numPr>
          <w:ilvl w:val="0"/>
          <w:numId w:val="155"/>
        </w:numPr>
        <w:spacing w:line="240" w:lineRule="auto"/>
        <w:ind w:left="284" w:hanging="284"/>
        <w:contextualSpacing w:val="0"/>
        <w:rPr>
          <w:noProof/>
          <w:sz w:val="24"/>
          <w:szCs w:val="24"/>
        </w:rPr>
      </w:pPr>
      <w:r>
        <w:rPr>
          <w:noProof/>
          <w:sz w:val="24"/>
          <w:szCs w:val="24"/>
        </w:rPr>
        <w:t>Aviation emissions are also covered by the EU ETS. The EU, however, decided in 2014 to limit the scope of the EU ETS to flights within the EEA until 2016 to support the development of a global measure by the International Civil Aviation Organization (ICAO).</w:t>
      </w:r>
      <w:r>
        <w:rPr>
          <w:rStyle w:val="FootnoteReference"/>
          <w:noProof/>
          <w:sz w:val="24"/>
          <w:szCs w:val="24"/>
        </w:rPr>
        <w:footnoteReference w:id="676"/>
      </w:r>
      <w:r>
        <w:rPr>
          <w:noProof/>
          <w:sz w:val="24"/>
          <w:szCs w:val="24"/>
        </w:rPr>
        <w:t xml:space="preserve"> In light of the adoption of a Resolution by the 2016 ICAO Assembly on the global measure, the EU has decided to maintain the geographic scope of the EU ETS limited to intra-EEA flights from 2017 until the end of 2023.</w:t>
      </w:r>
      <w:r>
        <w:rPr>
          <w:rStyle w:val="FootnoteReference"/>
          <w:noProof/>
          <w:sz w:val="24"/>
          <w:szCs w:val="24"/>
        </w:rPr>
        <w:footnoteReference w:id="677"/>
      </w:r>
      <w:r>
        <w:rPr>
          <w:noProof/>
          <w:sz w:val="24"/>
          <w:szCs w:val="24"/>
        </w:rPr>
        <w:t xml:space="preserve"> The EU ETS for aviation will be subject to a new review in the light of the international developments related to the operationalisation of CORSIA. The next review should consider how to implement the global measure in Union law through a revision of the EU ETS legislation. In the absence of a new amendment, the EU ETS would revert back to its original full scope from 2024. </w:t>
      </w:r>
    </w:p>
    <w:p>
      <w:pPr>
        <w:pStyle w:val="ListParagraph"/>
        <w:numPr>
          <w:ilvl w:val="0"/>
          <w:numId w:val="155"/>
        </w:numPr>
        <w:spacing w:line="240" w:lineRule="auto"/>
        <w:ind w:left="284" w:hanging="284"/>
        <w:contextualSpacing w:val="0"/>
        <w:rPr>
          <w:noProof/>
          <w:sz w:val="24"/>
          <w:szCs w:val="24"/>
        </w:rPr>
      </w:pPr>
      <w:r>
        <w:rPr>
          <w:noProof/>
          <w:sz w:val="24"/>
          <w:szCs w:val="24"/>
        </w:rPr>
        <w:t>The Effort Sharing Regulation</w:t>
      </w:r>
      <w:r>
        <w:rPr>
          <w:rStyle w:val="FootnoteReference"/>
          <w:noProof/>
          <w:sz w:val="24"/>
          <w:szCs w:val="24"/>
        </w:rPr>
        <w:footnoteReference w:id="678"/>
      </w:r>
      <w:r>
        <w:rPr>
          <w:noProof/>
          <w:sz w:val="24"/>
          <w:szCs w:val="24"/>
        </w:rPr>
        <w:t xml:space="preserve"> (ESR) sets binding annual reduction targets for member states, with an aim to reduce emissions by 30% compared to 2005 by 2030. The ESR targets are set according to national wealth and cost-effectiveness. The ESR allows for flexibilities such as transfers between member states. </w:t>
      </w:r>
    </w:p>
    <w:p>
      <w:pPr>
        <w:pStyle w:val="ListParagraph"/>
        <w:numPr>
          <w:ilvl w:val="0"/>
          <w:numId w:val="155"/>
        </w:numPr>
        <w:spacing w:line="240" w:lineRule="auto"/>
        <w:ind w:left="284" w:hanging="284"/>
        <w:contextualSpacing w:val="0"/>
        <w:rPr>
          <w:noProof/>
          <w:sz w:val="24"/>
          <w:szCs w:val="24"/>
        </w:rPr>
      </w:pPr>
      <w:r>
        <w:rPr>
          <w:noProof/>
          <w:sz w:val="24"/>
          <w:szCs w:val="24"/>
        </w:rPr>
        <w:t>The Land Use, Land Use Change and Forestry Regulation</w:t>
      </w:r>
      <w:r>
        <w:rPr>
          <w:rStyle w:val="FootnoteReference"/>
          <w:noProof/>
          <w:sz w:val="24"/>
          <w:szCs w:val="24"/>
        </w:rPr>
        <w:footnoteReference w:id="679"/>
      </w:r>
      <w:r>
        <w:rPr>
          <w:noProof/>
          <w:sz w:val="24"/>
          <w:szCs w:val="24"/>
        </w:rPr>
        <w:t xml:space="preserve"> (LULUCF regulation), whereby accounted emissions should not exceed removals and that includes incentive to improve land use practices, flexibility and trading, flexibility towards ESR.</w:t>
      </w:r>
    </w:p>
    <w:p>
      <w:pPr>
        <w:pStyle w:val="ListParagraph"/>
        <w:numPr>
          <w:ilvl w:val="0"/>
          <w:numId w:val="155"/>
        </w:numPr>
        <w:spacing w:line="240" w:lineRule="auto"/>
        <w:ind w:left="284" w:hanging="284"/>
        <w:contextualSpacing w:val="0"/>
        <w:rPr>
          <w:noProof/>
          <w:sz w:val="24"/>
          <w:szCs w:val="24"/>
        </w:rPr>
      </w:pPr>
      <w:r>
        <w:rPr>
          <w:noProof/>
          <w:sz w:val="24"/>
          <w:szCs w:val="24"/>
        </w:rPr>
        <w:t>CO</w:t>
      </w:r>
      <w:r>
        <w:rPr>
          <w:noProof/>
          <w:sz w:val="24"/>
          <w:szCs w:val="24"/>
          <w:vertAlign w:val="subscript"/>
        </w:rPr>
        <w:t>2</w:t>
      </w:r>
      <w:r>
        <w:rPr>
          <w:noProof/>
          <w:sz w:val="24"/>
          <w:szCs w:val="24"/>
        </w:rPr>
        <w:t xml:space="preserve"> emission standards for new cars and vans</w:t>
      </w:r>
      <w:r>
        <w:rPr>
          <w:rStyle w:val="FootnoteReference"/>
          <w:noProof/>
          <w:sz w:val="24"/>
          <w:szCs w:val="24"/>
        </w:rPr>
        <w:footnoteReference w:id="680"/>
      </w:r>
      <w:r>
        <w:rPr>
          <w:noProof/>
          <w:sz w:val="24"/>
          <w:szCs w:val="24"/>
        </w:rPr>
        <w:t xml:space="preserve"> and for new trucks</w:t>
      </w:r>
      <w:r>
        <w:rPr>
          <w:rStyle w:val="FootnoteReference"/>
          <w:noProof/>
          <w:sz w:val="24"/>
          <w:szCs w:val="24"/>
        </w:rPr>
        <w:footnoteReference w:id="681"/>
      </w:r>
      <w:r>
        <w:rPr>
          <w:noProof/>
          <w:sz w:val="24"/>
          <w:szCs w:val="24"/>
        </w:rPr>
        <w:t xml:space="preserve"> have been defined, and will contribute towards reducing emissions from the road transport sector. </w:t>
      </w:r>
    </w:p>
    <w:p>
      <w:pPr>
        <w:pStyle w:val="ListParagraph"/>
        <w:numPr>
          <w:ilvl w:val="0"/>
          <w:numId w:val="155"/>
        </w:numPr>
        <w:spacing w:line="240" w:lineRule="auto"/>
        <w:ind w:left="284" w:hanging="284"/>
        <w:contextualSpacing w:val="0"/>
        <w:rPr>
          <w:noProof/>
          <w:sz w:val="24"/>
          <w:szCs w:val="24"/>
        </w:rPr>
      </w:pPr>
      <w:r>
        <w:rPr>
          <w:noProof/>
          <w:sz w:val="24"/>
          <w:szCs w:val="24"/>
        </w:rPr>
        <w:t>The Fuel Quality Directive</w:t>
      </w:r>
      <w:r>
        <w:rPr>
          <w:rStyle w:val="FootnoteReference"/>
          <w:noProof/>
          <w:sz w:val="24"/>
          <w:szCs w:val="24"/>
        </w:rPr>
        <w:footnoteReference w:id="682"/>
      </w:r>
      <w:r>
        <w:rPr>
          <w:noProof/>
          <w:sz w:val="24"/>
          <w:szCs w:val="24"/>
        </w:rPr>
        <w:t xml:space="preserve"> requires a reduction of the GHG intensity of transport fuels by a minimum of 6% to be achieved by 2020. </w:t>
      </w:r>
    </w:p>
    <w:p>
      <w:pPr>
        <w:pStyle w:val="ListParagraph"/>
        <w:numPr>
          <w:ilvl w:val="0"/>
          <w:numId w:val="155"/>
        </w:numPr>
        <w:spacing w:line="240" w:lineRule="auto"/>
        <w:ind w:left="284" w:hanging="284"/>
        <w:contextualSpacing w:val="0"/>
        <w:rPr>
          <w:noProof/>
          <w:sz w:val="24"/>
          <w:szCs w:val="24"/>
        </w:rPr>
      </w:pPr>
      <w:r>
        <w:rPr>
          <w:noProof/>
          <w:sz w:val="24"/>
          <w:szCs w:val="24"/>
        </w:rPr>
        <w:t>The revised Renewable Energy Directive</w:t>
      </w:r>
      <w:r>
        <w:rPr>
          <w:rStyle w:val="FootnoteReference"/>
          <w:noProof/>
          <w:sz w:val="24"/>
          <w:szCs w:val="24"/>
        </w:rPr>
        <w:footnoteReference w:id="683"/>
      </w:r>
      <w:r>
        <w:rPr>
          <w:noProof/>
          <w:sz w:val="24"/>
          <w:szCs w:val="24"/>
        </w:rPr>
        <w:t xml:space="preserve"> entered into force in 2018. It establishes a new binding renewable energy target for the EU for 2030 of at least 32%, with a clause for a possible upwards revision by 2023.</w:t>
      </w:r>
    </w:p>
    <w:p>
      <w:pPr>
        <w:pStyle w:val="ListParagraph"/>
        <w:numPr>
          <w:ilvl w:val="0"/>
          <w:numId w:val="155"/>
        </w:numPr>
        <w:spacing w:line="240" w:lineRule="auto"/>
        <w:ind w:left="284" w:hanging="284"/>
        <w:contextualSpacing w:val="0"/>
        <w:rPr>
          <w:noProof/>
          <w:sz w:val="24"/>
          <w:szCs w:val="24"/>
        </w:rPr>
      </w:pPr>
      <w:r>
        <w:rPr>
          <w:noProof/>
          <w:sz w:val="24"/>
          <w:szCs w:val="24"/>
        </w:rPr>
        <w:t>The Energy Efficiency Directive was amended in 2018</w:t>
      </w:r>
      <w:r>
        <w:rPr>
          <w:rStyle w:val="FootnoteReference"/>
          <w:noProof/>
          <w:sz w:val="24"/>
          <w:szCs w:val="24"/>
        </w:rPr>
        <w:footnoteReference w:id="684"/>
      </w:r>
      <w:r>
        <w:rPr>
          <w:noProof/>
          <w:sz w:val="24"/>
          <w:szCs w:val="24"/>
        </w:rPr>
        <w:t xml:space="preserve"> establishing a target of at least 32.5% for 2030. This means in absolute terms, that EU energy consumption should be no more than 1128 Mtoe of primary energy and no more than 846 Mtoe of final energy.</w:t>
      </w:r>
      <w:r>
        <w:rPr>
          <w:rStyle w:val="FootnoteReference"/>
          <w:noProof/>
          <w:sz w:val="24"/>
          <w:szCs w:val="24"/>
        </w:rPr>
        <w:footnoteReference w:id="685"/>
      </w:r>
      <w:r>
        <w:rPr>
          <w:noProof/>
          <w:sz w:val="24"/>
          <w:szCs w:val="24"/>
        </w:rPr>
        <w:t xml:space="preserve"> The Directive allows for a possible upward revision in the target in 2023.</w:t>
      </w:r>
    </w:p>
    <w:p>
      <w:pPr>
        <w:pStyle w:val="ListParagraph"/>
        <w:numPr>
          <w:ilvl w:val="0"/>
          <w:numId w:val="155"/>
        </w:numPr>
        <w:spacing w:line="240" w:lineRule="auto"/>
        <w:ind w:left="284" w:hanging="284"/>
        <w:contextualSpacing w:val="0"/>
        <w:rPr>
          <w:noProof/>
          <w:sz w:val="24"/>
          <w:szCs w:val="24"/>
        </w:rPr>
      </w:pPr>
      <w:r>
        <w:rPr>
          <w:noProof/>
          <w:sz w:val="24"/>
          <w:szCs w:val="24"/>
        </w:rPr>
        <w:t>The Energy Performance of Buildings Directive and its amendment in 2018</w:t>
      </w:r>
      <w:r>
        <w:rPr>
          <w:rStyle w:val="FootnoteReference"/>
          <w:noProof/>
          <w:sz w:val="24"/>
          <w:szCs w:val="24"/>
        </w:rPr>
        <w:footnoteReference w:id="686"/>
      </w:r>
      <w:r>
        <w:rPr>
          <w:noProof/>
          <w:sz w:val="24"/>
          <w:szCs w:val="24"/>
        </w:rPr>
        <w:t xml:space="preserve"> aim to achieve a highly energy efficient and decarbonised building stock and to create a stable environment for investment decisions. It established an obligation for Member States to present long-term renovation strategies, aiming at decarbonising the national building stocks by 2050, with indicative milestones for 2030 and 2040.</w:t>
      </w:r>
    </w:p>
    <w:p>
      <w:pPr>
        <w:pStyle w:val="ListParagraph"/>
        <w:numPr>
          <w:ilvl w:val="0"/>
          <w:numId w:val="155"/>
        </w:numPr>
        <w:spacing w:line="240" w:lineRule="auto"/>
        <w:ind w:left="284" w:hanging="284"/>
        <w:contextualSpacing w:val="0"/>
        <w:rPr>
          <w:noProof/>
          <w:sz w:val="24"/>
          <w:szCs w:val="24"/>
        </w:rPr>
      </w:pPr>
      <w:r>
        <w:rPr>
          <w:noProof/>
          <w:sz w:val="24"/>
          <w:szCs w:val="24"/>
        </w:rPr>
        <w:t>The Ecodesign and Energy Labelling Directives establish a framework for a set of regulations to improve the energy efficiency of different product categories. They help eliminate the least performing products from the market, and support competitiveness and harmonised standards throughout the internal market.</w:t>
      </w:r>
    </w:p>
    <w:p>
      <w:pPr>
        <w:pStyle w:val="ListParagraph"/>
        <w:numPr>
          <w:ilvl w:val="0"/>
          <w:numId w:val="155"/>
        </w:numPr>
        <w:spacing w:line="240" w:lineRule="auto"/>
        <w:ind w:left="284" w:hanging="284"/>
        <w:contextualSpacing w:val="0"/>
        <w:rPr>
          <w:noProof/>
          <w:sz w:val="24"/>
          <w:szCs w:val="24"/>
        </w:rPr>
      </w:pPr>
      <w:r>
        <w:rPr>
          <w:noProof/>
          <w:sz w:val="24"/>
          <w:szCs w:val="24"/>
        </w:rPr>
        <w:t>In the field of transport, besides the post-2020 CO</w:t>
      </w:r>
      <w:r>
        <w:rPr>
          <w:noProof/>
          <w:sz w:val="24"/>
          <w:szCs w:val="24"/>
          <w:vertAlign w:val="subscript"/>
        </w:rPr>
        <w:t>2</w:t>
      </w:r>
      <w:r>
        <w:rPr>
          <w:noProof/>
          <w:sz w:val="24"/>
          <w:szCs w:val="24"/>
        </w:rPr>
        <w:t xml:space="preserve"> standards for new light duty and heavy duty vehicles, the Clean Vehicles Directive and the Directive on the deployment of alternative fuels infrastructure contribute to the roll-out of recharging infrastructure. Furthermore, the uptake of sustainable alternative fuels is supported by the Renewables Energy Directive and Fuel Quality Directive. Improvements in transport system efficiency (by making the most of digital technologies and smart pricing and further encouraging multi-modal integration and shifts towards more sustainable transport modes) are facilitated by e.g. the TEN-T Regulation supported by CEF funding, the fourth Railway Package, the proposed revision of the Eurovignette Directive, the Directive on Intelligent Transport Systems, the European Rail Traffic Management System European deployment plan, the Regulation establishing a framework for the provision of port services, and others.</w:t>
      </w:r>
    </w:p>
    <w:p>
      <w:pPr>
        <w:pStyle w:val="ListParagraph"/>
        <w:numPr>
          <w:ilvl w:val="0"/>
          <w:numId w:val="155"/>
        </w:numPr>
        <w:spacing w:line="240" w:lineRule="auto"/>
        <w:ind w:left="284" w:hanging="284"/>
        <w:contextualSpacing w:val="0"/>
        <w:rPr>
          <w:noProof/>
          <w:sz w:val="24"/>
          <w:szCs w:val="24"/>
        </w:rPr>
      </w:pPr>
      <w:r>
        <w:rPr>
          <w:noProof/>
          <w:sz w:val="24"/>
          <w:szCs w:val="24"/>
        </w:rPr>
        <w:t>For aviation, in addition to implementation of the EU Emission Trading Scheme, the Baseline reflects the Union-wide air transport performance targets for the key performance area of environment, Clean Sky, Single European Sky and SESAR, and aircraft CO</w:t>
      </w:r>
      <w:r>
        <w:rPr>
          <w:noProof/>
          <w:sz w:val="24"/>
          <w:szCs w:val="24"/>
          <w:vertAlign w:val="subscript"/>
        </w:rPr>
        <w:t>2</w:t>
      </w:r>
      <w:r>
        <w:rPr>
          <w:noProof/>
          <w:sz w:val="24"/>
          <w:szCs w:val="24"/>
        </w:rPr>
        <w:t xml:space="preserve"> emissions standards, as part of the so-called “basket of measures” that aim to reduce emissions from the sector. </w:t>
      </w:r>
    </w:p>
    <w:p>
      <w:pPr>
        <w:pStyle w:val="ListParagraph"/>
        <w:numPr>
          <w:ilvl w:val="0"/>
          <w:numId w:val="155"/>
        </w:numPr>
        <w:spacing w:line="240" w:lineRule="auto"/>
        <w:ind w:left="284" w:hanging="284"/>
        <w:contextualSpacing w:val="0"/>
        <w:rPr>
          <w:noProof/>
          <w:sz w:val="24"/>
          <w:szCs w:val="24"/>
        </w:rPr>
      </w:pPr>
      <w:r>
        <w:rPr>
          <w:noProof/>
          <w:sz w:val="24"/>
          <w:szCs w:val="24"/>
        </w:rPr>
        <w:t>For maritime shipping, in addition to emissions being monitored under the Regulation on Monitoring, Reporting and Verification of Maritime Emissions</w:t>
      </w:r>
      <w:r>
        <w:rPr>
          <w:rStyle w:val="FootnoteReference"/>
          <w:noProof/>
          <w:sz w:val="24"/>
          <w:szCs w:val="24"/>
        </w:rPr>
        <w:footnoteReference w:id="687"/>
      </w:r>
      <w:r>
        <w:rPr>
          <w:noProof/>
          <w:sz w:val="24"/>
          <w:szCs w:val="24"/>
        </w:rPr>
        <w:t>, the Baseline scenario reflects the Energy Efficiency Design Index (EEDI) and the Ship Energy Efficiency Management Plan (SEEMP) adopted by the International Maritime Organisation, as well as the Sulphur Directive. The Baseline also accounts for other initiatives addressing air pollution from inland waterways vessels, as well as road safety, and thus reducing the external costs of transport.</w:t>
      </w:r>
    </w:p>
    <w:p>
      <w:pPr>
        <w:spacing w:line="240" w:lineRule="auto"/>
        <w:rPr>
          <w:noProof/>
          <w:sz w:val="24"/>
          <w:szCs w:val="24"/>
        </w:rPr>
      </w:pPr>
      <w:r>
        <w:rPr>
          <w:noProof/>
          <w:sz w:val="24"/>
          <w:szCs w:val="24"/>
        </w:rPr>
        <w:t xml:space="preserve">In addition, these policies will continue pushing further GHG emissions reduction, and increasing energy savings and renewable energies deployment after 2030, either because they do not have a "sunset clause" (notably ETS, and since recently, Article 7 in revised EED), or because of the technological learning and cost reductions that they are expected to induce. Moreover, most actions in the energy system have long-term impacts (e.g. construction of well-insulated houses, efficient power plants or other types of infrastructure). The baseline captures these dynamics, but it needs to be emphasised that no intensification of policies post-2030 was assumed and no target for GHG emissions reduction in 2050 was set concerning climate neutrality. </w:t>
      </w:r>
    </w:p>
    <w:p>
      <w:pPr>
        <w:spacing w:line="240" w:lineRule="auto"/>
        <w:rPr>
          <w:noProof/>
          <w:sz w:val="24"/>
          <w:szCs w:val="24"/>
        </w:rPr>
      </w:pPr>
      <w:r>
        <w:rPr>
          <w:noProof/>
          <w:sz w:val="24"/>
          <w:szCs w:val="24"/>
        </w:rPr>
        <w:t xml:space="preserve">Moreover, BSL has been specifically built for the purpose of the development of long-term decarbonisation scenarios. It does not reflect specific, short-term Member State policies, and, in particular, no consultation with the Member States has taken place to verify that current or updated policies are adequately represented, as currently being included under the National Energy and Climate Plans (NECPs). </w:t>
      </w:r>
    </w:p>
    <w:p>
      <w:pPr>
        <w:spacing w:line="240" w:lineRule="auto"/>
        <w:rPr>
          <w:noProof/>
          <w:sz w:val="24"/>
          <w:szCs w:val="24"/>
        </w:rPr>
      </w:pPr>
      <w:r>
        <w:rPr>
          <w:noProof/>
          <w:sz w:val="24"/>
          <w:szCs w:val="24"/>
        </w:rPr>
        <w:t xml:space="preserve">Beyond specific climate and energy policies, a range of other policies will definitely play an important role in achieving reductions of GHG emissions of the EU economy. </w:t>
      </w:r>
    </w:p>
    <w:p>
      <w:pPr>
        <w:spacing w:line="240" w:lineRule="auto"/>
        <w:rPr>
          <w:noProof/>
          <w:sz w:val="24"/>
          <w:szCs w:val="24"/>
        </w:rPr>
      </w:pPr>
      <w:r>
        <w:rPr>
          <w:noProof/>
          <w:sz w:val="24"/>
          <w:szCs w:val="24"/>
        </w:rPr>
        <w:t>First of all, some sectoral policies will affect directly the dynamics of GHG emission. This is the case of transport and industrial policies for instance, which will affect notably the way and the forms in which energy is consumed, and thus will modify associated GHG emissions. Agricultural policy and waste policy will play an important role on sectoral methane and nitrous oxide emissions, two powerful GHGes, and will also contribute to the supply of renewable fuels to the energy sector, and thus to its capacity to mitigate GHG (and notably CO</w:t>
      </w:r>
      <w:r>
        <w:rPr>
          <w:noProof/>
          <w:sz w:val="24"/>
          <w:szCs w:val="24"/>
          <w:vertAlign w:val="subscript"/>
        </w:rPr>
        <w:t>2</w:t>
      </w:r>
      <w:r>
        <w:rPr>
          <w:noProof/>
          <w:sz w:val="24"/>
          <w:szCs w:val="24"/>
        </w:rPr>
        <w:t xml:space="preserve">) emissions. </w:t>
      </w:r>
    </w:p>
    <w:p>
      <w:pPr>
        <w:spacing w:line="240" w:lineRule="auto"/>
        <w:rPr>
          <w:noProof/>
          <w:sz w:val="24"/>
          <w:szCs w:val="24"/>
        </w:rPr>
      </w:pPr>
      <w:r>
        <w:rPr>
          <w:noProof/>
          <w:sz w:val="24"/>
          <w:szCs w:val="24"/>
        </w:rPr>
        <w:t>Second, other, more “horizontal”, policies are to play an indirect, but crucial, role in shaping the capacity of the EU economy to deliver GHG reductions. Such policies are often referred to as “enabling policies” and aim at ensuring a favourable environment for the transformation. They relate to the steering of investments, technological development, economic adaptation, and are critical to guarantee social inclusiveness.</w:t>
      </w:r>
    </w:p>
    <w:p>
      <w:pPr>
        <w:spacing w:line="240" w:lineRule="auto"/>
        <w:rPr>
          <w:noProof/>
          <w:sz w:val="24"/>
          <w:szCs w:val="24"/>
        </w:rPr>
      </w:pPr>
      <w:r>
        <w:rPr>
          <w:noProof/>
          <w:sz w:val="24"/>
          <w:szCs w:val="24"/>
        </w:rPr>
        <w:t xml:space="preserve">This Commission has launched in 2020 a number of key initiatives that are relevant for this assessment: </w:t>
      </w:r>
    </w:p>
    <w:p>
      <w:pPr>
        <w:pStyle w:val="ListParagraph"/>
        <w:numPr>
          <w:ilvl w:val="0"/>
          <w:numId w:val="156"/>
        </w:numPr>
        <w:spacing w:after="0" w:line="240" w:lineRule="auto"/>
        <w:contextualSpacing w:val="0"/>
        <w:rPr>
          <w:noProof/>
          <w:sz w:val="24"/>
          <w:szCs w:val="24"/>
        </w:rPr>
      </w:pPr>
      <w:r>
        <w:rPr>
          <w:noProof/>
          <w:sz w:val="24"/>
          <w:szCs w:val="24"/>
        </w:rPr>
        <w:t>the European Green Deal Investment Plan</w:t>
      </w:r>
      <w:r>
        <w:rPr>
          <w:rStyle w:val="FootnoteReference"/>
          <w:noProof/>
          <w:sz w:val="24"/>
          <w:szCs w:val="24"/>
        </w:rPr>
        <w:footnoteReference w:id="688"/>
      </w:r>
    </w:p>
    <w:p>
      <w:pPr>
        <w:pStyle w:val="ListParagraph"/>
        <w:numPr>
          <w:ilvl w:val="0"/>
          <w:numId w:val="156"/>
        </w:numPr>
        <w:spacing w:after="0" w:line="240" w:lineRule="auto"/>
        <w:contextualSpacing w:val="0"/>
        <w:rPr>
          <w:noProof/>
          <w:sz w:val="24"/>
          <w:szCs w:val="24"/>
        </w:rPr>
      </w:pPr>
      <w:r>
        <w:rPr>
          <w:noProof/>
          <w:sz w:val="24"/>
          <w:szCs w:val="24"/>
        </w:rPr>
        <w:t>the European Industrial Strategy</w:t>
      </w:r>
      <w:r>
        <w:rPr>
          <w:rStyle w:val="FootnoteReference"/>
          <w:noProof/>
          <w:sz w:val="24"/>
          <w:szCs w:val="24"/>
        </w:rPr>
        <w:footnoteReference w:id="689"/>
      </w:r>
    </w:p>
    <w:p>
      <w:pPr>
        <w:pStyle w:val="ListParagraph"/>
        <w:numPr>
          <w:ilvl w:val="0"/>
          <w:numId w:val="156"/>
        </w:numPr>
        <w:spacing w:after="0" w:line="240" w:lineRule="auto"/>
        <w:contextualSpacing w:val="0"/>
        <w:rPr>
          <w:noProof/>
          <w:sz w:val="24"/>
          <w:szCs w:val="24"/>
        </w:rPr>
      </w:pPr>
      <w:r>
        <w:rPr>
          <w:noProof/>
          <w:sz w:val="24"/>
          <w:szCs w:val="24"/>
        </w:rPr>
        <w:t>the Circular Economy Action Plan</w:t>
      </w:r>
      <w:r>
        <w:rPr>
          <w:rStyle w:val="FootnoteReference"/>
          <w:noProof/>
          <w:sz w:val="24"/>
          <w:szCs w:val="24"/>
        </w:rPr>
        <w:footnoteReference w:id="690"/>
      </w:r>
    </w:p>
    <w:p>
      <w:pPr>
        <w:pStyle w:val="ListParagraph"/>
        <w:numPr>
          <w:ilvl w:val="0"/>
          <w:numId w:val="156"/>
        </w:numPr>
        <w:spacing w:after="0" w:line="240" w:lineRule="auto"/>
        <w:contextualSpacing w:val="0"/>
        <w:rPr>
          <w:noProof/>
          <w:sz w:val="24"/>
          <w:szCs w:val="24"/>
        </w:rPr>
      </w:pPr>
      <w:r>
        <w:rPr>
          <w:noProof/>
          <w:sz w:val="24"/>
          <w:szCs w:val="24"/>
        </w:rPr>
        <w:t>the Farm to Fork Strategy</w:t>
      </w:r>
      <w:r>
        <w:rPr>
          <w:rStyle w:val="FootnoteReference"/>
          <w:noProof/>
          <w:sz w:val="24"/>
          <w:szCs w:val="24"/>
        </w:rPr>
        <w:footnoteReference w:id="691"/>
      </w:r>
    </w:p>
    <w:p>
      <w:pPr>
        <w:pStyle w:val="ListParagraph"/>
        <w:numPr>
          <w:ilvl w:val="0"/>
          <w:numId w:val="156"/>
        </w:numPr>
        <w:spacing w:line="240" w:lineRule="auto"/>
        <w:contextualSpacing w:val="0"/>
        <w:rPr>
          <w:noProof/>
          <w:sz w:val="24"/>
          <w:szCs w:val="24"/>
        </w:rPr>
      </w:pPr>
      <w:r>
        <w:rPr>
          <w:noProof/>
          <w:sz w:val="24"/>
          <w:szCs w:val="24"/>
        </w:rPr>
        <w:t>the EU Biodiversity Strategy for 2030</w:t>
      </w:r>
      <w:r>
        <w:rPr>
          <w:rStyle w:val="FootnoteReference"/>
          <w:noProof/>
          <w:sz w:val="24"/>
          <w:szCs w:val="24"/>
        </w:rPr>
        <w:footnoteReference w:id="692"/>
      </w:r>
      <w:r>
        <w:rPr>
          <w:noProof/>
          <w:sz w:val="24"/>
          <w:szCs w:val="24"/>
        </w:rPr>
        <w:t xml:space="preserve"> </w:t>
      </w:r>
    </w:p>
    <w:p>
      <w:pPr>
        <w:spacing w:line="240" w:lineRule="auto"/>
        <w:rPr>
          <w:noProof/>
          <w:sz w:val="24"/>
          <w:szCs w:val="24"/>
        </w:rPr>
      </w:pPr>
      <w:r>
        <w:rPr>
          <w:noProof/>
          <w:sz w:val="24"/>
          <w:szCs w:val="24"/>
        </w:rPr>
        <w:t>These policies have not been considered in the baseline, but they will contribute to achieving a higher climate target, and are thus reflected in the policy analysis.</w:t>
      </w:r>
    </w:p>
    <w:p>
      <w:pPr>
        <w:spacing w:line="240" w:lineRule="auto"/>
        <w:rPr>
          <w:noProof/>
          <w:sz w:val="24"/>
          <w:szCs w:val="24"/>
        </w:rPr>
      </w:pPr>
      <w:r>
        <w:rPr>
          <w:noProof/>
          <w:sz w:val="24"/>
          <w:szCs w:val="24"/>
        </w:rPr>
        <w:t>A key element to play a role on the evolution by 2030 of GHG emissions in the EU is the MFF</w:t>
      </w:r>
      <w:r>
        <w:rPr>
          <w:rStyle w:val="FootnoteReference"/>
          <w:noProof/>
          <w:sz w:val="24"/>
          <w:szCs w:val="24"/>
        </w:rPr>
        <w:footnoteReference w:id="693"/>
      </w:r>
      <w:r>
        <w:rPr>
          <w:noProof/>
          <w:sz w:val="24"/>
          <w:szCs w:val="24"/>
        </w:rPr>
        <w:t xml:space="preserve"> for 2021-2027, which is being negotiated. A number of policies and funding tools under this framework matter for the GHG profile, notably to steer investments towards the climate objective, to accelerate research and development on clean solutions with Horizon Europe</w:t>
      </w:r>
      <w:r>
        <w:rPr>
          <w:rStyle w:val="FootnoteReference"/>
          <w:noProof/>
          <w:sz w:val="24"/>
          <w:szCs w:val="24"/>
        </w:rPr>
        <w:footnoteReference w:id="694"/>
      </w:r>
      <w:r>
        <w:rPr>
          <w:noProof/>
          <w:sz w:val="24"/>
          <w:szCs w:val="24"/>
        </w:rPr>
        <w:t xml:space="preserve"> or through the ambitious CAP strategic plans</w:t>
      </w:r>
      <w:r>
        <w:rPr>
          <w:rStyle w:val="FootnoteReference"/>
          <w:noProof/>
          <w:sz w:val="24"/>
          <w:szCs w:val="24"/>
        </w:rPr>
        <w:footnoteReference w:id="695"/>
      </w:r>
      <w:r>
        <w:rPr>
          <w:noProof/>
          <w:sz w:val="24"/>
          <w:szCs w:val="24"/>
        </w:rPr>
        <w:t>.</w:t>
      </w:r>
    </w:p>
    <w:p>
      <w:pPr>
        <w:spacing w:line="240" w:lineRule="auto"/>
        <w:rPr>
          <w:noProof/>
          <w:sz w:val="24"/>
          <w:szCs w:val="24"/>
        </w:rPr>
      </w:pPr>
      <w:bookmarkStart w:id="5883" w:name="_Ref45147125"/>
      <w:r>
        <w:rPr>
          <w:noProof/>
          <w:sz w:val="24"/>
          <w:szCs w:val="24"/>
        </w:rPr>
        <w:t>Finally, the Baseline scenario considers key national policies that are existing or reflected in the national NECPs.</w:t>
      </w:r>
      <w:bookmarkEnd w:id="5883"/>
      <w:r>
        <w:rPr>
          <w:noProof/>
          <w:sz w:val="24"/>
          <w:szCs w:val="24"/>
        </w:rPr>
        <w:t xml:space="preserve">  </w:t>
      </w:r>
    </w:p>
    <w:p>
      <w:pPr>
        <w:rPr>
          <w:noProof/>
        </w:rPr>
      </w:pPr>
      <w:r>
        <w:rPr>
          <w:noProof/>
        </w:rPr>
        <w:t xml:space="preserve"> </w:t>
      </w:r>
    </w:p>
    <w:p>
      <w:pPr>
        <w:pStyle w:val="Heading3"/>
        <w:rPr>
          <w:noProof/>
        </w:rPr>
      </w:pPr>
      <w:bookmarkStart w:id="5884" w:name="_Toc49346556"/>
      <w:bookmarkStart w:id="5885" w:name="_Toc49436722"/>
      <w:bookmarkStart w:id="5886" w:name="_Toc49441696"/>
      <w:bookmarkStart w:id="5887" w:name="_Toc49447299"/>
      <w:bookmarkStart w:id="5888" w:name="_Toc49515819"/>
      <w:bookmarkStart w:id="5889" w:name="_Toc49516024"/>
      <w:bookmarkStart w:id="5890" w:name="_Toc49516984"/>
      <w:bookmarkStart w:id="5891" w:name="_Toc49517268"/>
      <w:bookmarkStart w:id="5892" w:name="_Toc49517591"/>
      <w:bookmarkStart w:id="5893" w:name="_Toc49517796"/>
      <w:bookmarkStart w:id="5894" w:name="_Toc49518879"/>
      <w:bookmarkStart w:id="5895" w:name="_Toc49519084"/>
      <w:bookmarkStart w:id="5896" w:name="_Toc49519291"/>
      <w:bookmarkStart w:id="5897" w:name="_Toc49519081"/>
      <w:bookmarkStart w:id="5898" w:name="_Toc49519695"/>
      <w:bookmarkStart w:id="5899" w:name="_Toc49519900"/>
      <w:bookmarkStart w:id="5900" w:name="_Toc49520105"/>
      <w:bookmarkStart w:id="5901" w:name="_Toc49520446"/>
      <w:bookmarkStart w:id="5902" w:name="_Toc49520808"/>
      <w:bookmarkStart w:id="5903" w:name="_Toc49521172"/>
      <w:bookmarkStart w:id="5904" w:name="_Toc49521534"/>
      <w:bookmarkStart w:id="5905" w:name="_Toc49521033"/>
      <w:bookmarkStart w:id="5906" w:name="_Toc49521901"/>
      <w:bookmarkStart w:id="5907" w:name="_Toc49522268"/>
      <w:bookmarkStart w:id="5908" w:name="_Toc49522635"/>
      <w:bookmarkStart w:id="5909" w:name="_Toc49523268"/>
      <w:bookmarkStart w:id="5910" w:name="_Toc49522531"/>
      <w:bookmarkStart w:id="5911" w:name="_Toc49523635"/>
      <w:bookmarkStart w:id="5912" w:name="_Toc49524002"/>
      <w:bookmarkStart w:id="5913" w:name="_Toc49524369"/>
      <w:bookmarkStart w:id="5914" w:name="_Toc49524011"/>
      <w:bookmarkStart w:id="5915" w:name="_Toc49525471"/>
      <w:bookmarkStart w:id="5916" w:name="_Toc49524840"/>
      <w:bookmarkStart w:id="5917" w:name="_Toc49526104"/>
      <w:bookmarkStart w:id="5918" w:name="_Toc49528458"/>
      <w:bookmarkStart w:id="5919" w:name="_Toc49529060"/>
      <w:bookmarkStart w:id="5920" w:name="_Toc49529693"/>
      <w:bookmarkStart w:id="5921" w:name="_Toc49530326"/>
      <w:bookmarkStart w:id="5922" w:name="_Toc49530693"/>
      <w:bookmarkStart w:id="5923" w:name="_Toc49531060"/>
      <w:bookmarkStart w:id="5924" w:name="_Toc49531427"/>
      <w:bookmarkStart w:id="5925" w:name="_Toc49531794"/>
      <w:bookmarkStart w:id="5926" w:name="_Toc49346557"/>
      <w:bookmarkStart w:id="5927" w:name="_Toc49436723"/>
      <w:bookmarkStart w:id="5928" w:name="_Toc49441697"/>
      <w:bookmarkStart w:id="5929" w:name="_Toc49447300"/>
      <w:bookmarkStart w:id="5930" w:name="_Toc49515820"/>
      <w:bookmarkStart w:id="5931" w:name="_Toc49516025"/>
      <w:bookmarkStart w:id="5932" w:name="_Toc49516985"/>
      <w:bookmarkStart w:id="5933" w:name="_Toc49517269"/>
      <w:bookmarkStart w:id="5934" w:name="_Toc49517592"/>
      <w:bookmarkStart w:id="5935" w:name="_Toc49517797"/>
      <w:bookmarkStart w:id="5936" w:name="_Toc49518880"/>
      <w:bookmarkStart w:id="5937" w:name="_Toc49519085"/>
      <w:bookmarkStart w:id="5938" w:name="_Toc49519292"/>
      <w:bookmarkStart w:id="5939" w:name="_Toc49519082"/>
      <w:bookmarkStart w:id="5940" w:name="_Toc49519696"/>
      <w:bookmarkStart w:id="5941" w:name="_Toc49519901"/>
      <w:bookmarkStart w:id="5942" w:name="_Toc49520106"/>
      <w:bookmarkStart w:id="5943" w:name="_Toc49520447"/>
      <w:bookmarkStart w:id="5944" w:name="_Toc49520809"/>
      <w:bookmarkStart w:id="5945" w:name="_Toc49521173"/>
      <w:bookmarkStart w:id="5946" w:name="_Toc49521535"/>
      <w:bookmarkStart w:id="5947" w:name="_Toc49521034"/>
      <w:bookmarkStart w:id="5948" w:name="_Toc49521902"/>
      <w:bookmarkStart w:id="5949" w:name="_Toc49522269"/>
      <w:bookmarkStart w:id="5950" w:name="_Toc49522636"/>
      <w:bookmarkStart w:id="5951" w:name="_Toc49523269"/>
      <w:bookmarkStart w:id="5952" w:name="_Toc49522532"/>
      <w:bookmarkStart w:id="5953" w:name="_Toc49523636"/>
      <w:bookmarkStart w:id="5954" w:name="_Toc49524003"/>
      <w:bookmarkStart w:id="5955" w:name="_Toc49524370"/>
      <w:bookmarkStart w:id="5956" w:name="_Toc49524012"/>
      <w:bookmarkStart w:id="5957" w:name="_Toc49525472"/>
      <w:bookmarkStart w:id="5958" w:name="_Toc49524841"/>
      <w:bookmarkStart w:id="5959" w:name="_Toc49526105"/>
      <w:bookmarkStart w:id="5960" w:name="_Toc49528459"/>
      <w:bookmarkStart w:id="5961" w:name="_Toc49529061"/>
      <w:bookmarkStart w:id="5962" w:name="_Toc49529694"/>
      <w:bookmarkStart w:id="5963" w:name="_Toc49530327"/>
      <w:bookmarkStart w:id="5964" w:name="_Toc49530694"/>
      <w:bookmarkStart w:id="5965" w:name="_Toc49531061"/>
      <w:bookmarkStart w:id="5966" w:name="_Toc49531428"/>
      <w:bookmarkStart w:id="5967" w:name="_Toc49531795"/>
      <w:bookmarkStart w:id="5968" w:name="_Toc41676000"/>
      <w:bookmarkStart w:id="5969" w:name="_Ref42064139"/>
      <w:bookmarkStart w:id="5970" w:name="_Toc42064496"/>
      <w:bookmarkStart w:id="5971" w:name="_Ref42782054"/>
      <w:bookmarkStart w:id="5972" w:name="_Toc43114839"/>
      <w:bookmarkStart w:id="5973" w:name="_Ref44970315"/>
      <w:bookmarkStart w:id="5974" w:name="_Toc45119796"/>
      <w:bookmarkStart w:id="5975" w:name="_Toc45147533"/>
      <w:bookmarkStart w:id="5976" w:name="_Ref48158589"/>
      <w:bookmarkStart w:id="5977" w:name="_Ref49270783"/>
      <w:bookmarkStart w:id="5978" w:name="_Toc49346558"/>
      <w:bookmarkStart w:id="5979" w:name="_Toc49437875"/>
      <w:bookmarkStart w:id="5980" w:name="_Toc49441698"/>
      <w:bookmarkStart w:id="5981" w:name="_Toc49516665"/>
      <w:bookmarkStart w:id="5982" w:name="_Toc49518585"/>
      <w:bookmarkStart w:id="5983" w:name="_Toc49525199"/>
      <w:bookmarkStart w:id="5984" w:name="_Toc49530695"/>
      <w:bookmarkStart w:id="5985" w:name="_Toc49530962"/>
      <w:bookmarkStart w:id="5986" w:name="_Toc49531796"/>
      <w:bookmarkStart w:id="5987" w:name="_Toc49532953"/>
      <w:bookmarkStart w:id="5988" w:name="_Toc49775502"/>
      <w:bookmarkStart w:id="5989" w:name="_Toc49774704"/>
      <w:bookmarkStart w:id="5990" w:name="_Ref50120957"/>
      <w:bookmarkStart w:id="5991" w:name="_Toc50396623"/>
      <w:bookmarkStart w:id="5992" w:name="_Toc50406114"/>
      <w:bookmarkStart w:id="5993" w:name="_Toc50995812"/>
      <w:bookmarkStart w:id="5994" w:name="_Toc57291566"/>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r>
        <w:rPr>
          <w:noProof/>
        </w:rPr>
        <w:t>Policy scenarios</w:t>
      </w:r>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p>
    <w:p>
      <w:pPr>
        <w:rPr>
          <w:noProof/>
        </w:rPr>
      </w:pPr>
      <w:r>
        <w:rPr>
          <w:noProof/>
        </w:rPr>
        <w:t xml:space="preserve">The following overview provides the scenario description used in the modelling suite covering all sectors of the economy. </w:t>
      </w:r>
    </w:p>
    <w:p>
      <w:pPr>
        <w:rPr>
          <w:noProof/>
        </w:rPr>
      </w:pPr>
    </w:p>
    <w:p>
      <w:pPr>
        <w:rPr>
          <w:noProof/>
        </w:rPr>
        <w:sectPr>
          <w:headerReference w:type="even" r:id="rId118"/>
          <w:headerReference w:type="default" r:id="rId119"/>
          <w:footerReference w:type="even" r:id="rId120"/>
          <w:footerReference w:type="default" r:id="rId121"/>
          <w:headerReference w:type="first" r:id="rId122"/>
          <w:footerReference w:type="first" r:id="rId123"/>
          <w:pgSz w:w="11906" w:h="16838"/>
          <w:pgMar w:top="1021" w:right="1701" w:bottom="1021" w:left="1588" w:header="601" w:footer="1077" w:gutter="0"/>
          <w:cols w:space="720"/>
          <w:docGrid w:linePitch="299"/>
        </w:sectPr>
      </w:pPr>
    </w:p>
    <w:p>
      <w:pPr>
        <w:pStyle w:val="Caption"/>
        <w:rPr>
          <w:i w:val="0"/>
          <w:noProof/>
        </w:rPr>
      </w:pPr>
      <w:bookmarkStart w:id="5995" w:name="_Toc49269553"/>
      <w:bookmarkStart w:id="5996" w:name="_Toc49271866"/>
      <w:bookmarkStart w:id="5997" w:name="_Toc49272441"/>
      <w:bookmarkStart w:id="5998" w:name="_Toc49437645"/>
      <w:bookmarkStart w:id="5999" w:name="_Toc49441289"/>
      <w:bookmarkStart w:id="6000" w:name="_Toc49525010"/>
      <w:bookmarkStart w:id="6001" w:name="_Toc49530498"/>
      <w:bookmarkStart w:id="6002" w:name="_Toc49529938"/>
      <w:bookmarkStart w:id="6003" w:name="_Toc49531599"/>
      <w:bookmarkStart w:id="6004" w:name="_Toc49532764"/>
      <w:bookmarkStart w:id="6005" w:name="_Toc49775313"/>
      <w:bookmarkStart w:id="6006" w:name="_Toc49774515"/>
      <w:bookmarkStart w:id="6007" w:name="_Toc50396433"/>
      <w:bookmarkStart w:id="6008" w:name="_Toc50406294"/>
      <w:bookmarkStart w:id="6009" w:name="_Toc50995944"/>
      <w:bookmarkStart w:id="6010" w:name="_Toc57291719"/>
      <w:r>
        <w:rPr>
          <w:i w:val="0"/>
          <w:noProof/>
        </w:rPr>
        <w:t xml:space="preserve">Figure </w:t>
      </w:r>
      <w:r>
        <w:rPr>
          <w:noProof/>
        </w:rPr>
        <w:fldChar w:fldCharType="begin"/>
      </w:r>
      <w:r>
        <w:rPr>
          <w:i w:val="0"/>
          <w:noProof/>
          <w:szCs w:val="22"/>
        </w:rPr>
        <w:instrText xml:space="preserve"> SEQ Figure \* ARABIC </w:instrText>
      </w:r>
      <w:r>
        <w:rPr>
          <w:i w:val="0"/>
          <w:noProof/>
          <w:szCs w:val="22"/>
        </w:rPr>
        <w:fldChar w:fldCharType="separate"/>
      </w:r>
      <w:r>
        <w:rPr>
          <w:i w:val="0"/>
          <w:noProof/>
          <w:szCs w:val="22"/>
        </w:rPr>
        <w:t>75</w:t>
      </w:r>
      <w:r>
        <w:rPr>
          <w:noProof/>
        </w:rPr>
        <w:fldChar w:fldCharType="end"/>
      </w:r>
      <w:r>
        <w:rPr>
          <w:i w:val="0"/>
          <w:noProof/>
        </w:rPr>
        <w:t>: Scenario assumptions description (scenarios developed with the PRIMES-GAINS-GLOBIOM modelling suite</w:t>
      </w:r>
      <w:bookmarkEnd w:id="5995"/>
      <w:bookmarkEnd w:id="5996"/>
      <w:bookmarkEnd w:id="5997"/>
      <w:bookmarkEnd w:id="5998"/>
      <w:bookmarkEnd w:id="5999"/>
      <w:bookmarkEnd w:id="6000"/>
      <w:bookmarkEnd w:id="6001"/>
      <w:bookmarkEnd w:id="6002"/>
      <w:bookmarkEnd w:id="6003"/>
      <w:bookmarkEnd w:id="6004"/>
      <w:bookmarkEnd w:id="6005"/>
      <w:bookmarkEnd w:id="6006"/>
      <w:r>
        <w:rPr>
          <w:i w:val="0"/>
          <w:noProof/>
        </w:rPr>
        <w:t>)</w:t>
      </w:r>
      <w:bookmarkEnd w:id="6007"/>
      <w:bookmarkEnd w:id="6008"/>
      <w:bookmarkEnd w:id="6009"/>
      <w:bookmarkEnd w:id="6010"/>
    </w:p>
    <w:tbl>
      <w:tblPr>
        <w:tblStyle w:val="TableGrid"/>
        <w:tblW w:w="14526" w:type="dxa"/>
        <w:tblLook w:val="04A0" w:firstRow="1" w:lastRow="0" w:firstColumn="1" w:lastColumn="0" w:noHBand="0" w:noVBand="1"/>
      </w:tblPr>
      <w:tblGrid>
        <w:gridCol w:w="2421"/>
        <w:gridCol w:w="2421"/>
        <w:gridCol w:w="2421"/>
        <w:gridCol w:w="2421"/>
        <w:gridCol w:w="2421"/>
        <w:gridCol w:w="2421"/>
      </w:tblGrid>
      <w:tr>
        <w:trPr>
          <w:trHeight w:val="257"/>
          <w:tblHeader/>
        </w:trPr>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b/>
                <w:bCs/>
                <w:noProof/>
                <w:sz w:val="20"/>
              </w:rPr>
            </w:pPr>
            <w:r>
              <w:rPr>
                <w:b/>
                <w:bCs/>
                <w:noProof/>
                <w:sz w:val="20"/>
              </w:rPr>
              <w:t>Scenario</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b/>
                <w:bCs/>
                <w:noProof/>
                <w:sz w:val="20"/>
              </w:rPr>
            </w:pPr>
            <w:r>
              <w:rPr>
                <w:b/>
                <w:bCs/>
                <w:noProof/>
                <w:sz w:val="20"/>
              </w:rPr>
              <w:t>Baseline</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b/>
                <w:bCs/>
                <w:noProof/>
                <w:sz w:val="20"/>
              </w:rPr>
            </w:pPr>
            <w:r>
              <w:rPr>
                <w:b/>
                <w:bCs/>
                <w:noProof/>
                <w:sz w:val="20"/>
              </w:rPr>
              <w:t>REG</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b/>
                <w:bCs/>
                <w:noProof/>
                <w:sz w:val="20"/>
              </w:rPr>
            </w:pPr>
            <w:r>
              <w:rPr>
                <w:b/>
                <w:bCs/>
                <w:noProof/>
                <w:sz w:val="20"/>
              </w:rPr>
              <w:t>MIX / MIX-50</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b/>
                <w:bCs/>
                <w:noProof/>
                <w:sz w:val="20"/>
              </w:rPr>
            </w:pPr>
            <w:r>
              <w:rPr>
                <w:b/>
                <w:bCs/>
                <w:noProof/>
                <w:sz w:val="20"/>
              </w:rPr>
              <w:t>CPRICE</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b/>
                <w:bCs/>
                <w:noProof/>
                <w:sz w:val="20"/>
              </w:rPr>
            </w:pPr>
            <w:r>
              <w:rPr>
                <w:b/>
                <w:bCs/>
                <w:noProof/>
                <w:sz w:val="20"/>
              </w:rPr>
              <w:t>ALLBNK</w:t>
            </w:r>
          </w:p>
        </w:tc>
      </w:tr>
      <w:tr>
        <w:trPr>
          <w:trHeight w:val="2046"/>
        </w:trPr>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b/>
                <w:bCs/>
                <w:noProof/>
                <w:sz w:val="20"/>
              </w:rPr>
            </w:pPr>
            <w:r>
              <w:rPr>
                <w:b/>
                <w:bCs/>
                <w:noProof/>
                <w:sz w:val="20"/>
              </w:rPr>
              <w:t>Brief description</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Achieving the current 2030 EU targets</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No extension of ETS scope to buildings and road transport, but extension of ETS to intra-EU maritime navigation</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Extension of ETS scope to buildings, road transport and intra-EU maritime navigation but also keeping road transport and buildings in ESR</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Extension of ETS scope to buildings, road transport and intra-EU maritime navigation; buildings and road transport are taken out of the ESR</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Most ambitious scenario for GHG reductions</w:t>
            </w:r>
          </w:p>
        </w:tc>
      </w:tr>
      <w:tr>
        <w:trPr>
          <w:trHeight w:val="2812"/>
        </w:trPr>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noProof/>
                <w:sz w:val="20"/>
              </w:rPr>
            </w:pP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Achievement of EE 32.5% target;</w:t>
            </w:r>
          </w:p>
          <w:p>
            <w:pPr>
              <w:spacing w:after="0"/>
              <w:contextualSpacing/>
              <w:jc w:val="center"/>
              <w:rPr>
                <w:noProof/>
                <w:sz w:val="20"/>
              </w:rPr>
            </w:pPr>
            <w:r>
              <w:rPr>
                <w:noProof/>
                <w:sz w:val="20"/>
              </w:rPr>
              <w:t>Achievement of 32% RES target</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High ambition increase of EE and RES policies.</w:t>
            </w:r>
          </w:p>
          <w:p>
            <w:pPr>
              <w:spacing w:after="0"/>
              <w:contextualSpacing/>
              <w:jc w:val="center"/>
              <w:rPr>
                <w:noProof/>
                <w:sz w:val="20"/>
              </w:rPr>
            </w:pPr>
            <w:r>
              <w:rPr>
                <w:noProof/>
                <w:sz w:val="20"/>
              </w:rPr>
              <w:t>There is no carbon price applied in buildings and road transport</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Medium/low ambition increase of EE and RES policies in non-ETS because RES and EE legislation is revised to contribute to higher GHG target.</w:t>
            </w:r>
          </w:p>
          <w:p>
            <w:pPr>
              <w:spacing w:after="0"/>
              <w:contextualSpacing/>
              <w:jc w:val="center"/>
              <w:rPr>
                <w:noProof/>
                <w:sz w:val="20"/>
              </w:rPr>
            </w:pPr>
            <w:r>
              <w:rPr>
                <w:noProof/>
                <w:sz w:val="20"/>
              </w:rPr>
              <w:t>Additionally, a carbon price is also applied in buildings and road transport</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Carbon pricing as the principal instrument to reduce CO</w:t>
            </w:r>
            <w:r>
              <w:rPr>
                <w:noProof/>
                <w:sz w:val="20"/>
                <w:vertAlign w:val="subscript"/>
              </w:rPr>
              <w:t>2</w:t>
            </w:r>
            <w:r>
              <w:rPr>
                <w:noProof/>
                <w:sz w:val="20"/>
              </w:rPr>
              <w:t xml:space="preserve"> emissions, no intensification of EE or RES policies, some intensification of policies related to transport CO</w:t>
            </w:r>
            <w:r>
              <w:rPr>
                <w:noProof/>
                <w:sz w:val="20"/>
                <w:vertAlign w:val="subscript"/>
              </w:rPr>
              <w:t>2</w:t>
            </w:r>
            <w:r>
              <w:rPr>
                <w:noProof/>
                <w:sz w:val="20"/>
              </w:rPr>
              <w:t xml:space="preserve"> </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 xml:space="preserve">Applies the GHG target on a broader scope including all international aviation and international maritime navigation </w:t>
            </w:r>
          </w:p>
        </w:tc>
      </w:tr>
      <w:tr>
        <w:trPr>
          <w:trHeight w:val="257"/>
        </w:trPr>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b/>
                <w:bCs/>
                <w:noProof/>
                <w:sz w:val="20"/>
              </w:rPr>
            </w:pPr>
            <w:r>
              <w:rPr>
                <w:b/>
                <w:bCs/>
                <w:noProof/>
                <w:sz w:val="20"/>
              </w:rPr>
              <w:t>Target scope</w:t>
            </w:r>
          </w:p>
        </w:tc>
        <w:tc>
          <w:tcPr>
            <w:tcW w:w="1210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EU-27</w:t>
            </w:r>
          </w:p>
          <w:p>
            <w:pPr>
              <w:spacing w:after="0"/>
              <w:contextualSpacing/>
              <w:jc w:val="center"/>
              <w:rPr>
                <w:noProof/>
                <w:sz w:val="20"/>
              </w:rPr>
            </w:pPr>
          </w:p>
        </w:tc>
      </w:tr>
      <w:tr>
        <w:trPr>
          <w:trHeight w:val="515"/>
        </w:trPr>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Aviation</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Intra + Extra EU aviation is included</w:t>
            </w:r>
          </w:p>
        </w:tc>
        <w:tc>
          <w:tcPr>
            <w:tcW w:w="726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noProof/>
                <w:sz w:val="20"/>
              </w:rPr>
            </w:pPr>
            <w:r>
              <w:rPr>
                <w:noProof/>
                <w:sz w:val="20"/>
              </w:rPr>
              <w:t>Intra EU aviation and navigation included</w:t>
            </w:r>
          </w:p>
        </w:tc>
        <w:tc>
          <w:tcPr>
            <w:tcW w:w="2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noProof/>
                <w:sz w:val="20"/>
              </w:rPr>
            </w:pPr>
            <w:r>
              <w:rPr>
                <w:noProof/>
                <w:sz w:val="20"/>
              </w:rPr>
              <w:t>Intra + Extra EU aviation and navigation included</w:t>
            </w:r>
          </w:p>
        </w:tc>
      </w:tr>
      <w:tr>
        <w:trPr>
          <w:trHeight w:val="931"/>
        </w:trPr>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Maritime navigation</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jc w:val="center"/>
              <w:rPr>
                <w:noProof/>
                <w:sz w:val="20"/>
              </w:rPr>
            </w:pPr>
            <w:r>
              <w:rPr>
                <w:noProof/>
                <w:sz w:val="20"/>
              </w:rPr>
              <w:t>International Intra + Extra EU maritime navigation  not included</w:t>
            </w:r>
          </w:p>
        </w:tc>
        <w:tc>
          <w:tcPr>
            <w:tcW w:w="0" w:type="auto"/>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rPr>
                <w:noProof/>
                <w:sz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rPr>
                <w:noProof/>
                <w:sz w:val="20"/>
              </w:rPr>
            </w:pPr>
          </w:p>
        </w:tc>
      </w:tr>
      <w:tr>
        <w:trPr>
          <w:trHeight w:val="764"/>
        </w:trPr>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Achieved reduction (including net LULUCF sink)</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contextualSpacing/>
              <w:jc w:val="center"/>
              <w:rPr>
                <w:noProof/>
                <w:sz w:val="20"/>
              </w:rPr>
            </w:pP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Around 55%</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At least 50% and</w:t>
            </w:r>
          </w:p>
          <w:p>
            <w:pPr>
              <w:spacing w:after="0"/>
              <w:contextualSpacing/>
              <w:jc w:val="center"/>
              <w:rPr>
                <w:noProof/>
                <w:sz w:val="20"/>
              </w:rPr>
            </w:pPr>
            <w:r>
              <w:rPr>
                <w:noProof/>
                <w:sz w:val="20"/>
              </w:rPr>
              <w:t>Around 55%</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Around 55%</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Around 55%</w:t>
            </w:r>
          </w:p>
        </w:tc>
      </w:tr>
      <w:tr>
        <w:trPr>
          <w:trHeight w:val="378"/>
        </w:trPr>
        <w:tc>
          <w:tcPr>
            <w:tcW w:w="1452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noProof/>
                <w:sz w:val="20"/>
              </w:rPr>
            </w:pPr>
            <w:r>
              <w:rPr>
                <w:b/>
                <w:bCs/>
                <w:caps/>
                <w:noProof/>
                <w:sz w:val="20"/>
              </w:rPr>
              <w:t>Assumed Policies</w:t>
            </w:r>
          </w:p>
        </w:tc>
      </w:tr>
      <w:tr>
        <w:trPr>
          <w:trHeight w:val="636"/>
        </w:trPr>
        <w:tc>
          <w:tcPr>
            <w:tcW w:w="1452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noProof/>
                <w:sz w:val="20"/>
              </w:rPr>
            </w:pPr>
            <w:r>
              <w:rPr>
                <w:b/>
                <w:bCs/>
                <w:noProof/>
                <w:sz w:val="20"/>
              </w:rPr>
              <w:t>Carbon pricing (stylised, for international aviation and maritime navigation may represent also other instruments than EU ETS such as taxation or CORSIA for aviation)</w:t>
            </w:r>
          </w:p>
        </w:tc>
      </w:tr>
      <w:tr>
        <w:trPr>
          <w:trHeight w:val="378"/>
        </w:trPr>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Stationary ETS</w:t>
            </w:r>
          </w:p>
        </w:tc>
        <w:tc>
          <w:tcPr>
            <w:tcW w:w="12105" w:type="dxa"/>
            <w:gridSpan w:val="5"/>
            <w:tcBorders>
              <w:top w:val="single" w:sz="4" w:space="0" w:color="auto"/>
              <w:left w:val="single" w:sz="4" w:space="0" w:color="auto"/>
              <w:bottom w:val="single" w:sz="4" w:space="0" w:color="auto"/>
              <w:right w:val="single" w:sz="4" w:space="0" w:color="auto"/>
            </w:tcBorders>
            <w:shd w:val="clear" w:color="auto" w:fill="auto"/>
            <w:hideMark/>
          </w:tcPr>
          <w:p>
            <w:pPr>
              <w:jc w:val="center"/>
              <w:rPr>
                <w:noProof/>
                <w:sz w:val="20"/>
              </w:rPr>
            </w:pPr>
            <w:r>
              <w:rPr>
                <w:noProof/>
                <w:sz w:val="20"/>
              </w:rPr>
              <w:t>Yes</w:t>
            </w:r>
          </w:p>
        </w:tc>
      </w:tr>
      <w:tr>
        <w:trPr>
          <w:trHeight w:val="378"/>
        </w:trPr>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Aviation - Intra EU</w:t>
            </w:r>
          </w:p>
        </w:tc>
        <w:tc>
          <w:tcPr>
            <w:tcW w:w="12105" w:type="dxa"/>
            <w:gridSpan w:val="5"/>
            <w:tcBorders>
              <w:top w:val="single" w:sz="4" w:space="0" w:color="auto"/>
              <w:left w:val="single" w:sz="4" w:space="0" w:color="auto"/>
              <w:bottom w:val="single" w:sz="4" w:space="0" w:color="auto"/>
              <w:right w:val="single" w:sz="4" w:space="0" w:color="auto"/>
            </w:tcBorders>
            <w:shd w:val="clear" w:color="auto" w:fill="auto"/>
            <w:hideMark/>
          </w:tcPr>
          <w:p>
            <w:pPr>
              <w:jc w:val="center"/>
              <w:rPr>
                <w:noProof/>
                <w:sz w:val="20"/>
              </w:rPr>
            </w:pPr>
            <w:r>
              <w:rPr>
                <w:noProof/>
                <w:sz w:val="20"/>
              </w:rPr>
              <w:t>Yes</w:t>
            </w:r>
          </w:p>
        </w:tc>
      </w:tr>
      <w:tr>
        <w:trPr>
          <w:trHeight w:val="885"/>
        </w:trPr>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Aviation - Extra EU</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Yes</w:t>
            </w:r>
          </w:p>
        </w:tc>
        <w:tc>
          <w:tcPr>
            <w:tcW w:w="726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noProof/>
                <w:sz w:val="20"/>
              </w:rPr>
            </w:pPr>
            <w:r>
              <w:rPr>
                <w:noProof/>
                <w:sz w:val="20"/>
              </w:rPr>
              <w:t>Yes: mixture 50/50 carbon pricing (reflecting inclusion in the ETS, or taxation, or CORSIA) and carbon value (reflecting operational and technical measures); total equal to EU ETS carbon price</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noProof/>
                <w:sz w:val="20"/>
              </w:rPr>
            </w:pPr>
            <w:r>
              <w:rPr>
                <w:noProof/>
                <w:sz w:val="20"/>
              </w:rPr>
              <w:t>Yes</w:t>
            </w:r>
          </w:p>
        </w:tc>
      </w:tr>
      <w:tr>
        <w:trPr>
          <w:trHeight w:val="774"/>
        </w:trPr>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Maritime navigation - Intra EU</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International Intra EU maritime navigation not included</w:t>
            </w:r>
          </w:p>
        </w:tc>
        <w:tc>
          <w:tcPr>
            <w:tcW w:w="726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noProof/>
                <w:sz w:val="20"/>
              </w:rPr>
            </w:pPr>
            <w:r>
              <w:rPr>
                <w:noProof/>
                <w:sz w:val="20"/>
              </w:rPr>
              <w:t>Yes, carbon pricing, equal to the EU ETS carbon price</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noProof/>
                <w:sz w:val="20"/>
              </w:rPr>
            </w:pPr>
            <w:r>
              <w:rPr>
                <w:noProof/>
                <w:sz w:val="20"/>
              </w:rPr>
              <w:t>Yes</w:t>
            </w:r>
          </w:p>
        </w:tc>
      </w:tr>
      <w:tr>
        <w:trPr>
          <w:trHeight w:val="885"/>
        </w:trPr>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Maritime navigation - Extra EU</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No</w:t>
            </w:r>
          </w:p>
        </w:tc>
        <w:tc>
          <w:tcPr>
            <w:tcW w:w="726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noProof/>
                <w:sz w:val="20"/>
              </w:rPr>
            </w:pPr>
            <w:r>
              <w:rPr>
                <w:noProof/>
                <w:sz w:val="20"/>
              </w:rPr>
              <w:t>Yes: mixture of 50/50 carbon pricing (reflecting inclusion in the ETS or taxation) and a carbon value (reflecting operational and technical measures); total equal to the EU ETS carbon price</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noProof/>
                <w:sz w:val="20"/>
              </w:rPr>
            </w:pPr>
            <w:r>
              <w:rPr>
                <w:noProof/>
                <w:sz w:val="20"/>
              </w:rPr>
              <w:t>Yes</w:t>
            </w:r>
          </w:p>
        </w:tc>
      </w:tr>
      <w:tr>
        <w:trPr>
          <w:trHeight w:val="515"/>
        </w:trPr>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Buildings and road transport</w:t>
            </w:r>
          </w:p>
        </w:tc>
        <w:tc>
          <w:tcPr>
            <w:tcW w:w="4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No</w:t>
            </w:r>
          </w:p>
        </w:tc>
        <w:tc>
          <w:tcPr>
            <w:tcW w:w="726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noProof/>
                <w:sz w:val="20"/>
              </w:rPr>
            </w:pPr>
            <w:r>
              <w:rPr>
                <w:noProof/>
                <w:sz w:val="20"/>
              </w:rPr>
              <w:t>Yes</w:t>
            </w:r>
          </w:p>
        </w:tc>
      </w:tr>
      <w:tr>
        <w:trPr>
          <w:trHeight w:val="378"/>
        </w:trPr>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Coal phase out</w:t>
            </w:r>
          </w:p>
        </w:tc>
        <w:tc>
          <w:tcPr>
            <w:tcW w:w="1210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noProof/>
                <w:sz w:val="20"/>
              </w:rPr>
            </w:pPr>
            <w:r>
              <w:rPr>
                <w:noProof/>
                <w:sz w:val="20"/>
              </w:rPr>
              <w:t>Yes</w:t>
            </w:r>
          </w:p>
        </w:tc>
      </w:tr>
      <w:tr>
        <w:trPr>
          <w:trHeight w:val="636"/>
        </w:trPr>
        <w:tc>
          <w:tcPr>
            <w:tcW w:w="2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CO</w:t>
            </w:r>
            <w:r>
              <w:rPr>
                <w:noProof/>
                <w:sz w:val="20"/>
                <w:vertAlign w:val="subscript"/>
              </w:rPr>
              <w:t>2</w:t>
            </w:r>
            <w:r>
              <w:rPr>
                <w:noProof/>
                <w:sz w:val="20"/>
              </w:rPr>
              <w:t xml:space="preserve"> standards for LDVs and HDVs</w:t>
            </w:r>
          </w:p>
        </w:tc>
        <w:tc>
          <w:tcPr>
            <w:tcW w:w="2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Yes as currently legislated</w:t>
            </w:r>
          </w:p>
        </w:tc>
        <w:tc>
          <w:tcPr>
            <w:tcW w:w="968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noProof/>
                <w:sz w:val="20"/>
              </w:rPr>
            </w:pPr>
            <w:r>
              <w:rPr>
                <w:noProof/>
                <w:sz w:val="20"/>
              </w:rPr>
              <w:t>CO</w:t>
            </w:r>
            <w:r>
              <w:rPr>
                <w:noProof/>
                <w:sz w:val="20"/>
                <w:vertAlign w:val="subscript"/>
              </w:rPr>
              <w:t>2</w:t>
            </w:r>
            <w:r>
              <w:rPr>
                <w:noProof/>
                <w:sz w:val="20"/>
              </w:rPr>
              <w:t xml:space="preserve"> standards for LDVs and HDVs + Charging and refuelling infrastructure development (review of the AFID and TEN-T Regulation &amp; funding), including strengthened role of buildings</w:t>
            </w:r>
          </w:p>
        </w:tc>
      </w:tr>
      <w:tr>
        <w:trPr>
          <w:trHeight w:val="636"/>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rPr>
                <w:noProof/>
                <w:sz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rPr>
                <w:noProof/>
                <w:sz w:val="20"/>
              </w:rPr>
            </w:pP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contextualSpacing/>
              <w:jc w:val="center"/>
              <w:rPr>
                <w:noProof/>
                <w:sz w:val="20"/>
              </w:rPr>
            </w:pPr>
            <w:r>
              <w:rPr>
                <w:noProof/>
                <w:sz w:val="20"/>
              </w:rPr>
              <w:t>High ambition increase</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contextualSpacing/>
              <w:jc w:val="center"/>
              <w:rPr>
                <w:noProof/>
                <w:sz w:val="20"/>
              </w:rPr>
            </w:pPr>
            <w:r>
              <w:rPr>
                <w:noProof/>
                <w:sz w:val="20"/>
              </w:rPr>
              <w:t>Medium/low ambition increase</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Low ambition increase</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noProof/>
                <w:sz w:val="20"/>
              </w:rPr>
            </w:pPr>
            <w:r>
              <w:rPr>
                <w:noProof/>
                <w:sz w:val="20"/>
              </w:rPr>
              <w:t>Medium Ambition increase</w:t>
            </w:r>
          </w:p>
        </w:tc>
      </w:tr>
      <w:tr>
        <w:trPr>
          <w:trHeight w:val="515"/>
        </w:trPr>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EE policies overall ambition</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Stylised (32.5% EE)</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High Ambition increase</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contextualSpacing/>
              <w:jc w:val="center"/>
              <w:rPr>
                <w:noProof/>
                <w:sz w:val="20"/>
              </w:rPr>
            </w:pPr>
            <w:r>
              <w:rPr>
                <w:noProof/>
                <w:sz w:val="20"/>
              </w:rPr>
              <w:t>Medium/low Ambition increase</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As in BSL</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Medium Ambition increase</w:t>
            </w:r>
          </w:p>
        </w:tc>
      </w:tr>
      <w:tr>
        <w:trPr>
          <w:trHeight w:val="774"/>
        </w:trPr>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EE in Buildings + Industry</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Stylised (32.5% EE)</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High Ambition increase</w:t>
            </w:r>
          </w:p>
          <w:p>
            <w:pPr>
              <w:spacing w:after="0"/>
              <w:contextualSpacing/>
              <w:jc w:val="center"/>
              <w:rPr>
                <w:noProof/>
                <w:sz w:val="20"/>
              </w:rPr>
            </w:pPr>
            <w:r>
              <w:rPr>
                <w:noProof/>
                <w:sz w:val="20"/>
              </w:rPr>
              <w:t>(increase in renovation rate, support for heat pumps uptake)</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Medium/low Ambition increase</w:t>
            </w:r>
          </w:p>
          <w:p>
            <w:pPr>
              <w:spacing w:after="0"/>
              <w:contextualSpacing/>
              <w:jc w:val="center"/>
              <w:rPr>
                <w:noProof/>
                <w:sz w:val="20"/>
              </w:rPr>
            </w:pPr>
            <w:r>
              <w:rPr>
                <w:noProof/>
                <w:sz w:val="20"/>
              </w:rPr>
              <w:t>(increase in renovation rate, support for heat pumps uptake)</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As in BSL</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As in MIX</w:t>
            </w:r>
          </w:p>
        </w:tc>
      </w:tr>
      <w:tr>
        <w:trPr>
          <w:trHeight w:val="1281"/>
        </w:trPr>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EE in Transport</w:t>
            </w:r>
          </w:p>
          <w:p>
            <w:pPr>
              <w:spacing w:after="0"/>
              <w:contextualSpacing/>
              <w:jc w:val="center"/>
              <w:rPr>
                <w:noProof/>
                <w:sz w:val="20"/>
              </w:rPr>
            </w:pPr>
            <w:r>
              <w:rPr>
                <w:noProof/>
                <w:sz w:val="20"/>
              </w:rPr>
              <w:t>(see details in the section below)</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As currently legislated + proposed revision of the Eurovignette Directive</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High Ambition increase</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Medium/low Ambition increase</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Low Ambition increase</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As in MIX</w:t>
            </w:r>
          </w:p>
        </w:tc>
      </w:tr>
      <w:tr>
        <w:trPr>
          <w:trHeight w:val="515"/>
        </w:trPr>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RES policies overall ambition</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Stylised (32% RES)</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High Ambition increase</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Medium/low Ambition increase</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High Ambition increase</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Medium Ambition increase</w:t>
            </w:r>
          </w:p>
        </w:tc>
      </w:tr>
      <w:tr>
        <w:trPr>
          <w:trHeight w:val="1539"/>
        </w:trPr>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RES in buildings + Industry</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Stylised (32.5% EE)</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contextualSpacing/>
              <w:jc w:val="center"/>
              <w:rPr>
                <w:noProof/>
                <w:sz w:val="20"/>
              </w:rPr>
            </w:pPr>
            <w:r>
              <w:rPr>
                <w:noProof/>
                <w:sz w:val="20"/>
              </w:rPr>
              <w:t>High Ambition increase</w:t>
            </w:r>
          </w:p>
          <w:p>
            <w:pPr>
              <w:spacing w:after="0"/>
              <w:contextualSpacing/>
              <w:jc w:val="center"/>
              <w:rPr>
                <w:noProof/>
                <w:sz w:val="20"/>
              </w:rPr>
            </w:pPr>
            <w:r>
              <w:rPr>
                <w:noProof/>
                <w:sz w:val="20"/>
              </w:rPr>
              <w:t>(incentives for uptake of RES in heating and cooling)</w:t>
            </w:r>
          </w:p>
          <w:p>
            <w:pPr>
              <w:spacing w:after="0"/>
              <w:contextualSpacing/>
              <w:jc w:val="center"/>
              <w:rPr>
                <w:noProof/>
                <w:sz w:val="20"/>
              </w:rPr>
            </w:pP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contextualSpacing/>
              <w:jc w:val="center"/>
              <w:rPr>
                <w:noProof/>
                <w:sz w:val="20"/>
              </w:rPr>
            </w:pPr>
            <w:r>
              <w:rPr>
                <w:noProof/>
                <w:sz w:val="20"/>
              </w:rPr>
              <w:t>Medium/low Ambition increase</w:t>
            </w:r>
          </w:p>
          <w:p>
            <w:pPr>
              <w:spacing w:after="0"/>
              <w:contextualSpacing/>
              <w:jc w:val="center"/>
              <w:rPr>
                <w:noProof/>
                <w:sz w:val="20"/>
              </w:rPr>
            </w:pPr>
            <w:r>
              <w:rPr>
                <w:noProof/>
                <w:sz w:val="20"/>
              </w:rPr>
              <w:t>(incentives for uptake of RES in heating and cooling)</w:t>
            </w:r>
          </w:p>
          <w:p>
            <w:pPr>
              <w:spacing w:after="0"/>
              <w:contextualSpacing/>
              <w:rPr>
                <w:noProof/>
                <w:sz w:val="20"/>
              </w:rPr>
            </w:pP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As in BSL</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As in MIX</w:t>
            </w:r>
          </w:p>
        </w:tc>
      </w:tr>
      <w:tr>
        <w:trPr>
          <w:trHeight w:val="506"/>
        </w:trPr>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RES policies in ETS</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Stylised (32% RES)</w:t>
            </w:r>
          </w:p>
        </w:tc>
        <w:tc>
          <w:tcPr>
            <w:tcW w:w="96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pPr>
              <w:spacing w:after="0"/>
              <w:contextualSpacing/>
              <w:jc w:val="center"/>
              <w:rPr>
                <w:noProof/>
                <w:sz w:val="20"/>
              </w:rPr>
            </w:pPr>
          </w:p>
          <w:p>
            <w:pPr>
              <w:spacing w:after="0"/>
              <w:contextualSpacing/>
              <w:jc w:val="center"/>
              <w:rPr>
                <w:noProof/>
                <w:sz w:val="20"/>
              </w:rPr>
            </w:pPr>
            <w:r>
              <w:rPr>
                <w:noProof/>
                <w:sz w:val="20"/>
              </w:rPr>
              <w:t>Implications of the new offshore strategy</w:t>
            </w:r>
          </w:p>
        </w:tc>
      </w:tr>
      <w:tr>
        <w:trPr>
          <w:trHeight w:val="2286"/>
        </w:trPr>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RES in transport and</w:t>
            </w:r>
          </w:p>
          <w:p>
            <w:pPr>
              <w:spacing w:after="0"/>
              <w:contextualSpacing/>
              <w:jc w:val="center"/>
              <w:rPr>
                <w:noProof/>
                <w:sz w:val="20"/>
              </w:rPr>
            </w:pPr>
            <w:r>
              <w:rPr>
                <w:noProof/>
                <w:sz w:val="20"/>
              </w:rPr>
              <w:t>policies impacting transport fuel content</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Stylised (32% RES)</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contextualSpacing/>
              <w:jc w:val="center"/>
              <w:rPr>
                <w:noProof/>
                <w:sz w:val="20"/>
              </w:rPr>
            </w:pPr>
            <w:r>
              <w:rPr>
                <w:noProof/>
                <w:sz w:val="20"/>
              </w:rPr>
              <w:t xml:space="preserve">High ambition increase of fuel policies (Renewable and low carbon fuels mandate, including </w:t>
            </w:r>
            <w:r>
              <w:rPr>
                <w:iCs/>
                <w:noProof/>
                <w:sz w:val="20"/>
              </w:rPr>
              <w:t xml:space="preserve">ReFuelEU aviation and FuelEU maritime </w:t>
            </w:r>
            <w:r>
              <w:rPr>
                <w:noProof/>
                <w:sz w:val="20"/>
              </w:rPr>
              <w:t>initiatives)</w:t>
            </w:r>
          </w:p>
          <w:p>
            <w:pPr>
              <w:spacing w:after="0" w:line="240" w:lineRule="auto"/>
              <w:contextualSpacing/>
              <w:jc w:val="center"/>
              <w:rPr>
                <w:noProof/>
                <w:sz w:val="20"/>
              </w:rPr>
            </w:pP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contextualSpacing/>
              <w:jc w:val="center"/>
              <w:rPr>
                <w:noProof/>
                <w:sz w:val="20"/>
              </w:rPr>
            </w:pPr>
            <w:r>
              <w:rPr>
                <w:noProof/>
                <w:sz w:val="20"/>
              </w:rPr>
              <w:t xml:space="preserve">Medium/low ambition increase of fuel policies (Renewable and low carbon fuels mandate, including </w:t>
            </w:r>
            <w:r>
              <w:rPr>
                <w:iCs/>
                <w:noProof/>
                <w:sz w:val="20"/>
              </w:rPr>
              <w:t xml:space="preserve">ReFuelEU aviation and FuelEU maritime </w:t>
            </w:r>
            <w:r>
              <w:rPr>
                <w:noProof/>
                <w:sz w:val="20"/>
              </w:rPr>
              <w:t>initiatives)</w:t>
            </w:r>
          </w:p>
          <w:p>
            <w:pPr>
              <w:spacing w:after="0" w:line="240" w:lineRule="auto"/>
              <w:contextualSpacing/>
              <w:jc w:val="center"/>
              <w:rPr>
                <w:noProof/>
                <w:sz w:val="20"/>
              </w:rPr>
            </w:pP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contextualSpacing/>
              <w:jc w:val="center"/>
              <w:rPr>
                <w:noProof/>
                <w:sz w:val="20"/>
              </w:rPr>
            </w:pPr>
            <w:r>
              <w:rPr>
                <w:noProof/>
                <w:sz w:val="20"/>
              </w:rPr>
              <w:t xml:space="preserve">Low ambition increase of fuel policies (reflecting </w:t>
            </w:r>
            <w:r>
              <w:rPr>
                <w:iCs/>
                <w:noProof/>
                <w:sz w:val="20"/>
              </w:rPr>
              <w:t xml:space="preserve">ReFuelEU aviation and FuelEU maritime </w:t>
            </w:r>
            <w:r>
              <w:rPr>
                <w:noProof/>
                <w:sz w:val="20"/>
              </w:rPr>
              <w:t>initiatives)</w:t>
            </w:r>
          </w:p>
          <w:p>
            <w:pPr>
              <w:spacing w:after="0"/>
              <w:contextualSpacing/>
              <w:jc w:val="center"/>
              <w:rPr>
                <w:noProof/>
                <w:sz w:val="20"/>
              </w:rPr>
            </w:pP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 xml:space="preserve">Very high ambition increase of fuel policies (reflecting </w:t>
            </w:r>
            <w:r>
              <w:rPr>
                <w:iCs/>
                <w:noProof/>
                <w:sz w:val="20"/>
              </w:rPr>
              <w:t xml:space="preserve">ReFuelEU aviation and FuelEU maritime </w:t>
            </w:r>
            <w:r>
              <w:rPr>
                <w:noProof/>
                <w:sz w:val="20"/>
              </w:rPr>
              <w:t>initiatives)</w:t>
            </w:r>
          </w:p>
        </w:tc>
      </w:tr>
      <w:tr>
        <w:trPr>
          <w:trHeight w:val="506"/>
        </w:trPr>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Additional non-CO</w:t>
            </w:r>
            <w:r>
              <w:rPr>
                <w:noProof/>
                <w:sz w:val="20"/>
                <w:vertAlign w:val="subscript"/>
              </w:rPr>
              <w:t>2</w:t>
            </w:r>
            <w:r>
              <w:rPr>
                <w:noProof/>
                <w:sz w:val="20"/>
              </w:rPr>
              <w:t xml:space="preserve"> policies (represented by carbon value)</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No</w:t>
            </w:r>
          </w:p>
        </w:tc>
        <w:tc>
          <w:tcPr>
            <w:tcW w:w="726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Medium Ambition increase</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High Ambition increase</w:t>
            </w:r>
          </w:p>
        </w:tc>
      </w:tr>
      <w:tr>
        <w:trPr>
          <w:trHeight w:val="257"/>
        </w:trPr>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LULUCF policies</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No</w:t>
            </w:r>
          </w:p>
        </w:tc>
        <w:tc>
          <w:tcPr>
            <w:tcW w:w="968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contextualSpacing/>
              <w:jc w:val="center"/>
              <w:rPr>
                <w:noProof/>
                <w:sz w:val="20"/>
              </w:rPr>
            </w:pPr>
            <w:r>
              <w:rPr>
                <w:noProof/>
                <w:sz w:val="20"/>
              </w:rPr>
              <w:t>No (Separate scenarios assessment of impact of policies that enhance the LULULCF sink)</w:t>
            </w:r>
          </w:p>
        </w:tc>
      </w:tr>
    </w:tbl>
    <w:p>
      <w:pPr>
        <w:spacing w:before="120" w:line="240" w:lineRule="auto"/>
        <w:rPr>
          <w:noProof/>
          <w:sz w:val="24"/>
          <w:szCs w:val="24"/>
        </w:rPr>
      </w:pPr>
      <w:r>
        <w:rPr>
          <w:noProof/>
          <w:sz w:val="24"/>
          <w:szCs w:val="24"/>
        </w:rPr>
        <w:t>These policies are presented in the PRIMES modelling tool where some take the form of explicit policies such as for instance improved product energy performance standards, vehicle CO</w:t>
      </w:r>
      <w:r>
        <w:rPr>
          <w:noProof/>
          <w:sz w:val="24"/>
          <w:szCs w:val="24"/>
          <w:vertAlign w:val="subscript"/>
        </w:rPr>
        <w:t>2</w:t>
      </w:r>
      <w:r>
        <w:rPr>
          <w:noProof/>
          <w:sz w:val="24"/>
          <w:szCs w:val="24"/>
        </w:rPr>
        <w:t xml:space="preserve"> standards and fuel mandates and others are induced by Energy Efficiency, Renewable Energy and non-CO</w:t>
      </w:r>
      <w:r>
        <w:rPr>
          <w:noProof/>
          <w:sz w:val="24"/>
          <w:szCs w:val="24"/>
          <w:vertAlign w:val="subscript"/>
        </w:rPr>
        <w:t>2</w:t>
      </w:r>
      <w:r>
        <w:rPr>
          <w:noProof/>
          <w:sz w:val="24"/>
          <w:szCs w:val="24"/>
        </w:rPr>
        <w:t xml:space="preserve"> values, which reflect generic incentives altering investment decisions towards increased energy efficiency and renewable energy options (including removal of non-market barriers and consumer behaviour in favour of energy efficiency) and abatement of non-CO</w:t>
      </w:r>
      <w:r>
        <w:rPr>
          <w:noProof/>
          <w:sz w:val="24"/>
          <w:szCs w:val="24"/>
          <w:vertAlign w:val="subscript"/>
        </w:rPr>
        <w:t>2</w:t>
      </w:r>
      <w:r>
        <w:rPr>
          <w:noProof/>
          <w:sz w:val="24"/>
          <w:szCs w:val="24"/>
        </w:rPr>
        <w:t xml:space="preserve"> emissions. </w:t>
      </w:r>
      <w:r>
        <w:rPr>
          <w:noProof/>
        </w:rPr>
        <w:fldChar w:fldCharType="begin"/>
      </w:r>
      <w:r>
        <w:rPr>
          <w:noProof/>
          <w:sz w:val="24"/>
          <w:szCs w:val="24"/>
        </w:rPr>
        <w:instrText xml:space="preserve"> REF _Ref54047826 \h  \* MERGEFORMAT </w:instrText>
      </w:r>
      <w:r>
        <w:rPr>
          <w:noProof/>
        </w:rPr>
      </w:r>
      <w:r>
        <w:rPr>
          <w:noProof/>
          <w:sz w:val="24"/>
          <w:szCs w:val="24"/>
        </w:rPr>
        <w:fldChar w:fldCharType="separate"/>
      </w:r>
      <w:r>
        <w:rPr>
          <w:noProof/>
          <w:sz w:val="24"/>
          <w:szCs w:val="24"/>
        </w:rPr>
        <w:t>Figure 76</w:t>
      </w:r>
      <w:r>
        <w:rPr>
          <w:noProof/>
        </w:rPr>
        <w:fldChar w:fldCharType="end"/>
      </w:r>
      <w:r>
        <w:rPr>
          <w:noProof/>
          <w:sz w:val="24"/>
          <w:szCs w:val="24"/>
        </w:rPr>
        <w:t xml:space="preserve"> shows that these values for the different scenarios typically are higher in policy scenarios that are based on regulatory approaches than in scenarios that are more based on carbon pricing. The values in the Baseline reflect the existing policy framework required to meet the current climate and energy targets. The transport policies included in each scenario are provided in section 5. </w:t>
      </w:r>
    </w:p>
    <w:p>
      <w:pPr>
        <w:pStyle w:val="Caption"/>
        <w:rPr>
          <w:i w:val="0"/>
          <w:noProof/>
        </w:rPr>
      </w:pPr>
      <w:bookmarkStart w:id="6011" w:name="_Ref54047826"/>
      <w:bookmarkStart w:id="6012" w:name="_Ref48259965"/>
      <w:bookmarkStart w:id="6013" w:name="_Toc49269554"/>
      <w:bookmarkStart w:id="6014" w:name="_Toc49271867"/>
      <w:bookmarkStart w:id="6015" w:name="_Toc49272442"/>
      <w:bookmarkStart w:id="6016" w:name="_Toc49437646"/>
      <w:bookmarkStart w:id="6017" w:name="_Toc49441290"/>
      <w:bookmarkStart w:id="6018" w:name="_Toc49525011"/>
      <w:bookmarkStart w:id="6019" w:name="_Toc49530499"/>
      <w:bookmarkStart w:id="6020" w:name="_Toc49529939"/>
      <w:bookmarkStart w:id="6021" w:name="_Toc49531600"/>
      <w:bookmarkStart w:id="6022" w:name="_Toc49532765"/>
      <w:bookmarkStart w:id="6023" w:name="_Toc49775314"/>
      <w:bookmarkStart w:id="6024" w:name="_Toc49774516"/>
      <w:bookmarkStart w:id="6025" w:name="_Toc50396434"/>
      <w:bookmarkStart w:id="6026" w:name="_Toc50406295"/>
      <w:bookmarkStart w:id="6027" w:name="_Toc50995945"/>
      <w:bookmarkStart w:id="6028" w:name="_Toc57291720"/>
      <w:r>
        <w:rPr>
          <w:i w:val="0"/>
          <w:noProof/>
        </w:rPr>
        <w:t xml:space="preserve">Figure </w:t>
      </w:r>
      <w:r>
        <w:rPr>
          <w:noProof/>
        </w:rPr>
        <w:fldChar w:fldCharType="begin"/>
      </w:r>
      <w:r>
        <w:rPr>
          <w:i w:val="0"/>
          <w:noProof/>
          <w:szCs w:val="22"/>
        </w:rPr>
        <w:instrText xml:space="preserve"> SEQ Figure \* ARABIC </w:instrText>
      </w:r>
      <w:r>
        <w:rPr>
          <w:i w:val="0"/>
          <w:noProof/>
          <w:szCs w:val="22"/>
        </w:rPr>
        <w:fldChar w:fldCharType="separate"/>
      </w:r>
      <w:r>
        <w:rPr>
          <w:i w:val="0"/>
          <w:noProof/>
          <w:szCs w:val="22"/>
        </w:rPr>
        <w:t>76</w:t>
      </w:r>
      <w:r>
        <w:rPr>
          <w:noProof/>
        </w:rPr>
        <w:fldChar w:fldCharType="end"/>
      </w:r>
      <w:bookmarkEnd w:id="6011"/>
      <w:r>
        <w:rPr>
          <w:i w:val="0"/>
          <w:noProof/>
        </w:rPr>
        <w:t>: Key modelling variables reflecting underlying policy assumptions</w:t>
      </w:r>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23"/>
        <w:gridCol w:w="3172"/>
        <w:gridCol w:w="3172"/>
        <w:gridCol w:w="3172"/>
        <w:gridCol w:w="3173"/>
      </w:tblGrid>
      <w:tr>
        <w:trPr>
          <w:trHeight w:val="281"/>
        </w:trPr>
        <w:tc>
          <w:tcPr>
            <w:tcW w:w="1623" w:type="dxa"/>
            <w:shd w:val="clear" w:color="auto" w:fill="FFFFFF" w:themeFill="background1"/>
            <w:vAlign w:val="center"/>
          </w:tcPr>
          <w:p>
            <w:pPr>
              <w:keepNext/>
              <w:spacing w:after="0" w:line="240" w:lineRule="auto"/>
              <w:contextualSpacing/>
              <w:jc w:val="left"/>
              <w:rPr>
                <w:b/>
                <w:bCs/>
                <w:noProof/>
                <w:sz w:val="20"/>
              </w:rPr>
            </w:pPr>
            <w:r>
              <w:rPr>
                <w:b/>
                <w:bCs/>
                <w:noProof/>
                <w:sz w:val="20"/>
              </w:rPr>
              <w:t>Scenarios</w:t>
            </w:r>
          </w:p>
        </w:tc>
        <w:tc>
          <w:tcPr>
            <w:tcW w:w="3172" w:type="dxa"/>
            <w:shd w:val="clear" w:color="auto" w:fill="FFFFFF" w:themeFill="background1"/>
          </w:tcPr>
          <w:p>
            <w:pPr>
              <w:keepNext/>
              <w:spacing w:after="0" w:line="240" w:lineRule="auto"/>
              <w:contextualSpacing/>
              <w:jc w:val="center"/>
              <w:rPr>
                <w:b/>
                <w:bCs/>
                <w:noProof/>
                <w:sz w:val="20"/>
              </w:rPr>
            </w:pPr>
            <w:r>
              <w:rPr>
                <w:noProof/>
                <w:sz w:val="20"/>
              </w:rPr>
              <w:t xml:space="preserve">Carbon price ETS sectors                     (EUR'15/ t of </w:t>
            </w:r>
            <w:r>
              <w:rPr>
                <w:noProof/>
              </w:rPr>
              <w:t>CO</w:t>
            </w:r>
            <w:r>
              <w:rPr>
                <w:noProof/>
                <w:vertAlign w:val="subscript"/>
              </w:rPr>
              <w:t>2</w:t>
            </w:r>
            <w:r>
              <w:rPr>
                <w:noProof/>
                <w:sz w:val="20"/>
              </w:rPr>
              <w:t>)</w:t>
            </w:r>
          </w:p>
        </w:tc>
        <w:tc>
          <w:tcPr>
            <w:tcW w:w="3172" w:type="dxa"/>
            <w:shd w:val="clear" w:color="auto" w:fill="FFFFFF" w:themeFill="background1"/>
          </w:tcPr>
          <w:p>
            <w:pPr>
              <w:keepNext/>
              <w:spacing w:after="0" w:line="240" w:lineRule="auto"/>
              <w:contextualSpacing/>
              <w:jc w:val="center"/>
              <w:rPr>
                <w:noProof/>
                <w:sz w:val="18"/>
                <w:szCs w:val="18"/>
              </w:rPr>
            </w:pPr>
            <w:r>
              <w:rPr>
                <w:noProof/>
                <w:sz w:val="18"/>
                <w:szCs w:val="18"/>
              </w:rPr>
              <w:t xml:space="preserve">Non </w:t>
            </w:r>
            <w:r>
              <w:rPr>
                <w:noProof/>
              </w:rPr>
              <w:t>CO</w:t>
            </w:r>
            <w:r>
              <w:rPr>
                <w:noProof/>
                <w:vertAlign w:val="subscript"/>
              </w:rPr>
              <w:t>2</w:t>
            </w:r>
            <w:r>
              <w:rPr>
                <w:noProof/>
                <w:sz w:val="18"/>
                <w:szCs w:val="18"/>
              </w:rPr>
              <w:t xml:space="preserve"> carbon values </w:t>
            </w:r>
          </w:p>
          <w:p>
            <w:pPr>
              <w:keepNext/>
              <w:spacing w:after="0" w:line="240" w:lineRule="auto"/>
              <w:contextualSpacing/>
              <w:jc w:val="center"/>
              <w:rPr>
                <w:b/>
                <w:bCs/>
                <w:noProof/>
                <w:sz w:val="20"/>
              </w:rPr>
            </w:pPr>
            <w:r>
              <w:rPr>
                <w:noProof/>
                <w:sz w:val="20"/>
              </w:rPr>
              <w:t xml:space="preserve">(EUR'15/ t of </w:t>
            </w:r>
            <w:r>
              <w:rPr>
                <w:noProof/>
              </w:rPr>
              <w:t>CO</w:t>
            </w:r>
            <w:r>
              <w:rPr>
                <w:noProof/>
                <w:vertAlign w:val="subscript"/>
              </w:rPr>
              <w:t>2</w:t>
            </w:r>
            <w:r>
              <w:rPr>
                <w:noProof/>
                <w:sz w:val="20"/>
              </w:rPr>
              <w:t>)</w:t>
            </w:r>
            <w:r>
              <w:rPr>
                <w:rStyle w:val="FootnoteReference"/>
                <w:noProof/>
                <w:color w:val="000000" w:themeColor="text1"/>
                <w:sz w:val="20"/>
              </w:rPr>
              <w:t xml:space="preserve"> </w:t>
            </w:r>
            <w:r>
              <w:rPr>
                <w:rStyle w:val="FootnoteReference"/>
                <w:noProof/>
                <w:color w:val="000000" w:themeColor="text1"/>
                <w:sz w:val="20"/>
              </w:rPr>
              <w:footnoteReference w:id="696"/>
            </w:r>
          </w:p>
        </w:tc>
        <w:tc>
          <w:tcPr>
            <w:tcW w:w="3172" w:type="dxa"/>
            <w:shd w:val="clear" w:color="auto" w:fill="FFFFFF" w:themeFill="background1"/>
          </w:tcPr>
          <w:p>
            <w:pPr>
              <w:keepNext/>
              <w:spacing w:after="0" w:line="240" w:lineRule="auto"/>
              <w:contextualSpacing/>
              <w:jc w:val="center"/>
              <w:rPr>
                <w:noProof/>
                <w:sz w:val="20"/>
              </w:rPr>
            </w:pPr>
            <w:r>
              <w:rPr>
                <w:noProof/>
                <w:sz w:val="20"/>
              </w:rPr>
              <w:t xml:space="preserve">Average renewables value </w:t>
            </w:r>
          </w:p>
          <w:p>
            <w:pPr>
              <w:keepNext/>
              <w:spacing w:after="0" w:line="240" w:lineRule="auto"/>
              <w:contextualSpacing/>
              <w:jc w:val="center"/>
              <w:rPr>
                <w:b/>
                <w:noProof/>
                <w:color w:val="000000"/>
                <w:sz w:val="20"/>
              </w:rPr>
            </w:pPr>
            <w:r>
              <w:rPr>
                <w:noProof/>
                <w:sz w:val="20"/>
              </w:rPr>
              <w:t>(EUR'15/ MWh)</w:t>
            </w:r>
          </w:p>
        </w:tc>
        <w:tc>
          <w:tcPr>
            <w:tcW w:w="3173" w:type="dxa"/>
            <w:shd w:val="clear" w:color="auto" w:fill="FFFFFF" w:themeFill="background1"/>
          </w:tcPr>
          <w:p>
            <w:pPr>
              <w:keepNext/>
              <w:spacing w:after="0" w:line="240" w:lineRule="auto"/>
              <w:contextualSpacing/>
              <w:jc w:val="center"/>
              <w:rPr>
                <w:noProof/>
                <w:sz w:val="20"/>
              </w:rPr>
            </w:pPr>
            <w:r>
              <w:rPr>
                <w:noProof/>
                <w:sz w:val="20"/>
              </w:rPr>
              <w:t xml:space="preserve">Average energy efficiency value </w:t>
            </w:r>
          </w:p>
          <w:p>
            <w:pPr>
              <w:keepNext/>
              <w:spacing w:after="0" w:line="240" w:lineRule="auto"/>
              <w:contextualSpacing/>
              <w:jc w:val="center"/>
              <w:rPr>
                <w:b/>
                <w:noProof/>
                <w:color w:val="000000"/>
                <w:sz w:val="20"/>
              </w:rPr>
            </w:pPr>
            <w:r>
              <w:rPr>
                <w:noProof/>
                <w:sz w:val="20"/>
              </w:rPr>
              <w:t>(EUR'15/ toe)</w:t>
            </w:r>
          </w:p>
        </w:tc>
      </w:tr>
      <w:tr>
        <w:trPr>
          <w:trHeight w:val="48"/>
        </w:trPr>
        <w:tc>
          <w:tcPr>
            <w:tcW w:w="1623" w:type="dxa"/>
            <w:shd w:val="clear" w:color="auto" w:fill="FFFFFF" w:themeFill="background1"/>
            <w:vAlign w:val="center"/>
          </w:tcPr>
          <w:p>
            <w:pPr>
              <w:keepNext/>
              <w:spacing w:after="0" w:line="240" w:lineRule="auto"/>
              <w:contextualSpacing/>
              <w:jc w:val="left"/>
              <w:rPr>
                <w:noProof/>
                <w:color w:val="000000"/>
                <w:sz w:val="20"/>
              </w:rPr>
            </w:pPr>
            <w:r>
              <w:rPr>
                <w:noProof/>
                <w:color w:val="000000"/>
                <w:sz w:val="20"/>
              </w:rPr>
              <w:t>Baseline</w:t>
            </w:r>
          </w:p>
        </w:tc>
        <w:tc>
          <w:tcPr>
            <w:tcW w:w="3172" w:type="dxa"/>
            <w:shd w:val="clear" w:color="auto" w:fill="FFFFFF" w:themeFill="background1"/>
            <w:vAlign w:val="center"/>
          </w:tcPr>
          <w:p>
            <w:pPr>
              <w:keepNext/>
              <w:spacing w:after="0" w:line="240" w:lineRule="auto"/>
              <w:contextualSpacing/>
              <w:jc w:val="center"/>
              <w:rPr>
                <w:noProof/>
                <w:color w:val="000000" w:themeColor="text1"/>
                <w:sz w:val="20"/>
              </w:rPr>
            </w:pPr>
            <w:r>
              <w:rPr>
                <w:noProof/>
                <w:color w:val="000000" w:themeColor="text1"/>
                <w:sz w:val="20"/>
              </w:rPr>
              <w:t>32</w:t>
            </w:r>
          </w:p>
        </w:tc>
        <w:tc>
          <w:tcPr>
            <w:tcW w:w="3172" w:type="dxa"/>
            <w:shd w:val="clear" w:color="auto" w:fill="FFFFFF" w:themeFill="background1"/>
            <w:vAlign w:val="center"/>
          </w:tcPr>
          <w:p>
            <w:pPr>
              <w:keepNext/>
              <w:spacing w:after="0" w:line="240" w:lineRule="auto"/>
              <w:contextualSpacing/>
              <w:jc w:val="center"/>
              <w:rPr>
                <w:noProof/>
                <w:color w:val="000000" w:themeColor="text1"/>
                <w:sz w:val="20"/>
              </w:rPr>
            </w:pPr>
            <w:r>
              <w:rPr>
                <w:noProof/>
                <w:color w:val="000000" w:themeColor="text1"/>
                <w:sz w:val="20"/>
              </w:rPr>
              <w:t>0.0</w:t>
            </w:r>
          </w:p>
        </w:tc>
        <w:tc>
          <w:tcPr>
            <w:tcW w:w="3172" w:type="dxa"/>
            <w:shd w:val="clear" w:color="auto" w:fill="FFFFFF" w:themeFill="background1"/>
            <w:vAlign w:val="center"/>
          </w:tcPr>
          <w:p>
            <w:pPr>
              <w:keepNext/>
              <w:spacing w:after="0" w:line="240" w:lineRule="auto"/>
              <w:contextualSpacing/>
              <w:jc w:val="center"/>
              <w:rPr>
                <w:noProof/>
                <w:color w:val="000000" w:themeColor="text1"/>
                <w:sz w:val="20"/>
              </w:rPr>
            </w:pPr>
            <w:r>
              <w:rPr>
                <w:noProof/>
                <w:color w:val="000000" w:themeColor="text1"/>
                <w:sz w:val="20"/>
              </w:rPr>
              <w:t>91</w:t>
            </w:r>
          </w:p>
        </w:tc>
        <w:tc>
          <w:tcPr>
            <w:tcW w:w="3173" w:type="dxa"/>
            <w:shd w:val="clear" w:color="auto" w:fill="FFFFFF" w:themeFill="background1"/>
            <w:vAlign w:val="center"/>
          </w:tcPr>
          <w:p>
            <w:pPr>
              <w:keepNext/>
              <w:spacing w:after="0" w:line="240" w:lineRule="auto"/>
              <w:contextualSpacing/>
              <w:jc w:val="center"/>
              <w:rPr>
                <w:noProof/>
                <w:color w:val="000000" w:themeColor="text1"/>
                <w:sz w:val="20"/>
              </w:rPr>
            </w:pPr>
            <w:r>
              <w:rPr>
                <w:noProof/>
                <w:color w:val="000000" w:themeColor="text1"/>
                <w:sz w:val="20"/>
              </w:rPr>
              <w:t>891</w:t>
            </w:r>
          </w:p>
        </w:tc>
      </w:tr>
      <w:tr>
        <w:trPr>
          <w:trHeight w:val="48"/>
        </w:trPr>
        <w:tc>
          <w:tcPr>
            <w:tcW w:w="1623" w:type="dxa"/>
            <w:shd w:val="clear" w:color="auto" w:fill="FFFFFF" w:themeFill="background1"/>
            <w:vAlign w:val="center"/>
          </w:tcPr>
          <w:p>
            <w:pPr>
              <w:keepNext/>
              <w:spacing w:after="0" w:line="240" w:lineRule="auto"/>
              <w:contextualSpacing/>
              <w:jc w:val="left"/>
              <w:rPr>
                <w:noProof/>
                <w:color w:val="000000"/>
                <w:sz w:val="20"/>
              </w:rPr>
            </w:pPr>
            <w:r>
              <w:rPr>
                <w:noProof/>
                <w:color w:val="000000"/>
                <w:sz w:val="20"/>
              </w:rPr>
              <w:t>MIX-50</w:t>
            </w:r>
          </w:p>
        </w:tc>
        <w:tc>
          <w:tcPr>
            <w:tcW w:w="3172" w:type="dxa"/>
            <w:shd w:val="clear" w:color="auto" w:fill="FFFFFF" w:themeFill="background1"/>
            <w:vAlign w:val="center"/>
          </w:tcPr>
          <w:p>
            <w:pPr>
              <w:keepNext/>
              <w:spacing w:after="0" w:line="240" w:lineRule="auto"/>
              <w:contextualSpacing/>
              <w:jc w:val="center"/>
              <w:rPr>
                <w:noProof/>
              </w:rPr>
            </w:pPr>
            <w:r>
              <w:rPr>
                <w:noProof/>
                <w:color w:val="000000" w:themeColor="text1"/>
                <w:sz w:val="20"/>
              </w:rPr>
              <w:t>36</w:t>
            </w:r>
          </w:p>
        </w:tc>
        <w:tc>
          <w:tcPr>
            <w:tcW w:w="3172" w:type="dxa"/>
            <w:shd w:val="clear" w:color="auto" w:fill="FFFFFF" w:themeFill="background1"/>
            <w:vAlign w:val="center"/>
          </w:tcPr>
          <w:p>
            <w:pPr>
              <w:keepNext/>
              <w:spacing w:after="0" w:line="240" w:lineRule="auto"/>
              <w:contextualSpacing/>
              <w:jc w:val="center"/>
              <w:rPr>
                <w:noProof/>
              </w:rPr>
            </w:pPr>
            <w:r>
              <w:rPr>
                <w:noProof/>
                <w:color w:val="000000" w:themeColor="text1"/>
                <w:sz w:val="20"/>
              </w:rPr>
              <w:t>0.6</w:t>
            </w:r>
          </w:p>
        </w:tc>
        <w:tc>
          <w:tcPr>
            <w:tcW w:w="3172" w:type="dxa"/>
            <w:shd w:val="clear" w:color="auto" w:fill="FFFFFF" w:themeFill="background1"/>
            <w:vAlign w:val="center"/>
          </w:tcPr>
          <w:p>
            <w:pPr>
              <w:keepNext/>
              <w:spacing w:after="0" w:line="240" w:lineRule="auto"/>
              <w:contextualSpacing/>
              <w:jc w:val="center"/>
              <w:rPr>
                <w:noProof/>
              </w:rPr>
            </w:pPr>
            <w:r>
              <w:rPr>
                <w:noProof/>
                <w:color w:val="000000" w:themeColor="text1"/>
                <w:sz w:val="20"/>
              </w:rPr>
              <w:t>94</w:t>
            </w:r>
          </w:p>
        </w:tc>
        <w:tc>
          <w:tcPr>
            <w:tcW w:w="3173" w:type="dxa"/>
            <w:shd w:val="clear" w:color="auto" w:fill="FFFFFF" w:themeFill="background1"/>
            <w:vAlign w:val="center"/>
          </w:tcPr>
          <w:p>
            <w:pPr>
              <w:keepNext/>
              <w:spacing w:after="0" w:line="240" w:lineRule="auto"/>
              <w:contextualSpacing/>
              <w:jc w:val="center"/>
              <w:rPr>
                <w:noProof/>
              </w:rPr>
            </w:pPr>
            <w:r>
              <w:rPr>
                <w:noProof/>
                <w:color w:val="000000" w:themeColor="text1"/>
                <w:sz w:val="20"/>
              </w:rPr>
              <w:t>951</w:t>
            </w:r>
          </w:p>
        </w:tc>
      </w:tr>
      <w:tr>
        <w:trPr>
          <w:trHeight w:val="48"/>
        </w:trPr>
        <w:tc>
          <w:tcPr>
            <w:tcW w:w="1623" w:type="dxa"/>
            <w:shd w:val="clear" w:color="auto" w:fill="FFFFFF" w:themeFill="background1"/>
            <w:vAlign w:val="center"/>
          </w:tcPr>
          <w:p>
            <w:pPr>
              <w:keepNext/>
              <w:spacing w:after="0" w:line="240" w:lineRule="auto"/>
              <w:contextualSpacing/>
              <w:jc w:val="left"/>
              <w:rPr>
                <w:noProof/>
                <w:color w:val="000000"/>
                <w:sz w:val="20"/>
              </w:rPr>
            </w:pPr>
            <w:r>
              <w:rPr>
                <w:noProof/>
                <w:color w:val="000000"/>
                <w:sz w:val="20"/>
              </w:rPr>
              <w:t>REG</w:t>
            </w:r>
          </w:p>
        </w:tc>
        <w:tc>
          <w:tcPr>
            <w:tcW w:w="3172" w:type="dxa"/>
            <w:shd w:val="clear" w:color="auto" w:fill="FFFFFF" w:themeFill="background1"/>
            <w:vAlign w:val="center"/>
          </w:tcPr>
          <w:p>
            <w:pPr>
              <w:keepNext/>
              <w:spacing w:after="0" w:line="240" w:lineRule="auto"/>
              <w:contextualSpacing/>
              <w:jc w:val="center"/>
              <w:rPr>
                <w:noProof/>
                <w:color w:val="000000" w:themeColor="text1"/>
                <w:sz w:val="20"/>
              </w:rPr>
            </w:pPr>
            <w:r>
              <w:rPr>
                <w:noProof/>
                <w:color w:val="000000" w:themeColor="text1"/>
                <w:sz w:val="20"/>
              </w:rPr>
              <w:t>32</w:t>
            </w:r>
          </w:p>
        </w:tc>
        <w:tc>
          <w:tcPr>
            <w:tcW w:w="3172" w:type="dxa"/>
            <w:shd w:val="clear" w:color="auto" w:fill="FFFFFF" w:themeFill="background1"/>
            <w:vAlign w:val="center"/>
          </w:tcPr>
          <w:p>
            <w:pPr>
              <w:keepNext/>
              <w:spacing w:after="0" w:line="240" w:lineRule="auto"/>
              <w:contextualSpacing/>
              <w:jc w:val="center"/>
              <w:rPr>
                <w:noProof/>
                <w:color w:val="000000" w:themeColor="text1"/>
                <w:sz w:val="20"/>
              </w:rPr>
            </w:pPr>
            <w:r>
              <w:rPr>
                <w:noProof/>
                <w:color w:val="000000" w:themeColor="text1"/>
                <w:sz w:val="20"/>
              </w:rPr>
              <w:t>10</w:t>
            </w:r>
          </w:p>
        </w:tc>
        <w:tc>
          <w:tcPr>
            <w:tcW w:w="3172" w:type="dxa"/>
            <w:shd w:val="clear" w:color="auto" w:fill="FFFFFF" w:themeFill="background1"/>
            <w:vAlign w:val="center"/>
          </w:tcPr>
          <w:p>
            <w:pPr>
              <w:keepNext/>
              <w:spacing w:after="0" w:line="240" w:lineRule="auto"/>
              <w:contextualSpacing/>
              <w:jc w:val="center"/>
              <w:rPr>
                <w:noProof/>
                <w:color w:val="000000" w:themeColor="text1"/>
                <w:sz w:val="20"/>
              </w:rPr>
            </w:pPr>
            <w:r>
              <w:rPr>
                <w:noProof/>
                <w:color w:val="000000" w:themeColor="text1"/>
                <w:sz w:val="20"/>
              </w:rPr>
              <w:t>177</w:t>
            </w:r>
          </w:p>
        </w:tc>
        <w:tc>
          <w:tcPr>
            <w:tcW w:w="3173" w:type="dxa"/>
            <w:shd w:val="clear" w:color="auto" w:fill="FFFFFF" w:themeFill="background1"/>
            <w:vAlign w:val="center"/>
          </w:tcPr>
          <w:p>
            <w:pPr>
              <w:keepNext/>
              <w:spacing w:after="0" w:line="240" w:lineRule="auto"/>
              <w:contextualSpacing/>
              <w:jc w:val="center"/>
              <w:rPr>
                <w:noProof/>
                <w:color w:val="000000" w:themeColor="text1"/>
                <w:sz w:val="20"/>
              </w:rPr>
            </w:pPr>
            <w:r>
              <w:rPr>
                <w:noProof/>
                <w:color w:val="000000" w:themeColor="text1"/>
                <w:sz w:val="20"/>
              </w:rPr>
              <w:t>1270</w:t>
            </w:r>
          </w:p>
        </w:tc>
      </w:tr>
      <w:tr>
        <w:trPr>
          <w:trHeight w:val="48"/>
        </w:trPr>
        <w:tc>
          <w:tcPr>
            <w:tcW w:w="1623" w:type="dxa"/>
            <w:shd w:val="clear" w:color="auto" w:fill="FFFFFF" w:themeFill="background1"/>
            <w:vAlign w:val="center"/>
          </w:tcPr>
          <w:p>
            <w:pPr>
              <w:keepNext/>
              <w:spacing w:after="0" w:line="240" w:lineRule="auto"/>
              <w:contextualSpacing/>
              <w:jc w:val="left"/>
              <w:rPr>
                <w:noProof/>
                <w:color w:val="000000"/>
                <w:sz w:val="20"/>
              </w:rPr>
            </w:pPr>
            <w:r>
              <w:rPr>
                <w:noProof/>
                <w:color w:val="000000"/>
                <w:sz w:val="20"/>
              </w:rPr>
              <w:t>MIX</w:t>
            </w:r>
          </w:p>
        </w:tc>
        <w:tc>
          <w:tcPr>
            <w:tcW w:w="3172" w:type="dxa"/>
            <w:shd w:val="clear" w:color="auto" w:fill="FFFFFF" w:themeFill="background1"/>
            <w:vAlign w:val="center"/>
          </w:tcPr>
          <w:p>
            <w:pPr>
              <w:keepNext/>
              <w:spacing w:after="0" w:line="240" w:lineRule="auto"/>
              <w:contextualSpacing/>
              <w:jc w:val="center"/>
              <w:rPr>
                <w:noProof/>
                <w:color w:val="000000" w:themeColor="text1"/>
                <w:sz w:val="20"/>
              </w:rPr>
            </w:pPr>
            <w:r>
              <w:rPr>
                <w:noProof/>
                <w:color w:val="000000" w:themeColor="text1"/>
                <w:sz w:val="20"/>
              </w:rPr>
              <w:t>44</w:t>
            </w:r>
          </w:p>
        </w:tc>
        <w:tc>
          <w:tcPr>
            <w:tcW w:w="3172" w:type="dxa"/>
            <w:shd w:val="clear" w:color="auto" w:fill="FFFFFF" w:themeFill="background1"/>
            <w:vAlign w:val="center"/>
          </w:tcPr>
          <w:p>
            <w:pPr>
              <w:keepNext/>
              <w:spacing w:after="0" w:line="240" w:lineRule="auto"/>
              <w:contextualSpacing/>
              <w:jc w:val="center"/>
              <w:rPr>
                <w:noProof/>
                <w:color w:val="000000" w:themeColor="text1"/>
                <w:sz w:val="20"/>
              </w:rPr>
            </w:pPr>
            <w:r>
              <w:rPr>
                <w:noProof/>
                <w:color w:val="000000" w:themeColor="text1"/>
                <w:sz w:val="20"/>
              </w:rPr>
              <w:t>10</w:t>
            </w:r>
          </w:p>
        </w:tc>
        <w:tc>
          <w:tcPr>
            <w:tcW w:w="3172" w:type="dxa"/>
            <w:shd w:val="clear" w:color="auto" w:fill="FFFFFF" w:themeFill="background1"/>
            <w:vAlign w:val="center"/>
          </w:tcPr>
          <w:p>
            <w:pPr>
              <w:keepNext/>
              <w:spacing w:after="0" w:line="240" w:lineRule="auto"/>
              <w:contextualSpacing/>
              <w:jc w:val="center"/>
              <w:rPr>
                <w:noProof/>
                <w:color w:val="000000" w:themeColor="text1"/>
                <w:sz w:val="20"/>
              </w:rPr>
            </w:pPr>
            <w:r>
              <w:rPr>
                <w:noProof/>
                <w:color w:val="000000" w:themeColor="text1"/>
                <w:sz w:val="20"/>
              </w:rPr>
              <w:t>112</w:t>
            </w:r>
          </w:p>
        </w:tc>
        <w:tc>
          <w:tcPr>
            <w:tcW w:w="3173" w:type="dxa"/>
            <w:shd w:val="clear" w:color="auto" w:fill="FFFFFF" w:themeFill="background1"/>
            <w:vAlign w:val="center"/>
          </w:tcPr>
          <w:p>
            <w:pPr>
              <w:keepNext/>
              <w:spacing w:after="0" w:line="240" w:lineRule="auto"/>
              <w:contextualSpacing/>
              <w:jc w:val="center"/>
              <w:rPr>
                <w:noProof/>
                <w:color w:val="000000" w:themeColor="text1"/>
                <w:sz w:val="20"/>
              </w:rPr>
            </w:pPr>
            <w:r>
              <w:rPr>
                <w:noProof/>
                <w:color w:val="000000" w:themeColor="text1"/>
                <w:sz w:val="20"/>
              </w:rPr>
              <w:t>1194</w:t>
            </w:r>
          </w:p>
        </w:tc>
      </w:tr>
      <w:tr>
        <w:trPr>
          <w:trHeight w:val="48"/>
        </w:trPr>
        <w:tc>
          <w:tcPr>
            <w:tcW w:w="1623" w:type="dxa"/>
            <w:shd w:val="clear" w:color="auto" w:fill="FFFFFF" w:themeFill="background1"/>
            <w:vAlign w:val="center"/>
          </w:tcPr>
          <w:p>
            <w:pPr>
              <w:keepNext/>
              <w:spacing w:after="0" w:line="240" w:lineRule="auto"/>
              <w:contextualSpacing/>
              <w:jc w:val="left"/>
              <w:rPr>
                <w:noProof/>
                <w:color w:val="000000"/>
                <w:sz w:val="20"/>
              </w:rPr>
            </w:pPr>
            <w:r>
              <w:rPr>
                <w:noProof/>
                <w:color w:val="000000"/>
                <w:sz w:val="20"/>
              </w:rPr>
              <w:t>CPRICE</w:t>
            </w:r>
          </w:p>
        </w:tc>
        <w:tc>
          <w:tcPr>
            <w:tcW w:w="3172" w:type="dxa"/>
            <w:shd w:val="clear" w:color="auto" w:fill="FFFFFF" w:themeFill="background1"/>
            <w:vAlign w:val="center"/>
          </w:tcPr>
          <w:p>
            <w:pPr>
              <w:keepNext/>
              <w:spacing w:after="0" w:line="240" w:lineRule="auto"/>
              <w:contextualSpacing/>
              <w:jc w:val="center"/>
              <w:rPr>
                <w:noProof/>
                <w:color w:val="000000" w:themeColor="text1"/>
                <w:sz w:val="20"/>
              </w:rPr>
            </w:pPr>
            <w:r>
              <w:rPr>
                <w:noProof/>
                <w:color w:val="000000" w:themeColor="text1"/>
                <w:sz w:val="20"/>
              </w:rPr>
              <w:t>60</w:t>
            </w:r>
          </w:p>
        </w:tc>
        <w:tc>
          <w:tcPr>
            <w:tcW w:w="3172" w:type="dxa"/>
            <w:shd w:val="clear" w:color="auto" w:fill="FFFFFF" w:themeFill="background1"/>
            <w:vAlign w:val="center"/>
          </w:tcPr>
          <w:p>
            <w:pPr>
              <w:keepNext/>
              <w:spacing w:after="0" w:line="240" w:lineRule="auto"/>
              <w:contextualSpacing/>
              <w:jc w:val="center"/>
              <w:rPr>
                <w:noProof/>
                <w:color w:val="000000" w:themeColor="text1"/>
                <w:sz w:val="20"/>
              </w:rPr>
            </w:pPr>
            <w:r>
              <w:rPr>
                <w:noProof/>
                <w:color w:val="000000" w:themeColor="text1"/>
                <w:sz w:val="20"/>
              </w:rPr>
              <w:t>10</w:t>
            </w:r>
          </w:p>
        </w:tc>
        <w:tc>
          <w:tcPr>
            <w:tcW w:w="3172" w:type="dxa"/>
            <w:shd w:val="clear" w:color="auto" w:fill="FFFFFF" w:themeFill="background1"/>
            <w:vAlign w:val="center"/>
          </w:tcPr>
          <w:p>
            <w:pPr>
              <w:keepNext/>
              <w:spacing w:after="0" w:line="240" w:lineRule="auto"/>
              <w:contextualSpacing/>
              <w:jc w:val="center"/>
              <w:rPr>
                <w:noProof/>
                <w:color w:val="000000" w:themeColor="text1"/>
                <w:sz w:val="20"/>
              </w:rPr>
            </w:pPr>
            <w:r>
              <w:rPr>
                <w:noProof/>
                <w:color w:val="000000" w:themeColor="text1"/>
                <w:sz w:val="20"/>
              </w:rPr>
              <w:t>49</w:t>
            </w:r>
          </w:p>
        </w:tc>
        <w:tc>
          <w:tcPr>
            <w:tcW w:w="3173" w:type="dxa"/>
            <w:shd w:val="clear" w:color="auto" w:fill="FFFFFF" w:themeFill="background1"/>
            <w:vAlign w:val="center"/>
          </w:tcPr>
          <w:p>
            <w:pPr>
              <w:keepNext/>
              <w:spacing w:after="0" w:line="240" w:lineRule="auto"/>
              <w:contextualSpacing/>
              <w:jc w:val="center"/>
              <w:rPr>
                <w:noProof/>
                <w:color w:val="000000" w:themeColor="text1"/>
                <w:sz w:val="20"/>
              </w:rPr>
            </w:pPr>
            <w:r>
              <w:rPr>
                <w:noProof/>
                <w:color w:val="000000" w:themeColor="text1"/>
                <w:sz w:val="20"/>
              </w:rPr>
              <w:t>891</w:t>
            </w:r>
          </w:p>
        </w:tc>
      </w:tr>
      <w:tr>
        <w:trPr>
          <w:trHeight w:val="48"/>
        </w:trPr>
        <w:tc>
          <w:tcPr>
            <w:tcW w:w="1623" w:type="dxa"/>
            <w:shd w:val="clear" w:color="auto" w:fill="FFFFFF" w:themeFill="background1"/>
            <w:vAlign w:val="center"/>
          </w:tcPr>
          <w:p>
            <w:pPr>
              <w:keepNext/>
              <w:spacing w:after="0" w:line="240" w:lineRule="auto"/>
              <w:contextualSpacing/>
              <w:jc w:val="left"/>
              <w:rPr>
                <w:noProof/>
                <w:color w:val="000000"/>
                <w:sz w:val="20"/>
              </w:rPr>
            </w:pPr>
            <w:r>
              <w:rPr>
                <w:noProof/>
                <w:color w:val="000000"/>
                <w:sz w:val="20"/>
              </w:rPr>
              <w:t>ALLBNK</w:t>
            </w:r>
          </w:p>
        </w:tc>
        <w:tc>
          <w:tcPr>
            <w:tcW w:w="3172" w:type="dxa"/>
            <w:shd w:val="clear" w:color="auto" w:fill="FFFFFF" w:themeFill="background1"/>
            <w:vAlign w:val="center"/>
          </w:tcPr>
          <w:p>
            <w:pPr>
              <w:keepNext/>
              <w:spacing w:after="0" w:line="240" w:lineRule="auto"/>
              <w:contextualSpacing/>
              <w:jc w:val="center"/>
              <w:rPr>
                <w:noProof/>
                <w:color w:val="000000" w:themeColor="text1"/>
                <w:sz w:val="20"/>
              </w:rPr>
            </w:pPr>
            <w:r>
              <w:rPr>
                <w:noProof/>
                <w:color w:val="000000" w:themeColor="text1"/>
                <w:sz w:val="20"/>
              </w:rPr>
              <w:t>65</w:t>
            </w:r>
          </w:p>
        </w:tc>
        <w:tc>
          <w:tcPr>
            <w:tcW w:w="3172" w:type="dxa"/>
            <w:shd w:val="clear" w:color="auto" w:fill="FFFFFF" w:themeFill="background1"/>
            <w:vAlign w:val="center"/>
          </w:tcPr>
          <w:p>
            <w:pPr>
              <w:keepNext/>
              <w:spacing w:after="0" w:line="240" w:lineRule="auto"/>
              <w:contextualSpacing/>
              <w:jc w:val="center"/>
              <w:rPr>
                <w:noProof/>
                <w:color w:val="000000" w:themeColor="text1"/>
                <w:sz w:val="20"/>
              </w:rPr>
            </w:pPr>
            <w:r>
              <w:rPr>
                <w:noProof/>
                <w:color w:val="000000" w:themeColor="text1"/>
                <w:sz w:val="20"/>
              </w:rPr>
              <w:t>55</w:t>
            </w:r>
          </w:p>
        </w:tc>
        <w:tc>
          <w:tcPr>
            <w:tcW w:w="3172" w:type="dxa"/>
            <w:shd w:val="clear" w:color="auto" w:fill="FFFFFF" w:themeFill="background1"/>
            <w:vAlign w:val="center"/>
          </w:tcPr>
          <w:p>
            <w:pPr>
              <w:keepNext/>
              <w:spacing w:after="0" w:line="240" w:lineRule="auto"/>
              <w:contextualSpacing/>
              <w:jc w:val="center"/>
              <w:rPr>
                <w:noProof/>
                <w:color w:val="000000" w:themeColor="text1"/>
                <w:sz w:val="20"/>
              </w:rPr>
            </w:pPr>
            <w:r>
              <w:rPr>
                <w:noProof/>
                <w:color w:val="000000" w:themeColor="text1"/>
                <w:sz w:val="20"/>
              </w:rPr>
              <w:t>111</w:t>
            </w:r>
          </w:p>
        </w:tc>
        <w:tc>
          <w:tcPr>
            <w:tcW w:w="3173" w:type="dxa"/>
            <w:shd w:val="clear" w:color="auto" w:fill="FFFFFF" w:themeFill="background1"/>
            <w:vAlign w:val="center"/>
          </w:tcPr>
          <w:p>
            <w:pPr>
              <w:keepNext/>
              <w:spacing w:after="0" w:line="240" w:lineRule="auto"/>
              <w:contextualSpacing/>
              <w:jc w:val="center"/>
              <w:rPr>
                <w:noProof/>
                <w:color w:val="000000" w:themeColor="text1"/>
                <w:sz w:val="20"/>
              </w:rPr>
            </w:pPr>
            <w:r>
              <w:rPr>
                <w:noProof/>
                <w:color w:val="000000" w:themeColor="text1"/>
                <w:sz w:val="20"/>
              </w:rPr>
              <w:t>1202</w:t>
            </w:r>
          </w:p>
        </w:tc>
      </w:tr>
    </w:tbl>
    <w:p>
      <w:pPr>
        <w:rPr>
          <w:noProof/>
        </w:rPr>
        <w:sectPr>
          <w:headerReference w:type="even" r:id="rId124"/>
          <w:headerReference w:type="default" r:id="rId125"/>
          <w:footerReference w:type="even" r:id="rId126"/>
          <w:footerReference w:type="default" r:id="rId127"/>
          <w:headerReference w:type="first" r:id="rId128"/>
          <w:footerReference w:type="first" r:id="rId129"/>
          <w:pgSz w:w="16838" w:h="11906" w:orient="landscape"/>
          <w:pgMar w:top="1588" w:right="1021" w:bottom="1701" w:left="1021" w:header="601" w:footer="1077" w:gutter="0"/>
          <w:cols w:space="720"/>
          <w:docGrid w:linePitch="299"/>
        </w:sectPr>
      </w:pPr>
    </w:p>
    <w:p>
      <w:pPr>
        <w:pStyle w:val="LegalNumPar"/>
        <w:pBdr>
          <w:top w:val="nil"/>
          <w:left w:val="nil"/>
          <w:bottom w:val="nil"/>
          <w:right w:val="nil"/>
          <w:between w:val="nil"/>
          <w:bar w:val="nil"/>
        </w:pBdr>
        <w:tabs>
          <w:tab w:val="left" w:pos="476"/>
        </w:tabs>
        <w:spacing w:line="240" w:lineRule="auto"/>
        <w:rPr>
          <w:noProof/>
        </w:rPr>
      </w:pPr>
    </w:p>
    <w:sectPr>
      <w:headerReference w:type="even" r:id="rId130"/>
      <w:headerReference w:type="default" r:id="rId131"/>
      <w:footerReference w:type="even" r:id="rId132"/>
      <w:footerReference w:type="default" r:id="rId133"/>
      <w:headerReference w:type="first" r:id="rId134"/>
      <w:footerReference w:type="first" r:id="rId135"/>
      <w:pgSz w:w="11906" w:h="16838"/>
      <w:pgMar w:top="1020" w:right="1701" w:bottom="1020" w:left="1701" w:header="601" w:footer="107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pitch w:val="variable"/>
    <w:sig w:usb0="800002E7" w:usb1="2AC7FCF0" w:usb2="00000012" w:usb3="00000000" w:csb0="0002009F" w:csb1="00000000"/>
  </w:font>
  <w:font w:name="Trebuchet MS">
    <w:panose1 w:val="020B0603020202020204"/>
    <w:charset w:val="00"/>
    <w:family w:val="swiss"/>
    <w:pitch w:val="variable"/>
    <w:sig w:usb0="00000287" w:usb1="00000003" w:usb2="00000000" w:usb3="00000000" w:csb0="0000009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EC Square Sans Pro">
    <w:panose1 w:val="020B0506040000020004"/>
    <w:charset w:val="00"/>
    <w:family w:val="swiss"/>
    <w:pitch w:val="variable"/>
    <w:sig w:usb0="A00002BF" w:usb1="5000E0F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Maiandra GD">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rimson Text">
    <w:altName w:val="Cambria Math"/>
    <w:charset w:val="00"/>
    <w:family w:val="auto"/>
    <w:pitch w:val="variable"/>
    <w:sig w:usb0="00000001" w:usb1="00000062" w:usb2="00000000" w:usb3="00000000" w:csb0="00000093"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alias w:val="Footer - Footer"/>
      <w:tag w:val="tkgx793blqwVsfMzIs5ka6-Aa3Kt4ltWaoVXwcSq1qvk0"/>
      <w:id w:val="652033548"/>
    </w:sdtPr>
    <w:sdtContent>
      <w:p>
        <w:pPr>
          <w:pStyle w:val="FooterLine"/>
          <w:rPr>
            <w:sz w:val="20"/>
          </w:rPr>
        </w:pPr>
        <w:r>
          <w:rPr>
            <w:sz w:val="24"/>
          </w:rPr>
          <w:tab/>
          <w:t xml:space="preserve">Page </w:t>
        </w:r>
        <w:r>
          <w:rPr>
            <w:sz w:val="24"/>
            <w:szCs w:val="24"/>
          </w:rPr>
          <w:fldChar w:fldCharType="begin"/>
        </w:r>
        <w:r>
          <w:rPr>
            <w:sz w:val="24"/>
          </w:rPr>
          <w:instrText>PAGE</w:instrText>
        </w:r>
        <w:r>
          <w:rPr>
            <w:sz w:val="24"/>
            <w:szCs w:val="24"/>
          </w:rPr>
          <w:fldChar w:fldCharType="separate"/>
        </w:r>
        <w:r>
          <w:rPr>
            <w:noProof/>
            <w:sz w:val="24"/>
          </w:rPr>
          <w:t>152</w:t>
        </w:r>
        <w:r>
          <w:rPr>
            <w:sz w:val="24"/>
            <w:szCs w:val="24"/>
          </w:rPr>
          <w:fldChar w:fldCharType="end"/>
        </w:r>
        <w:r>
          <w:rPr>
            <w:sz w:val="24"/>
          </w:rPr>
          <w:t xml:space="preserve"> / </w:t>
        </w:r>
        <w:r>
          <w:rPr>
            <w:sz w:val="24"/>
            <w:szCs w:val="24"/>
          </w:rPr>
          <w:fldChar w:fldCharType="begin"/>
        </w:r>
        <w:r>
          <w:rPr>
            <w:sz w:val="24"/>
          </w:rPr>
          <w:instrText>NUMPAGES</w:instrText>
        </w:r>
        <w:r>
          <w:rPr>
            <w:sz w:val="24"/>
            <w:szCs w:val="24"/>
          </w:rPr>
          <w:fldChar w:fldCharType="separate"/>
        </w:r>
        <w:r>
          <w:rPr>
            <w:noProof/>
            <w:sz w:val="24"/>
          </w:rPr>
          <w:t>290</w:t>
        </w:r>
        <w:r>
          <w:rPr>
            <w:sz w:val="24"/>
            <w:szCs w:val="24"/>
          </w:rPr>
          <w:fldChar w:fldCharType="end"/>
        </w:r>
      </w:p>
      <w:p>
        <w:pPr>
          <w:jc w:val="left"/>
          <w:rPr>
            <w:lang w:val="fr-BE"/>
          </w:rPr>
        </w:pP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68228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269</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355617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286</w:t>
        </w:r>
        <w:r>
          <w:rPr>
            <w:noProof/>
          </w:rPr>
          <w:fldChar w:fldCharType="end"/>
        </w:r>
      </w:p>
    </w:sdtContent>
  </w:sdt>
  <w:p>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272730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290</w:t>
        </w:r>
        <w:r>
          <w:rPr>
            <w:noProof/>
          </w:rPr>
          <w:fldChar w:fldCharType="end"/>
        </w:r>
      </w:p>
    </w:sdtContent>
  </w:sdt>
  <w:p>
    <w:pPr>
      <w:pStyle w:val="Footer"/>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472337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288</w:t>
        </w:r>
        <w:r>
          <w:rPr>
            <w:noProof/>
          </w:rPr>
          <w:fldChar w:fldCharType="end"/>
        </w:r>
      </w:p>
    </w:sdtContent>
  </w:sdt>
  <w:p>
    <w:pPr>
      <w:pStyle w:val="Footer"/>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alias w:val="Footer - Footer"/>
      <w:tag w:val="tkgx793blqwVsfMzIs5ka6-Aa3Kt4ltWaoVXwcSq1qvk0"/>
      <w:id w:val="-1599872903"/>
    </w:sdtPr>
    <w:sdtContent>
      <w:p>
        <w:pPr>
          <w:pStyle w:val="FooterLine"/>
          <w:rPr>
            <w:sz w:val="20"/>
            <w:lang w:val="fr-BE"/>
          </w:rPr>
        </w:pPr>
        <w:r>
          <w:rPr>
            <w:sz w:val="24"/>
            <w:szCs w:val="24"/>
            <w:lang w:val="fr-BE"/>
          </w:rPr>
          <w:t>S     W</w:t>
        </w:r>
        <w:r>
          <w:rPr>
            <w:sz w:val="24"/>
            <w:lang w:val="fr-BE"/>
          </w:rPr>
          <w:tab/>
          <w:t xml:space="preserve">Page </w:t>
        </w:r>
        <w:r>
          <w:rPr>
            <w:sz w:val="24"/>
            <w:szCs w:val="24"/>
          </w:rPr>
          <w:fldChar w:fldCharType="begin"/>
        </w:r>
        <w:r>
          <w:rPr>
            <w:sz w:val="24"/>
            <w:lang w:val="fr-BE"/>
          </w:rPr>
          <w:instrText>PAGE</w:instrText>
        </w:r>
        <w:r>
          <w:rPr>
            <w:sz w:val="24"/>
            <w:szCs w:val="24"/>
          </w:rPr>
          <w:fldChar w:fldCharType="separate"/>
        </w:r>
        <w:r>
          <w:rPr>
            <w:sz w:val="24"/>
            <w:lang w:val="fr-BE"/>
          </w:rPr>
          <w:t>54</w:t>
        </w:r>
        <w:r>
          <w:rPr>
            <w:sz w:val="24"/>
            <w:szCs w:val="24"/>
          </w:rPr>
          <w:fldChar w:fldCharType="end"/>
        </w:r>
        <w:r>
          <w:rPr>
            <w:sz w:val="24"/>
            <w:lang w:val="fr-BE"/>
          </w:rPr>
          <w:t xml:space="preserve"> / </w:t>
        </w:r>
        <w:r>
          <w:rPr>
            <w:sz w:val="24"/>
            <w:szCs w:val="24"/>
          </w:rPr>
          <w:fldChar w:fldCharType="begin"/>
        </w:r>
        <w:r>
          <w:rPr>
            <w:sz w:val="24"/>
            <w:lang w:val="fr-BE"/>
          </w:rPr>
          <w:instrText>NUMPAGES</w:instrText>
        </w:r>
        <w:r>
          <w:rPr>
            <w:sz w:val="24"/>
            <w:szCs w:val="24"/>
          </w:rPr>
          <w:fldChar w:fldCharType="separate"/>
        </w:r>
        <w:r>
          <w:rPr>
            <w:noProof/>
            <w:sz w:val="24"/>
            <w:lang w:val="fr-BE"/>
          </w:rPr>
          <w:t>290</w:t>
        </w:r>
        <w:r>
          <w:rPr>
            <w:sz w:val="24"/>
            <w:szCs w:val="24"/>
          </w:rPr>
          <w:fldChar w:fldCharType="end"/>
        </w:r>
      </w:p>
      <w:p>
        <w:pPr>
          <w:jc w:val="left"/>
          <w:rPr>
            <w:lang w:val="fr-BE"/>
          </w:rPr>
        </w:pPr>
        <w:sdt>
          <w:sdtPr>
            <w:rPr>
              <w:sz w:val="20"/>
              <w:lang w:val="fr-BE"/>
            </w:rPr>
            <w:id w:val="-1732457668"/>
            <w:dataBinding w:xpath="/Texts/TechFooterVersion" w:storeItemID="{00000000-0000-0000-0000-000000000000}"/>
            <w:text w:multiLine="1"/>
          </w:sdtPr>
          <w:sdtContent>
            <w:r>
              <w:rPr>
                <w:sz w:val="20"/>
                <w:lang w:val="fr-BE"/>
              </w:rPr>
              <w:t>Document Version</w:t>
            </w:r>
          </w:sdtContent>
        </w:sdt>
        <w:r>
          <w:rPr>
            <w:sz w:val="20"/>
            <w:lang w:val="fr-BE"/>
          </w:rPr>
          <w:t xml:space="preserve"> </w:t>
        </w:r>
        <w:sdt>
          <w:sdtPr>
            <w:rPr>
              <w:sz w:val="20"/>
              <w:lang w:val="fr-BE"/>
            </w:rPr>
            <w:alias w:val="Version"/>
            <w:id w:val="518591553"/>
            <w:dataBinding w:xpath="/EurolookProperties/DocumentVersion" w:storeItemID="{00000000-0000-0000-0000-000000000000}"/>
            <w:text w:multiLine="1"/>
          </w:sdtPr>
          <w:sdtContent>
            <w:r>
              <w:rPr>
                <w:sz w:val="20"/>
                <w:lang w:val="fr-BE"/>
              </w:rPr>
              <w:t>3.2</w:t>
            </w:r>
          </w:sdtContent>
        </w:sdt>
        <w:r>
          <w:rPr>
            <w:sz w:val="20"/>
            <w:lang w:val="fr-BE"/>
          </w:rPr>
          <w:t xml:space="preserve"> </w:t>
        </w:r>
        <w:sdt>
          <w:sdtPr>
            <w:rPr>
              <w:sz w:val="20"/>
              <w:lang w:val="fr-BE"/>
            </w:rPr>
            <w:id w:val="2129819966"/>
            <w:dataBinding w:xpath="/Texts/TechFooterDated" w:storeItemID="{00000000-0000-0000-0000-000000000000}"/>
            <w:text w:multiLine="1"/>
          </w:sdtPr>
          <w:sdtContent>
            <w:r>
              <w:rPr>
                <w:sz w:val="20"/>
                <w:lang w:val="fr-BE"/>
              </w:rPr>
              <w:t>dated</w:t>
            </w:r>
          </w:sdtContent>
        </w:sdt>
        <w:r>
          <w:rPr>
            <w:sz w:val="20"/>
            <w:lang w:val="fr-BE"/>
          </w:rPr>
          <w:t xml:space="preserve"> </w:t>
        </w:r>
        <w:sdt>
          <w:sdtPr>
            <w:rPr>
              <w:sz w:val="20"/>
              <w:lang w:val="fr-BE"/>
            </w:rPr>
            <w:alias w:val=""/>
            <w:id w:val="-1892029169"/>
            <w:dataBinding w:xpath="/EurolookProperties/DocumentDate" w:storeItemID="{00000000-0000-0000-0000-000000000000}"/>
            <w:date w:fullDate="2020-03-04T00:00:00Z">
              <w:dateFormat w:val="dd/MM/yyyy"/>
              <w:lid w:val="en-GB"/>
              <w:storeMappedDataAs w:val="dateTime"/>
              <w:calendar w:val="gregorian"/>
            </w:date>
          </w:sdtPr>
          <w:sdtContent>
            <w:r>
              <w:rPr>
                <w:sz w:val="20"/>
                <w:lang w:val="fr-BE"/>
              </w:rPr>
              <w:t>04/03/2020</w:t>
            </w:r>
          </w:sdtContent>
        </w:sdt>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763247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alias w:val="Footer - Footer"/>
      <w:tag w:val="tkgx793blqwVsfMzIs5ka6-Aa3Kt4ltWaoVXwcSq1qvk0"/>
      <w:id w:val="994764228"/>
    </w:sdtPr>
    <w:sdtContent>
      <w:p>
        <w:pPr>
          <w:pStyle w:val="FooterLine"/>
          <w:rPr>
            <w:sz w:val="20"/>
          </w:rPr>
        </w:pPr>
        <w:r>
          <w:rPr>
            <w:sz w:val="24"/>
          </w:rPr>
          <w:t>S     W</w:t>
        </w:r>
        <w:r>
          <w:rPr>
            <w:sz w:val="24"/>
            <w:szCs w:val="24"/>
          </w:rPr>
          <w:t>S     W</w:t>
        </w:r>
        <w:r>
          <w:rPr>
            <w:sz w:val="24"/>
          </w:rPr>
          <w:tab/>
          <w:t xml:space="preserve">Page </w:t>
        </w:r>
        <w:r>
          <w:rPr>
            <w:sz w:val="24"/>
            <w:szCs w:val="24"/>
          </w:rPr>
          <w:fldChar w:fldCharType="begin"/>
        </w:r>
        <w:r>
          <w:rPr>
            <w:sz w:val="24"/>
          </w:rPr>
          <w:instrText>PAGE</w:instrText>
        </w:r>
        <w:r>
          <w:rPr>
            <w:sz w:val="24"/>
            <w:szCs w:val="24"/>
          </w:rPr>
          <w:fldChar w:fldCharType="separate"/>
        </w:r>
        <w:r>
          <w:rPr>
            <w:sz w:val="24"/>
          </w:rPr>
          <w:t>54</w:t>
        </w:r>
        <w:r>
          <w:rPr>
            <w:sz w:val="24"/>
            <w:szCs w:val="24"/>
          </w:rPr>
          <w:fldChar w:fldCharType="end"/>
        </w:r>
        <w:r>
          <w:rPr>
            <w:sz w:val="24"/>
          </w:rPr>
          <w:t xml:space="preserve"> / </w:t>
        </w:r>
        <w:r>
          <w:rPr>
            <w:sz w:val="24"/>
            <w:szCs w:val="24"/>
          </w:rPr>
          <w:fldChar w:fldCharType="begin"/>
        </w:r>
        <w:r>
          <w:rPr>
            <w:sz w:val="24"/>
          </w:rPr>
          <w:instrText>NUMPAGES</w:instrText>
        </w:r>
        <w:r>
          <w:rPr>
            <w:sz w:val="24"/>
            <w:szCs w:val="24"/>
          </w:rPr>
          <w:fldChar w:fldCharType="separate"/>
        </w:r>
        <w:r>
          <w:rPr>
            <w:noProof/>
            <w:sz w:val="24"/>
          </w:rPr>
          <w:t>290</w:t>
        </w:r>
        <w:r>
          <w:rPr>
            <w:sz w:val="24"/>
            <w:szCs w:val="24"/>
          </w:rPr>
          <w:fldChar w:fldCharType="end"/>
        </w:r>
      </w:p>
      <w:p>
        <w:pPr>
          <w:jc w:val="left"/>
          <w:rPr>
            <w:lang w:val="fr-BE"/>
          </w:rPr>
        </w:pPr>
        <w:sdt>
          <w:sdtPr>
            <w:rPr>
              <w:sz w:val="20"/>
              <w:lang w:val="fr-BE"/>
            </w:rPr>
            <w:id w:val="-477454096"/>
            <w:dataBinding w:xpath="/Texts/TechFooterVersion" w:storeItemID="{00000000-0000-0000-0000-000000000000}"/>
            <w:text w:multiLine="1"/>
          </w:sdtPr>
          <w:sdtContent>
            <w:r>
              <w:rPr>
                <w:sz w:val="20"/>
                <w:lang w:val="fr-BE"/>
              </w:rPr>
              <w:t>Document Version</w:t>
            </w:r>
          </w:sdtContent>
        </w:sdt>
        <w:r>
          <w:rPr>
            <w:sz w:val="20"/>
            <w:lang w:val="fr-BE"/>
          </w:rPr>
          <w:t xml:space="preserve"> </w:t>
        </w:r>
        <w:sdt>
          <w:sdtPr>
            <w:rPr>
              <w:sz w:val="20"/>
              <w:lang w:val="fr-BE"/>
            </w:rPr>
            <w:alias w:val="Version"/>
            <w:id w:val="2103834509"/>
            <w:dataBinding w:xpath="/EurolookProperties/DocumentVersion" w:storeItemID="{00000000-0000-0000-0000-000000000000}"/>
            <w:text w:multiLine="1"/>
          </w:sdtPr>
          <w:sdtContent>
            <w:r>
              <w:rPr>
                <w:sz w:val="20"/>
                <w:lang w:val="fr-BE"/>
              </w:rPr>
              <w:t>3.2</w:t>
            </w:r>
          </w:sdtContent>
        </w:sdt>
        <w:r>
          <w:rPr>
            <w:sz w:val="20"/>
            <w:lang w:val="fr-BE"/>
          </w:rPr>
          <w:t xml:space="preserve"> </w:t>
        </w:r>
        <w:sdt>
          <w:sdtPr>
            <w:rPr>
              <w:sz w:val="20"/>
              <w:lang w:val="fr-BE"/>
            </w:rPr>
            <w:id w:val="1063516826"/>
            <w:dataBinding w:xpath="/Texts/TechFooterDated" w:storeItemID="{00000000-0000-0000-0000-000000000000}"/>
            <w:text w:multiLine="1"/>
          </w:sdtPr>
          <w:sdtContent>
            <w:r>
              <w:rPr>
                <w:sz w:val="20"/>
                <w:lang w:val="fr-BE"/>
              </w:rPr>
              <w:t>dated</w:t>
            </w:r>
          </w:sdtContent>
        </w:sdt>
        <w:r>
          <w:rPr>
            <w:sz w:val="20"/>
            <w:lang w:val="fr-BE"/>
          </w:rPr>
          <w:t xml:space="preserve"> </w:t>
        </w:r>
        <w:sdt>
          <w:sdtPr>
            <w:rPr>
              <w:sz w:val="20"/>
              <w:lang w:val="fr-BE"/>
            </w:rPr>
            <w:alias w:val=""/>
            <w:id w:val="1194736637"/>
            <w:dataBinding w:xpath="/EurolookProperties/DocumentDate" w:storeItemID="{00000000-0000-0000-0000-000000000000}"/>
            <w:date w:fullDate="2020-03-04T00:00:00Z">
              <w:dateFormat w:val="dd/MM/yyyy"/>
              <w:lid w:val="en-GB"/>
              <w:storeMappedDataAs w:val="dateTime"/>
              <w:calendar w:val="gregorian"/>
            </w:date>
          </w:sdtPr>
          <w:sdtContent>
            <w:r>
              <w:rPr>
                <w:sz w:val="20"/>
                <w:lang w:val="fr-BE"/>
              </w:rPr>
              <w:t>04/03/2020</w:t>
            </w:r>
          </w:sdtContent>
        </w:sdt>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62344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tabs>
          <w:tab w:val="left" w:pos="709"/>
        </w:tabs>
        <w:autoSpaceDE w:val="0"/>
        <w:autoSpaceDN w:val="0"/>
        <w:spacing w:after="0" w:line="240" w:lineRule="auto"/>
        <w:rPr>
          <w:sz w:val="16"/>
          <w:szCs w:val="16"/>
        </w:rPr>
      </w:pPr>
      <w:r>
        <w:rPr>
          <w:rStyle w:val="FootnoteReference"/>
          <w:sz w:val="16"/>
          <w:szCs w:val="16"/>
        </w:rPr>
        <w:footnoteRef/>
      </w:r>
      <w:r>
        <w:rPr>
          <w:sz w:val="16"/>
          <w:szCs w:val="16"/>
        </w:rPr>
        <w:t xml:space="preserve"> 1.For statistical information, unless otherwise indicated (e.g. EU-27 is mentioned), EU data relating to the period before the withdrawal of the UK from the Union (i.e. 31 January 2020) includes the UK.</w:t>
      </w:r>
    </w:p>
    <w:p>
      <w:pPr>
        <w:tabs>
          <w:tab w:val="left" w:pos="709"/>
        </w:tabs>
        <w:autoSpaceDE w:val="0"/>
        <w:autoSpaceDN w:val="0"/>
        <w:spacing w:after="0" w:line="240" w:lineRule="auto"/>
        <w:rPr>
          <w:sz w:val="16"/>
          <w:szCs w:val="16"/>
        </w:rPr>
      </w:pPr>
      <w:r>
        <w:rPr>
          <w:sz w:val="16"/>
          <w:szCs w:val="16"/>
        </w:rPr>
        <w:t>2. For projections (going beyond 2019) reproduced in the document: Unless otherwise indicated (e.g. EU-27 is mentioned), all EU data also includes the UK, although the UK withdrew from the Union on 31 January 2020.</w:t>
      </w:r>
    </w:p>
  </w:footnote>
  <w:footnote w:id="3">
    <w:p>
      <w:pPr>
        <w:pStyle w:val="footnote"/>
        <w:tabs>
          <w:tab w:val="left" w:pos="709"/>
        </w:tabs>
        <w:snapToGrid w:val="0"/>
      </w:pPr>
      <w:r>
        <w:rPr>
          <w:rStyle w:val="FootnoteReference"/>
        </w:rPr>
        <w:footnoteRef/>
      </w:r>
      <w:r>
        <w:t xml:space="preserve"> Communication from the Commission to the European Parliament, the European Council, the Council, the European Economic and Social Committee and the Committee of the Regions ‘The European Green Deal’, COM(2019) 640 final.</w:t>
      </w:r>
    </w:p>
  </w:footnote>
  <w:footnote w:id="4">
    <w:p>
      <w:pPr>
        <w:pStyle w:val="footnote"/>
        <w:tabs>
          <w:tab w:val="left" w:pos="709"/>
        </w:tabs>
        <w:snapToGrid w:val="0"/>
      </w:pPr>
      <w:r>
        <w:rPr>
          <w:rStyle w:val="FootnoteReference"/>
        </w:rPr>
        <w:footnoteRef/>
      </w:r>
      <w:r>
        <w:t xml:space="preserve"> Communication from the Commission to the European Parliament, the Council, the European Economic and Social Committee and the Committee of the Regions ‘Stepping up Europe’s 2030 climate ambition - Investing in a climate-neutral future for the benefit of our people’, COM(2020) 562 final.</w:t>
      </w:r>
    </w:p>
  </w:footnote>
  <w:footnote w:id="5">
    <w:p>
      <w:pPr>
        <w:pStyle w:val="footnote"/>
        <w:tabs>
          <w:tab w:val="left" w:pos="709"/>
        </w:tabs>
        <w:snapToGrid w:val="0"/>
      </w:pPr>
      <w:r>
        <w:rPr>
          <w:rStyle w:val="FootnoteReference"/>
        </w:rPr>
        <w:footnoteRef/>
      </w:r>
      <w:r>
        <w:t xml:space="preserve"> Impact Assessment accompanying the Communication from the Commission to the European Parliament, the Council, the European Economic and Social Committee and the Committee of the Regions ‘Stepping up Europe’s 2030 climate ambition -Investing in a climate-neutral future for the benefit of our people’, SWD(2020) 176 final.</w:t>
      </w:r>
    </w:p>
  </w:footnote>
  <w:footnote w:id="6">
    <w:p>
      <w:pPr>
        <w:pStyle w:val="footnote"/>
        <w:tabs>
          <w:tab w:val="left" w:pos="709"/>
        </w:tabs>
        <w:snapToGrid w:val="0"/>
      </w:pPr>
      <w:r>
        <w:rPr>
          <w:rStyle w:val="FootnoteReference"/>
        </w:rPr>
        <w:footnoteRef/>
      </w:r>
      <w:r>
        <w:t xml:space="preserve"> White Paper Roadmap to a Single European Transport Area – Towards a competitive and resource efficient transport system, COM(2011) 144 </w:t>
      </w:r>
      <w:r>
        <w:rPr>
          <w:lang w:val="en-IE"/>
        </w:rPr>
        <w:t>final</w:t>
      </w:r>
      <w:r>
        <w:t>.</w:t>
      </w:r>
    </w:p>
  </w:footnote>
  <w:footnote w:id="7">
    <w:p>
      <w:pPr>
        <w:pStyle w:val="footnote"/>
        <w:tabs>
          <w:tab w:val="left" w:pos="709"/>
        </w:tabs>
        <w:snapToGrid w:val="0"/>
      </w:pPr>
      <w:r>
        <w:rPr>
          <w:rStyle w:val="FootnoteReference"/>
        </w:rPr>
        <w:footnoteRef/>
      </w:r>
      <w:r>
        <w:t xml:space="preserve"> However, this Staff Working Document does not analyse in detail the specificities of each action set out in the Strategy. Those will be adequately addressed for each initiative in line with established Better Regulation practices at the time of their development.</w:t>
      </w:r>
    </w:p>
  </w:footnote>
  <w:footnote w:id="8">
    <w:p>
      <w:pPr>
        <w:pStyle w:val="footnote"/>
        <w:tabs>
          <w:tab w:val="left" w:pos="709"/>
        </w:tabs>
        <w:snapToGrid w:val="0"/>
      </w:pPr>
      <w:r>
        <w:rPr>
          <w:vertAlign w:val="superscript"/>
        </w:rPr>
        <w:footnoteRef/>
      </w:r>
      <w:r>
        <w:t xml:space="preserve"> In-depth analysis in support of the Commission Communication “A Clean Planet for all - A European strategic long-term vision for a prosperous, modern, competitive and climate neutral economy”, COM(2018) 773, available at: </w:t>
      </w:r>
      <w:hyperlink r:id="rId1" w:history="1">
        <w:r>
          <w:t>https://ec.europa.eu/clima/sites/clima/files/docs/pages/com_2018_733_analysis_in_support_en_0.pdf</w:t>
        </w:r>
      </w:hyperlink>
      <w:r>
        <w:t xml:space="preserve">. </w:t>
      </w:r>
    </w:p>
  </w:footnote>
  <w:footnote w:id="9">
    <w:p>
      <w:pPr>
        <w:pStyle w:val="FootnoteText"/>
        <w:tabs>
          <w:tab w:val="left" w:pos="709"/>
        </w:tabs>
        <w:snapToGrid w:val="0"/>
        <w:spacing w:after="0" w:line="240" w:lineRule="auto"/>
        <w:ind w:left="0" w:firstLine="0"/>
        <w:rPr>
          <w:sz w:val="16"/>
          <w:szCs w:val="16"/>
          <w:lang w:val="en-US"/>
        </w:rPr>
      </w:pPr>
      <w:r>
        <w:rPr>
          <w:rStyle w:val="FootnoteReference"/>
          <w:sz w:val="16"/>
          <w:szCs w:val="16"/>
        </w:rPr>
        <w:footnoteRef/>
      </w:r>
      <w:r>
        <w:rPr>
          <w:sz w:val="16"/>
          <w:szCs w:val="16"/>
        </w:rPr>
        <w:t xml:space="preserve"> This covers international aviation but excludes international maritime in line with the 2030 climate and energy policy framework. The in-depth analysis has additionally shown that when the international maritime sector is considered part of the economy-wide net zero greenhouse gas emissions target, the emissions from international maritime should go down by around 80% by 2050 relative to 1990 (87% decrease compared to 2005).</w:t>
      </w:r>
    </w:p>
  </w:footnote>
  <w:footnote w:id="10">
    <w:p>
      <w:pPr>
        <w:pStyle w:val="footnote"/>
        <w:tabs>
          <w:tab w:val="left" w:pos="709"/>
        </w:tabs>
        <w:snapToGrid w:val="0"/>
      </w:pPr>
      <w:r>
        <w:rPr>
          <w:vertAlign w:val="superscript"/>
        </w:rPr>
        <w:footnoteRef/>
      </w:r>
      <w:r>
        <w:t xml:space="preserve"> Impact assessment accompanying the Commission Communication “Stepping up Europe’s 2030 climate ambition - Investing in a climate-neutral future for the benefit of our people”, SWD(2020) 176 final.</w:t>
      </w:r>
    </w:p>
  </w:footnote>
  <w:footnote w:id="11">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The base year for defining the level of the climate ambition for 2030 and 2050.</w:t>
      </w:r>
    </w:p>
  </w:footnote>
  <w:footnote w:id="12">
    <w:p>
      <w:pPr>
        <w:pStyle w:val="footnote"/>
        <w:tabs>
          <w:tab w:val="left" w:pos="709"/>
        </w:tabs>
        <w:snapToGrid w:val="0"/>
      </w:pPr>
      <w:r>
        <w:rPr>
          <w:vertAlign w:val="superscript"/>
        </w:rPr>
        <w:footnoteRef/>
      </w:r>
      <w:r>
        <w:rPr>
          <w:vertAlign w:val="superscript"/>
        </w:rPr>
        <w:t xml:space="preserve"> </w:t>
      </w:r>
      <w:r>
        <w:t>When all intra-EU and extra-EU aviation and maritime emissions are accounted, the Baseline scenario results in 13% reduction in transport emissions by 2030 and 29% decrease by 2050 compared to 2005 levels.</w:t>
      </w:r>
    </w:p>
  </w:footnote>
  <w:footnote w:id="13">
    <w:p>
      <w:pPr>
        <w:pStyle w:val="footnote"/>
        <w:tabs>
          <w:tab w:val="left" w:pos="709"/>
        </w:tabs>
        <w:snapToGrid w:val="0"/>
      </w:pPr>
      <w:r>
        <w:rPr>
          <w:vertAlign w:val="superscript"/>
        </w:rPr>
        <w:footnoteRef/>
      </w:r>
      <w:r>
        <w:rPr>
          <w:vertAlign w:val="superscript"/>
        </w:rPr>
        <w:t xml:space="preserve"> </w:t>
      </w:r>
      <w:r>
        <w:t>While some policies, notably CO</w:t>
      </w:r>
      <w:r>
        <w:rPr>
          <w:vertAlign w:val="subscript"/>
        </w:rPr>
        <w:t>2</w:t>
      </w:r>
      <w:r>
        <w:t xml:space="preserve"> standards for light duty and heavy duty vehicles are represented in more detail, others are represented in a more stylised manner and the impacts of such policies are subject to higher uncertainty. Subject to dedicated impact assessment for each policy initiative, it is possible that different policy instruments, different parameters of these policies (e.g. in case of CO</w:t>
      </w:r>
      <w:r>
        <w:rPr>
          <w:vertAlign w:val="subscript"/>
        </w:rPr>
        <w:t>2</w:t>
      </w:r>
      <w:r>
        <w:t xml:space="preserve"> standards for light duty and heavy duty vehicles) and nature of instruments (e.g. regulation, voluntary agreement, financing, information campaign) than the ones assumed in this modelling exercise might be necessary or desired. </w:t>
      </w:r>
    </w:p>
  </w:footnote>
  <w:footnote w:id="14">
    <w:p>
      <w:pPr>
        <w:pStyle w:val="footnote"/>
        <w:tabs>
          <w:tab w:val="left" w:pos="709"/>
        </w:tabs>
        <w:snapToGrid w:val="0"/>
      </w:pPr>
      <w:r>
        <w:rPr>
          <w:rStyle w:val="FootnoteReference"/>
        </w:rPr>
        <w:footnoteRef/>
      </w:r>
      <w:r>
        <w:t xml:space="preserve"> When all intra-EU and extra-EU aviation and maritime emissions are considered in the scope of EU-27 emissions reduction target, the projections show that transport emissions (including intra- and extra-EU aviation and maritime) would need to decrease by 19% by 2030 and 92% by 2050 compared to 2005 levels.</w:t>
      </w:r>
    </w:p>
  </w:footnote>
  <w:footnote w:id="15">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It includes the post-2020 CO</w:t>
      </w:r>
      <w:r>
        <w:rPr>
          <w:sz w:val="16"/>
          <w:szCs w:val="16"/>
          <w:vertAlign w:val="subscript"/>
        </w:rPr>
        <w:t>2</w:t>
      </w:r>
      <w:r>
        <w:rPr>
          <w:sz w:val="16"/>
          <w:szCs w:val="16"/>
        </w:rPr>
        <w:t xml:space="preserve"> standards for new light duty and heavy duty vehicles, the Clean Vehicles Directive and the Directive on the deployment of alternative fuels infrastructure.</w:t>
      </w:r>
    </w:p>
  </w:footnote>
  <w:footnote w:id="16">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It covers the Renewables Energy Directive, the Fuel Quality Directive and the Directive on the deployment of alternative fuels infrastructure.</w:t>
      </w:r>
    </w:p>
  </w:footnote>
  <w:footnote w:id="17">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It includes the TEN-T Regulation supported by CEF funding, the fourth Railway Package, the Rail Freight Corridors Regulation, the proposed revision of the Eurovignette Directive, the Directive on Intelligent Transport Systems, the European Rail Traffic Management System European deployment plan, the Regulation establishing a framework for the provision of port services, the revised EU urban mobility package, etc.</w:t>
      </w:r>
    </w:p>
  </w:footnote>
  <w:footnote w:id="18">
    <w:p>
      <w:pPr>
        <w:pStyle w:val="FootnoteText"/>
        <w:tabs>
          <w:tab w:val="left" w:pos="709"/>
        </w:tabs>
        <w:snapToGrid w:val="0"/>
        <w:spacing w:after="0" w:line="240" w:lineRule="auto"/>
        <w:ind w:left="0" w:firstLine="0"/>
        <w:rPr>
          <w:sz w:val="16"/>
          <w:szCs w:val="16"/>
          <w:lang w:val="en-US"/>
        </w:rPr>
      </w:pPr>
      <w:r>
        <w:rPr>
          <w:rStyle w:val="FootnoteReference"/>
          <w:sz w:val="16"/>
          <w:szCs w:val="16"/>
        </w:rPr>
        <w:footnoteRef/>
      </w:r>
      <w:r>
        <w:rPr>
          <w:sz w:val="16"/>
          <w:szCs w:val="16"/>
        </w:rPr>
        <w:t xml:space="preserve"> Based on the fatality and serious injury savings projected by the changes to the</w:t>
      </w:r>
      <w:r>
        <w:rPr>
          <w:sz w:val="16"/>
          <w:szCs w:val="16"/>
          <w:lang w:val="en-US"/>
        </w:rPr>
        <w:t xml:space="preserve"> General Safety Regulation (Regulation (EU) 2019/2144) and the Road Infrastructure Safety Management Directive (Directive (EU) 2019/1936) agreed in 2019.</w:t>
      </w:r>
    </w:p>
  </w:footnote>
  <w:footnote w:id="19">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Directive (EU) 2016/802 of the European Parliament and of the Council of 11 May 2016 relating to a reduction in the sulphur content of certain liquid fuels, OJ L 132, 21.5.2016, p. 58–78.</w:t>
      </w:r>
    </w:p>
  </w:footnote>
  <w:footnote w:id="20">
    <w:p>
      <w:pPr>
        <w:pStyle w:val="footnote"/>
        <w:tabs>
          <w:tab w:val="left" w:pos="709"/>
        </w:tabs>
        <w:snapToGrid w:val="0"/>
      </w:pPr>
      <w:r>
        <w:rPr>
          <w:rStyle w:val="FootnoteReference"/>
        </w:rPr>
        <w:footnoteRef/>
      </w:r>
      <w:r>
        <w:t xml:space="preserve"> Regulation (EU) 2016/1628 of the European Parliament and of the Council of 14 September 2016 on requirements relating to gaseous and particulate pollutant emission limits and type-approval for internal combustion engines for non-road mobile machinery.</w:t>
      </w:r>
    </w:p>
  </w:footnote>
  <w:footnote w:id="21">
    <w:p>
      <w:pPr>
        <w:pStyle w:val="footnote"/>
        <w:tabs>
          <w:tab w:val="left" w:pos="709"/>
        </w:tabs>
        <w:snapToGrid w:val="0"/>
      </w:pPr>
      <w:r>
        <w:rPr>
          <w:rStyle w:val="FootnoteReference"/>
        </w:rPr>
        <w:footnoteRef/>
      </w:r>
      <w:r>
        <w:t xml:space="preserve"> Inland navigation covers inland waterways and national maritime. </w:t>
      </w:r>
    </w:p>
  </w:footnote>
  <w:footnote w:id="22">
    <w:p>
      <w:pPr>
        <w:pStyle w:val="footnote"/>
        <w:tabs>
          <w:tab w:val="left" w:pos="709"/>
        </w:tabs>
        <w:snapToGrid w:val="0"/>
      </w:pPr>
      <w:r>
        <w:rPr>
          <w:rStyle w:val="FootnoteReference"/>
        </w:rPr>
        <w:footnoteRef/>
      </w:r>
      <w:r>
        <w:t xml:space="preserve"> According to the Directive 2014/94/EU, ‘alternative fuels’ refer to fuels or power sources which serve, at least partly, as a substitute for fossil oil sources in the energy supply to transport and which have the potential to contribute to its decarbonisation and enhance the environmental performance of the transport sector. They include, inter alia: electricity, hydrogen, biofuels, synthetic and paraffinic fuels, natural gas, including biomethane, in gaseous form (compressed natural gas (CNG)) and liquefied form (liquefied natural gas (LNG)), and liquefied petroleum gas (LPG).</w:t>
      </w:r>
    </w:p>
  </w:footnote>
  <w:footnote w:id="23">
    <w:p>
      <w:pPr>
        <w:pStyle w:val="footnote"/>
        <w:tabs>
          <w:tab w:val="left" w:pos="709"/>
        </w:tabs>
        <w:snapToGrid w:val="0"/>
        <w:rPr>
          <w:lang w:val="en-US"/>
        </w:rPr>
      </w:pPr>
      <w:r>
        <w:rPr>
          <w:rStyle w:val="FootnoteReference"/>
        </w:rPr>
        <w:footnoteRef/>
      </w:r>
      <w:r>
        <w:t xml:space="preserve"> Impact Assessment accompanying the Communication from the Commission ‘Stepping up Europe’s 2030 climate ambition -Investing in a climate-neutral future for the benefit of our people’, SWD(2020) 176 final.</w:t>
      </w:r>
    </w:p>
  </w:footnote>
  <w:footnote w:id="24">
    <w:p>
      <w:pPr>
        <w:pStyle w:val="footnote"/>
        <w:tabs>
          <w:tab w:val="left" w:pos="709"/>
        </w:tabs>
        <w:snapToGrid w:val="0"/>
      </w:pPr>
      <w:r>
        <w:rPr>
          <w:rStyle w:val="FootnoteReference"/>
        </w:rPr>
        <w:footnoteRef/>
      </w:r>
      <w:r>
        <w:t xml:space="preserve"> When all intra-EU and extra-EU aviation and maritime emissions are accounted in the transport emissions, the Baseline scenario results in 13% decrease in transport emissions by 2030 and 29% decrease by 2050 compared to 2005 levels.</w:t>
      </w:r>
    </w:p>
  </w:footnote>
  <w:footnote w:id="25">
    <w:p>
      <w:pPr>
        <w:pStyle w:val="FootnoteText"/>
        <w:tabs>
          <w:tab w:val="left" w:pos="709"/>
        </w:tabs>
        <w:snapToGrid w:val="0"/>
        <w:spacing w:after="0" w:line="240" w:lineRule="auto"/>
        <w:rPr>
          <w:sz w:val="16"/>
          <w:szCs w:val="16"/>
        </w:rPr>
      </w:pPr>
      <w:r>
        <w:rPr>
          <w:rStyle w:val="FootnoteReference"/>
          <w:sz w:val="16"/>
          <w:szCs w:val="16"/>
        </w:rPr>
        <w:footnoteRef/>
      </w:r>
      <w:r>
        <w:rPr>
          <w:sz w:val="16"/>
          <w:szCs w:val="16"/>
        </w:rPr>
        <w:t xml:space="preserve"> Covering NOx, PM and SOx; excluding international maritime.</w:t>
      </w:r>
    </w:p>
  </w:footnote>
  <w:footnote w:id="26">
    <w:p>
      <w:pPr>
        <w:pStyle w:val="footnote"/>
        <w:tabs>
          <w:tab w:val="left" w:pos="709"/>
        </w:tabs>
        <w:snapToGrid w:val="0"/>
      </w:pPr>
      <w:r>
        <w:rPr>
          <w:rStyle w:val="FootnoteReference"/>
        </w:rPr>
        <w:footnoteRef/>
      </w:r>
      <w:r>
        <w:rPr>
          <w:lang w:val="en-IE"/>
        </w:rPr>
        <w:t xml:space="preserve"> Eurostat (2020)</w:t>
      </w:r>
      <w:r>
        <w:t xml:space="preserve">, </w:t>
      </w:r>
      <w:r>
        <w:rPr>
          <w:lang w:val="en-US"/>
        </w:rPr>
        <w:t>‘</w:t>
      </w:r>
      <w:r>
        <w:t>GDP and employment flash estimates for the third quarter of 2020</w:t>
      </w:r>
      <w:r>
        <w:rPr>
          <w:lang w:val="en-US"/>
        </w:rPr>
        <w:t xml:space="preserve">’, available at: </w:t>
      </w:r>
      <w:r>
        <w:t>https://ec.europa.eu/eurostat/documents/2995521/10662173/2-13112020-AP-EN.pdf/0ac3f053-f601-091d-ea21-db1ecaca7e8c</w:t>
      </w:r>
    </w:p>
  </w:footnote>
  <w:footnote w:id="27">
    <w:p>
      <w:pPr>
        <w:pStyle w:val="footnote"/>
        <w:tabs>
          <w:tab w:val="left" w:pos="709"/>
        </w:tabs>
        <w:snapToGrid w:val="0"/>
        <w:rPr>
          <w:lang w:val="en-IE"/>
        </w:rPr>
      </w:pPr>
      <w:r>
        <w:rPr>
          <w:rStyle w:val="FootnoteReference"/>
        </w:rPr>
        <w:footnoteRef/>
      </w:r>
      <w:r>
        <w:t xml:space="preserve"> </w:t>
      </w:r>
      <w:r>
        <w:rPr>
          <w:lang w:val="en-IE"/>
        </w:rPr>
        <w:t xml:space="preserve">European </w:t>
      </w:r>
      <w:r>
        <w:t>Commission</w:t>
      </w:r>
      <w:r>
        <w:rPr>
          <w:lang w:val="en-IE"/>
        </w:rPr>
        <w:t xml:space="preserve"> (2020), ‘Spring 2020 Economic Forecast: A deep and uneven recession, an uncertain recovery’, available at:</w:t>
      </w:r>
      <w:hyperlink r:id="rId2" w:history="1">
        <w:r>
          <w:rPr>
            <w:rStyle w:val="Hyperlink"/>
            <w:u w:val="none"/>
            <w:lang w:val="en-IE"/>
          </w:rPr>
          <w:t>https://ec.europa.eu/info/business-economy-euro/economic-performance-and-forecasts/economic-forecasts/spring-2020-economic-forecast-deep-and-uneven-recession-uncertain-recovery_en</w:t>
        </w:r>
      </w:hyperlink>
      <w:r>
        <w:rPr>
          <w:lang w:val="en-IE"/>
        </w:rPr>
        <w:t xml:space="preserve">. </w:t>
      </w:r>
    </w:p>
  </w:footnote>
  <w:footnote w:id="28">
    <w:p>
      <w:pPr>
        <w:pStyle w:val="FootnoteText"/>
        <w:tabs>
          <w:tab w:val="left" w:pos="709"/>
        </w:tabs>
        <w:snapToGrid w:val="0"/>
        <w:spacing w:after="0" w:line="240" w:lineRule="auto"/>
        <w:rPr>
          <w:sz w:val="16"/>
          <w:szCs w:val="16"/>
          <w:lang w:val="en-IE"/>
        </w:rPr>
      </w:pPr>
      <w:r>
        <w:rPr>
          <w:rStyle w:val="FootnoteReference"/>
          <w:sz w:val="16"/>
          <w:szCs w:val="16"/>
        </w:rPr>
        <w:footnoteRef/>
      </w:r>
      <w:r>
        <w:t xml:space="preserve"> </w:t>
      </w:r>
      <w:r>
        <w:rPr>
          <w:sz w:val="16"/>
          <w:szCs w:val="16"/>
        </w:rPr>
        <w:t>https://ec.europa.eu/info/sites/info/files/economy-finance/ip136_en.pdf</w:t>
      </w:r>
    </w:p>
  </w:footnote>
  <w:footnote w:id="29">
    <w:p>
      <w:pPr>
        <w:pStyle w:val="footnote"/>
        <w:tabs>
          <w:tab w:val="left" w:pos="709"/>
        </w:tabs>
        <w:snapToGrid w:val="0"/>
        <w:rPr>
          <w:lang w:val="en-IE"/>
        </w:rPr>
      </w:pPr>
      <w:r>
        <w:rPr>
          <w:rStyle w:val="FootnoteReference"/>
        </w:rPr>
        <w:footnoteRef/>
      </w:r>
      <w:r>
        <w:rPr>
          <w:lang w:val="en-IE"/>
        </w:rPr>
        <w:t xml:space="preserve"> Ibid.</w:t>
      </w:r>
    </w:p>
  </w:footnote>
  <w:footnote w:id="30">
    <w:p>
      <w:pPr>
        <w:pStyle w:val="FootnoteText"/>
        <w:tabs>
          <w:tab w:val="left" w:pos="709"/>
        </w:tabs>
        <w:snapToGrid w:val="0"/>
        <w:spacing w:after="0" w:line="240" w:lineRule="auto"/>
        <w:rPr>
          <w:sz w:val="16"/>
          <w:szCs w:val="16"/>
        </w:rPr>
      </w:pPr>
      <w:r>
        <w:rPr>
          <w:rStyle w:val="FootnoteReference"/>
          <w:sz w:val="16"/>
          <w:szCs w:val="16"/>
        </w:rPr>
        <w:footnoteRef/>
      </w:r>
      <w:r>
        <w:rPr>
          <w:sz w:val="16"/>
          <w:szCs w:val="16"/>
        </w:rPr>
        <w:t xml:space="preserve"> European Commission, Employment and Social Developments in Europe 2020. </w:t>
      </w:r>
    </w:p>
  </w:footnote>
  <w:footnote w:id="31">
    <w:p>
      <w:pPr>
        <w:pStyle w:val="footnote"/>
        <w:tabs>
          <w:tab w:val="left" w:pos="709"/>
        </w:tabs>
        <w:snapToGrid w:val="0"/>
        <w:rPr>
          <w:lang w:val="en-IE"/>
        </w:rPr>
      </w:pPr>
      <w:r>
        <w:rPr>
          <w:rStyle w:val="FootnoteReference"/>
        </w:rPr>
        <w:footnoteRef/>
      </w:r>
      <w:r>
        <w:rPr>
          <w:lang w:val="en-IE"/>
        </w:rPr>
        <w:t>International Labour Organization (2020), ‘COVID-19 and the world of work - Third edition’.    https://www.ilo.org/wcmsp5/groups/public/@dgreports/@dcomm/documents/briefingnote/wcms_</w:t>
      </w:r>
      <w:r>
        <w:t>743146</w:t>
      </w:r>
      <w:r>
        <w:rPr>
          <w:lang w:val="en-IE"/>
        </w:rPr>
        <w:t>.pdf</w:t>
      </w:r>
    </w:p>
  </w:footnote>
  <w:footnote w:id="32">
    <w:p>
      <w:pPr>
        <w:pStyle w:val="footnote"/>
        <w:tabs>
          <w:tab w:val="left" w:pos="709"/>
        </w:tabs>
        <w:snapToGrid w:val="0"/>
        <w:jc w:val="left"/>
      </w:pPr>
      <w:r>
        <w:rPr>
          <w:rStyle w:val="FootnoteReference"/>
        </w:rPr>
        <w:footnoteRef/>
      </w:r>
      <w:r>
        <w:t xml:space="preserve"> Eurofound</w:t>
      </w:r>
      <w:r>
        <w:rPr>
          <w:lang w:val="en-IE"/>
        </w:rPr>
        <w:t xml:space="preserve"> (2020). </w:t>
      </w:r>
      <w:r>
        <w:t xml:space="preserve">‘Living, working and COVID-19’.    </w:t>
      </w:r>
      <w:hyperlink r:id="rId3" w:history="1">
        <w:r>
          <w:rPr>
            <w:rStyle w:val="Hyperlink"/>
            <w:u w:val="none"/>
          </w:rPr>
          <w:t>https://www.eurofound.europa.eu/sites/default/files/ef_publication/field_ef_document/ef20058en.pdf</w:t>
        </w:r>
      </w:hyperlink>
      <w:r>
        <w:t xml:space="preserve"> </w:t>
      </w:r>
    </w:p>
  </w:footnote>
  <w:footnote w:id="33">
    <w:p>
      <w:pPr>
        <w:pStyle w:val="footnote"/>
        <w:tabs>
          <w:tab w:val="left" w:pos="709"/>
        </w:tabs>
        <w:snapToGrid w:val="0"/>
      </w:pPr>
      <w:r>
        <w:rPr>
          <w:rStyle w:val="FootnoteReference"/>
        </w:rPr>
        <w:footnoteRef/>
      </w:r>
      <w:r>
        <w:t xml:space="preserve"> Communication from the Commission ‘Stepping up Europe’s 2030 climate ambition - Investing in a climate-neutral future for the benefit of our people’, COM(2020) 562 final.</w:t>
      </w:r>
    </w:p>
  </w:footnote>
  <w:footnote w:id="34">
    <w:p>
      <w:pPr>
        <w:pStyle w:val="footnote"/>
        <w:tabs>
          <w:tab w:val="left" w:pos="709"/>
        </w:tabs>
        <w:snapToGrid w:val="0"/>
        <w:rPr>
          <w:lang w:val="en-IE"/>
        </w:rPr>
      </w:pPr>
      <w:r>
        <w:rPr>
          <w:rStyle w:val="FootnoteReference"/>
        </w:rPr>
        <w:footnoteRef/>
      </w:r>
      <w:r>
        <w:t xml:space="preserve"> European Commission (2020), ‘EU Transport in Figures. </w:t>
      </w:r>
      <w:r>
        <w:rPr>
          <w:lang w:val="en-IE"/>
        </w:rPr>
        <w:t>Statistical Pocketbook 2020’.</w:t>
      </w:r>
      <w:r>
        <w:rPr>
          <w:rStyle w:val="Hyperlink"/>
          <w:u w:val="none"/>
          <w:lang w:val="en-IE"/>
        </w:rPr>
        <w:t xml:space="preserve">https://ec.europa.eu/transport/facts-fundings/statistics/pocketbook-2020_en </w:t>
      </w:r>
      <w:r>
        <w:rPr>
          <w:lang w:val="en-IE"/>
        </w:rPr>
        <w:t xml:space="preserve"> </w:t>
      </w:r>
    </w:p>
  </w:footnote>
  <w:footnote w:id="35">
    <w:p>
      <w:pPr>
        <w:pStyle w:val="footnote"/>
        <w:tabs>
          <w:tab w:val="left" w:pos="709"/>
        </w:tabs>
        <w:snapToGrid w:val="0"/>
        <w:rPr>
          <w:lang w:val="en-IE"/>
        </w:rPr>
      </w:pPr>
      <w:r>
        <w:rPr>
          <w:rStyle w:val="FootnoteReference"/>
        </w:rPr>
        <w:footnoteRef/>
      </w:r>
      <w:r>
        <w:rPr>
          <w:lang w:val="en-IE"/>
        </w:rPr>
        <w:t xml:space="preserve"> International Transport Forum (2019), ‘Transport Outlook 2019. OECD Paris’. </w:t>
      </w:r>
      <w:hyperlink r:id="rId4" w:history="1">
        <w:r>
          <w:rPr>
            <w:rStyle w:val="Hyperlink"/>
            <w:u w:val="none"/>
            <w:lang w:val="en-IE"/>
          </w:rPr>
          <w:t>https://www.oecd-ilibrary.org/transport/itf-transport-outlook-2019_transp_outlook-en-2019-en</w:t>
        </w:r>
      </w:hyperlink>
      <w:r>
        <w:rPr>
          <w:lang w:val="en-IE"/>
        </w:rPr>
        <w:t xml:space="preserve"> </w:t>
      </w:r>
    </w:p>
  </w:footnote>
  <w:footnote w:id="36">
    <w:p>
      <w:pPr>
        <w:pStyle w:val="footnote"/>
        <w:tabs>
          <w:tab w:val="left" w:pos="709"/>
        </w:tabs>
        <w:snapToGrid w:val="0"/>
        <w:rPr>
          <w:lang w:val="en-IE"/>
        </w:rPr>
      </w:pPr>
      <w:r>
        <w:rPr>
          <w:rStyle w:val="FootnoteReference"/>
        </w:rPr>
        <w:footnoteRef/>
      </w:r>
      <w:r>
        <w:rPr>
          <w:lang w:val="en-IE"/>
        </w:rPr>
        <w:t xml:space="preserve"> Ibid.</w:t>
      </w:r>
    </w:p>
  </w:footnote>
  <w:footnote w:id="37">
    <w:p>
      <w:pPr>
        <w:pStyle w:val="footnote"/>
        <w:tabs>
          <w:tab w:val="left" w:pos="709"/>
        </w:tabs>
        <w:snapToGrid w:val="0"/>
      </w:pPr>
      <w:r>
        <w:rPr>
          <w:rStyle w:val="FootnoteReference"/>
        </w:rPr>
        <w:footnoteRef/>
      </w:r>
      <w:r>
        <w:t xml:space="preserve"> World Trade </w:t>
      </w:r>
      <w:r>
        <w:rPr>
          <w:lang w:val="en-IE"/>
        </w:rPr>
        <w:t>Organization</w:t>
      </w:r>
      <w:r>
        <w:t xml:space="preserve"> (2018): ‘WTO downgrades outlook for global trade as risks accumulate’, press release of 27 September 2018. </w:t>
      </w:r>
      <w:hyperlink r:id="rId5" w:history="1">
        <w:r>
          <w:rPr>
            <w:rStyle w:val="Hyperlink"/>
            <w:u w:val="none"/>
          </w:rPr>
          <w:t>https://www.wto.org/english/news_e/pres18_e/pr822_e.htm</w:t>
        </w:r>
      </w:hyperlink>
      <w:r>
        <w:t>.</w:t>
      </w:r>
      <w:r>
        <w:rPr>
          <w:rStyle w:val="Hyperlink"/>
          <w:u w:val="none"/>
        </w:rPr>
        <w:t xml:space="preserve"> </w:t>
      </w:r>
    </w:p>
  </w:footnote>
  <w:footnote w:id="38">
    <w:p>
      <w:pPr>
        <w:pStyle w:val="footnote"/>
        <w:tabs>
          <w:tab w:val="left" w:pos="709"/>
        </w:tabs>
        <w:snapToGrid w:val="0"/>
      </w:pPr>
      <w:r>
        <w:rPr>
          <w:rStyle w:val="FootnoteReference"/>
        </w:rPr>
        <w:footnoteRef/>
      </w:r>
      <w:r>
        <w:t xml:space="preserve"> </w:t>
      </w:r>
      <w:r>
        <w:rPr>
          <w:lang w:val="en-IE"/>
        </w:rPr>
        <w:t>Ibid</w:t>
      </w:r>
      <w:r>
        <w:t>.</w:t>
      </w:r>
    </w:p>
  </w:footnote>
  <w:footnote w:id="39">
    <w:p>
      <w:pPr>
        <w:pStyle w:val="footnote"/>
        <w:tabs>
          <w:tab w:val="left" w:pos="709"/>
        </w:tabs>
        <w:snapToGrid w:val="0"/>
      </w:pPr>
      <w:r>
        <w:rPr>
          <w:rStyle w:val="FootnoteReference"/>
        </w:rPr>
        <w:footnoteRef/>
      </w:r>
      <w:r>
        <w:t xml:space="preserve"> International Transport Forum (2018), ‘Decarbonising Maritime Transport Pathways to zero-carbon shipping by 203520352035’</w:t>
      </w:r>
      <w:hyperlink r:id="rId6" w:history="1">
        <w:r>
          <w:rPr>
            <w:rStyle w:val="Hyperlink"/>
            <w:u w:val="none"/>
          </w:rPr>
          <w:t>https://www.oecd-ilibrary.org/docserver/b1a7632c-en.pdf?expires=1565000545&amp;id=id&amp;accname=id24042&amp;checksum=E8EF1EEA5165883BF77CEDEEC342B457</w:t>
        </w:r>
      </w:hyperlink>
      <w:r>
        <w:t>.</w:t>
      </w:r>
      <w:r>
        <w:rPr>
          <w:rStyle w:val="Hyperlink"/>
          <w:u w:val="none"/>
        </w:rPr>
        <w:t xml:space="preserve">    </w:t>
      </w:r>
      <w:r>
        <w:t xml:space="preserve">    </w:t>
      </w:r>
    </w:p>
  </w:footnote>
  <w:footnote w:id="40">
    <w:p>
      <w:pPr>
        <w:pStyle w:val="FootnoteText"/>
        <w:tabs>
          <w:tab w:val="left" w:pos="709"/>
        </w:tabs>
        <w:snapToGrid w:val="0"/>
        <w:spacing w:after="0" w:line="240" w:lineRule="auto"/>
        <w:rPr>
          <w:sz w:val="16"/>
          <w:szCs w:val="16"/>
        </w:rPr>
      </w:pPr>
      <w:r>
        <w:rPr>
          <w:rStyle w:val="FootnoteReference"/>
          <w:sz w:val="16"/>
          <w:szCs w:val="16"/>
        </w:rPr>
        <w:footnoteRef/>
      </w:r>
      <w:r>
        <w:rPr>
          <w:sz w:val="16"/>
          <w:szCs w:val="16"/>
        </w:rPr>
        <w:t xml:space="preserve"> HSBC Global Research, "Global Container Shipping: Rally still has legs as visibility emerges post 3Q20", 7 September 2020.</w:t>
      </w:r>
    </w:p>
  </w:footnote>
  <w:footnote w:id="41">
    <w:p>
      <w:pPr>
        <w:pStyle w:val="footnote"/>
        <w:tabs>
          <w:tab w:val="left" w:pos="709"/>
        </w:tabs>
        <w:snapToGrid w:val="0"/>
      </w:pPr>
      <w:r>
        <w:rPr>
          <w:rStyle w:val="FootnoteReference"/>
        </w:rPr>
        <w:footnoteRef/>
      </w:r>
      <w:r>
        <w:t xml:space="preserve"> Tourism is one of many economic sectors that rely on transport services and create demand for transport. </w:t>
      </w:r>
    </w:p>
  </w:footnote>
  <w:footnote w:id="42">
    <w:p>
      <w:pPr>
        <w:pStyle w:val="footnote"/>
        <w:tabs>
          <w:tab w:val="left" w:pos="709"/>
        </w:tabs>
        <w:snapToGrid w:val="0"/>
      </w:pPr>
      <w:r>
        <w:rPr>
          <w:rStyle w:val="FootnoteReference"/>
        </w:rPr>
        <w:footnoteRef/>
      </w:r>
      <w:r>
        <w:t xml:space="preserve"> </w:t>
      </w:r>
      <w:r>
        <w:rPr>
          <w:lang w:val="en-IE"/>
        </w:rPr>
        <w:t xml:space="preserve">OECD (2020), ‘Tourism Trends and Policies 2020’. </w:t>
      </w:r>
      <w:hyperlink r:id="rId7" w:history="1">
        <w:r>
          <w:rPr>
            <w:rStyle w:val="Hyperlink"/>
            <w:u w:val="none"/>
            <w:lang w:val="en-IE"/>
          </w:rPr>
          <w:t>http://www.oecd.org/cfe/tourism/oecd-tourism-trends-and-policies-20767773.htm</w:t>
        </w:r>
      </w:hyperlink>
      <w:r>
        <w:rPr>
          <w:lang w:val="en-IE"/>
        </w:rPr>
        <w:t xml:space="preserve"> </w:t>
      </w:r>
    </w:p>
  </w:footnote>
  <w:footnote w:id="43">
    <w:p>
      <w:pPr>
        <w:pStyle w:val="footnote"/>
        <w:tabs>
          <w:tab w:val="left" w:pos="709"/>
        </w:tabs>
        <w:snapToGrid w:val="0"/>
      </w:pPr>
      <w:r>
        <w:rPr>
          <w:rStyle w:val="FootnoteReference"/>
        </w:rPr>
        <w:footnoteRef/>
      </w:r>
      <w:r>
        <w:rPr>
          <w:lang w:val="en-IE"/>
        </w:rPr>
        <w:t xml:space="preserve"> UNWTO (2020), ‘Global and regional tourism performance’. </w:t>
      </w:r>
      <w:hyperlink r:id="rId8" w:history="1">
        <w:r>
          <w:rPr>
            <w:rStyle w:val="Hyperlink"/>
            <w:u w:val="none"/>
            <w:lang w:val="en-IE"/>
          </w:rPr>
          <w:t>https://www.unwto.org/global-and-regional-tourism-performance</w:t>
        </w:r>
      </w:hyperlink>
      <w:r>
        <w:rPr>
          <w:lang w:val="en-IE"/>
        </w:rPr>
        <w:t xml:space="preserve"> </w:t>
      </w:r>
    </w:p>
  </w:footnote>
  <w:footnote w:id="44">
    <w:p>
      <w:pPr>
        <w:pStyle w:val="footnote"/>
        <w:tabs>
          <w:tab w:val="left" w:pos="709"/>
        </w:tabs>
        <w:snapToGrid w:val="0"/>
      </w:pPr>
      <w:r>
        <w:rPr>
          <w:rStyle w:val="FootnoteReference"/>
        </w:rPr>
        <w:footnoteRef/>
      </w:r>
      <w:r>
        <w:t xml:space="preserve"> OECD (2020), ‘Tourism Policy Responses to the Coronavirus (COVID-19)’. </w:t>
      </w:r>
      <w:hyperlink r:id="rId9" w:history="1">
        <w:r>
          <w:rPr>
            <w:rStyle w:val="Hyperlink"/>
            <w:u w:val="none"/>
          </w:rPr>
          <w:t>https://www.oecd.org/coronavirus/policy-responses/tourism-policy-responses-to-the-coronavirus-covid-19-6466aa20/</w:t>
        </w:r>
      </w:hyperlink>
      <w:r>
        <w:t xml:space="preserve"> </w:t>
      </w:r>
    </w:p>
  </w:footnote>
  <w:footnote w:id="45">
    <w:p>
      <w:pPr>
        <w:pStyle w:val="footnote"/>
        <w:tabs>
          <w:tab w:val="left" w:pos="709"/>
        </w:tabs>
        <w:snapToGrid w:val="0"/>
      </w:pPr>
      <w:r>
        <w:rPr>
          <w:rStyle w:val="FootnoteReference"/>
        </w:rPr>
        <w:footnoteRef/>
      </w:r>
      <w:r>
        <w:t xml:space="preserve"> International Energy Agency (2019World Energy Outlook 2019’. </w:t>
      </w:r>
      <w:hyperlink r:id="rId10" w:history="1">
        <w:r>
          <w:rPr>
            <w:rStyle w:val="Hyperlink"/>
            <w:u w:val="none"/>
          </w:rPr>
          <w:t>https://www.iea.org/reports/world-energy-outlook-2019</w:t>
        </w:r>
      </w:hyperlink>
      <w:r>
        <w:t xml:space="preserve"> </w:t>
      </w:r>
    </w:p>
  </w:footnote>
  <w:footnote w:id="46">
    <w:p>
      <w:pPr>
        <w:pStyle w:val="footnote"/>
        <w:tabs>
          <w:tab w:val="left" w:pos="709"/>
        </w:tabs>
        <w:snapToGrid w:val="0"/>
      </w:pPr>
      <w:r>
        <w:rPr>
          <w:rStyle w:val="FootnoteReference"/>
        </w:rPr>
        <w:footnoteRef/>
      </w:r>
      <w:r>
        <w:rPr>
          <w:rStyle w:val="FootnoteReference"/>
        </w:rPr>
        <w:t xml:space="preserve"> </w:t>
      </w:r>
      <w:r>
        <w:t xml:space="preserve">United Nations, Department of Economic and Social Affairs, Population Division (2019): ‘World Urbanization Prospects 2018: Highlights (ST/ESA/SER.A/421)’. </w:t>
      </w:r>
      <w:hyperlink r:id="rId11" w:history="1">
        <w:r>
          <w:rPr>
            <w:rStyle w:val="Hyperlink"/>
            <w:u w:val="none"/>
          </w:rPr>
          <w:t>https://population.un.org/wup/Publications/Files/WUP2018-Highlights.pdf</w:t>
        </w:r>
      </w:hyperlink>
      <w:r>
        <w:t xml:space="preserve"> </w:t>
      </w:r>
    </w:p>
  </w:footnote>
  <w:footnote w:id="47">
    <w:p>
      <w:pPr>
        <w:pStyle w:val="footnote"/>
        <w:tabs>
          <w:tab w:val="left" w:pos="709"/>
        </w:tabs>
        <w:snapToGrid w:val="0"/>
      </w:pPr>
      <w:r>
        <w:rPr>
          <w:vertAlign w:val="superscript"/>
        </w:rPr>
        <w:footnoteRef/>
      </w:r>
      <w:r>
        <w:rPr>
          <w:vertAlign w:val="superscript"/>
        </w:rPr>
        <w:t xml:space="preserve"> </w:t>
      </w:r>
      <w:hyperlink r:id="rId12" w:history="1">
        <w:r>
          <w:t>https://ec.europa.eu/eurostat/statistics-explained/index.php/Household_composition_statistics</w:t>
        </w:r>
      </w:hyperlink>
    </w:p>
  </w:footnote>
  <w:footnote w:id="48">
    <w:p>
      <w:pPr>
        <w:pStyle w:val="footnote"/>
        <w:tabs>
          <w:tab w:val="left" w:pos="709"/>
        </w:tabs>
        <w:snapToGrid w:val="0"/>
      </w:pPr>
      <w:r>
        <w:rPr>
          <w:vertAlign w:val="superscript"/>
        </w:rPr>
        <w:footnoteRef/>
      </w:r>
      <w:r>
        <w:rPr>
          <w:vertAlign w:val="superscript"/>
        </w:rPr>
        <w:t xml:space="preserve"> </w:t>
      </w:r>
      <w:r>
        <w:t xml:space="preserve">European Commission (2017): ‘The 2018 Ageing Report Underlying Assumptions &amp; Projection Methodologies, Institutional Paper 656565’. </w:t>
      </w:r>
      <w:hyperlink r:id="rId13" w:history="1">
        <w:r>
          <w:t>https://ec.europa.eu/info/publications/economy-finance/2018-ageing-report-underlying-assumptions-and-projection-methodologies_en</w:t>
        </w:r>
      </w:hyperlink>
      <w:r>
        <w:t xml:space="preserve">. </w:t>
      </w:r>
    </w:p>
  </w:footnote>
  <w:footnote w:id="49">
    <w:p>
      <w:pPr>
        <w:pStyle w:val="footnote"/>
        <w:tabs>
          <w:tab w:val="left" w:pos="709"/>
        </w:tabs>
        <w:snapToGrid w:val="0"/>
      </w:pPr>
      <w:r>
        <w:rPr>
          <w:rStyle w:val="FootnoteReference"/>
        </w:rPr>
        <w:footnoteRef/>
      </w:r>
      <w:r>
        <w:t xml:space="preserve"> European Investment Bank (2017): ‘Investment Report 2017/2018. From Recovery to Sustainable Growth. Key Findings. November 2017’. </w:t>
      </w:r>
      <w:hyperlink r:id="rId14" w:history="1">
        <w:r>
          <w:rPr>
            <w:rStyle w:val="Hyperlink"/>
            <w:u w:val="none"/>
          </w:rPr>
          <w:t>https://www.eib.org/attachments/efs/economic_investment_report_2017_en.pdf</w:t>
        </w:r>
      </w:hyperlink>
      <w:r>
        <w:t xml:space="preserve"> </w:t>
      </w:r>
    </w:p>
  </w:footnote>
  <w:footnote w:id="50">
    <w:p>
      <w:pPr>
        <w:pStyle w:val="footnote"/>
        <w:tabs>
          <w:tab w:val="left" w:pos="709"/>
        </w:tabs>
        <w:snapToGrid w:val="0"/>
      </w:pPr>
      <w:r>
        <w:rPr>
          <w:vertAlign w:val="superscript"/>
        </w:rPr>
        <w:footnoteRef/>
      </w:r>
      <w:r>
        <w:rPr>
          <w:vertAlign w:val="superscript"/>
        </w:rPr>
        <w:t xml:space="preserve"> </w:t>
      </w:r>
      <w:r>
        <w:t>Lutz W. (Ed.), Amran G., Bélanger A., Conte A., Gailey N., Ghio D., Grapsa E., Jensen K., Loichinger E., Marois G., Muttarak R., Potančoková M., Sabourin P., Stonawski M., Demographic Scenarios for the EU - Migration, Population and Education - executive summary , EUR 29739 EN, Publications Office, Luxembourg, 2019.</w:t>
      </w:r>
    </w:p>
  </w:footnote>
  <w:footnote w:id="51">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In Germany for instance, a country with a rapidly ageing society, 118 persons died in crashes riding an electric bicycle in 2019 (of which 85 were aged 65 or over), out of 445 cyclists killed – 17% more than in 2010. (based on https://www.destatis.de/DE/Presse/Pressemitteilungen/2020/08/PD20_N049_46241.html). Although EU-wide comparable statistics are not available, some studies suggest that the amount of “dismounting” crashes (i.e. people losing their balance) is higher on e-bikes than on normal bicycles, particularly for older users. However, many serious crashes of e-bikes involve a conflict with a motorised vehicles, which reinforces the argument that segregated safe infrastructure could prevent many fatalities and injuries for all vulnerable road users, i.e. cyclists, pedestrians, scooter riders. See for example: E-bike safety. A review of Empirical European and North American Studies: https://wsd-pfb-sparkinfluence.s3.amazonaws.com/uploads/2019/10/EbikeSafety-VFinal.pdf and Traffic safety of electric bicycles – A naturalistic cycling study: https://m.udv.de/en/road-user/electric-bicyclescars/road/cycling-facilities/traffic-safety-electric-bicycles).</w:t>
      </w:r>
    </w:p>
  </w:footnote>
  <w:footnote w:id="52">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Some of the relevant technological developments are described more in detail in subsequent sections.</w:t>
      </w:r>
    </w:p>
  </w:footnote>
  <w:footnote w:id="53">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This could also entail an increase of the so-called “digital nomads”.</w:t>
      </w:r>
    </w:p>
  </w:footnote>
  <w:footnote w:id="54">
    <w:p>
      <w:pPr>
        <w:pStyle w:val="footnote"/>
        <w:tabs>
          <w:tab w:val="left" w:pos="709"/>
        </w:tabs>
        <w:snapToGrid w:val="0"/>
      </w:pPr>
      <w:r>
        <w:rPr>
          <w:rStyle w:val="FootnoteReference"/>
        </w:rPr>
        <w:footnoteRef/>
      </w:r>
      <w:r>
        <w:t xml:space="preserve"> Source: European Commission (2020): ‘Telework in the EU before and after the COVID-19: where we were, where we head to’:    https://ec.europa.eu/jrc/sites/jrcsh/files/jrc120945_policy_brief_-_covid_and_telework_final.pdf</w:t>
      </w:r>
    </w:p>
  </w:footnote>
  <w:footnote w:id="55">
    <w:p>
      <w:pPr>
        <w:pStyle w:val="footnote"/>
        <w:tabs>
          <w:tab w:val="left" w:pos="709"/>
        </w:tabs>
        <w:snapToGrid w:val="0"/>
      </w:pPr>
      <w:r>
        <w:rPr>
          <w:rStyle w:val="FootnoteReference"/>
        </w:rPr>
        <w:footnoteRef/>
      </w:r>
      <w:r>
        <w:t xml:space="preserve"> Eurofound and the International Labour Office (2017): ‘Working anytime, anywhere: The effects on the world of work, Publications Office of the European Union, Luxembourg, and the International Labour Office, Geneva’. https://www.eurofound.europa.eu/publications/report/2017/working-anytime-anywhere-the-effects-on-the-world-of-work</w:t>
      </w:r>
    </w:p>
  </w:footnote>
  <w:footnote w:id="56">
    <w:p>
      <w:pPr>
        <w:pStyle w:val="footnote"/>
        <w:tabs>
          <w:tab w:val="left" w:pos="709"/>
        </w:tabs>
        <w:snapToGrid w:val="0"/>
      </w:pPr>
      <w:r>
        <w:rPr>
          <w:rStyle w:val="FootnoteReference"/>
        </w:rPr>
        <w:footnoteRef/>
      </w:r>
      <w:r>
        <w:t xml:space="preserve"> Eurofound (2017), ‘Sixth European Working Conditions Survey – Overview report (2017 update), Publications Office of the European Union, Luxembourg’. </w:t>
      </w:r>
      <w:hyperlink r:id="rId15" w:history="1">
        <w:r>
          <w:rPr>
            <w:rStyle w:val="Hyperlink"/>
            <w:u w:val="none"/>
          </w:rPr>
          <w:t>https://www.eurofound.europa.eu/publications/report/2016/working-conditions/sixth-european-working-conditions-survey-</w:t>
        </w:r>
        <w:r>
          <w:t>overview</w:t>
        </w:r>
        <w:r>
          <w:rPr>
            <w:rStyle w:val="Hyperlink"/>
            <w:u w:val="none"/>
          </w:rPr>
          <w:t>-report</w:t>
        </w:r>
      </w:hyperlink>
      <w:r>
        <w:t xml:space="preserve"> </w:t>
      </w:r>
    </w:p>
  </w:footnote>
  <w:footnote w:id="57">
    <w:p>
      <w:pPr>
        <w:pStyle w:val="footnote"/>
        <w:tabs>
          <w:tab w:val="left" w:pos="709"/>
        </w:tabs>
        <w:snapToGrid w:val="0"/>
      </w:pPr>
      <w:r>
        <w:rPr>
          <w:rStyle w:val="FootnoteReference"/>
        </w:rPr>
        <w:footnoteRef/>
      </w:r>
      <w:r>
        <w:t xml:space="preserve"> ITF (2019): Transport Outlook 2019, OECD, Paris. International Transport Forum (2019), ‘Transport Outlook 2019, OECD, Paris’. </w:t>
      </w:r>
      <w:hyperlink r:id="rId16" w:history="1">
        <w:r>
          <w:rPr>
            <w:rStyle w:val="Hyperlink"/>
            <w:u w:val="none"/>
          </w:rPr>
          <w:t>https://www.oecd-ilibrary.org/transport/itf-transport-outlook-2019_transp_outlook-en-2019-en</w:t>
        </w:r>
      </w:hyperlink>
      <w:r>
        <w:t xml:space="preserve"> </w:t>
      </w:r>
    </w:p>
  </w:footnote>
  <w:footnote w:id="58">
    <w:p>
      <w:pPr>
        <w:pStyle w:val="footnote"/>
        <w:tabs>
          <w:tab w:val="left" w:pos="709"/>
        </w:tabs>
        <w:snapToGrid w:val="0"/>
        <w:rPr>
          <w:b/>
          <w:bCs/>
        </w:rPr>
      </w:pPr>
      <w:r>
        <w:rPr>
          <w:rStyle w:val="FootnoteReference"/>
        </w:rPr>
        <w:footnoteRef/>
      </w:r>
      <w:r>
        <w:t xml:space="preserve"> Estimates published by TEAL Group in press release on 16 June 2019: </w:t>
      </w:r>
      <w:hyperlink r:id="rId17" w:history="1">
        <w:r>
          <w:rPr>
            <w:rStyle w:val="Hyperlink"/>
            <w:u w:val="none"/>
          </w:rPr>
          <w:t>https://www.tealgroup.com/index.php/pages/press-releases/60-teal-group-predicts-worldwide-civil-drone-production-will-almost-triple-over-the-next-decade</w:t>
        </w:r>
      </w:hyperlink>
      <w:r>
        <w:t xml:space="preserve">. </w:t>
      </w:r>
    </w:p>
  </w:footnote>
  <w:footnote w:id="59">
    <w:p>
      <w:pPr>
        <w:pStyle w:val="footnote"/>
        <w:tabs>
          <w:tab w:val="left" w:pos="709"/>
        </w:tabs>
        <w:snapToGrid w:val="0"/>
      </w:pPr>
      <w:r>
        <w:rPr>
          <w:rStyle w:val="FootnoteReference"/>
        </w:rPr>
        <w:footnoteRef/>
      </w:r>
      <w:r>
        <w:t xml:space="preserve">      Estimate provided by ASD, the Aero-Space and Defence Industries Association of Europe.</w:t>
      </w:r>
    </w:p>
  </w:footnote>
  <w:footnote w:id="60">
    <w:p>
      <w:pPr>
        <w:pStyle w:val="footnote"/>
        <w:tabs>
          <w:tab w:val="left" w:pos="709"/>
        </w:tabs>
        <w:snapToGrid w:val="0"/>
      </w:pPr>
      <w:r>
        <w:rPr>
          <w:rStyle w:val="FootnoteReference"/>
        </w:rPr>
        <w:footnoteRef/>
      </w:r>
      <w:r>
        <w:t>ERTRAC (2015): Automated Driving Roadmap 2015</w:t>
      </w:r>
    </w:p>
    <w:p>
      <w:pPr>
        <w:pStyle w:val="footnote"/>
        <w:tabs>
          <w:tab w:val="left" w:pos="709"/>
        </w:tabs>
        <w:snapToGrid w:val="0"/>
        <w:rPr>
          <w:b/>
          <w:bCs/>
        </w:rPr>
      </w:pPr>
      <w:hyperlink r:id="rId18" w:history="1">
        <w:r>
          <w:rPr>
            <w:rStyle w:val="Hyperlink"/>
            <w:u w:val="none"/>
          </w:rPr>
          <w:t>https://www.ertrac.org/uploads/documentsearch/id38/ERTRAC_Automated-Driving-2015.pdf</w:t>
        </w:r>
      </w:hyperlink>
      <w:r>
        <w:rPr>
          <w:b/>
          <w:bCs/>
        </w:rPr>
        <w:t xml:space="preserve"> </w:t>
      </w:r>
    </w:p>
  </w:footnote>
  <w:footnote w:id="61">
    <w:p>
      <w:pPr>
        <w:pStyle w:val="footnote"/>
        <w:tabs>
          <w:tab w:val="left" w:pos="709"/>
        </w:tabs>
        <w:snapToGrid w:val="0"/>
      </w:pPr>
      <w:r>
        <w:rPr>
          <w:rStyle w:val="FootnoteReference"/>
        </w:rPr>
        <w:footnoteRef/>
      </w:r>
      <w:r>
        <w:t xml:space="preserve"> https://knowledge-base.connectedautomateddriving.eu/projects/</w:t>
      </w:r>
    </w:p>
  </w:footnote>
  <w:footnote w:id="62">
    <w:p>
      <w:pPr>
        <w:pStyle w:val="footnote"/>
        <w:tabs>
          <w:tab w:val="left" w:pos="709"/>
        </w:tabs>
        <w:snapToGrid w:val="0"/>
      </w:pPr>
      <w:r>
        <w:rPr>
          <w:vertAlign w:val="superscript"/>
        </w:rPr>
        <w:footnoteRef/>
      </w:r>
      <w:r>
        <w:t xml:space="preserve"> Source: OECD projections.</w:t>
      </w:r>
    </w:p>
  </w:footnote>
  <w:footnote w:id="63">
    <w:p>
      <w:pPr>
        <w:pStyle w:val="footnote"/>
        <w:tabs>
          <w:tab w:val="left" w:pos="709"/>
        </w:tabs>
        <w:snapToGrid w:val="0"/>
      </w:pPr>
      <w:r>
        <w:rPr>
          <w:rStyle w:val="FootnoteReference"/>
        </w:rPr>
        <w:footnoteRef/>
      </w:r>
      <w:r>
        <w:t xml:space="preserve"> United Nations Conference on Trade and Development (2018): ‘Review of Maritime Transport 2018’. </w:t>
      </w:r>
      <w:hyperlink r:id="rId19" w:history="1">
        <w:r>
          <w:rPr>
            <w:rStyle w:val="Hyperlink"/>
            <w:u w:val="none"/>
          </w:rPr>
          <w:t>https://unctad.org/en/PublicationsLibrary/rmt2018_en.pdf</w:t>
        </w:r>
      </w:hyperlink>
      <w:r>
        <w:t xml:space="preserve"> </w:t>
      </w:r>
    </w:p>
  </w:footnote>
  <w:footnote w:id="64">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Section 4.3.1 describes in detail some of the relevant measures that have been taken so far at European level to address the impact of the COVID-19 pandemic.</w:t>
      </w:r>
    </w:p>
  </w:footnote>
  <w:footnote w:id="65">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The EU counts nine outermost regions - French Guiana, Guadeloupe, Martinique, Mayotte, Reunion Island and Saint-Martin (France), Azores and Madeira (Portugal), and the Canary Islands (Spain). They are located in the western Atlantic Ocean, the Caribbean basin, the Amazonian forest and the Indian Ocean. In total, they are home to 4.8 million citizens. The special situation of the outermost regions is recognised under Article 349 TFEU.</w:t>
      </w:r>
    </w:p>
  </w:footnote>
  <w:footnote w:id="66">
    <w:p>
      <w:pPr>
        <w:pStyle w:val="footnote"/>
        <w:tabs>
          <w:tab w:val="left" w:pos="709"/>
        </w:tabs>
        <w:snapToGrid w:val="0"/>
      </w:pPr>
      <w:r>
        <w:rPr>
          <w:vertAlign w:val="superscript"/>
        </w:rPr>
        <w:footnoteRef/>
      </w:r>
      <w:r>
        <w:rPr>
          <w:vertAlign w:val="superscript"/>
        </w:rPr>
        <w:t xml:space="preserve"> </w:t>
      </w:r>
      <w:r>
        <w:t>Source: Eurocontrol, traffic in mid-November (7-day moving average)</w:t>
      </w:r>
    </w:p>
  </w:footnote>
  <w:footnote w:id="67">
    <w:p>
      <w:pPr>
        <w:pStyle w:val="footnote"/>
        <w:tabs>
          <w:tab w:val="left" w:pos="709"/>
        </w:tabs>
        <w:snapToGrid w:val="0"/>
      </w:pPr>
      <w:r>
        <w:rPr>
          <w:vertAlign w:val="superscript"/>
        </w:rPr>
        <w:footnoteRef/>
      </w:r>
      <w:r>
        <w:t xml:space="preserve"> Source: ACI</w:t>
      </w:r>
    </w:p>
  </w:footnote>
  <w:footnote w:id="68">
    <w:p>
      <w:pPr>
        <w:pStyle w:val="footnote"/>
        <w:tabs>
          <w:tab w:val="left" w:pos="709"/>
        </w:tabs>
        <w:snapToGrid w:val="0"/>
      </w:pPr>
      <w:r>
        <w:rPr>
          <w:rStyle w:val="FootnoteReference"/>
        </w:rPr>
        <w:footnoteRef/>
      </w:r>
      <w:r>
        <w:t xml:space="preserve"> Covering EUROCONTROL’s 41 members, including the EU and third countries such as Turkey and Ukraine. </w:t>
      </w:r>
    </w:p>
  </w:footnote>
  <w:footnote w:id="69">
    <w:p>
      <w:pPr>
        <w:pStyle w:val="FootnoteText"/>
        <w:tabs>
          <w:tab w:val="left" w:pos="709"/>
        </w:tabs>
        <w:snapToGrid w:val="0"/>
        <w:spacing w:after="0" w:line="240" w:lineRule="auto"/>
        <w:rPr>
          <w:sz w:val="16"/>
          <w:szCs w:val="16"/>
        </w:rPr>
      </w:pPr>
      <w:r>
        <w:rPr>
          <w:rStyle w:val="FootnoteReference"/>
          <w:sz w:val="16"/>
          <w:szCs w:val="16"/>
        </w:rPr>
        <w:footnoteRef/>
      </w:r>
      <w:r>
        <w:rPr>
          <w:sz w:val="16"/>
          <w:szCs w:val="16"/>
        </w:rPr>
        <w:t xml:space="preserve"> IATA August update: https://www.iata.org/en/pressroom/pr/2020-08-13-01/ </w:t>
      </w:r>
    </w:p>
  </w:footnote>
  <w:footnote w:id="70">
    <w:p>
      <w:pPr>
        <w:pStyle w:val="footnote"/>
        <w:tabs>
          <w:tab w:val="left" w:pos="709"/>
        </w:tabs>
        <w:snapToGrid w:val="0"/>
      </w:pPr>
      <w:r>
        <w:rPr>
          <w:rStyle w:val="FootnoteReference"/>
        </w:rPr>
        <w:footnoteRef/>
      </w:r>
      <w:r>
        <w:t xml:space="preserve"> European Aviation Round Table Report on the Recovery of European Aviation, November 2020.</w:t>
      </w:r>
    </w:p>
  </w:footnote>
  <w:footnote w:id="71">
    <w:p>
      <w:pPr>
        <w:pStyle w:val="footnote"/>
        <w:tabs>
          <w:tab w:val="left" w:pos="709"/>
        </w:tabs>
        <w:snapToGrid w:val="0"/>
      </w:pPr>
      <w:r>
        <w:rPr>
          <w:rStyle w:val="FootnoteReference"/>
        </w:rPr>
        <w:footnoteRef/>
      </w:r>
      <w:r>
        <w:t xml:space="preserve"> http://www.emsa.europa.eu/news-a-press-centre/covid19-impact/download/6386/3967/23.html</w:t>
      </w:r>
    </w:p>
  </w:footnote>
  <w:footnote w:id="72">
    <w:p>
      <w:pPr>
        <w:pStyle w:val="FootnoteText"/>
        <w:tabs>
          <w:tab w:val="left" w:pos="709"/>
        </w:tabs>
        <w:snapToGrid w:val="0"/>
        <w:spacing w:after="0" w:line="240" w:lineRule="auto"/>
        <w:ind w:left="0" w:firstLine="0"/>
        <w:rPr>
          <w:sz w:val="16"/>
          <w:szCs w:val="16"/>
          <w:lang w:val="en-IE"/>
        </w:rPr>
      </w:pPr>
      <w:r>
        <w:rPr>
          <w:rStyle w:val="FootnoteReference"/>
          <w:sz w:val="16"/>
          <w:szCs w:val="16"/>
        </w:rPr>
        <w:footnoteRef/>
      </w:r>
      <w:r>
        <w:rPr>
          <w:sz w:val="16"/>
          <w:szCs w:val="16"/>
          <w:lang w:val="en-IE"/>
        </w:rPr>
        <w:t xml:space="preserve"> Maritime Labour Convention, 2006, as amended (MLC, 2006)</w:t>
      </w:r>
    </w:p>
    <w:p>
      <w:pPr>
        <w:pStyle w:val="FootnoteText"/>
        <w:tabs>
          <w:tab w:val="left" w:pos="709"/>
        </w:tabs>
        <w:snapToGrid w:val="0"/>
        <w:spacing w:after="0" w:line="240" w:lineRule="auto"/>
        <w:ind w:left="0" w:firstLine="0"/>
        <w:rPr>
          <w:sz w:val="16"/>
          <w:szCs w:val="16"/>
        </w:rPr>
      </w:pPr>
      <w:r>
        <w:rPr>
          <w:sz w:val="16"/>
          <w:szCs w:val="16"/>
          <w:lang w:val="en-IE"/>
        </w:rPr>
        <w:t>https://www.ilo.org/dyn/normlex/en/f?p=NORMLEXPUB:91:0::NO::P91_SECTION:MLCA_AMEND_A2</w:t>
      </w:r>
    </w:p>
  </w:footnote>
  <w:footnote w:id="73">
    <w:p>
      <w:pPr>
        <w:pStyle w:val="FootnoteText"/>
        <w:spacing w:after="0" w:line="240" w:lineRule="auto"/>
        <w:ind w:left="0" w:firstLine="0"/>
      </w:pPr>
      <w:r>
        <w:rPr>
          <w:rStyle w:val="FootnoteReference"/>
          <w:sz w:val="16"/>
        </w:rPr>
        <w:footnoteRef/>
      </w:r>
      <w:r>
        <w:rPr>
          <w:sz w:val="16"/>
        </w:rPr>
        <w:t xml:space="preserve"> </w:t>
      </w:r>
      <w:r>
        <w:rPr>
          <w:sz w:val="16"/>
          <w:szCs w:val="16"/>
        </w:rPr>
        <w:t>C(2020) 1897 final Communication “on the implementation of the Green Lanes under the Guidelines for border management measures to protect health and ensure the availability of goods and essential services” and COM(2020) 685 final Communication “upgrading the transport Green Lanes to keep the economy going during the COVID-19 pandemic resurgence”</w:t>
      </w:r>
    </w:p>
  </w:footnote>
  <w:footnote w:id="74">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Based on information provided by IRU as part of their submission to the open public consultation on the Sustainable and Smart Mobility Strategy, due to the COVID-19 pandemic in the goods road transport industry: revenue declined by 40% during the confinement period (in comparison to 2019 figures); many transport operations such transport of automotive parts, clothing, flowers and construction materials have dramatically slowed by almost 100%; empty running increased by up to 40%; and new contracts have declined by 60-90%.</w:t>
      </w:r>
    </w:p>
  </w:footnote>
  <w:footnote w:id="75">
    <w:p>
      <w:pPr>
        <w:pStyle w:val="footnote"/>
        <w:tabs>
          <w:tab w:val="left" w:pos="709"/>
        </w:tabs>
        <w:snapToGrid w:val="0"/>
      </w:pPr>
      <w:r>
        <w:rPr>
          <w:vertAlign w:val="superscript"/>
        </w:rPr>
        <w:footnoteRef/>
      </w:r>
      <w:r>
        <w:t xml:space="preserve"> This is confirmed by an analysis of the European Transport Safety Council (ETSC), which estimated, based on data from 25 Member States, that road fatalities decreased by an average of 36% during lockdown measures in April. European Transport Safety Council: PIN report “The Impact of Covid-19 Lockdowns on Road Deaths in April 2020”, 9 July 2020 (https://etsc.eu/pin-report-lockdowns-resulted-in-an-unprecedented-36-drop-in-road-deaths-in-the-eu/).</w:t>
      </w:r>
    </w:p>
  </w:footnote>
  <w:footnote w:id="76">
    <w:p>
      <w:pPr>
        <w:spacing w:after="0" w:line="240" w:lineRule="auto"/>
        <w:contextualSpacing/>
        <w:mirrorIndents/>
        <w:rPr>
          <w:sz w:val="16"/>
          <w:szCs w:val="16"/>
        </w:rPr>
      </w:pPr>
      <w:r>
        <w:rPr>
          <w:sz w:val="18"/>
          <w:vertAlign w:val="superscript"/>
        </w:rPr>
        <w:footnoteRef/>
      </w:r>
      <w:r>
        <w:rPr>
          <w:sz w:val="18"/>
          <w:vertAlign w:val="superscript"/>
        </w:rPr>
        <w:t xml:space="preserve"> </w:t>
      </w:r>
      <w:r>
        <w:rPr>
          <w:sz w:val="16"/>
          <w:szCs w:val="16"/>
        </w:rPr>
        <w:t>Opinion of the European Economic and Social Committee (TEN/716-EESC-2020) for the Proposal for a Regulation of the European Parliament and of the Council establishing measures for a sustainable rail market in view of the COVID-19 pandemic [COM(2020) 260 final - 2020/0127 (COD)], Rapporteur-general: Alberto MAZZOLA, Plenary session: 553 - Jul 16, 2020</w:t>
      </w:r>
    </w:p>
    <w:p>
      <w:pPr>
        <w:pStyle w:val="footnote"/>
        <w:tabs>
          <w:tab w:val="left" w:pos="709"/>
        </w:tabs>
        <w:snapToGrid w:val="0"/>
      </w:pPr>
      <w:r>
        <w:t>https://www.eesc.europa.eu/fr/our-work/opinions-information-reports/opinions/proposal-regulation-european-parliament-and-council-establishing-measures-sustainable-rail-market-view-covid-19-pandemic</w:t>
      </w:r>
    </w:p>
  </w:footnote>
  <w:footnote w:id="77">
    <w:p>
      <w:pPr>
        <w:pStyle w:val="footnote"/>
        <w:tabs>
          <w:tab w:val="left" w:pos="709"/>
        </w:tabs>
        <w:snapToGrid w:val="0"/>
      </w:pPr>
      <w:r>
        <w:rPr>
          <w:vertAlign w:val="superscript"/>
        </w:rPr>
        <w:footnoteRef/>
      </w:r>
      <w:r>
        <w:rPr>
          <w:vertAlign w:val="superscript"/>
        </w:rPr>
        <w:t xml:space="preserve">    </w:t>
      </w:r>
      <w:r>
        <w:t>In accordance with Regulation (EU) 913/2010, Rail Freight Corridors have been established in the EU to ensure a good quality rail network for competitive freight.</w:t>
      </w:r>
    </w:p>
  </w:footnote>
  <w:footnote w:id="78">
    <w:p>
      <w:pPr>
        <w:pStyle w:val="FootnoteText"/>
        <w:tabs>
          <w:tab w:val="left" w:pos="709"/>
        </w:tabs>
        <w:spacing w:after="0" w:line="240" w:lineRule="auto"/>
        <w:ind w:left="0" w:firstLine="0"/>
        <w:rPr>
          <w:sz w:val="16"/>
          <w:szCs w:val="16"/>
          <w:lang w:val="en-IE"/>
        </w:rPr>
      </w:pPr>
      <w:r>
        <w:rPr>
          <w:rStyle w:val="FootnoteReference"/>
          <w:sz w:val="16"/>
          <w:szCs w:val="16"/>
        </w:rPr>
        <w:footnoteRef/>
      </w:r>
      <w:r>
        <w:rPr>
          <w:sz w:val="16"/>
          <w:szCs w:val="16"/>
        </w:rPr>
        <w:t xml:space="preserve"> The baseline is the median value, for the corresponding day of the week, during the 5-week period Jan 3–Feb 6, 2020. </w:t>
      </w:r>
      <w:r>
        <w:rPr>
          <w:sz w:val="16"/>
          <w:szCs w:val="16"/>
          <w:lang w:val="en-IE"/>
        </w:rPr>
        <w:t xml:space="preserve">Google Community Mobility Reports: https://www.google.com/covid19/mobility/ </w:t>
      </w:r>
    </w:p>
  </w:footnote>
  <w:footnote w:id="79">
    <w:p>
      <w:pPr>
        <w:pStyle w:val="FootnoteText"/>
        <w:tabs>
          <w:tab w:val="left" w:pos="709"/>
        </w:tabs>
        <w:snapToGrid w:val="0"/>
        <w:spacing w:after="0" w:line="240" w:lineRule="auto"/>
        <w:rPr>
          <w:sz w:val="16"/>
          <w:szCs w:val="16"/>
        </w:rPr>
      </w:pPr>
      <w:r>
        <w:rPr>
          <w:rStyle w:val="FootnoteReference"/>
          <w:sz w:val="16"/>
          <w:szCs w:val="16"/>
        </w:rPr>
        <w:footnoteRef/>
      </w:r>
      <w:r>
        <w:rPr>
          <w:sz w:val="16"/>
          <w:szCs w:val="16"/>
        </w:rPr>
        <w:t xml:space="preserve"> </w:t>
      </w:r>
      <w:r>
        <w:rPr>
          <w:sz w:val="16"/>
          <w:szCs w:val="16"/>
          <w:lang w:eastAsia="en-US"/>
        </w:rPr>
        <w:t>https://blogs.worldbank.org/transport/fight-against-covid-19-public-transport-should-be-hero-not-villain</w:t>
      </w:r>
    </w:p>
  </w:footnote>
  <w:footnote w:id="80">
    <w:p>
      <w:pPr>
        <w:pStyle w:val="footnote"/>
        <w:tabs>
          <w:tab w:val="left" w:pos="709"/>
        </w:tabs>
        <w:snapToGrid w:val="0"/>
      </w:pPr>
      <w:r>
        <w:rPr>
          <w:vertAlign w:val="superscript"/>
        </w:rPr>
        <w:footnoteRef/>
      </w:r>
      <w:r>
        <w:t xml:space="preserve"> One of the revelations of the pandemic was the disproportionate distribution of public space in favour of motorised traffic, with cars accounting for ~30-40% of journeys but occupying ~70-80% of public space in European cities (COVID-19 SUMP Practitioner Briefing, </w:t>
      </w:r>
      <w:hyperlink r:id="rId20" w:history="1">
        <w:r>
          <w:t>https://www.eltis.org/sites/default/files/covid-19_sumppractitionersbriefing_final.pdf</w:t>
        </w:r>
      </w:hyperlink>
      <w:r>
        <w:t xml:space="preserve">). </w:t>
      </w:r>
    </w:p>
  </w:footnote>
  <w:footnote w:id="81">
    <w:p>
      <w:pPr>
        <w:pStyle w:val="footnote"/>
        <w:tabs>
          <w:tab w:val="left" w:pos="709"/>
        </w:tabs>
        <w:snapToGrid w:val="0"/>
      </w:pPr>
      <w:r>
        <w:rPr>
          <w:rStyle w:val="FootnoteReference"/>
        </w:rPr>
        <w:footnoteRef/>
      </w:r>
      <w:r>
        <w:t>https://www.eea.europa.eu/highlights/air-pollution-goes-down-as</w:t>
      </w:r>
    </w:p>
  </w:footnote>
  <w:footnote w:id="82">
    <w:p>
      <w:pPr>
        <w:pStyle w:val="footnote"/>
        <w:tabs>
          <w:tab w:val="left" w:pos="709"/>
        </w:tabs>
        <w:snapToGrid w:val="0"/>
      </w:pPr>
      <w:r>
        <w:rPr>
          <w:rStyle w:val="FootnoteReference"/>
        </w:rPr>
        <w:footnoteRef/>
      </w:r>
      <w:r>
        <w:t xml:space="preserve"> </w:t>
      </w:r>
      <w:r>
        <w:rPr>
          <w:lang w:val="en-IE"/>
        </w:rPr>
        <w:t>Road safety measures in the COVID transitional era – common High Level Group principles as we exit the crisis, 2 July 2020 (</w:t>
      </w:r>
      <w:hyperlink r:id="rId21" w:history="1">
        <w:r>
          <w:rPr>
            <w:rStyle w:val="Hyperlink"/>
            <w:u w:val="none"/>
          </w:rPr>
          <w:t>https://ec.europa.eu/transport/road_safety/road-safety-measures-covid-transitional-era-common-high-level-group-principles-we-exit-crisis_en</w:t>
        </w:r>
      </w:hyperlink>
      <w:r>
        <w:rPr>
          <w:lang w:val="en-IE"/>
        </w:rPr>
        <w:t>)</w:t>
      </w:r>
    </w:p>
  </w:footnote>
  <w:footnote w:id="83">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COM(2011) 144 final White Paper - Roadmap to a Single European Transport Area – Towards a competitive and resource efficient transport system</w:t>
      </w:r>
    </w:p>
  </w:footnote>
  <w:footnote w:id="84">
    <w:p>
      <w:pPr>
        <w:pStyle w:val="footnote"/>
        <w:tabs>
          <w:tab w:val="left" w:pos="709"/>
        </w:tabs>
        <w:snapToGrid w:val="0"/>
        <w:rPr>
          <w:lang w:val="en-IE"/>
        </w:rPr>
      </w:pPr>
      <w:r>
        <w:rPr>
          <w:vertAlign w:val="superscript"/>
          <w:lang w:val="en-IE"/>
        </w:rPr>
        <w:footnoteRef/>
      </w:r>
      <w:r>
        <w:rPr>
          <w:lang w:val="en-IE"/>
        </w:rPr>
        <w:t xml:space="preserve"> Communication from the Commission to the European Parliament, the European Council, the Council, the European Economic and Social Committee, the Committee of the Regions and the European Investment Bank ‘A Clean Planet for all A European strategic long-term vision for a prosperous, modern, competitive and climate neutral economy’, COM(2018) 773 final.</w:t>
      </w:r>
    </w:p>
  </w:footnote>
  <w:footnote w:id="85">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European Parliament resolution of 14 March 2019 on climate change – a European strategic long-term vision for a prosperous, modern, competitive and climate neutral economy in accordance with the Paris Agreement</w:t>
      </w:r>
    </w:p>
  </w:footnote>
  <w:footnote w:id="86">
    <w:p>
      <w:pPr>
        <w:pStyle w:val="FootnoteText"/>
        <w:tabs>
          <w:tab w:val="left" w:pos="709"/>
        </w:tabs>
        <w:snapToGrid w:val="0"/>
        <w:spacing w:after="0" w:line="240" w:lineRule="auto"/>
        <w:rPr>
          <w:sz w:val="16"/>
          <w:szCs w:val="16"/>
        </w:rPr>
      </w:pPr>
      <w:r>
        <w:rPr>
          <w:rStyle w:val="FootnoteReference"/>
          <w:sz w:val="16"/>
          <w:szCs w:val="16"/>
        </w:rPr>
        <w:footnoteRef/>
      </w:r>
      <w:r>
        <w:rPr>
          <w:sz w:val="16"/>
          <w:szCs w:val="16"/>
        </w:rPr>
        <w:t xml:space="preserve"> European Council Conclusions of 12 December 2019 (EUCO 29/19)</w:t>
      </w:r>
    </w:p>
  </w:footnote>
  <w:footnote w:id="87">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New technologies, sustainable solutions and disruptive innovation are critical to achieve the objectives of the European Green Deal. Four ‘Green Deal Missions’ are envisaged under Horizon Europe to deliver large-scale changes in areas such as adaptation to climate change, oceans, cities and soil, bringing together a wide range of stakeholders including regions and citizens to accelerate the transition to a sustainable future. The envisaged climate-neutral and smart Cities Mission could be particularly relevant in this context as one of the strategic priority areas for joint action to accomplish decarbonisation within cities relies on “an efficient mobility for all, clean, safe and connected”, including among others carbon free propulsion systems, new energy efficient vehicles, smart multimodal and integrated transport systems and solutions.</w:t>
      </w:r>
    </w:p>
  </w:footnote>
  <w:footnote w:id="88">
    <w:p>
      <w:pPr>
        <w:pStyle w:val="footnote"/>
        <w:tabs>
          <w:tab w:val="left" w:pos="709"/>
        </w:tabs>
        <w:snapToGrid w:val="0"/>
        <w:rPr>
          <w:lang w:val="en-IE"/>
        </w:rPr>
      </w:pPr>
      <w:r>
        <w:rPr>
          <w:vertAlign w:val="superscript"/>
          <w:lang w:val="en-IE"/>
        </w:rPr>
        <w:footnoteRef/>
      </w:r>
      <w:r>
        <w:rPr>
          <w:lang w:val="en-IE"/>
        </w:rPr>
        <w:t xml:space="preserve"> Communication from the Commission to the European Parliament, the European Council, the Council, the European Economic and Social Committee and the Committee of the Regions ‘A new Circular Economy Action Plan For a cleaner and more competitive Europe’, COM(2020) 98 final.</w:t>
      </w:r>
    </w:p>
  </w:footnote>
  <w:footnote w:id="89">
    <w:p>
      <w:pPr>
        <w:pStyle w:val="footnote"/>
        <w:tabs>
          <w:tab w:val="left" w:pos="709"/>
        </w:tabs>
        <w:snapToGrid w:val="0"/>
      </w:pPr>
      <w:r>
        <w:rPr>
          <w:rStyle w:val="FootnoteReference"/>
        </w:rPr>
        <w:footnoteRef/>
      </w:r>
      <w:r>
        <w:t xml:space="preserve"> Communication from the Commission to the European Parliament, the Council, the European Economic and Social Committee and the Committee of the Regions, ‘EU Biodiversity Strategy for 2030 - Bringing nature back into our lives’, COM(2020) 380 final.</w:t>
      </w:r>
    </w:p>
  </w:footnote>
  <w:footnote w:id="90">
    <w:p>
      <w:pPr>
        <w:pStyle w:val="footnote"/>
        <w:tabs>
          <w:tab w:val="left" w:pos="709"/>
        </w:tabs>
        <w:snapToGrid w:val="0"/>
        <w:rPr>
          <w:lang w:val="en-IE"/>
        </w:rPr>
      </w:pPr>
      <w:r>
        <w:rPr>
          <w:rStyle w:val="FootnoteReference"/>
        </w:rPr>
        <w:footnoteRef/>
      </w:r>
      <w:r>
        <w:t xml:space="preserve"> Communication from the Commission to the European Parliament, the Council, the European Economic and Social Committee and the Committee of the Regions, ‘Critical Raw Materials Resilience: Charting a Path towards greater Security and Sustainability’, </w:t>
      </w:r>
      <w:r>
        <w:rPr>
          <w:lang w:val="en-IE"/>
        </w:rPr>
        <w:t>COM(2020) 474 final.</w:t>
      </w:r>
    </w:p>
  </w:footnote>
  <w:footnote w:id="91">
    <w:p>
      <w:pPr>
        <w:pStyle w:val="footnote"/>
        <w:tabs>
          <w:tab w:val="left" w:pos="709"/>
        </w:tabs>
        <w:snapToGrid w:val="0"/>
      </w:pPr>
      <w:r>
        <w:rPr>
          <w:rStyle w:val="FootnoteReference"/>
        </w:rPr>
        <w:footnoteRef/>
      </w:r>
      <w:r>
        <w:t xml:space="preserve"> Roadmap to a Single European Transport Area – Towards a competitive and resource efficient transport system, COM(2011) 144 </w:t>
      </w:r>
      <w:r>
        <w:rPr>
          <w:lang w:val="en-IE"/>
        </w:rPr>
        <w:t>final</w:t>
      </w:r>
      <w:r>
        <w:t>.</w:t>
      </w:r>
    </w:p>
  </w:footnote>
  <w:footnote w:id="92">
    <w:p>
      <w:pPr>
        <w:pStyle w:val="footnote"/>
        <w:tabs>
          <w:tab w:val="left" w:pos="709"/>
        </w:tabs>
        <w:snapToGrid w:val="0"/>
      </w:pPr>
      <w:r>
        <w:rPr>
          <w:rStyle w:val="FootnoteReference"/>
        </w:rPr>
        <w:footnoteRef/>
      </w:r>
      <w:r>
        <w:t xml:space="preserve"> Communication from the Commission to the European Parliament, the Council, the European Economic and Social Committee and the Committee of the Regions </w:t>
      </w:r>
      <w:r>
        <w:rPr>
          <w:lang w:val="pt-PT"/>
        </w:rPr>
        <w:t>‘</w:t>
      </w:r>
      <w:r>
        <w:t>A European Strategy for Low-Emission Mobility</w:t>
      </w:r>
      <w:r>
        <w:rPr>
          <w:lang w:val="pt-PT"/>
        </w:rPr>
        <w:t>’,</w:t>
      </w:r>
      <w:r>
        <w:t xml:space="preserve"> COM(2016)</w:t>
      </w:r>
      <w:r>
        <w:rPr>
          <w:lang w:val="pt-PT"/>
        </w:rPr>
        <w:t xml:space="preserve"> </w:t>
      </w:r>
      <w:r>
        <w:rPr>
          <w:lang w:val="en-IE"/>
        </w:rPr>
        <w:t>501</w:t>
      </w:r>
      <w:r>
        <w:t xml:space="preserve"> final</w:t>
      </w:r>
      <w:r>
        <w:rPr>
          <w:lang w:val="pt-PT"/>
        </w:rPr>
        <w:t>.</w:t>
      </w:r>
    </w:p>
  </w:footnote>
  <w:footnote w:id="93">
    <w:p>
      <w:pPr>
        <w:pStyle w:val="footnote"/>
        <w:tabs>
          <w:tab w:val="left" w:pos="709"/>
        </w:tabs>
        <w:snapToGrid w:val="0"/>
      </w:pPr>
      <w:r>
        <w:rPr>
          <w:rStyle w:val="FootnoteReference"/>
        </w:rPr>
        <w:footnoteRef/>
      </w:r>
      <w:r>
        <w:t xml:space="preserve"> https://ec.europa.eu/transport/modes/road/road-initiatives_en</w:t>
      </w:r>
    </w:p>
  </w:footnote>
  <w:footnote w:id="94">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A related point concerns amendments proposed by the co-legislators to Regulation (EU) 2020/1055 of the European Parliament and of the Council of 15 July 2020 amending Regulations (EC) No 1071/2009, (EC) No 1072/2009 and (EU) No 1024/2012 with a view to adapting them to developments in the road transport sector, in the context of the first Mobility Package. This Regulation authorises Member States to derogate from Article 4 of Directive 92/106/EEC “where necessary to avoid misuse of the latter provision through the provision of unlimited and continuous services consisting in initial or final road legs within a host Member State that form part of combined transport operations between Member States”. In that case, Member States may provide that the cabotage rules of Regulation (EC) 1072/2009 apply to hauliers when they carry out initial and/or final road haulage legs within the Member State concerned. According to Article 4 of Regulation (EU) 2020/1055, this rule will apply from 21 February 2022 The Commission has announced that it will conduct an impact assessment regarding this aspect (See Council document 7045/20 ADD 2 of 1 April 2020).</w:t>
      </w:r>
    </w:p>
  </w:footnote>
  <w:footnote w:id="95">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Directive 2014/94/EU</w:t>
      </w:r>
    </w:p>
  </w:footnote>
  <w:footnote w:id="96">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Communication form the Commission to the European Parliament, the Council, the European Economic and Social Committee and the Committee of the Regions Towards the broadest use of alternative fuels - an Action Plan on Alternative Fuels Infrastructure under Article 10(6) of Directive 2014/94/EU, including the assessment of national policy frameworks under Article 10(2) of Directive 2014/94/EU (COM (2017) 0652 final)</w:t>
      </w:r>
    </w:p>
  </w:footnote>
  <w:footnote w:id="97">
    <w:p>
      <w:pPr>
        <w:pStyle w:val="footnote"/>
        <w:tabs>
          <w:tab w:val="left" w:pos="709"/>
        </w:tabs>
        <w:snapToGrid w:val="0"/>
      </w:pPr>
      <w:r>
        <w:rPr>
          <w:rStyle w:val="FootnoteReference"/>
        </w:rPr>
        <w:footnoteRef/>
      </w:r>
      <w:r>
        <w:t xml:space="preserve"> Regulation (EU) 2019/943 of the European Parliament and of the Council of 5 June 2019 on the internal market for electricity, OJ L 158, 14.6.2019, p. 54–124.</w:t>
      </w:r>
    </w:p>
  </w:footnote>
  <w:footnote w:id="98">
    <w:p>
      <w:pPr>
        <w:pStyle w:val="FootnoteText"/>
        <w:spacing w:after="0" w:line="240" w:lineRule="auto"/>
        <w:ind w:left="0" w:firstLine="0"/>
      </w:pPr>
      <w:r>
        <w:rPr>
          <w:rStyle w:val="FootnoteReference"/>
        </w:rPr>
        <w:footnoteRef/>
      </w:r>
      <w:r>
        <w:t xml:space="preserve"> </w:t>
      </w:r>
      <w:r>
        <w:rPr>
          <w:sz w:val="16"/>
          <w:szCs w:val="16"/>
        </w:rPr>
        <w:t>Directive (EU) 2019/1161 of the European Parliament and of the Council of 20 June 2019 amending Directive 2009/33/EC on the promotion of clean and energy-efficient road transport vehicles (Text with EEA relevance.) PE/57/2019/REV/2 OJ L 188, 12.7.2019, p. 116–130</w:t>
      </w:r>
    </w:p>
  </w:footnote>
  <w:footnote w:id="99">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Directive (EU) 2015/719 of the European Parliament and of the Council of 29 April 2015 amending Council Directive 96/53/EC laying down for certain road vehicles circulating within the Community the maximum authorised dimensions in national and international traffic and the maximum authorised weights in international traffic, OJ L 115, 6.5.2015, p. 1–10.</w:t>
      </w:r>
    </w:p>
  </w:footnote>
  <w:footnote w:id="100">
    <w:p>
      <w:pPr>
        <w:pStyle w:val="footnote"/>
        <w:tabs>
          <w:tab w:val="left" w:pos="709"/>
        </w:tabs>
        <w:snapToGrid w:val="0"/>
      </w:pPr>
      <w:r>
        <w:rPr>
          <w:rStyle w:val="FootnoteReference"/>
        </w:rPr>
        <w:footnoteRef/>
      </w:r>
      <w:r>
        <w:t xml:space="preserve"> Following the major impact of the </w:t>
      </w:r>
      <w:r>
        <w:rPr>
          <w:lang w:val="en-IE"/>
        </w:rPr>
        <w:t>COVID</w:t>
      </w:r>
      <w:r>
        <w:t>-19 pandemic on international aviation, ICAO decided to use, during CORSIA’s pilot phase from 2021 to 2023, the CO</w:t>
      </w:r>
      <w:r>
        <w:rPr>
          <w:vertAlign w:val="subscript"/>
        </w:rPr>
        <w:t>2</w:t>
      </w:r>
      <w:r>
        <w:t xml:space="preserve"> emissions of year 2019 as the baseline beyond which the growth of emissions from operators concerned will be offset.</w:t>
      </w:r>
    </w:p>
  </w:footnote>
  <w:footnote w:id="101">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Commission Delegated Regulation (EU) 2019/897 of 12 March 2019 amending Regulation (EU) No 748/2012 as regards the inclusion of risk-based compliance verification in Annex I and the implementation of requirements for environmental protection </w:t>
      </w:r>
    </w:p>
  </w:footnote>
  <w:footnote w:id="102">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COM(2020) 577 and COM(2020) 579 accompanied by SWD(2020) 187</w:t>
      </w:r>
    </w:p>
  </w:footnote>
  <w:footnote w:id="103">
    <w:p>
      <w:pPr>
        <w:tabs>
          <w:tab w:val="left" w:pos="709"/>
        </w:tabs>
        <w:snapToGrid w:val="0"/>
        <w:spacing w:after="0" w:line="240" w:lineRule="auto"/>
        <w:rPr>
          <w:rFonts w:eastAsiaTheme="minorHAnsi"/>
          <w:sz w:val="16"/>
          <w:szCs w:val="16"/>
        </w:rPr>
      </w:pPr>
      <w:r>
        <w:rPr>
          <w:rStyle w:val="FootnoteReference"/>
          <w:sz w:val="16"/>
          <w:szCs w:val="16"/>
        </w:rPr>
        <w:footnoteRef/>
      </w:r>
      <w:r>
        <w:rPr>
          <w:sz w:val="16"/>
          <w:szCs w:val="16"/>
        </w:rPr>
        <w:t xml:space="preserve"> European Aviation Round Table Report on the Recovery of European Aviation, November 2020.</w:t>
      </w:r>
    </w:p>
  </w:footnote>
  <w:footnote w:id="104">
    <w:p>
      <w:pPr>
        <w:pStyle w:val="FootnoteText"/>
        <w:tabs>
          <w:tab w:val="left" w:pos="709"/>
        </w:tabs>
        <w:snapToGrid w:val="0"/>
        <w:spacing w:after="0" w:line="240" w:lineRule="auto"/>
        <w:rPr>
          <w:sz w:val="16"/>
          <w:szCs w:val="16"/>
        </w:rPr>
      </w:pPr>
      <w:r>
        <w:rPr>
          <w:rStyle w:val="FootnoteReference"/>
          <w:sz w:val="16"/>
          <w:szCs w:val="16"/>
        </w:rPr>
        <w:footnoteRef/>
      </w:r>
      <w:r>
        <w:rPr>
          <w:sz w:val="16"/>
          <w:szCs w:val="16"/>
        </w:rPr>
        <w:t xml:space="preserve"> http://www.imo.org/en/OurWork/Environment/PollutionPrevention/AirPollution/Pages/GHG-Emissions.aspx</w:t>
      </w:r>
    </w:p>
  </w:footnote>
  <w:footnote w:id="105">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United Nations Environment Programme/MED Decision IG.24/8 ‘ Road Map for a Proposal for the Possible Designation of the Mediterranean Sea, as a whole, as an Emission Control Area for Sulphur Oxides Pursuant to the International Convention for the Prevention of Pollution from Ships (MARPOL) Annex VI, within the framework of the Barcelona Convention’.</w:t>
      </w:r>
    </w:p>
  </w:footnote>
  <w:footnote w:id="106">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Article 4:  Engine categories</w:t>
      </w:r>
    </w:p>
  </w:footnote>
  <w:footnote w:id="107">
    <w:p>
      <w:pPr>
        <w:pStyle w:val="FootnoteText"/>
        <w:ind w:left="0" w:firstLine="0"/>
      </w:pPr>
      <w:r>
        <w:rPr>
          <w:rStyle w:val="FootnoteReference"/>
        </w:rPr>
        <w:footnoteRef/>
      </w:r>
      <w:r>
        <w:t xml:space="preserve"> </w:t>
      </w:r>
      <w:r>
        <w:rPr>
          <w:sz w:val="16"/>
          <w:szCs w:val="16"/>
        </w:rPr>
        <w:t>COM(2018) 703 final “The principles of subsidiarity and proportionality: Strengthening their role in the EU's policymaking”</w:t>
      </w:r>
    </w:p>
  </w:footnote>
  <w:footnote w:id="108">
    <w:p>
      <w:pPr>
        <w:pStyle w:val="footnote"/>
        <w:tabs>
          <w:tab w:val="left" w:pos="709"/>
        </w:tabs>
        <w:snapToGrid w:val="0"/>
      </w:pPr>
      <w:r>
        <w:rPr>
          <w:rStyle w:val="FootnoteReference"/>
        </w:rPr>
        <w:footnoteRef/>
      </w:r>
      <w:r>
        <w:t xml:space="preserve"> Projects can be found in the TRIMIS database (https://trimis.ec.europa.eu/)</w:t>
      </w:r>
    </w:p>
  </w:footnote>
  <w:footnote w:id="109">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Directive 2002/59/EC of the European Parliament and of the Council of 27 June 2002 establishing a Community vessel traffic monitoring and information system and repealing Council Directive 93/75/EEC, OJ L 208, 5.8.2002, p. 10–27.</w:t>
      </w:r>
    </w:p>
  </w:footnote>
  <w:footnote w:id="110">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Commission Delegated Regulation (EU) 2017/1926 of 31 May 2017 supplementing Directive 2010/40/EU of the European Parliament and of the Council with regard to the provision of EU-wide multimodal travel information services, OJ L 272, 21.10.2017, p. 1–13.</w:t>
      </w:r>
    </w:p>
  </w:footnote>
  <w:footnote w:id="111">
    <w:p>
      <w:pPr>
        <w:pStyle w:val="footnote"/>
        <w:tabs>
          <w:tab w:val="left" w:pos="709"/>
        </w:tabs>
        <w:snapToGrid w:val="0"/>
      </w:pPr>
      <w:r>
        <w:rPr>
          <w:rStyle w:val="FootnoteReference"/>
        </w:rPr>
        <w:footnoteRef/>
      </w:r>
      <w:r>
        <w:t xml:space="preserve"> Commission Implementing Regulation (EU) 2017/2177 of 22 November 2017 on access to service facilities and rail-related services, OJ L 307, 23.11.2017, p. 1–13.</w:t>
      </w:r>
    </w:p>
  </w:footnote>
  <w:footnote w:id="112">
    <w:p>
      <w:pPr>
        <w:pStyle w:val="footnote"/>
        <w:tabs>
          <w:tab w:val="left" w:pos="709"/>
        </w:tabs>
        <w:snapToGrid w:val="0"/>
      </w:pPr>
      <w:r>
        <w:rPr>
          <w:vertAlign w:val="superscript"/>
        </w:rPr>
        <w:footnoteRef/>
      </w:r>
      <w:r>
        <w:t>A European strategy for data, COM(2020) 66 final.</w:t>
      </w:r>
    </w:p>
  </w:footnote>
  <w:footnote w:id="113">
    <w:p>
      <w:pPr>
        <w:pStyle w:val="footnote"/>
        <w:tabs>
          <w:tab w:val="left" w:pos="709"/>
        </w:tabs>
        <w:snapToGrid w:val="0"/>
      </w:pPr>
      <w:r>
        <w:rPr>
          <w:rStyle w:val="FootnoteReference"/>
        </w:rPr>
        <w:footnoteRef/>
      </w:r>
      <w:r>
        <w:t xml:space="preserve"> Directive 2010/40/EU of the European Parliament and of the Council of 7 July 2010 on the framework for the deployment of Intelligent Transport Systems in the field of road transport and for interfaces with other modes of transport, OJ L 207, 6.8.2010.</w:t>
      </w:r>
      <w:hyperlink r:id="rId22" w:history="1"/>
      <w:r>
        <w:t xml:space="preserve"> </w:t>
      </w:r>
    </w:p>
  </w:footnote>
  <w:footnote w:id="114">
    <w:p>
      <w:pPr>
        <w:pStyle w:val="footnote"/>
        <w:tabs>
          <w:tab w:val="left" w:pos="709"/>
        </w:tabs>
        <w:snapToGrid w:val="0"/>
      </w:pPr>
      <w:r>
        <w:rPr>
          <w:rStyle w:val="FootnoteReference"/>
        </w:rPr>
        <w:footnoteRef/>
      </w:r>
      <w:r>
        <w:t>European Commission, Intelligent Transport Systems Action Plan and Directive.</w:t>
      </w:r>
    </w:p>
    <w:p>
      <w:pPr>
        <w:pStyle w:val="footnote"/>
        <w:tabs>
          <w:tab w:val="left" w:pos="709"/>
        </w:tabs>
        <w:snapToGrid w:val="0"/>
      </w:pPr>
      <w:r>
        <w:t xml:space="preserve"> </w:t>
      </w:r>
      <w:hyperlink r:id="rId23" w:history="1">
        <w:r>
          <w:rPr>
            <w:rStyle w:val="Hyperlink"/>
            <w:u w:val="none"/>
          </w:rPr>
          <w:t>https://ec.europa.eu/transport/themes/its/road/action_plan_en</w:t>
        </w:r>
      </w:hyperlink>
    </w:p>
  </w:footnote>
  <w:footnote w:id="115">
    <w:p>
      <w:pPr>
        <w:pStyle w:val="footnote"/>
        <w:tabs>
          <w:tab w:val="left" w:pos="709"/>
        </w:tabs>
        <w:snapToGrid w:val="0"/>
      </w:pPr>
      <w:r>
        <w:rPr>
          <w:rStyle w:val="FootnoteReference"/>
        </w:rPr>
        <w:footnoteRef/>
      </w:r>
      <w:r>
        <w:t xml:space="preserve"> Thanks to this support, a number of Member States declared in 2017 an up to 100% coverage of their TEN-T road network with ITS such as real-time traffic information, incident detection, or traffic management and traffic control.</w:t>
      </w:r>
    </w:p>
  </w:footnote>
  <w:footnote w:id="116">
    <w:p>
      <w:pPr>
        <w:pStyle w:val="footnote"/>
        <w:tabs>
          <w:tab w:val="left" w:pos="709"/>
        </w:tabs>
        <w:snapToGrid w:val="0"/>
      </w:pPr>
      <w:r>
        <w:rPr>
          <w:rStyle w:val="FootnoteReference"/>
        </w:rPr>
        <w:footnoteRef/>
      </w:r>
      <w:r>
        <w:t>European Commission, Intelligent Transport Systems Action Plan and Directive,</w:t>
      </w:r>
    </w:p>
    <w:p>
      <w:pPr>
        <w:pStyle w:val="footnote"/>
        <w:tabs>
          <w:tab w:val="left" w:pos="709"/>
        </w:tabs>
        <w:snapToGrid w:val="0"/>
      </w:pPr>
      <w:r>
        <w:t xml:space="preserve"> </w:t>
      </w:r>
      <w:hyperlink r:id="rId24" w:history="1">
        <w:r>
          <w:rPr>
            <w:rStyle w:val="Hyperlink"/>
            <w:u w:val="none"/>
          </w:rPr>
          <w:t>https://ec.europa.eu/transport/themes/its/road/action_plan/nap_en</w:t>
        </w:r>
      </w:hyperlink>
      <w:r>
        <w:t xml:space="preserve">    </w:t>
      </w:r>
    </w:p>
  </w:footnote>
  <w:footnote w:id="117">
    <w:p>
      <w:pPr>
        <w:pStyle w:val="footnote"/>
        <w:tabs>
          <w:tab w:val="left" w:pos="709"/>
        </w:tabs>
        <w:snapToGrid w:val="0"/>
      </w:pPr>
      <w:r>
        <w:rPr>
          <w:rStyle w:val="FootnoteReference"/>
        </w:rPr>
        <w:footnoteRef/>
      </w:r>
      <w:r>
        <w:t xml:space="preserve"> https://ec.europa.eu/transport/themes/its/road/action_plan/ecall_en European Commission, Intelligent transport systems, The interoperable EU-wide eCall, </w:t>
      </w:r>
      <w:hyperlink r:id="rId25" w:history="1">
        <w:r>
          <w:rPr>
            <w:rStyle w:val="Hyperlink"/>
            <w:u w:val="none"/>
          </w:rPr>
          <w:t>https://ec.europa.eu/transport/themes/its/road/action_plan/ecall_en</w:t>
        </w:r>
      </w:hyperlink>
      <w:r>
        <w:t xml:space="preserve"> </w:t>
      </w:r>
    </w:p>
  </w:footnote>
  <w:footnote w:id="118">
    <w:p>
      <w:pPr>
        <w:pStyle w:val="footnote"/>
        <w:tabs>
          <w:tab w:val="left" w:pos="709"/>
        </w:tabs>
        <w:snapToGrid w:val="0"/>
      </w:pPr>
      <w:r>
        <w:rPr>
          <w:rStyle w:val="FootnoteReference"/>
        </w:rPr>
        <w:footnoteRef/>
      </w:r>
      <w:r>
        <w:t xml:space="preserve"> In particular Decision No 585/2014/EU providing for the deployment of emergency call centres (eCall Public Safety Answering Points) throughout the EU by October 2017 and Regulation (EU) 2015/758 providing for the mandatory fitting of 112-based eCall in-vehicle system on all new types of M1 and N1 vehicles from 31 March 2018 onward.</w:t>
      </w:r>
    </w:p>
  </w:footnote>
  <w:footnote w:id="119">
    <w:p>
      <w:pPr>
        <w:pStyle w:val="footnote"/>
        <w:tabs>
          <w:tab w:val="left" w:pos="709"/>
        </w:tabs>
        <w:snapToGrid w:val="0"/>
      </w:pPr>
      <w:r>
        <w:rPr>
          <w:rStyle w:val="FootnoteReference"/>
        </w:rPr>
        <w:footnoteRef/>
      </w:r>
      <w:r>
        <w:t xml:space="preserve"> Communication from the Commission to the European Parliament, the Council, the European Economic and Social Committee and the Committee of the Regions ‘A European strategy on Cooperative Intelligent Transport Systems, a milestone towards cooperative, connected and automated mobility’, COM(2016) 766 final.</w:t>
      </w:r>
    </w:p>
  </w:footnote>
  <w:footnote w:id="120">
    <w:p>
      <w:pPr>
        <w:pStyle w:val="footnote"/>
        <w:tabs>
          <w:tab w:val="left" w:pos="709"/>
        </w:tabs>
        <w:snapToGrid w:val="0"/>
      </w:pPr>
      <w:r>
        <w:rPr>
          <w:rStyle w:val="FootnoteReference"/>
        </w:rPr>
        <w:footnoteRef/>
      </w:r>
      <w:r>
        <w:t xml:space="preserve"> Communication from the Commission to the European Parliament, the Council, the European Economic and Social Committee and the Committee of the Regions ‘On the road to automated mobility: An EU strategy for mobility of the future’, COM(2018) 283 final.</w:t>
      </w:r>
    </w:p>
  </w:footnote>
  <w:footnote w:id="121">
    <w:p>
      <w:pPr>
        <w:pStyle w:val="footnote"/>
        <w:tabs>
          <w:tab w:val="left" w:pos="709"/>
        </w:tabs>
        <w:snapToGrid w:val="0"/>
      </w:pPr>
      <w:r>
        <w:rPr>
          <w:rStyle w:val="FootnoteReference"/>
        </w:rPr>
        <w:footnoteRef/>
      </w:r>
      <w:r>
        <w:t xml:space="preserve"> Connectivity for a Competitive Digital Single Market - Towards a European Gigabit Society - COM(2016)587 &amp; “5G for Europe: An Action Plan" - COM(2016)588.</w:t>
      </w:r>
    </w:p>
  </w:footnote>
  <w:footnote w:id="122">
    <w:p>
      <w:pPr>
        <w:pStyle w:val="footnote"/>
        <w:tabs>
          <w:tab w:val="left" w:pos="709"/>
        </w:tabs>
        <w:snapToGrid w:val="0"/>
      </w:pPr>
      <w:r>
        <w:rPr>
          <w:rStyle w:val="FootnoteReference"/>
        </w:rPr>
        <w:footnoteRef/>
      </w:r>
      <w:r>
        <w:t xml:space="preserve"> Regulation (EU) 2019/2144 of the European Parliament and of the Council of 27 November 2019 on type-approval requirements for motor vehicles and their trailers, OJ L 325, 16.12.2019, p. 1.</w:t>
      </w:r>
    </w:p>
  </w:footnote>
  <w:footnote w:id="123">
    <w:p>
      <w:pPr>
        <w:pStyle w:val="FootnoteText"/>
        <w:tabs>
          <w:tab w:val="left" w:pos="709"/>
        </w:tabs>
        <w:spacing w:after="0" w:line="240" w:lineRule="auto"/>
        <w:ind w:left="0" w:firstLine="142"/>
        <w:rPr>
          <w:sz w:val="16"/>
          <w:szCs w:val="16"/>
        </w:rPr>
      </w:pPr>
      <w:r>
        <w:rPr>
          <w:rStyle w:val="FootnoteReference"/>
          <w:sz w:val="16"/>
          <w:szCs w:val="16"/>
        </w:rPr>
        <w:footnoteRef/>
      </w:r>
      <w:r>
        <w:rPr>
          <w:sz w:val="16"/>
          <w:szCs w:val="16"/>
        </w:rPr>
        <w:t xml:space="preserve"> Digitalisation of the inland waterways sector has been strongly supported by the Council, most recently in the Opatija Declaration (Council conclusions on "EU Waterborne Transport Sector – Future outlook: Towards a carbon-neutral, zero accidents, automated and competitive EU Waterborne Transport Sector" (Opatija declaration, 5 June 2020)) and by the European Parliament (European Parliament resolution of 14 February 2019 on NAIADES II – An action programme to support inland waterway transport (2018/2882(RSP)). The former highlighted the importance of smooth integration among transport modes as well as increased interoperability in the context of the logistics chain and encouraged data sharing in order to enable innovation and provision of new services.    </w:t>
      </w:r>
    </w:p>
  </w:footnote>
  <w:footnote w:id="124">
    <w:p>
      <w:pPr>
        <w:pStyle w:val="footnote"/>
        <w:tabs>
          <w:tab w:val="left" w:pos="709"/>
        </w:tabs>
        <w:snapToGrid w:val="0"/>
      </w:pPr>
      <w:r>
        <w:rPr>
          <w:rStyle w:val="FootnoteReference"/>
        </w:rPr>
        <w:footnoteRef/>
      </w:r>
      <w:r>
        <w:t xml:space="preserve"> Directive 2005/44/EC of the European Parliament and of the Council of 7 September 2005 on harmonised river information services (RIS) on inland waterways in the Community, OJ L 255, 30.9.2005, p. 152. </w:t>
      </w:r>
    </w:p>
  </w:footnote>
  <w:footnote w:id="125">
    <w:p>
      <w:pPr>
        <w:pStyle w:val="footnote"/>
        <w:tabs>
          <w:tab w:val="left" w:pos="709"/>
        </w:tabs>
        <w:snapToGrid w:val="0"/>
      </w:pPr>
      <w:r>
        <w:rPr>
          <w:rStyle w:val="FootnoteReference"/>
        </w:rPr>
        <w:footnoteRef/>
      </w:r>
      <w:r>
        <w:t xml:space="preserve"> ECDB: European Crew Database</w:t>
      </w:r>
    </w:p>
  </w:footnote>
  <w:footnote w:id="126">
    <w:p>
      <w:pPr>
        <w:pStyle w:val="footnote"/>
        <w:tabs>
          <w:tab w:val="left" w:pos="709"/>
        </w:tabs>
        <w:snapToGrid w:val="0"/>
      </w:pPr>
      <w:r>
        <w:rPr>
          <w:rStyle w:val="FootnoteReference"/>
        </w:rPr>
        <w:footnoteRef/>
      </w:r>
      <w:r>
        <w:t>The 2017 Digital Inland Waterway Area study: https://ec.europa.eu/transport/modes/inland/studies/inland_waterways_en</w:t>
      </w:r>
    </w:p>
  </w:footnote>
  <w:footnote w:id="127">
    <w:p>
      <w:pPr>
        <w:pStyle w:val="footnote"/>
        <w:tabs>
          <w:tab w:val="left" w:pos="709"/>
        </w:tabs>
        <w:snapToGrid w:val="0"/>
      </w:pPr>
      <w:r>
        <w:rPr>
          <w:rStyle w:val="FootnoteReference"/>
        </w:rPr>
        <w:footnoteRef/>
      </w:r>
      <w:r>
        <w:t xml:space="preserve"> Commission Staff Working Document on Digital Inland Navigation: https://ec.europa.eu/transport/modes/inland/news/2018-09-20-towards-quality-inland-waterwaytransport_en</w:t>
      </w:r>
    </w:p>
  </w:footnote>
  <w:footnote w:id="128">
    <w:p>
      <w:pPr>
        <w:pStyle w:val="footnote"/>
        <w:tabs>
          <w:tab w:val="left" w:pos="709"/>
        </w:tabs>
        <w:snapToGrid w:val="0"/>
        <w:rPr>
          <w:i/>
        </w:rPr>
      </w:pPr>
      <w:r>
        <w:rPr>
          <w:rStyle w:val="FootnoteReference"/>
        </w:rPr>
        <w:footnoteRef/>
      </w:r>
      <w:r>
        <w:t xml:space="preserve"> Identification of potential synergies/re-use of legislative framework with digital aspect and concrete informatics solutions in other transport modes such as road, rail, maritime or air transport for potential re-use in the inland waterway transport</w:t>
      </w:r>
    </w:p>
  </w:footnote>
  <w:footnote w:id="129">
    <w:p>
      <w:pPr>
        <w:pStyle w:val="footnote"/>
        <w:tabs>
          <w:tab w:val="left" w:pos="709"/>
        </w:tabs>
        <w:snapToGrid w:val="0"/>
      </w:pPr>
      <w:r>
        <w:rPr>
          <w:rStyle w:val="FootnoteReference"/>
        </w:rPr>
        <w:footnoteRef/>
      </w:r>
      <w:r>
        <w:t xml:space="preserve">Final report of the Digital Synergy Study: </w:t>
      </w:r>
      <w:hyperlink r:id="rId26" w:history="1">
        <w:r>
          <w:t>https://ec.europa.eu/transport/modes/inland/studies/inland_waterways_en</w:t>
        </w:r>
      </w:hyperlink>
    </w:p>
  </w:footnote>
  <w:footnote w:id="130">
    <w:p>
      <w:pPr>
        <w:pStyle w:val="footnote"/>
        <w:tabs>
          <w:tab w:val="left" w:pos="709"/>
        </w:tabs>
        <w:snapToGrid w:val="0"/>
      </w:pPr>
      <w:r>
        <w:rPr>
          <w:rStyle w:val="FootnoteReference"/>
        </w:rPr>
        <w:footnoteRef/>
      </w:r>
      <w:r>
        <w:t xml:space="preserve"> Implementation was delayed for many Member States until June or October 2020 as permitted under the Directives and then on account of COVID.</w:t>
      </w:r>
    </w:p>
  </w:footnote>
  <w:footnote w:id="131">
    <w:p>
      <w:pPr>
        <w:pStyle w:val="footnote"/>
        <w:tabs>
          <w:tab w:val="left" w:pos="709"/>
        </w:tabs>
        <w:snapToGrid w:val="0"/>
      </w:pPr>
      <w:r>
        <w:rPr>
          <w:rStyle w:val="FootnoteReference"/>
        </w:rPr>
        <w:footnoteRef/>
      </w:r>
      <w:r>
        <w:t xml:space="preserve"> Regulation (EU) No 913/2010 of the European Parliament and of the Council of 22 September 2010 concerning a European rail network for competitive freight, OJ L 276, 20.10.2010, p. 22.</w:t>
      </w:r>
    </w:p>
  </w:footnote>
  <w:footnote w:id="132">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In addition to the sectorial initiatives aiming at completing the Single market referred to in the present document, the Commission has adopted State Aid Guidelines for aviation in 2014 (Communication from the Commission — Guidelines on State aid to airports and airlines, OJ C 99, 4.4.2014, p. 3–34). </w:t>
      </w:r>
    </w:p>
  </w:footnote>
  <w:footnote w:id="133">
    <w:p>
      <w:pPr>
        <w:pStyle w:val="footnote"/>
        <w:tabs>
          <w:tab w:val="left" w:pos="709"/>
        </w:tabs>
        <w:snapToGrid w:val="0"/>
      </w:pPr>
      <w:r>
        <w:rPr>
          <w:rStyle w:val="FootnoteReference"/>
        </w:rPr>
        <w:footnoteRef/>
      </w:r>
      <w:r>
        <w:t xml:space="preserve"> Communication from the Commission to the European Parliament, the Council, the European Economic and Social Committee and the Committee of the Regions ‘An Aviation Strategy for Europe’, COM/2015/0598 final.</w:t>
      </w:r>
    </w:p>
  </w:footnote>
  <w:footnote w:id="134">
    <w:p>
      <w:pPr>
        <w:pStyle w:val="footnote"/>
        <w:tabs>
          <w:tab w:val="left" w:pos="709"/>
        </w:tabs>
        <w:snapToGrid w:val="0"/>
      </w:pPr>
      <w:r>
        <w:rPr>
          <w:vertAlign w:val="superscript"/>
        </w:rPr>
        <w:footnoteRef/>
      </w:r>
      <w:r>
        <w:rPr>
          <w:vertAlign w:val="superscript"/>
        </w:rPr>
        <w:t xml:space="preserve"> </w:t>
      </w:r>
      <w:r>
        <w:t>Sources: Eurostat and ICAO</w:t>
      </w:r>
    </w:p>
  </w:footnote>
  <w:footnote w:id="135">
    <w:p>
      <w:pPr>
        <w:pStyle w:val="footnote"/>
        <w:tabs>
          <w:tab w:val="left" w:pos="709"/>
        </w:tabs>
        <w:snapToGrid w:val="0"/>
      </w:pPr>
      <w:r>
        <w:rPr>
          <w:vertAlign w:val="superscript"/>
        </w:rPr>
        <w:footnoteRef/>
      </w:r>
      <w:r>
        <w:t xml:space="preserve"> Source: OAG summer schedules (EU28 2015-2019)</w:t>
      </w:r>
    </w:p>
  </w:footnote>
  <w:footnote w:id="136">
    <w:p>
      <w:pPr>
        <w:pStyle w:val="footnote"/>
        <w:tabs>
          <w:tab w:val="left" w:pos="709"/>
        </w:tabs>
        <w:snapToGrid w:val="0"/>
      </w:pPr>
      <w:r>
        <w:rPr>
          <w:vertAlign w:val="superscript"/>
        </w:rPr>
        <w:footnoteRef/>
      </w:r>
      <w:r>
        <w:rPr>
          <w:vertAlign w:val="superscript"/>
        </w:rPr>
        <w:t xml:space="preserve"> </w:t>
      </w:r>
      <w:r>
        <w:t>Source: OAG summer schedules (EU28 2015-2019)</w:t>
      </w:r>
    </w:p>
  </w:footnote>
  <w:footnote w:id="137">
    <w:p>
      <w:pPr>
        <w:pStyle w:val="footnote"/>
        <w:tabs>
          <w:tab w:val="left" w:pos="709"/>
        </w:tabs>
        <w:snapToGrid w:val="0"/>
      </w:pPr>
      <w:r>
        <w:rPr>
          <w:rStyle w:val="FootnoteReference"/>
        </w:rPr>
        <w:footnoteRef/>
      </w:r>
      <w:r>
        <w:t xml:space="preserve"> Regulation (EU) 2020/1056 of the European Parliament and of the Council of 15 July 2020 on electronic freight transport information, OJ L 249, 31.7.2020, p. 33.</w:t>
      </w:r>
    </w:p>
  </w:footnote>
  <w:footnote w:id="138">
    <w:p>
      <w:pPr>
        <w:pStyle w:val="footnote"/>
        <w:tabs>
          <w:tab w:val="left" w:pos="709"/>
        </w:tabs>
        <w:snapToGrid w:val="0"/>
      </w:pPr>
      <w:r>
        <w:rPr>
          <w:rStyle w:val="FootnoteReference"/>
        </w:rPr>
        <w:footnoteRef/>
      </w:r>
      <w:r>
        <w:t xml:space="preserve"> 2011 White Paper</w:t>
      </w:r>
    </w:p>
  </w:footnote>
  <w:footnote w:id="139">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Directive (EU) 2019/882 of the European Parliament and of the Council of 17 April 2019 on the accessibility requirements for products and services (Text with EEA relevance), OJ L 151, 7.6.2019, p. 70–115.</w:t>
      </w:r>
    </w:p>
  </w:footnote>
  <w:footnote w:id="140">
    <w:p>
      <w:pPr>
        <w:pStyle w:val="FootnoteText"/>
        <w:tabs>
          <w:tab w:val="left" w:pos="709"/>
        </w:tabs>
        <w:snapToGrid w:val="0"/>
        <w:spacing w:after="0" w:line="240" w:lineRule="auto"/>
        <w:ind w:left="0" w:firstLine="0"/>
        <w:rPr>
          <w:sz w:val="16"/>
          <w:szCs w:val="16"/>
        </w:rPr>
      </w:pPr>
      <w:r>
        <w:rPr>
          <w:sz w:val="16"/>
          <w:szCs w:val="16"/>
          <w:vertAlign w:val="superscript"/>
        </w:rPr>
        <w:footnoteRef/>
      </w:r>
      <w:r>
        <w:rPr>
          <w:sz w:val="16"/>
          <w:szCs w:val="16"/>
        </w:rPr>
        <w:t xml:space="preserve"> Communication from the Commission to the European Parliament, the Council, the European Economic and Social Committee, the Committee of the Regions and the European Investment Bank ‘A stronger and renewed strategic partnership with the EU's outermost regions’, COM(2017) 623 final.</w:t>
      </w:r>
    </w:p>
  </w:footnote>
  <w:footnote w:id="141">
    <w:p>
      <w:pPr>
        <w:pStyle w:val="footnote"/>
        <w:tabs>
          <w:tab w:val="left" w:pos="709"/>
        </w:tabs>
        <w:snapToGrid w:val="0"/>
      </w:pPr>
      <w:r>
        <w:rPr>
          <w:rStyle w:val="FootnoteReference"/>
        </w:rPr>
        <w:footnoteRef/>
      </w:r>
      <w:r>
        <w:t xml:space="preserve"> Regulation (EU) No 1315/2013 of the European Parliament and of the Council of 11 December 2013 on Union guidelines for the development of the trans-European transport network and repealing Decision No 661/2010/EU, OJ L 348, 20.12.2013, p. 1. </w:t>
      </w:r>
      <w:hyperlink r:id="rId27" w:history="1"/>
      <w:r>
        <w:t xml:space="preserve"> </w:t>
      </w:r>
    </w:p>
  </w:footnote>
  <w:footnote w:id="142">
    <w:p>
      <w:pPr>
        <w:pStyle w:val="footnote"/>
        <w:tabs>
          <w:tab w:val="left" w:pos="709"/>
        </w:tabs>
        <w:snapToGrid w:val="0"/>
      </w:pPr>
      <w:r>
        <w:rPr>
          <w:rStyle w:val="FootnoteReference"/>
        </w:rPr>
        <w:footnoteRef/>
      </w:r>
      <w:r>
        <w:t xml:space="preserve"> Regulation (EU) No 1316/2013 of the European Parliament and of the Council of 11 December 2013 establishing the Connecting Europe Facility, OJ L 348, 20.12.2013</w:t>
      </w:r>
      <w:r>
        <w:rPr>
          <w:lang w:val="en-US"/>
        </w:rPr>
        <w:t xml:space="preserve">. </w:t>
      </w:r>
    </w:p>
  </w:footnote>
  <w:footnote w:id="143">
    <w:p>
      <w:pPr>
        <w:pStyle w:val="footnote"/>
        <w:tabs>
          <w:tab w:val="left" w:pos="709"/>
        </w:tabs>
        <w:snapToGrid w:val="0"/>
      </w:pPr>
      <w:r>
        <w:rPr>
          <w:rStyle w:val="FootnoteReference"/>
        </w:rPr>
        <w:footnoteRef/>
      </w:r>
      <w:r>
        <w:t xml:space="preserve"> Communication from the Commission to the European Parliament, the Council, the European Economic and Social Committee and the Committee of the Regions ‘Towards a European road safety area: policy orientations on road safety 2011-2020’, COM(2010) 389 final.</w:t>
      </w:r>
    </w:p>
  </w:footnote>
  <w:footnote w:id="144">
    <w:p>
      <w:pPr>
        <w:pStyle w:val="footnote"/>
        <w:tabs>
          <w:tab w:val="left" w:pos="709"/>
        </w:tabs>
        <w:snapToGrid w:val="0"/>
      </w:pPr>
      <w:r>
        <w:rPr>
          <w:rStyle w:val="FootnoteReference"/>
        </w:rPr>
        <w:footnoteRef/>
      </w:r>
      <w:r>
        <w:t>Council conclusions on road safety – endorsing the Valletta Declaration of March 2017 (</w:t>
      </w:r>
      <w:hyperlink r:id="rId28" w:history="1">
        <w:r>
          <w:rPr>
            <w:rStyle w:val="Hyperlink"/>
            <w:u w:val="none"/>
          </w:rPr>
          <w:t>http://data.consilium.europa.eu/doc/document/ST-9994-2017-INIT/en/pdf</w:t>
        </w:r>
      </w:hyperlink>
      <w:r>
        <w:t xml:space="preserve">).    </w:t>
      </w:r>
    </w:p>
  </w:footnote>
  <w:footnote w:id="145">
    <w:p>
      <w:pPr>
        <w:pStyle w:val="footnote"/>
        <w:tabs>
          <w:tab w:val="left" w:pos="709"/>
        </w:tabs>
        <w:snapToGrid w:val="0"/>
      </w:pPr>
      <w:r>
        <w:rPr>
          <w:rStyle w:val="FootnoteReference"/>
        </w:rPr>
        <w:footnoteRef/>
      </w:r>
      <w:r>
        <w:t xml:space="preserve"> Communication from the Commission to the European Parliament, the Council, the European Economic and Social Committee and the Committee of the Regions ‘Europe on the move - Sustainable Mobility for Europe: safe, connected, and clean’, COM(2018) 293 final.</w:t>
      </w:r>
    </w:p>
  </w:footnote>
  <w:footnote w:id="146">
    <w:p>
      <w:pPr>
        <w:pStyle w:val="footnote"/>
        <w:tabs>
          <w:tab w:val="left" w:pos="709"/>
        </w:tabs>
        <w:snapToGrid w:val="0"/>
      </w:pPr>
      <w:r>
        <w:rPr>
          <w:rStyle w:val="FootnoteReference"/>
        </w:rPr>
        <w:footnoteRef/>
      </w:r>
      <w:r>
        <w:t xml:space="preserve"> Regulation (EC) No 661/2009 of the European Parliament and of the Council of 13 July 2009 concerning type-approval requirements for the general safety of motor vehicles, their trailers and systems, components and separate technical units intended therefor, OJ L 200, 31.7.2009, p. 1. </w:t>
      </w:r>
    </w:p>
  </w:footnote>
  <w:footnote w:id="147">
    <w:p>
      <w:pPr>
        <w:pStyle w:val="FootnoteText"/>
        <w:tabs>
          <w:tab w:val="left" w:pos="709"/>
        </w:tabs>
        <w:spacing w:after="0" w:line="240" w:lineRule="auto"/>
        <w:ind w:left="0" w:firstLine="0"/>
        <w:rPr>
          <w:sz w:val="16"/>
          <w:szCs w:val="16"/>
        </w:rPr>
      </w:pPr>
      <w:r>
        <w:rPr>
          <w:sz w:val="16"/>
          <w:szCs w:val="16"/>
          <w:vertAlign w:val="superscript"/>
        </w:rPr>
        <w:footnoteRef/>
      </w:r>
      <w:r>
        <w:rPr>
          <w:sz w:val="16"/>
          <w:szCs w:val="16"/>
          <w:vertAlign w:val="superscript"/>
        </w:rPr>
        <w:t xml:space="preserve"> </w:t>
      </w:r>
      <w:r>
        <w:rPr>
          <w:sz w:val="16"/>
          <w:szCs w:val="16"/>
        </w:rPr>
        <w:t>Regulation (EU) No 168/2013 of the European Parliament and of the Council of 15 January 2013 on the approval and market surveillance of two- or three-wheel vehicles and quadricycles, OJ L 060 2.3.2013, p. 52</w:t>
      </w:r>
    </w:p>
  </w:footnote>
  <w:footnote w:id="148">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Regulation (EU) 2015/758 of the European Parliament and of the Council  of 29 April 2015 concerning type-approval requirements for the deployment of the eCall in-vehicle system based on the 112 service, OJ L 123 19.5.2015, p. 77</w:t>
      </w:r>
    </w:p>
  </w:footnote>
  <w:footnote w:id="149">
    <w:p>
      <w:pPr>
        <w:pStyle w:val="footnote"/>
        <w:tabs>
          <w:tab w:val="left" w:pos="709"/>
        </w:tabs>
        <w:snapToGrid w:val="0"/>
      </w:pPr>
      <w:r>
        <w:rPr>
          <w:rStyle w:val="FootnoteReference"/>
        </w:rPr>
        <w:footnoteRef/>
      </w:r>
      <w:r>
        <w:t xml:space="preserve"> Regulation (EU) 2019/2144 of the European Parliament and of the Council of 27 November 2019 on type-approval requirements for motor vehicles and their trailers, OJ L 325, 16.12.2019, p. 1.    </w:t>
      </w:r>
    </w:p>
  </w:footnote>
  <w:footnote w:id="150">
    <w:p>
      <w:pPr>
        <w:pStyle w:val="footnote"/>
        <w:tabs>
          <w:tab w:val="left" w:pos="709"/>
        </w:tabs>
        <w:snapToGrid w:val="0"/>
      </w:pPr>
      <w:r>
        <w:rPr>
          <w:rStyle w:val="FootnoteReference"/>
        </w:rPr>
        <w:footnoteRef/>
      </w:r>
      <w:r>
        <w:t xml:space="preserve"> Directive (EU) 2019/1936 of the European Parliament and of the Council of 23 October 2019 amending Directive 2008/96/EC on road infrastructure safety management, OJ L 305, 26.11.2019, p. 1.</w:t>
      </w:r>
    </w:p>
  </w:footnote>
  <w:footnote w:id="151">
    <w:p>
      <w:pPr>
        <w:pStyle w:val="FootnoteText"/>
        <w:tabs>
          <w:tab w:val="left" w:pos="709"/>
        </w:tabs>
        <w:snapToGrid w:val="0"/>
        <w:spacing w:after="0" w:line="240" w:lineRule="auto"/>
        <w:ind w:left="0" w:firstLine="0"/>
        <w:rPr>
          <w:sz w:val="16"/>
          <w:szCs w:val="16"/>
        </w:rPr>
      </w:pPr>
      <w:r>
        <w:rPr>
          <w:sz w:val="16"/>
          <w:szCs w:val="16"/>
          <w:vertAlign w:val="superscript"/>
        </w:rPr>
        <w:footnoteRef/>
      </w:r>
      <w:r>
        <w:rPr>
          <w:sz w:val="16"/>
          <w:szCs w:val="16"/>
        </w:rPr>
        <w:t xml:space="preserve"> Directive (EU) 2018/645 of the European Parliament and of the Council of 18 April 2018 amending Directive 2003/59/EC on the initial qualification and periodic training of drivers of certain road vehicles for the carriage of goods or passengers and Directive 2006/126/EC on driving licences, OJ L 112, 2.5.2018, p. 29.</w:t>
      </w:r>
    </w:p>
  </w:footnote>
  <w:footnote w:id="152">
    <w:p>
      <w:pPr>
        <w:pStyle w:val="FootnoteText"/>
        <w:tabs>
          <w:tab w:val="left" w:pos="709"/>
        </w:tabs>
        <w:snapToGrid w:val="0"/>
        <w:spacing w:after="0" w:line="240" w:lineRule="auto"/>
        <w:ind w:left="0" w:firstLine="0"/>
        <w:rPr>
          <w:sz w:val="16"/>
          <w:szCs w:val="16"/>
        </w:rPr>
      </w:pPr>
      <w:r>
        <w:rPr>
          <w:sz w:val="16"/>
          <w:szCs w:val="16"/>
          <w:vertAlign w:val="superscript"/>
        </w:rPr>
        <w:footnoteRef/>
      </w:r>
      <w:r>
        <w:rPr>
          <w:sz w:val="16"/>
          <w:szCs w:val="16"/>
        </w:rPr>
        <w:t xml:space="preserve"> Directive 2014/45/EU of the European Parliament and of the Council of 3 April 2014 on periodic roadworthiness tests for motor vehicles and their trailers, OJ L 127, 29.4.2014, p. 51; Directive 2014/46/EU of the European Parliament and of the Council of 3 April 2014 amending Council Directive 1999/37/EC on the registration documents for vehicles, OJ L 127, 29.4.2014, p. 129; Directive 2014/47/EU of the European Parliament and of the Council of 3 April 2014 on the technical roadside inspection of the roadworthiness of commercial vehicles circulating in the Union, OJ L 127, 29.4.2014, p. 134.</w:t>
      </w:r>
    </w:p>
  </w:footnote>
  <w:footnote w:id="153">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Directive (EU) 2015/413 of the European Parliament and of the Council of 11 March 2015 facilitating cross-border exchange of information on road-safety-related traffic offences, OJ L 68, 13.3.2015, p. 9.</w:t>
      </w:r>
    </w:p>
  </w:footnote>
  <w:footnote w:id="154">
    <w:p>
      <w:pPr>
        <w:pStyle w:val="footnote"/>
        <w:tabs>
          <w:tab w:val="left" w:pos="709"/>
        </w:tabs>
        <w:snapToGrid w:val="0"/>
      </w:pPr>
      <w:r>
        <w:rPr>
          <w:rStyle w:val="FootnoteReference"/>
        </w:rPr>
        <w:footnoteRef/>
      </w:r>
      <w:r>
        <w:t xml:space="preserve"> Source EASA https://www.easa.europa.eu/sites/default/files/dfu/easa_asr_2020.pdf</w:t>
      </w:r>
    </w:p>
  </w:footnote>
  <w:footnote w:id="155">
    <w:p>
      <w:pPr>
        <w:pStyle w:val="footnote"/>
        <w:tabs>
          <w:tab w:val="left" w:pos="709"/>
        </w:tabs>
        <w:snapToGrid w:val="0"/>
      </w:pPr>
      <w:r>
        <w:rPr>
          <w:rStyle w:val="FootnoteReference"/>
        </w:rPr>
        <w:footnoteRef/>
      </w:r>
      <w:r>
        <w:t xml:space="preserve"> Regulation (EU) 2018/1139 of the European Parliament and of the Council of 4 July 2018 on common rules in the field of civil aviation and establishing a European Union Aviation Safety Agency, OJ L 212, 22.8.2018, p. 1. </w:t>
      </w:r>
    </w:p>
  </w:footnote>
  <w:footnote w:id="156">
    <w:p>
      <w:pPr>
        <w:pStyle w:val="footnote"/>
        <w:tabs>
          <w:tab w:val="left" w:pos="709"/>
        </w:tabs>
        <w:snapToGrid w:val="0"/>
      </w:pPr>
      <w:r>
        <w:rPr>
          <w:rStyle w:val="FootnoteReference"/>
        </w:rPr>
        <w:footnoteRef/>
      </w:r>
      <w:r>
        <w:t xml:space="preserve"> Commission Implementing Regulation (EU) 2019/947 on the rules and procedures for the operation of unmanned aircraft, OJ L 152, 11.6.2019, p. 45; and Commission Delegated Regulation (EU) 945/2019 on unmanned aircraft systems and on third-country operators of unmanned aircraft systems, OJ L 152, 11.6.2019, p. 1.</w:t>
      </w:r>
    </w:p>
  </w:footnote>
  <w:footnote w:id="157">
    <w:p>
      <w:pPr>
        <w:pStyle w:val="footnote"/>
        <w:tabs>
          <w:tab w:val="left" w:pos="709"/>
        </w:tabs>
        <w:snapToGrid w:val="0"/>
      </w:pPr>
      <w:r>
        <w:rPr>
          <w:rStyle w:val="FootnoteReference"/>
        </w:rPr>
        <w:footnoteRef/>
      </w:r>
      <w:r>
        <w:t xml:space="preserve"> Regulation (EU) No 996/2010 of the European Parliament and of the Council of 20 October 2010 on the investigation and prevention of accidents and incidents in civil aviation and repealing Directive 94/56/EC, OJ L 295, 12.11.2010, p. 35–50.</w:t>
      </w:r>
    </w:p>
  </w:footnote>
  <w:footnote w:id="158">
    <w:p>
      <w:pPr>
        <w:pStyle w:val="footnote"/>
        <w:tabs>
          <w:tab w:val="left" w:pos="709"/>
        </w:tabs>
        <w:snapToGrid w:val="0"/>
      </w:pPr>
      <w:r>
        <w:rPr>
          <w:rStyle w:val="FootnoteReference"/>
        </w:rPr>
        <w:footnoteRef/>
      </w:r>
      <w:r>
        <w:t xml:space="preserve"> Regulation (EU) No 376/2014 of the European Parliament and of the Council of 3 April 2014 on the reporting, analysis and follow-up of occurrences in civil aviation, amending Regulation (EU) No 996/2010 of the European Parliament and of the Council and repealing Directive 2003/42/EC of the European Parliament and of the Council and Commission Regulations (EC) No 1321/2007 and (EC) No 1330/2007, OJ L 122, 24.4.2014, p. 18–43.</w:t>
      </w:r>
    </w:p>
  </w:footnote>
  <w:footnote w:id="159">
    <w:p>
      <w:pPr>
        <w:pStyle w:val="footnote"/>
        <w:tabs>
          <w:tab w:val="left" w:pos="709"/>
        </w:tabs>
        <w:snapToGrid w:val="0"/>
      </w:pPr>
      <w:r>
        <w:rPr>
          <w:rStyle w:val="FootnoteReference"/>
        </w:rPr>
        <w:footnoteRef/>
      </w:r>
      <w:r>
        <w:t xml:space="preserve"> Regulation (EC) No 300/2008 of the European Parliament and of the Council of 11 March 2008 on common rules in the field of civil aviation security and repealing Regulation (EC) No 2320/2002, OJ L 97, 9.4.2008, p. 72. </w:t>
      </w:r>
    </w:p>
  </w:footnote>
  <w:footnote w:id="160">
    <w:p>
      <w:pPr>
        <w:pStyle w:val="footnote"/>
        <w:tabs>
          <w:tab w:val="left" w:pos="709"/>
        </w:tabs>
        <w:snapToGrid w:val="0"/>
      </w:pPr>
      <w:r>
        <w:rPr>
          <w:rStyle w:val="FootnoteReference"/>
        </w:rPr>
        <w:footnoteRef/>
      </w:r>
      <w:r>
        <w:t xml:space="preserve"> Regulation (EC) No 725/2004 of the European Parliament and of the Council of 31 March 2004 on enhancing ship and port facility security, OJ L 129, 29.4.2004, p. 6.</w:t>
      </w:r>
    </w:p>
  </w:footnote>
  <w:footnote w:id="161">
    <w:p>
      <w:pPr>
        <w:pStyle w:val="footnote"/>
        <w:tabs>
          <w:tab w:val="left" w:pos="709"/>
        </w:tabs>
        <w:snapToGrid w:val="0"/>
        <w:rPr>
          <w:lang w:val="en-US"/>
        </w:rPr>
      </w:pPr>
      <w:r>
        <w:rPr>
          <w:rStyle w:val="FootnoteReference"/>
        </w:rPr>
        <w:footnoteRef/>
      </w:r>
      <w:r>
        <w:t xml:space="preserve"> Directive 2005/65/EC of the European Parliament and of the Council of 26 October 2005 on enhancing port security, OJ L 310, 25.11.2005, p. 28.</w:t>
      </w:r>
    </w:p>
  </w:footnote>
  <w:footnote w:id="162">
    <w:p>
      <w:pPr>
        <w:pStyle w:val="footnote"/>
        <w:tabs>
          <w:tab w:val="left" w:pos="709"/>
        </w:tabs>
        <w:snapToGrid w:val="0"/>
      </w:pPr>
      <w:r>
        <w:rPr>
          <w:rStyle w:val="FootnoteReference"/>
        </w:rPr>
        <w:footnoteRef/>
      </w:r>
      <w:r>
        <w:t xml:space="preserve"> Regulation (EU) 2019/2144 of the European Parliament and of the Council of 27 November 2019 on type-approval requirements for motor vehicles and their trailers, OJ L 325, 16.12.2019, p. 1.</w:t>
      </w:r>
    </w:p>
  </w:footnote>
  <w:footnote w:id="163">
    <w:p>
      <w:pPr>
        <w:pStyle w:val="footnote"/>
        <w:tabs>
          <w:tab w:val="left" w:pos="709"/>
        </w:tabs>
        <w:snapToGrid w:val="0"/>
      </w:pPr>
      <w:r>
        <w:rPr>
          <w:rStyle w:val="FootnoteReference"/>
        </w:rPr>
        <w:footnoteRef/>
      </w:r>
      <w:r>
        <w:t xml:space="preserve"> Figures on number of persons employed in transport, total workforce and shares per mode based on Eurostat Labour Force Survey (age 15-64 years).</w:t>
      </w:r>
    </w:p>
  </w:footnote>
  <w:footnote w:id="164">
    <w:p>
      <w:pPr>
        <w:pStyle w:val="footnote"/>
        <w:tabs>
          <w:tab w:val="left" w:pos="709"/>
        </w:tabs>
        <w:snapToGrid w:val="0"/>
      </w:pPr>
      <w:r>
        <w:rPr>
          <w:vertAlign w:val="superscript"/>
        </w:rPr>
        <w:footnoteRef/>
      </w:r>
      <w:r>
        <w:t xml:space="preserve"> 4.5 % of total employment if postal and courier activities are not included.</w:t>
      </w:r>
    </w:p>
  </w:footnote>
  <w:footnote w:id="165">
    <w:p>
      <w:pPr>
        <w:pStyle w:val="footnote"/>
        <w:tabs>
          <w:tab w:val="left" w:pos="709"/>
        </w:tabs>
        <w:snapToGrid w:val="0"/>
      </w:pPr>
      <w:r>
        <w:rPr>
          <w:vertAlign w:val="superscript"/>
        </w:rPr>
        <w:footnoteRef/>
      </w:r>
      <w:r>
        <w:t xml:space="preserve"> According to the European Transport Workers’ Federation, the average age of lorry drivers is around 45, while the average age of bus and coach drivers is 55 years plus, and an estimated 98% of the drivers are male.</w:t>
      </w:r>
    </w:p>
  </w:footnote>
  <w:footnote w:id="166">
    <w:p>
      <w:pPr>
        <w:pStyle w:val="footnote"/>
        <w:tabs>
          <w:tab w:val="left" w:pos="709"/>
        </w:tabs>
        <w:snapToGrid w:val="0"/>
      </w:pPr>
      <w:r>
        <w:rPr>
          <w:vertAlign w:val="superscript"/>
        </w:rPr>
        <w:footnoteRef/>
      </w:r>
      <w:r>
        <w:t xml:space="preserve"> European Commission (2017), Study on a Pilot project: Making the EU transport sector attractive to future generations.</w:t>
      </w:r>
    </w:p>
  </w:footnote>
  <w:footnote w:id="167">
    <w:p>
      <w:pPr>
        <w:pStyle w:val="footnote"/>
        <w:tabs>
          <w:tab w:val="left" w:pos="709"/>
        </w:tabs>
        <w:snapToGrid w:val="0"/>
        <w:rPr>
          <w:lang w:val="pt-PT"/>
        </w:rPr>
      </w:pPr>
      <w:r>
        <w:rPr>
          <w:vertAlign w:val="superscript"/>
        </w:rPr>
        <w:footnoteRef/>
      </w:r>
      <w:r>
        <w:rPr>
          <w:lang w:val="pt-PT"/>
        </w:rPr>
        <w:t xml:space="preserve"> COM (2020) 14 final.</w:t>
      </w:r>
    </w:p>
  </w:footnote>
  <w:footnote w:id="168">
    <w:p>
      <w:pPr>
        <w:pStyle w:val="footnote"/>
        <w:tabs>
          <w:tab w:val="left" w:pos="284"/>
          <w:tab w:val="left" w:pos="709"/>
        </w:tabs>
        <w:snapToGrid w:val="0"/>
        <w:rPr>
          <w:rStyle w:val="FootnoteReference"/>
          <w:vertAlign w:val="baseline"/>
          <w:lang w:val="pt-PT"/>
        </w:rPr>
      </w:pPr>
      <w:r>
        <w:rPr>
          <w:rStyle w:val="FootnoteReference"/>
        </w:rPr>
        <w:footnoteRef/>
      </w:r>
      <w:hyperlink r:id="rId29" w:history="1">
        <w:r>
          <w:rPr>
            <w:rStyle w:val="FootnoteReference"/>
            <w:vertAlign w:val="baseline"/>
            <w:lang w:val="pt-PT"/>
          </w:rPr>
          <w:t>https://ec.europa.eu/commission/priorities/deeper-and-fairer-economic-and-monetary-union/european-pillar-social-rights/european-pillar-social-rights-20-principles_en</w:t>
        </w:r>
      </w:hyperlink>
      <w:r>
        <w:rPr>
          <w:lang w:val="pt-PT"/>
        </w:rPr>
        <w:t xml:space="preserve">    </w:t>
      </w:r>
    </w:p>
  </w:footnote>
  <w:footnote w:id="169">
    <w:p>
      <w:pPr>
        <w:pStyle w:val="footnote"/>
        <w:tabs>
          <w:tab w:val="left" w:pos="709"/>
        </w:tabs>
        <w:snapToGrid w:val="0"/>
      </w:pPr>
      <w:r>
        <w:rPr>
          <w:rStyle w:val="FootnoteReference"/>
        </w:rPr>
        <w:footnoteRef/>
      </w:r>
      <w:r>
        <w:rPr>
          <w:rStyle w:val="FootnoteReference"/>
        </w:rPr>
        <w:t xml:space="preserve"> </w:t>
      </w:r>
      <w:r>
        <w:rPr>
          <w:rStyle w:val="FootnoteReference"/>
          <w:vertAlign w:val="baseline"/>
        </w:rPr>
        <w:t>In line with Commission Decision of 20 May 1998 on the establishment of Sectoral Dialogue Committees promoting the Dialogue between the social partners at European level (notified under document number C(1998) 2334) (98/500/EC), https://eur-lex.europa.eu/legal-content/EN/TXT/?uri=CELEX:01998D0500-20130701.</w:t>
      </w:r>
    </w:p>
  </w:footnote>
  <w:footnote w:id="170">
    <w:p>
      <w:pPr>
        <w:pStyle w:val="footnote"/>
        <w:tabs>
          <w:tab w:val="left" w:pos="709"/>
        </w:tabs>
        <w:snapToGrid w:val="0"/>
      </w:pPr>
      <w:r>
        <w:rPr>
          <w:rStyle w:val="FootnoteReference"/>
        </w:rPr>
        <w:footnoteRef/>
      </w:r>
      <w:r>
        <w:t xml:space="preserve"> https://ec.europa.eu/social/main.jsp?catId=1415&amp;langId=en</w:t>
      </w:r>
    </w:p>
  </w:footnote>
  <w:footnote w:id="171">
    <w:p>
      <w:pPr>
        <w:pStyle w:val="footnote"/>
        <w:tabs>
          <w:tab w:val="left" w:pos="709"/>
        </w:tabs>
        <w:snapToGrid w:val="0"/>
      </w:pPr>
      <w:r>
        <w:rPr>
          <w:rStyle w:val="FootnoteReference"/>
        </w:rPr>
        <w:footnoteRef/>
      </w:r>
      <w:r>
        <w:t xml:space="preserve"> https://www.project-drives.eu/en/home</w:t>
      </w:r>
    </w:p>
  </w:footnote>
  <w:footnote w:id="172">
    <w:p>
      <w:pPr>
        <w:pStyle w:val="footnote"/>
        <w:tabs>
          <w:tab w:val="left" w:pos="709"/>
        </w:tabs>
        <w:snapToGrid w:val="0"/>
      </w:pPr>
      <w:r>
        <w:rPr>
          <w:rStyle w:val="FootnoteReference"/>
        </w:rPr>
        <w:footnoteRef/>
      </w:r>
      <w:r>
        <w:t xml:space="preserve"> https://www.skillsea.eu/</w:t>
      </w:r>
    </w:p>
  </w:footnote>
  <w:footnote w:id="173">
    <w:p>
      <w:pPr>
        <w:pStyle w:val="footnote"/>
        <w:tabs>
          <w:tab w:val="left" w:pos="709"/>
        </w:tabs>
        <w:snapToGrid w:val="0"/>
        <w:rPr>
          <w:lang w:val="pt-PT"/>
        </w:rPr>
      </w:pPr>
      <w:r>
        <w:rPr>
          <w:rStyle w:val="FootnoteReference"/>
        </w:rPr>
        <w:footnoteRef/>
      </w:r>
      <w:r>
        <w:rPr>
          <w:lang w:val="pt-PT"/>
        </w:rPr>
        <w:t xml:space="preserve"> COM (2020) 275 final</w:t>
      </w:r>
    </w:p>
  </w:footnote>
  <w:footnote w:id="174">
    <w:p>
      <w:pPr>
        <w:pStyle w:val="footnote"/>
        <w:tabs>
          <w:tab w:val="left" w:pos="709"/>
        </w:tabs>
        <w:snapToGrid w:val="0"/>
        <w:rPr>
          <w:lang w:val="pt-PT"/>
        </w:rPr>
      </w:pPr>
      <w:r>
        <w:rPr>
          <w:rStyle w:val="FootnoteReference"/>
        </w:rPr>
        <w:footnoteRef/>
      </w:r>
      <w:r>
        <w:rPr>
          <w:lang w:val="pt-PT"/>
        </w:rPr>
        <w:t xml:space="preserve"> https://ec.europa.eu/transport/themes/social/women-transport-eu-platform-change_en</w:t>
      </w:r>
    </w:p>
  </w:footnote>
  <w:footnote w:id="175">
    <w:p>
      <w:pPr>
        <w:pStyle w:val="footnote"/>
        <w:tabs>
          <w:tab w:val="left" w:pos="709"/>
        </w:tabs>
        <w:snapToGrid w:val="0"/>
        <w:rPr>
          <w:lang w:val="pt-PT"/>
        </w:rPr>
      </w:pPr>
      <w:r>
        <w:rPr>
          <w:rStyle w:val="FootnoteReference"/>
        </w:rPr>
        <w:footnoteRef/>
      </w:r>
      <w:r>
        <w:rPr>
          <w:lang w:val="pt-PT"/>
        </w:rPr>
        <w:t xml:space="preserve"> https://op.europa.eu/en/publication-detail/-/publication/6f833428-54f9-11e9-a8ed-01aa75ed71a1 </w:t>
      </w:r>
    </w:p>
  </w:footnote>
  <w:footnote w:id="176">
    <w:p>
      <w:pPr>
        <w:pStyle w:val="FootnoteText"/>
        <w:tabs>
          <w:tab w:val="left" w:pos="709"/>
        </w:tabs>
        <w:snapToGrid w:val="0"/>
        <w:spacing w:after="0" w:line="240" w:lineRule="auto"/>
        <w:ind w:left="0" w:firstLine="0"/>
        <w:rPr>
          <w:sz w:val="16"/>
          <w:szCs w:val="16"/>
        </w:rPr>
      </w:pPr>
      <w:r>
        <w:rPr>
          <w:sz w:val="16"/>
          <w:szCs w:val="16"/>
          <w:vertAlign w:val="superscript"/>
        </w:rPr>
        <w:footnoteRef/>
      </w:r>
      <w:r>
        <w:rPr>
          <w:sz w:val="16"/>
          <w:szCs w:val="16"/>
        </w:rPr>
        <w:t xml:space="preserve"> The European Disability Forum estimates the number of persons with disabilities to be over 100 million in Europe.</w:t>
      </w:r>
    </w:p>
  </w:footnote>
  <w:footnote w:id="177">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Directive 2019/ 882</w:t>
      </w:r>
    </w:p>
  </w:footnote>
  <w:footnote w:id="178">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In the rail sector, digitalisation and digitisation have a strong impact on production, processes, operations and skill needs. The key digital innovations include driverless operations, automation of planning, predictive maintenance and automation of traffic control. Under the coordination of the University of Genoa, the STAFFER (Skill Training Alliance For the Future European Rail System) Alliance, including key European suppliers, operators, infrastructure managers as well as universities, will address shortage in particular occupational field such as system engineers and architects, software developers, IT security specialists and big data analysts.</w:t>
      </w:r>
    </w:p>
  </w:footnote>
  <w:footnote w:id="179">
    <w:p>
      <w:pPr>
        <w:pStyle w:val="footnote"/>
        <w:tabs>
          <w:tab w:val="left" w:pos="709"/>
        </w:tabs>
        <w:snapToGrid w:val="0"/>
        <w:rPr>
          <w:lang w:val="en-IE"/>
        </w:rPr>
      </w:pPr>
      <w:r>
        <w:rPr>
          <w:rStyle w:val="FootnoteReference"/>
        </w:rPr>
        <w:footnoteRef/>
      </w:r>
      <w:r>
        <w:t xml:space="preserve"> </w:t>
      </w:r>
      <w:hyperlink r:id="rId30" w:history="1">
        <w:r>
          <w:rPr>
            <w:rStyle w:val="Hyperlink"/>
            <w:u w:val="none"/>
          </w:rPr>
          <w:t>https://ec.europa.eu/social/BlobServlet?docId=22457&amp;langId=en</w:t>
        </w:r>
      </w:hyperlink>
      <w:r>
        <w:t xml:space="preserve"> </w:t>
      </w:r>
    </w:p>
  </w:footnote>
  <w:footnote w:id="180">
    <w:p>
      <w:pPr>
        <w:tabs>
          <w:tab w:val="left" w:pos="709"/>
        </w:tabs>
        <w:snapToGrid w:val="0"/>
        <w:spacing w:after="0" w:line="240" w:lineRule="auto"/>
        <w:rPr>
          <w:rFonts w:eastAsiaTheme="minorHAnsi"/>
          <w:sz w:val="16"/>
          <w:szCs w:val="16"/>
        </w:rPr>
      </w:pPr>
      <w:r>
        <w:rPr>
          <w:rStyle w:val="FootnoteReference"/>
          <w:sz w:val="16"/>
          <w:szCs w:val="16"/>
        </w:rPr>
        <w:footnoteRef/>
      </w:r>
      <w:r>
        <w:rPr>
          <w:sz w:val="16"/>
          <w:szCs w:val="16"/>
        </w:rPr>
        <w:t xml:space="preserve"> European Aviation Round Table Report on the Recovery of European Aviation, November 2020.</w:t>
      </w:r>
    </w:p>
  </w:footnote>
  <w:footnote w:id="181">
    <w:p>
      <w:pPr>
        <w:pStyle w:val="footnote"/>
        <w:tabs>
          <w:tab w:val="left" w:pos="709"/>
        </w:tabs>
        <w:snapToGrid w:val="0"/>
      </w:pPr>
      <w:r>
        <w:rPr>
          <w:rStyle w:val="FootnoteReference"/>
        </w:rPr>
        <w:footnoteRef/>
      </w:r>
      <w:r>
        <w:t xml:space="preserve"> Directive 2013/54/EU of the European Parliament and of the Council of 20 November 2013 concerning certain flag State responsibilities for compliance with and enforcement of the Maritime Labour Convention, 2006, OJ L 329, 10.12.2013, p. 1; Directive 2013/38/EU of the European Parliament and of the Council of 12 August 2013 amending Directive 2009/16/EC on port State control, OJ L 218, 14.8.2013, p. 1; and Council Directive (EU) 2018/131 implementing the Agreement concluded by the European Community Shipowners' Associations (ECSA) and the European Transport Workers' Federation (ETF) to amend Directive 2009/13/EC in accordance with the amendments of 2014 to the Maritime Labour Convention, 2006, as approved by the International Labour Conference on 11 June 2014, OJ L 22, 26.1.2018, p. 28.</w:t>
      </w:r>
    </w:p>
  </w:footnote>
  <w:footnote w:id="182">
    <w:p>
      <w:pPr>
        <w:pStyle w:val="footnote"/>
        <w:tabs>
          <w:tab w:val="left" w:pos="709"/>
        </w:tabs>
        <w:snapToGrid w:val="0"/>
      </w:pPr>
      <w:r>
        <w:rPr>
          <w:rStyle w:val="FootnoteReference"/>
        </w:rPr>
        <w:footnoteRef/>
      </w:r>
      <w:r>
        <w:t xml:space="preserve"> Directive 2008/106/EC of the European Parliament and of the Council of 19 November 2008 on the minimum level of training of seafarers (recast), OJ L 323, 3.12.2008, p. 33. </w:t>
      </w:r>
    </w:p>
  </w:footnote>
  <w:footnote w:id="183">
    <w:p>
      <w:pPr>
        <w:pStyle w:val="footnote"/>
        <w:tabs>
          <w:tab w:val="left" w:pos="709"/>
        </w:tabs>
        <w:snapToGrid w:val="0"/>
        <w:rPr>
          <w:lang w:val="en-US"/>
        </w:rPr>
      </w:pPr>
      <w:r>
        <w:rPr>
          <w:rStyle w:val="FootnoteReference"/>
        </w:rPr>
        <w:footnoteRef/>
      </w:r>
      <w:r>
        <w:t xml:space="preserve"> </w:t>
      </w:r>
      <w:r>
        <w:rPr>
          <w:lang w:val="en-US"/>
        </w:rPr>
        <w:t xml:space="preserve">Directive </w:t>
      </w:r>
      <w:r>
        <w:t>2014</w:t>
      </w:r>
      <w:r>
        <w:rPr>
          <w:lang w:val="en-US"/>
        </w:rPr>
        <w:t>/112/EU of 19 December 2014 implementing the European Agreement concerning certain aspects of the organisation of working time in inland waterway transport, concluded by the European Barge Union (EBU), the European Skippers Organisation (ESO) and the European Transport Workers' Federation (ETF), OJ L 367, 23.12.2014, p.86.</w:t>
      </w:r>
    </w:p>
  </w:footnote>
  <w:footnote w:id="184">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Study on social aspects within the maritime transport sector, </w:t>
      </w:r>
      <w:hyperlink r:id="rId31" w:history="1">
        <w:r>
          <w:rPr>
            <w:rStyle w:val="Hyperlink"/>
            <w:szCs w:val="16"/>
            <w:u w:val="none"/>
          </w:rPr>
          <w:t>https://op.europa.eu/en/publication-detail/-/publication/a14413d7-bf30-11ea-901b-01aa75ed71a1</w:t>
        </w:r>
      </w:hyperlink>
      <w:r>
        <w:rPr>
          <w:sz w:val="16"/>
          <w:szCs w:val="16"/>
        </w:rPr>
        <w:t xml:space="preserve">; SkillSea project, </w:t>
      </w:r>
      <w:hyperlink r:id="rId32" w:history="1">
        <w:r>
          <w:rPr>
            <w:rStyle w:val="Hyperlink"/>
            <w:szCs w:val="16"/>
            <w:u w:val="none"/>
          </w:rPr>
          <w:t>https://www.skillsea.eu/</w:t>
        </w:r>
      </w:hyperlink>
      <w:r>
        <w:rPr>
          <w:sz w:val="16"/>
          <w:szCs w:val="16"/>
        </w:rPr>
        <w:t xml:space="preserve">, EU – ILO high level dialogue; EMSA training programs and capacity building for third countries (ie on MLC 2006).  </w:t>
      </w:r>
    </w:p>
  </w:footnote>
  <w:footnote w:id="185">
    <w:p>
      <w:pPr>
        <w:pStyle w:val="footnote"/>
        <w:tabs>
          <w:tab w:val="left" w:pos="709"/>
        </w:tabs>
        <w:snapToGrid w:val="0"/>
      </w:pPr>
      <w:r>
        <w:rPr>
          <w:rStyle w:val="FootnoteReference"/>
        </w:rPr>
        <w:footnoteRef/>
      </w:r>
      <w:r>
        <w:t xml:space="preserve"> Communication from the Commission — EU law: Better results through better application (C/2016/8600), OJ C 18, 19.1.2017, p. 10.</w:t>
      </w:r>
    </w:p>
  </w:footnote>
  <w:footnote w:id="186">
    <w:p>
      <w:pPr>
        <w:pStyle w:val="footnote"/>
        <w:tabs>
          <w:tab w:val="left" w:pos="709"/>
        </w:tabs>
        <w:snapToGrid w:val="0"/>
      </w:pPr>
      <w:r>
        <w:rPr>
          <w:rStyle w:val="FootnoteReference"/>
        </w:rPr>
        <w:footnoteRef/>
      </w:r>
      <w:r>
        <w:t xml:space="preserve"> Mission letter from the President-elect of the European Commission to the Commissioner-designate for Transport, Ms. Adina Vălean, dated from 7 November 2019.</w:t>
      </w:r>
    </w:p>
  </w:footnote>
  <w:footnote w:id="187">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In addition to the Commission improving competition directly, through antitrust enforcement. See e.g. Commission Decision of 18 December 2013 in case AT.39678/AT.39731 </w:t>
      </w:r>
      <w:r>
        <w:rPr>
          <w:i/>
          <w:iCs/>
          <w:sz w:val="16"/>
          <w:szCs w:val="16"/>
        </w:rPr>
        <w:t>Deutsche Bahn</w:t>
      </w:r>
      <w:r>
        <w:rPr>
          <w:sz w:val="16"/>
          <w:szCs w:val="16"/>
        </w:rPr>
        <w:t xml:space="preserve">, and Commission Decision of 2 October 2017 in case AT.39813 </w:t>
      </w:r>
      <w:r>
        <w:rPr>
          <w:i/>
          <w:iCs/>
          <w:sz w:val="16"/>
          <w:szCs w:val="16"/>
        </w:rPr>
        <w:t>Baltic Rail</w:t>
      </w:r>
      <w:r>
        <w:rPr>
          <w:sz w:val="16"/>
          <w:szCs w:val="16"/>
        </w:rPr>
        <w:t>.</w:t>
      </w:r>
    </w:p>
  </w:footnote>
  <w:footnote w:id="188">
    <w:p>
      <w:pPr>
        <w:pStyle w:val="footnote"/>
        <w:tabs>
          <w:tab w:val="left" w:pos="709"/>
        </w:tabs>
        <w:snapToGrid w:val="0"/>
      </w:pPr>
      <w:r>
        <w:rPr>
          <w:rStyle w:val="FootnoteReference"/>
        </w:rPr>
        <w:footnoteRef/>
      </w:r>
      <w:r>
        <w:t xml:space="preserve"> Own calculations based on CE Delft (2019), ‘Handbook on the External Costs of Transport. Version 2019’ </w:t>
      </w:r>
    </w:p>
  </w:footnote>
  <w:footnote w:id="189">
    <w:p>
      <w:pPr>
        <w:pStyle w:val="footnote"/>
        <w:tabs>
          <w:tab w:val="left" w:pos="709"/>
        </w:tabs>
        <w:snapToGrid w:val="0"/>
      </w:pPr>
      <w:r>
        <w:rPr>
          <w:rStyle w:val="FootnoteReference"/>
        </w:rPr>
        <w:footnoteRef/>
      </w:r>
      <w:r>
        <w:t xml:space="preserve"> With the exception of water pollution, all environmental impacts mentioned in this section are included in the EUR 900 billion figure mentioned.</w:t>
      </w:r>
    </w:p>
  </w:footnote>
  <w:footnote w:id="190">
    <w:p>
      <w:pPr>
        <w:pStyle w:val="footnote"/>
        <w:tabs>
          <w:tab w:val="left" w:pos="709"/>
        </w:tabs>
        <w:snapToGrid w:val="0"/>
      </w:pPr>
      <w:r>
        <w:rPr>
          <w:rStyle w:val="FootnoteReference"/>
        </w:rPr>
        <w:footnoteRef/>
      </w:r>
      <w:r>
        <w:t xml:space="preserve"> Air pollution and habitat damage costs include the impact on biodiversity.</w:t>
      </w:r>
    </w:p>
  </w:footnote>
  <w:footnote w:id="191">
    <w:p>
      <w:pPr>
        <w:pStyle w:val="footnote"/>
        <w:tabs>
          <w:tab w:val="left" w:pos="709"/>
        </w:tabs>
        <w:snapToGrid w:val="0"/>
      </w:pPr>
      <w:r>
        <w:rPr>
          <w:rStyle w:val="FootnoteReference"/>
        </w:rPr>
        <w:footnoteRef/>
      </w:r>
      <w:r>
        <w:t xml:space="preserve"> Own calculation based on CE Delft (2019), ‘Handbook on the External Costs of Transport. Version 2019’. All figures in this section exclude UK.</w:t>
      </w:r>
    </w:p>
  </w:footnote>
  <w:footnote w:id="192">
    <w:p>
      <w:pPr>
        <w:pStyle w:val="footnote"/>
        <w:tabs>
          <w:tab w:val="left" w:pos="709"/>
        </w:tabs>
        <w:snapToGrid w:val="0"/>
      </w:pPr>
      <w:r>
        <w:rPr>
          <w:rStyle w:val="FootnoteReference"/>
        </w:rPr>
        <w:footnoteRef/>
      </w:r>
      <w:r>
        <w:t xml:space="preserve"> Note that, for aviation and maritime, the handbook focuses on a sample of (air)ports. The costs presented here are then scaled up at EU-27 level and include extra-EU activity. The EU-27 figures should be taken with caution, as scaling-up assumes that the sample of (air)ports is representative of the Union as a whole.</w:t>
      </w:r>
    </w:p>
  </w:footnote>
  <w:footnote w:id="193">
    <w:p>
      <w:pPr>
        <w:pStyle w:val="FootnoteText"/>
        <w:tabs>
          <w:tab w:val="left" w:pos="709"/>
        </w:tabs>
        <w:snapToGrid w:val="0"/>
        <w:spacing w:after="0" w:line="240" w:lineRule="auto"/>
        <w:rPr>
          <w:sz w:val="16"/>
          <w:szCs w:val="16"/>
        </w:rPr>
      </w:pPr>
      <w:r>
        <w:rPr>
          <w:rStyle w:val="FootnoteReference"/>
          <w:sz w:val="16"/>
          <w:szCs w:val="16"/>
        </w:rPr>
        <w:footnoteRef/>
      </w:r>
      <w:r>
        <w:rPr>
          <w:sz w:val="16"/>
          <w:szCs w:val="16"/>
        </w:rPr>
        <w:t xml:space="preserve"> Congestion/scarcity costs are not included for modes other than transport for methodological reasons</w:t>
      </w:r>
    </w:p>
  </w:footnote>
  <w:footnote w:id="194">
    <w:p>
      <w:pPr>
        <w:pStyle w:val="footnote"/>
        <w:tabs>
          <w:tab w:val="left" w:pos="709"/>
        </w:tabs>
        <w:snapToGrid w:val="0"/>
      </w:pPr>
      <w:r>
        <w:rPr>
          <w:rStyle w:val="FootnoteReference"/>
        </w:rPr>
        <w:footnoteRef/>
      </w:r>
      <w:r>
        <w:t xml:space="preserve"> The average cost is driven, for all modes, by the occupancy factor. For cars, this is on average equal to about 1.6 passenger/vehicle. Increasing the number of passenger per vehicle could lead to a significant cost reduction.</w:t>
      </w:r>
    </w:p>
  </w:footnote>
  <w:footnote w:id="195">
    <w:p>
      <w:pPr>
        <w:pStyle w:val="footnote"/>
        <w:tabs>
          <w:tab w:val="left" w:pos="709"/>
        </w:tabs>
        <w:snapToGrid w:val="0"/>
      </w:pPr>
      <w:r>
        <w:rPr>
          <w:rStyle w:val="FootnoteReference"/>
        </w:rPr>
        <w:footnoteRef/>
      </w:r>
      <w:r>
        <w:t xml:space="preserve"> Motorcycles are actually the passenger mode with the highest external costs per passenger-kilometre, due to high accident and noise costs. However, the total cost of motorcycles is limited due to their low modal share.</w:t>
      </w:r>
    </w:p>
  </w:footnote>
  <w:footnote w:id="196">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In the EU-27, road users paid more than EUR 300 billion in 2016, while rail users around EUR 18 billion and inland waterway users about EUR 200 million. Source: CE Delft (2019), Overview on Transport taxes and charges in Europe https://ec.europa.eu/transport/sites/transport/files/studies/transport-taxes-and-charges-in-europe-isbn-978-92-79-99561-3.pdf</w:t>
      </w:r>
    </w:p>
  </w:footnote>
  <w:footnote w:id="197">
    <w:p>
      <w:pPr>
        <w:pStyle w:val="footnote"/>
        <w:tabs>
          <w:tab w:val="left" w:pos="709"/>
        </w:tabs>
        <w:snapToGrid w:val="0"/>
      </w:pPr>
      <w:r>
        <w:rPr>
          <w:rStyle w:val="FootnoteReference"/>
        </w:rPr>
        <w:footnoteRef/>
      </w:r>
      <w:r>
        <w:t xml:space="preserve"> These costs are already included in </w:t>
      </w:r>
      <w:r>
        <w:rPr>
          <w:lang w:eastAsia="en-US"/>
        </w:rPr>
        <w:t>EUR 900 billion figure. They include climate change, air pollution, noise and habitat damage costs.</w:t>
      </w:r>
    </w:p>
  </w:footnote>
  <w:footnote w:id="198">
    <w:p>
      <w:pPr>
        <w:pStyle w:val="footnote"/>
        <w:tabs>
          <w:tab w:val="left" w:pos="709"/>
        </w:tabs>
        <w:snapToGrid w:val="0"/>
      </w:pPr>
      <w:r>
        <w:rPr>
          <w:rStyle w:val="FootnoteReference"/>
        </w:rPr>
        <w:footnoteRef/>
      </w:r>
      <w:r>
        <w:t xml:space="preserve"> Motorcycles are the mode with the highest average environmental costs due to their high noise costs, but their total costs remain limited.</w:t>
      </w:r>
    </w:p>
  </w:footnote>
  <w:footnote w:id="199">
    <w:p>
      <w:pPr>
        <w:pStyle w:val="FootnoteText"/>
        <w:spacing w:after="0"/>
        <w:rPr>
          <w:sz w:val="16"/>
          <w:szCs w:val="16"/>
        </w:rPr>
      </w:pPr>
      <w:r>
        <w:rPr>
          <w:rStyle w:val="FootnoteReference"/>
          <w:sz w:val="16"/>
          <w:szCs w:val="16"/>
        </w:rPr>
        <w:footnoteRef/>
      </w:r>
      <w:r>
        <w:rPr>
          <w:sz w:val="16"/>
          <w:szCs w:val="16"/>
        </w:rPr>
        <w:t xml:space="preserve"> Final energy consumption excludes international maritime and aviation.</w:t>
      </w:r>
    </w:p>
  </w:footnote>
  <w:footnote w:id="200">
    <w:p>
      <w:pPr>
        <w:pStyle w:val="footnote"/>
        <w:tabs>
          <w:tab w:val="left" w:pos="709"/>
        </w:tabs>
        <w:snapToGrid w:val="0"/>
      </w:pPr>
      <w:r>
        <w:rPr>
          <w:rStyle w:val="FootnoteReference"/>
        </w:rPr>
        <w:footnoteRef/>
      </w:r>
      <w:r>
        <w:t>European Commission, ‘EU Transport in Figures. Statistical Pocketbook 2020’. https://ec.europa.eu/transport/facts-fundings/statistics/pocketbook-2020_en</w:t>
      </w:r>
    </w:p>
  </w:footnote>
  <w:footnote w:id="201">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European Commission, ‘EU Transport in Figures. Statistical Pocketbook </w:t>
      </w:r>
    </w:p>
    <w:p>
      <w:pPr>
        <w:pStyle w:val="FootnoteText"/>
        <w:tabs>
          <w:tab w:val="left" w:pos="709"/>
        </w:tabs>
        <w:snapToGrid w:val="0"/>
        <w:spacing w:after="0" w:line="240" w:lineRule="auto"/>
        <w:ind w:left="0" w:firstLine="0"/>
        <w:rPr>
          <w:sz w:val="16"/>
          <w:szCs w:val="16"/>
        </w:rPr>
      </w:pPr>
      <w:r>
        <w:rPr>
          <w:rStyle w:val="Hyperlink"/>
          <w:szCs w:val="16"/>
          <w:u w:val="none"/>
        </w:rPr>
        <w:t>https://ec.europa.eu/transport/facts-fundings/statistics/pocketbook-2020_en</w:t>
      </w:r>
      <w:r>
        <w:rPr>
          <w:sz w:val="16"/>
          <w:szCs w:val="16"/>
        </w:rPr>
        <w:t xml:space="preserve"> </w:t>
      </w:r>
    </w:p>
  </w:footnote>
  <w:footnote w:id="202">
    <w:p>
      <w:pPr>
        <w:pStyle w:val="footnote"/>
        <w:tabs>
          <w:tab w:val="left" w:pos="709"/>
        </w:tabs>
        <w:snapToGrid w:val="0"/>
      </w:pPr>
      <w:r>
        <w:rPr>
          <w:rStyle w:val="FootnoteReference"/>
        </w:rPr>
        <w:footnoteRef/>
      </w:r>
      <w:r>
        <w:rPr>
          <w:rStyle w:val="FootnoteReference"/>
        </w:rPr>
        <w:t xml:space="preserve"> </w:t>
      </w:r>
      <w:r>
        <w:t>See section 2.2 for the description of the Baseline scenario.</w:t>
      </w:r>
      <w:r>
        <w:rPr>
          <w:lang w:val="en-US"/>
        </w:rPr>
        <w:t xml:space="preserve"> </w:t>
      </w:r>
    </w:p>
  </w:footnote>
  <w:footnote w:id="203">
    <w:p>
      <w:pPr>
        <w:pStyle w:val="footnote"/>
        <w:tabs>
          <w:tab w:val="left" w:pos="709"/>
        </w:tabs>
        <w:snapToGrid w:val="0"/>
      </w:pPr>
      <w:r>
        <w:rPr>
          <w:rStyle w:val="FootnoteReference"/>
        </w:rPr>
        <w:footnoteRef/>
      </w:r>
      <w:r>
        <w:t xml:space="preserve"> COM(2020) 747 final, “</w:t>
      </w:r>
      <w:r>
        <w:rPr>
          <w:color w:val="444444"/>
          <w:shd w:val="clear" w:color="auto" w:fill="FFFFFF"/>
        </w:rPr>
        <w:t>Updated analysis of the non-CO2 climate impacts of aviation and potential policy measures pursuant to EU Emissions Trading System Directive Article 30(4)”</w:t>
      </w:r>
      <w:r>
        <w:rPr>
          <w:lang w:val="en-IE"/>
        </w:rPr>
        <w:t xml:space="preserve"> </w:t>
      </w:r>
    </w:p>
  </w:footnote>
  <w:footnote w:id="204">
    <w:p>
      <w:pPr>
        <w:pStyle w:val="footnote"/>
        <w:tabs>
          <w:tab w:val="left" w:pos="709"/>
        </w:tabs>
        <w:snapToGrid w:val="0"/>
      </w:pPr>
      <w:r>
        <w:rPr>
          <w:rStyle w:val="FootnoteReference"/>
        </w:rPr>
        <w:footnoteRef/>
      </w:r>
      <w:r>
        <w:rPr>
          <w:lang w:val="en-US"/>
        </w:rPr>
        <w:t xml:space="preserve"> </w:t>
      </w:r>
      <w:r>
        <w:t>More insight into the CO</w:t>
      </w:r>
      <w:r>
        <w:rPr>
          <w:vertAlign w:val="subscript"/>
        </w:rPr>
        <w:t>2</w:t>
      </w:r>
      <w:r>
        <w:t xml:space="preserve"> emissions from maritime transport in 2019 can be found in the Commission report [EU MRV report] published in May 2020. C(2020) 3184 final.</w:t>
      </w:r>
      <w:r>
        <w:tab/>
      </w:r>
    </w:p>
  </w:footnote>
  <w:footnote w:id="205">
    <w:p>
      <w:pPr>
        <w:pStyle w:val="FootnoteText"/>
        <w:tabs>
          <w:tab w:val="left" w:pos="709"/>
        </w:tabs>
        <w:snapToGrid w:val="0"/>
        <w:spacing w:after="0" w:line="240" w:lineRule="auto"/>
        <w:rPr>
          <w:sz w:val="16"/>
          <w:szCs w:val="16"/>
        </w:rPr>
      </w:pPr>
      <w:r>
        <w:rPr>
          <w:rStyle w:val="FootnoteReference"/>
          <w:sz w:val="16"/>
          <w:szCs w:val="16"/>
        </w:rPr>
        <w:footnoteRef/>
      </w:r>
      <w:r>
        <w:rPr>
          <w:sz w:val="16"/>
          <w:szCs w:val="16"/>
        </w:rPr>
        <w:t xml:space="preserve"> Covering inland waterway transport and domestic maritime navigation</w:t>
      </w:r>
    </w:p>
  </w:footnote>
  <w:footnote w:id="206">
    <w:p>
      <w:pPr>
        <w:pStyle w:val="footnote"/>
        <w:tabs>
          <w:tab w:val="left" w:pos="709"/>
        </w:tabs>
        <w:snapToGrid w:val="0"/>
      </w:pPr>
      <w:r>
        <w:rPr>
          <w:rStyle w:val="FootnoteReference"/>
        </w:rPr>
        <w:footnoteRef/>
      </w:r>
      <w:r>
        <w:t xml:space="preserve"> Source: Eurostat.</w:t>
      </w:r>
    </w:p>
  </w:footnote>
  <w:footnote w:id="207">
    <w:p>
      <w:pPr>
        <w:pStyle w:val="footnote"/>
        <w:tabs>
          <w:tab w:val="left" w:pos="709"/>
        </w:tabs>
        <w:snapToGrid w:val="0"/>
      </w:pPr>
      <w:r>
        <w:rPr>
          <w:rStyle w:val="FootnoteReference"/>
        </w:rPr>
        <w:footnoteRef/>
      </w:r>
      <w:r>
        <w:t xml:space="preserve"> However, the emissions of nanoparticles are not well represented by this metric and some new technologies could have led to an increase. Diesel and gasoline direct injection vehicles have been found to emit huge amounts of nanoparticles.</w:t>
      </w:r>
    </w:p>
  </w:footnote>
  <w:footnote w:id="208">
    <w:p>
      <w:pPr>
        <w:pStyle w:val="footnote"/>
        <w:tabs>
          <w:tab w:val="left" w:pos="709"/>
        </w:tabs>
        <w:snapToGrid w:val="0"/>
      </w:pPr>
      <w:r>
        <w:rPr>
          <w:rStyle w:val="FootnoteReference"/>
        </w:rPr>
        <w:footnoteRef/>
      </w:r>
      <w:r>
        <w:t xml:space="preserve"> Source: European Environment Agency.</w:t>
      </w:r>
    </w:p>
  </w:footnote>
  <w:footnote w:id="209">
    <w:p>
      <w:pPr>
        <w:pStyle w:val="footnote"/>
        <w:tabs>
          <w:tab w:val="left" w:pos="709"/>
        </w:tabs>
        <w:snapToGrid w:val="0"/>
      </w:pPr>
      <w:r>
        <w:rPr>
          <w:rStyle w:val="FootnoteReference"/>
        </w:rPr>
        <w:footnoteRef/>
      </w:r>
      <w:r>
        <w:t xml:space="preserve"> European Environment Agency (2018): Progress of EU Transport Sector Towards its Environment and Climate Objectives. TERM Briefing. 22.11.2018: </w:t>
      </w:r>
      <w:hyperlink r:id="rId33" w:history="1">
        <w:r>
          <w:rPr>
            <w:rStyle w:val="Hyperlink"/>
            <w:u w:val="none"/>
          </w:rPr>
          <w:t>https://www.eea.europa.eu/themes/transport/term/term-briefing-2018</w:t>
        </w:r>
      </w:hyperlink>
      <w:r>
        <w:t>.</w:t>
      </w:r>
    </w:p>
  </w:footnote>
  <w:footnote w:id="210">
    <w:p>
      <w:pPr>
        <w:pStyle w:val="footnote"/>
        <w:tabs>
          <w:tab w:val="left" w:pos="709"/>
        </w:tabs>
        <w:snapToGrid w:val="0"/>
      </w:pPr>
      <w:r>
        <w:rPr>
          <w:rStyle w:val="FootnoteReference"/>
        </w:rPr>
        <w:footnoteRef/>
      </w:r>
      <w:r>
        <w:t xml:space="preserve"> A Commission-funded research study by IIASA (</w:t>
      </w:r>
      <w:r>
        <w:rPr>
          <w:i/>
          <w:iCs/>
        </w:rPr>
        <w:t xml:space="preserve">“The potential for cost effective air emission reductions from international shipping through designation of further Emission Control Areas in EU waters with focus on the Mediterranean Sea") </w:t>
      </w:r>
      <w:r>
        <w:t>provides emission projections to 2030 and beyond, while also noting that the designation of an Emission Control Area in the</w:t>
      </w:r>
      <w:r>
        <w:rPr>
          <w:i/>
          <w:iCs/>
        </w:rPr>
        <w:t xml:space="preserve"> </w:t>
      </w:r>
      <w:r>
        <w:t>Mediterranean Sea could, by 2030, cut emissions of SO</w:t>
      </w:r>
      <w:r>
        <w:rPr>
          <w:vertAlign w:val="subscript"/>
        </w:rPr>
        <w:t>2</w:t>
      </w:r>
      <w:r>
        <w:t xml:space="preserve"> and NOx from international shipping by 80 and 20 percent, respectively, compared to current legislation.    </w:t>
      </w:r>
      <w:hyperlink r:id="rId34" w:history="1">
        <w:r>
          <w:rPr>
            <w:rStyle w:val="Hyperlink"/>
            <w:u w:val="none"/>
            <w:lang w:eastAsia="it-IT"/>
          </w:rPr>
          <w:t>https://www.iiasa.ac.at/web/home/research/researchPrograms/air/Shipping_emissions_reductions_main.pdf</w:t>
        </w:r>
      </w:hyperlink>
    </w:p>
  </w:footnote>
  <w:footnote w:id="211">
    <w:p>
      <w:pPr>
        <w:pStyle w:val="FootnoteText"/>
        <w:tabs>
          <w:tab w:val="left" w:pos="709"/>
        </w:tabs>
        <w:snapToGrid w:val="0"/>
        <w:spacing w:after="0" w:line="240" w:lineRule="auto"/>
        <w:rPr>
          <w:sz w:val="16"/>
          <w:szCs w:val="16"/>
          <w:lang w:val="fr-BE"/>
        </w:rPr>
      </w:pPr>
      <w:r>
        <w:rPr>
          <w:rStyle w:val="FootnoteReference"/>
          <w:sz w:val="16"/>
          <w:szCs w:val="16"/>
        </w:rPr>
        <w:footnoteRef/>
      </w:r>
      <w:r>
        <w:rPr>
          <w:sz w:val="16"/>
          <w:szCs w:val="16"/>
          <w:lang w:val="fr-BE"/>
        </w:rPr>
        <w:t xml:space="preserve"> European Aviation Environmental Report (2019) https://ec.europa.eu/transport/sites/transport/files/2019-aviation-environmental-report.pdf </w:t>
      </w:r>
    </w:p>
  </w:footnote>
  <w:footnote w:id="212">
    <w:p>
      <w:pPr>
        <w:pStyle w:val="FootnoteText"/>
        <w:tabs>
          <w:tab w:val="left" w:pos="709"/>
        </w:tabs>
        <w:snapToGrid w:val="0"/>
        <w:spacing w:after="0" w:line="240" w:lineRule="auto"/>
        <w:rPr>
          <w:sz w:val="16"/>
          <w:szCs w:val="16"/>
          <w:lang w:val="fr-BE"/>
        </w:rPr>
      </w:pPr>
      <w:r>
        <w:rPr>
          <w:rStyle w:val="FootnoteReference"/>
          <w:sz w:val="16"/>
          <w:szCs w:val="16"/>
        </w:rPr>
        <w:footnoteRef/>
      </w:r>
      <w:r>
        <w:rPr>
          <w:sz w:val="16"/>
          <w:szCs w:val="16"/>
          <w:lang w:val="fr-BE"/>
        </w:rPr>
        <w:t xml:space="preserve"> https://www.icao.int/environmental-protection/Pages/LAQ_TechnologyStandards.aspx</w:t>
      </w:r>
    </w:p>
  </w:footnote>
  <w:footnote w:id="213">
    <w:p>
      <w:pPr>
        <w:pStyle w:val="FootnoteText"/>
        <w:tabs>
          <w:tab w:val="left" w:pos="709"/>
        </w:tabs>
        <w:snapToGrid w:val="0"/>
        <w:spacing w:after="0" w:line="240" w:lineRule="auto"/>
        <w:rPr>
          <w:sz w:val="16"/>
          <w:szCs w:val="16"/>
        </w:rPr>
      </w:pPr>
      <w:r>
        <w:rPr>
          <w:rStyle w:val="FootnoteReference"/>
          <w:sz w:val="16"/>
          <w:szCs w:val="16"/>
        </w:rPr>
        <w:footnoteRef/>
      </w:r>
      <w:r>
        <w:rPr>
          <w:sz w:val="16"/>
          <w:szCs w:val="16"/>
        </w:rPr>
        <w:t xml:space="preserve"> Directive 2008/50/EC: </w:t>
      </w:r>
      <w:hyperlink r:id="rId35" w:history="1">
        <w:r>
          <w:rPr>
            <w:rStyle w:val="Hyperlink"/>
            <w:szCs w:val="16"/>
            <w:u w:val="none"/>
          </w:rPr>
          <w:t>https://eur-lex.europa.eu/legal-content/EN/ALL/?uri=CELEX:32008L0050</w:t>
        </w:r>
      </w:hyperlink>
      <w:r>
        <w:rPr>
          <w:sz w:val="16"/>
          <w:szCs w:val="16"/>
        </w:rPr>
        <w:t xml:space="preserve"> </w:t>
      </w:r>
    </w:p>
  </w:footnote>
  <w:footnote w:id="214">
    <w:p>
      <w:pPr>
        <w:pStyle w:val="footnote"/>
        <w:tabs>
          <w:tab w:val="left" w:pos="709"/>
        </w:tabs>
        <w:snapToGrid w:val="0"/>
      </w:pPr>
      <w:r>
        <w:rPr>
          <w:rStyle w:val="FootnoteReference"/>
        </w:rPr>
        <w:footnoteRef/>
      </w:r>
      <w:r>
        <w:t xml:space="preserve"> Black carbon are a constituent of particular matter dispersed in the air, and they are a major component of soot.</w:t>
      </w:r>
    </w:p>
  </w:footnote>
  <w:footnote w:id="215">
    <w:p>
      <w:pPr>
        <w:pStyle w:val="footnote"/>
        <w:tabs>
          <w:tab w:val="left" w:pos="709"/>
        </w:tabs>
        <w:snapToGrid w:val="0"/>
      </w:pPr>
      <w:r>
        <w:rPr>
          <w:rStyle w:val="FootnoteReference"/>
        </w:rPr>
        <w:footnoteRef/>
      </w:r>
      <w:r>
        <w:t xml:space="preserve"> </w:t>
      </w:r>
      <w:r>
        <w:rPr>
          <w:lang w:eastAsia="en-US"/>
        </w:rPr>
        <w:t>In addition, the 1999 Gothenburg Protocol to the 1979 Geneva Convention on Long Range Transboundary Air Pollution (CLRTAP) to which the EU is a Party, as amended in 2012, explicitly includes obligations to reduce Black Carbon in the context of achieving binding emission targets for particulate matter (PM2.5). The new National Emission Ceiling Directive (Directive (EU) 2016/2284 of the European Parliament and of the Council of 14 December 2016 on the reduction of national emissions of certain atmospheric pollutants, amending Directive 2003/35/EC and repealing Directive 2001/81/EC) which entered into force on 31 December 2016 sets national reduction commitment for total PM2,5 emissions for Member States to be attained by 2020 and 2030 and transposes the Protocol's reporting requirements, stressing that in the National Air Pollution Control Programmes, Member States shall prioritise emission reduction measures for black carbon.</w:t>
      </w:r>
    </w:p>
  </w:footnote>
  <w:footnote w:id="216">
    <w:p>
      <w:pPr>
        <w:pStyle w:val="footnote"/>
        <w:tabs>
          <w:tab w:val="left" w:pos="709"/>
        </w:tabs>
        <w:snapToGrid w:val="0"/>
      </w:pPr>
      <w:r>
        <w:rPr>
          <w:rStyle w:val="FootnoteReference"/>
        </w:rPr>
        <w:footnoteRef/>
      </w:r>
      <w:r>
        <w:t xml:space="preserve"> </w:t>
      </w:r>
      <w:r>
        <w:rPr>
          <w:lang w:eastAsia="en-US"/>
        </w:rPr>
        <w:t>JOIN(2016)21 final</w:t>
      </w:r>
    </w:p>
  </w:footnote>
  <w:footnote w:id="217">
    <w:p>
      <w:pPr>
        <w:pStyle w:val="footnote"/>
        <w:tabs>
          <w:tab w:val="left" w:pos="709"/>
        </w:tabs>
        <w:snapToGrid w:val="0"/>
      </w:pPr>
      <w:r>
        <w:rPr>
          <w:rStyle w:val="FootnoteReference"/>
        </w:rPr>
        <w:footnoteRef/>
      </w:r>
      <w:r>
        <w:t xml:space="preserve"> To that end, the Commission agreed on the new 'Black Carbon in the Arctic' project (EUR 1.5 million ) under the Partnership Instrument. The project aims to initiate a process of setting clear commitments and/or targets on major black carbon sources with the potential to affect the Arctic, and to move forward a process leading to enhanced international cooperation on black carbon policy in the Arctic region. The project's main focus of action is to address BC emissions from gas flaring and from domestic heating. However, BC emissions from international shipping are also addressed in the project.</w:t>
      </w:r>
    </w:p>
  </w:footnote>
  <w:footnote w:id="218">
    <w:p>
      <w:pPr>
        <w:pStyle w:val="footnote"/>
        <w:tabs>
          <w:tab w:val="left" w:pos="709"/>
        </w:tabs>
        <w:snapToGrid w:val="0"/>
      </w:pPr>
      <w:r>
        <w:rPr>
          <w:vertAlign w:val="superscript"/>
        </w:rPr>
        <w:footnoteRef/>
      </w:r>
      <w:r>
        <w:t>https://www.</w:t>
      </w:r>
      <w:r>
        <w:rPr>
          <w:i/>
          <w:iCs/>
        </w:rPr>
        <w:t>euro</w:t>
      </w:r>
      <w:r>
        <w:t>.who.int/en/health-topics/environment-and-health/noise/publications/2018/environmental-noise-guidelines-for-the-european-region-2018</w:t>
      </w:r>
    </w:p>
  </w:footnote>
  <w:footnote w:id="219">
    <w:p>
      <w:pPr>
        <w:pStyle w:val="footnote"/>
        <w:tabs>
          <w:tab w:val="left" w:pos="709"/>
        </w:tabs>
        <w:snapToGrid w:val="0"/>
      </w:pPr>
      <w:r>
        <w:rPr>
          <w:vertAlign w:val="superscript"/>
        </w:rPr>
        <w:footnoteRef/>
      </w:r>
      <w:r>
        <w:rPr>
          <w:vertAlign w:val="superscript"/>
        </w:rPr>
        <w:t xml:space="preserve"> </w:t>
      </w:r>
      <w:r>
        <w:t>https://www.eea.europa.eu/publications/environmental-noise-in-europe</w:t>
      </w:r>
    </w:p>
  </w:footnote>
  <w:footnote w:id="220">
    <w:p>
      <w:pPr>
        <w:pStyle w:val="footnote"/>
        <w:tabs>
          <w:tab w:val="left" w:pos="709"/>
        </w:tabs>
        <w:snapToGrid w:val="0"/>
      </w:pPr>
      <w:r>
        <w:rPr>
          <w:rStyle w:val="FootnoteReference"/>
        </w:rPr>
        <w:footnoteRef/>
      </w:r>
      <w:r>
        <w:t xml:space="preserve"> A growing number of studies have indicated that (man-made) noise influences the wellbeing of animals. Noise may result in behavioural change in animals, leading to reduced reproductive success and species density </w:t>
      </w:r>
      <w:sdt>
        <w:sdtPr>
          <w:id w:val="774677502"/>
          <w:citation/>
        </w:sdtPr>
        <w:sdtContent>
          <w:r>
            <w:fldChar w:fldCharType="begin"/>
          </w:r>
          <w:r>
            <w:instrText xml:space="preserve"> CITATION Dut \l 1043 </w:instrText>
          </w:r>
          <w:r>
            <w:fldChar w:fldCharType="separate"/>
          </w:r>
          <w:r>
            <w:t>(Dutilleux, 2012)</w:t>
          </w:r>
          <w:r>
            <w:fldChar w:fldCharType="end"/>
          </w:r>
        </w:sdtContent>
      </w:sdt>
      <w:r>
        <w:t xml:space="preserve">. Due to the novel nature of research in this area, it is not yet possible to quantify these effects </w:t>
      </w:r>
      <w:sdt>
        <w:sdtPr>
          <w:id w:val="-1308155038"/>
          <w:citation/>
        </w:sdtPr>
        <w:sdtContent>
          <w:r>
            <w:fldChar w:fldCharType="begin"/>
          </w:r>
          <w:r>
            <w:instrText xml:space="preserve"> CITATION Dut \l 1043 </w:instrText>
          </w:r>
          <w:r>
            <w:fldChar w:fldCharType="separate"/>
          </w:r>
          <w:r>
            <w:t>(Dutilleux, 2012)</w:t>
          </w:r>
          <w:r>
            <w:fldChar w:fldCharType="end"/>
          </w:r>
        </w:sdtContent>
      </w:sdt>
      <w:r>
        <w:t>. Source: Internalisation Handbook 2019.</w:t>
      </w:r>
    </w:p>
  </w:footnote>
  <w:footnote w:id="221">
    <w:p>
      <w:pPr>
        <w:pStyle w:val="footnote"/>
        <w:tabs>
          <w:tab w:val="left" w:pos="709"/>
        </w:tabs>
        <w:snapToGrid w:val="0"/>
        <w:rPr>
          <w:lang w:val="fr-BE"/>
        </w:rPr>
      </w:pPr>
      <w:r>
        <w:rPr>
          <w:rStyle w:val="FootnoteReference"/>
        </w:rPr>
        <w:footnoteRef/>
      </w:r>
      <w:r>
        <w:t xml:space="preserve">CE Delft (2019): ), ‘Handbook on the External Costs of Transport. </w:t>
      </w:r>
      <w:r>
        <w:rPr>
          <w:lang w:val="fr-BE"/>
        </w:rPr>
        <w:t xml:space="preserve">Version 2019’. </w:t>
      </w:r>
    </w:p>
    <w:p>
      <w:pPr>
        <w:pStyle w:val="footnote"/>
        <w:tabs>
          <w:tab w:val="left" w:pos="709"/>
        </w:tabs>
        <w:snapToGrid w:val="0"/>
        <w:rPr>
          <w:lang w:val="fr-BE"/>
        </w:rPr>
      </w:pPr>
      <w:r>
        <w:rPr>
          <w:lang w:val="fr-BE"/>
        </w:rPr>
        <w:t>https://op.europa.eu/en/publication-detail/-/publication/9781f65f-8448-11ea-bf12-01aa75ed71a1</w:t>
      </w:r>
    </w:p>
  </w:footnote>
  <w:footnote w:id="222">
    <w:p>
      <w:pPr>
        <w:pStyle w:val="footnote"/>
        <w:tabs>
          <w:tab w:val="left" w:pos="709"/>
        </w:tabs>
        <w:snapToGrid w:val="0"/>
      </w:pPr>
      <w:r>
        <w:rPr>
          <w:rStyle w:val="FootnoteReference"/>
        </w:rPr>
        <w:footnoteRef/>
      </w:r>
      <w:r>
        <w:t xml:space="preserve"> Directive 2002/49/EC of the European Parliament and of the Council of 25 June 2002 relating to the assessment and management of environmental noise - Declaration by the Commission in the Conciliation Committee on the Directive relating to the assessment and management of environmental noise, OJ L 189, 18.7.2002, p. 12; and Commission Directive (EU) 2015/996 of 19 May 2015 establishing common noise assessment methods according to Directive 2002/49/EC of the European Parliament and of the Council, , OJ L 168, 1.7.2015, p. 1.</w:t>
      </w:r>
    </w:p>
  </w:footnote>
  <w:footnote w:id="223">
    <w:p>
      <w:pPr>
        <w:pStyle w:val="footnote"/>
        <w:tabs>
          <w:tab w:val="left" w:pos="709"/>
        </w:tabs>
        <w:snapToGrid w:val="0"/>
      </w:pPr>
      <w:r>
        <w:rPr>
          <w:rStyle w:val="FootnoteReference"/>
        </w:rPr>
        <w:footnoteRef/>
      </w:r>
      <w:r>
        <w:t xml:space="preserve"> EEA (2018): ‘TERM Briefing ‘Progress of EU Transport Sector Towards its Environment and Climate Objectives’. </w:t>
      </w:r>
      <w:hyperlink r:id="rId36" w:history="1">
        <w:r>
          <w:rPr>
            <w:rStyle w:val="Hyperlink"/>
            <w:u w:val="none"/>
          </w:rPr>
          <w:t>https://www.eea.europa.eu/themes/transport/term/term-briefing-2018</w:t>
        </w:r>
      </w:hyperlink>
      <w:r>
        <w:t xml:space="preserve">. </w:t>
      </w:r>
    </w:p>
  </w:footnote>
  <w:footnote w:id="224">
    <w:p>
      <w:pPr>
        <w:pStyle w:val="footnote"/>
        <w:tabs>
          <w:tab w:val="left" w:pos="709"/>
        </w:tabs>
        <w:snapToGrid w:val="0"/>
        <w:rPr>
          <w:lang w:val="en-IE"/>
        </w:rPr>
      </w:pPr>
      <w:r>
        <w:rPr>
          <w:rStyle w:val="FootnoteReference"/>
        </w:rPr>
        <w:footnoteRef/>
      </w:r>
      <w:r>
        <w:t xml:space="preserve"> DG MOVE Staff Working Document (SWD) on Rail Noise, December 2015</w:t>
      </w:r>
    </w:p>
  </w:footnote>
  <w:footnote w:id="225">
    <w:p>
      <w:pPr>
        <w:pStyle w:val="footnote"/>
        <w:tabs>
          <w:tab w:val="left" w:pos="709"/>
        </w:tabs>
        <w:snapToGrid w:val="0"/>
      </w:pPr>
      <w:r>
        <w:rPr>
          <w:rStyle w:val="FootnoteReference"/>
        </w:rPr>
        <w:footnoteRef/>
      </w:r>
      <w:r>
        <w:t xml:space="preserve"> The Technical Standards for Interoperability (TSI) Regulation on noise,(Commission Regulation (EU) 1304/2014, as revised by Regulation (EU) 2019/774 adopted in May 2019), bans, from December 2024, the use of “loud” freight wagons from the most intensely used freight routes in Europe, the so-called “quieter routes” (defined as a part of the railway infrastructure with a minimum length of 20 km on which the average number of daily operated freight trains during the night-time is    higher than    12).    Since the wagon fleet is used interchangeably across Europe, and many freight flows use the “quieter routes” for part of their journey, the 2019 provisions will effectively result in a phasing out of cast-iron block wagons from general use.    Limited exceptions are provided for special cases.</w:t>
      </w:r>
    </w:p>
    <w:p>
      <w:pPr>
        <w:pStyle w:val="footnote"/>
        <w:tabs>
          <w:tab w:val="left" w:pos="709"/>
        </w:tabs>
        <w:snapToGrid w:val="0"/>
      </w:pPr>
      <w:r>
        <w:t>Apart from the amended TSI Noise, the Commission has also made available CEF budget to co-finance the retrofitting of freight wagons: EUR  20 million in 2014, EUR 20 million in 2016 and EUR 35 million in 2019, totalling EUR 75 million in three calls. The three CEF calls resulted in applications worth EUR 53 million and have resulted in around 207 000 freight wagons being retrofitted. Further, Implementing Regulation (EU) 2015/429 provides the modalities for Member States wishing to introduce noise-differentiated track access charges. Such schemes have been introduced by The Netherlands, Austria, Germany, Czechia (starting 2020) and a similar State-aid scheme has been introduced by Italy. The Implementing Regulation is currently being evaluated.</w:t>
      </w:r>
    </w:p>
  </w:footnote>
  <w:footnote w:id="226">
    <w:p>
      <w:pPr>
        <w:pStyle w:val="footnote"/>
        <w:tabs>
          <w:tab w:val="left" w:pos="709"/>
        </w:tabs>
        <w:snapToGrid w:val="0"/>
      </w:pPr>
      <w:r>
        <w:rPr>
          <w:rStyle w:val="FootnoteReference"/>
        </w:rPr>
        <w:footnoteRef/>
      </w:r>
      <w:r>
        <w:t xml:space="preserve"> </w:t>
      </w:r>
      <w:hyperlink r:id="rId37" w:history="1">
        <w:r>
          <w:rPr>
            <w:rStyle w:val="Hyperlink"/>
            <w:u w:val="none"/>
          </w:rPr>
          <w:t>https://www.eea.europa.eu/</w:t>
        </w:r>
        <w:r>
          <w:t>highlights</w:t>
        </w:r>
        <w:r>
          <w:rPr>
            <w:rStyle w:val="Hyperlink"/>
            <w:u w:val="none"/>
          </w:rPr>
          <w:t>/europes-seas-face-uncertain-future</w:t>
        </w:r>
      </w:hyperlink>
    </w:p>
  </w:footnote>
  <w:footnote w:id="227">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There is also a risk of remobilising those pollutants during dredging operations.</w:t>
      </w:r>
    </w:p>
  </w:footnote>
  <w:footnote w:id="228">
    <w:p>
      <w:pPr>
        <w:pStyle w:val="footnote"/>
        <w:tabs>
          <w:tab w:val="left" w:pos="709"/>
        </w:tabs>
        <w:snapToGrid w:val="0"/>
      </w:pPr>
      <w:r>
        <w:rPr>
          <w:rStyle w:val="FootnoteReference"/>
        </w:rPr>
        <w:footnoteRef/>
      </w:r>
      <w:r>
        <w:t xml:space="preserve"> European Environment Agency (2015): TERM Report 2015.</w:t>
      </w:r>
    </w:p>
  </w:footnote>
  <w:footnote w:id="229">
    <w:p>
      <w:pPr>
        <w:pStyle w:val="footnote"/>
        <w:tabs>
          <w:tab w:val="left" w:pos="709"/>
        </w:tabs>
        <w:snapToGrid w:val="0"/>
        <w:rPr>
          <w:lang w:val="fr-BE"/>
        </w:rPr>
      </w:pPr>
      <w:r>
        <w:rPr>
          <w:rStyle w:val="FootnoteReference"/>
        </w:rPr>
        <w:footnoteRef/>
      </w:r>
      <w:r>
        <w:t xml:space="preserve"> CE Delft (2019), ‘Handbook on the External Costs of Transport. </w:t>
      </w:r>
      <w:r>
        <w:rPr>
          <w:lang w:val="fr-BE"/>
        </w:rPr>
        <w:t xml:space="preserve">Version 2019’. </w:t>
      </w:r>
    </w:p>
    <w:p>
      <w:pPr>
        <w:pStyle w:val="footnote"/>
        <w:tabs>
          <w:tab w:val="left" w:pos="709"/>
        </w:tabs>
        <w:snapToGrid w:val="0"/>
        <w:rPr>
          <w:lang w:val="fr-BE"/>
        </w:rPr>
      </w:pPr>
      <w:r>
        <w:rPr>
          <w:lang w:val="fr-BE"/>
        </w:rPr>
        <w:t>https://op.europa.eu/en/publication-detail/-/publication/9781f65f-8448-11ea-bf12-01aa75ed71a1</w:t>
      </w:r>
    </w:p>
  </w:footnote>
  <w:footnote w:id="230">
    <w:p>
      <w:pPr>
        <w:pStyle w:val="footnote"/>
        <w:tabs>
          <w:tab w:val="left" w:pos="709"/>
        </w:tabs>
        <w:snapToGrid w:val="0"/>
        <w:rPr>
          <w:lang w:val="en-US"/>
        </w:rPr>
      </w:pPr>
      <w:r>
        <w:rPr>
          <w:rStyle w:val="FootnoteReference"/>
        </w:rPr>
        <w:footnoteRef/>
      </w:r>
      <w:r>
        <w:t xml:space="preserve"> In order to avoid major negative health consequences, </w:t>
      </w:r>
      <w:r>
        <w:rPr>
          <w:lang w:val="en-US"/>
        </w:rPr>
        <w:t xml:space="preserve">WHO recommends for adults at least 30 minutes a day of moderate physical activity, such as walking or cycling: </w:t>
      </w:r>
      <w:hyperlink r:id="rId38" w:history="1">
        <w:r>
          <w:rPr>
            <w:rStyle w:val="Hyperlink"/>
            <w:u w:val="none"/>
            <w:lang w:val="en-US"/>
          </w:rPr>
          <w:t>https://www.who.int/news-room/fact-sheets/detail/physical-activity</w:t>
        </w:r>
      </w:hyperlink>
      <w:r>
        <w:rPr>
          <w:lang w:val="en-US"/>
        </w:rPr>
        <w:t xml:space="preserve"> </w:t>
      </w:r>
    </w:p>
  </w:footnote>
  <w:footnote w:id="231">
    <w:p>
      <w:pPr>
        <w:pStyle w:val="footnote"/>
        <w:tabs>
          <w:tab w:val="left" w:pos="709"/>
        </w:tabs>
        <w:snapToGrid w:val="0"/>
      </w:pPr>
      <w:r>
        <w:rPr>
          <w:rStyle w:val="FootnoteReference"/>
        </w:rPr>
        <w:footnoteRef/>
      </w:r>
      <w:r>
        <w:t xml:space="preserve"> </w:t>
      </w:r>
      <w:hyperlink r:id="rId39" w:history="1">
        <w:r>
          <w:rPr>
            <w:rStyle w:val="Hyperlink"/>
            <w:u w:val="none"/>
          </w:rPr>
          <w:t>https://www.sciencedirect.com/science/article/pii/S0091743516000402</w:t>
        </w:r>
      </w:hyperlink>
      <w:r>
        <w:t xml:space="preserve"> </w:t>
      </w:r>
    </w:p>
  </w:footnote>
  <w:footnote w:id="232">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https://cancer-code-europe.iarc.fr/index.php/en/</w:t>
      </w:r>
    </w:p>
  </w:footnote>
  <w:footnote w:id="233">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Recognising positive impact of regular physical activity, including on increased productivity and reduced absenteeism, a rising number of employers offer (financial) support schemes for their employees to cycle to work</w:t>
      </w:r>
    </w:p>
  </w:footnote>
  <w:footnote w:id="234">
    <w:p>
      <w:pPr>
        <w:pStyle w:val="footnote"/>
        <w:tabs>
          <w:tab w:val="left" w:pos="709"/>
        </w:tabs>
        <w:snapToGrid w:val="0"/>
      </w:pPr>
      <w:r>
        <w:rPr>
          <w:rStyle w:val="FootnoteReference"/>
        </w:rPr>
        <w:footnoteRef/>
      </w:r>
      <w:hyperlink r:id="rId40" w:history="1">
        <w:r>
          <w:rPr>
            <w:rStyle w:val="Hyperlink"/>
            <w:u w:val="none"/>
          </w:rPr>
          <w:t>https://www.euro.who.int/en/health-topics/environment-and-health/Transport-and-health/activities/guidance-and-tools/health-economic-assessment-tool-heat-for-cycling-and-walking</w:t>
        </w:r>
      </w:hyperlink>
      <w:r>
        <w:t xml:space="preserve"> </w:t>
      </w:r>
    </w:p>
  </w:footnote>
  <w:footnote w:id="235">
    <w:p>
      <w:pPr>
        <w:pStyle w:val="footnote"/>
        <w:tabs>
          <w:tab w:val="left" w:pos="709"/>
        </w:tabs>
        <w:snapToGrid w:val="0"/>
        <w:rPr>
          <w:lang w:val="en-US"/>
        </w:rPr>
      </w:pPr>
      <w:r>
        <w:rPr>
          <w:rStyle w:val="FootnoteReference"/>
        </w:rPr>
        <w:footnoteRef/>
      </w:r>
      <w:r>
        <w:t xml:space="preserve"> </w:t>
      </w:r>
      <w:hyperlink r:id="rId41" w:history="1">
        <w:r>
          <w:rPr>
            <w:rStyle w:val="Hyperlink"/>
            <w:u w:val="none"/>
          </w:rPr>
          <w:t>https://ec.europa.eu/environment/nature/ecosystems/docs/Table%201%20GI.pdf</w:t>
        </w:r>
      </w:hyperlink>
      <w:r>
        <w:t xml:space="preserve"> </w:t>
      </w:r>
    </w:p>
  </w:footnote>
  <w:footnote w:id="236">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The European car is parked 92% of the time according to the report ‘Ellen MacArthur Foundation, 2015, Growth Within: A Circular Economy Vision for a Competitive Europe.</w:t>
      </w:r>
    </w:p>
    <w:p>
      <w:pPr>
        <w:pStyle w:val="FootnoteText"/>
        <w:tabs>
          <w:tab w:val="left" w:pos="709"/>
        </w:tabs>
        <w:spacing w:after="0" w:line="240" w:lineRule="auto"/>
        <w:rPr>
          <w:sz w:val="16"/>
          <w:szCs w:val="16"/>
        </w:rPr>
      </w:pPr>
      <w:r>
        <w:rPr>
          <w:sz w:val="16"/>
          <w:szCs w:val="16"/>
        </w:rPr>
        <w:t xml:space="preserve">https://www.ellenmacarthurfoundation.org/assets/downloads/publications/EllenMacArthurFoundation_Growth-Within_July15.pdf </w:t>
      </w:r>
    </w:p>
  </w:footnote>
  <w:footnote w:id="237">
    <w:p>
      <w:pPr>
        <w:pStyle w:val="footnote"/>
        <w:tabs>
          <w:tab w:val="left" w:pos="709"/>
        </w:tabs>
        <w:snapToGrid w:val="0"/>
      </w:pPr>
      <w:r>
        <w:rPr>
          <w:rStyle w:val="FootnoteReference"/>
        </w:rPr>
        <w:footnoteRef/>
      </w:r>
      <w:r>
        <w:t xml:space="preserve"> SWD (2020) 951 final.</w:t>
      </w:r>
    </w:p>
  </w:footnote>
  <w:footnote w:id="238">
    <w:p>
      <w:pPr>
        <w:pStyle w:val="FootnoteText"/>
        <w:tabs>
          <w:tab w:val="left" w:pos="709"/>
        </w:tabs>
        <w:snapToGrid w:val="0"/>
        <w:spacing w:after="0" w:line="240" w:lineRule="auto"/>
        <w:rPr>
          <w:sz w:val="16"/>
          <w:szCs w:val="16"/>
        </w:rPr>
      </w:pPr>
      <w:r>
        <w:rPr>
          <w:rStyle w:val="FootnoteReference"/>
          <w:sz w:val="16"/>
          <w:szCs w:val="16"/>
        </w:rPr>
        <w:footnoteRef/>
      </w:r>
      <w:r>
        <w:rPr>
          <w:sz w:val="16"/>
          <w:szCs w:val="16"/>
        </w:rPr>
        <w:t xml:space="preserve"> Source: European Commission (2020): Transport in Figures. Statistical Pocketbook 2020.</w:t>
      </w:r>
    </w:p>
  </w:footnote>
  <w:footnote w:id="239">
    <w:p>
      <w:pPr>
        <w:pStyle w:val="footnote"/>
        <w:tabs>
          <w:tab w:val="left" w:pos="709"/>
        </w:tabs>
        <w:snapToGrid w:val="0"/>
      </w:pPr>
      <w:r>
        <w:rPr>
          <w:rStyle w:val="FootnoteReference"/>
        </w:rPr>
        <w:footnoteRef/>
      </w:r>
      <w:r>
        <w:t xml:space="preserve"> Figure 1.3 in Cambridge Econometrics (2020) Oil Dependency in the EU</w:t>
      </w:r>
    </w:p>
    <w:p>
      <w:pPr>
        <w:pStyle w:val="footnote"/>
        <w:tabs>
          <w:tab w:val="left" w:pos="709"/>
        </w:tabs>
        <w:snapToGrid w:val="0"/>
      </w:pPr>
      <w:hyperlink r:id="rId42" w:history="1">
        <w:r>
          <w:rPr>
            <w:rStyle w:val="Hyperlink"/>
            <w:u w:val="none"/>
          </w:rPr>
          <w:t>https://www.transportenvironment.org/sites/te/files/publications/2020_CE_Oil_Dependency_in_EU_report.pdf</w:t>
        </w:r>
      </w:hyperlink>
    </w:p>
  </w:footnote>
  <w:footnote w:id="240">
    <w:p>
      <w:pPr>
        <w:pStyle w:val="FootnoteText"/>
        <w:tabs>
          <w:tab w:val="left" w:pos="709"/>
        </w:tabs>
        <w:snapToGrid w:val="0"/>
        <w:spacing w:after="0" w:line="240" w:lineRule="auto"/>
        <w:ind w:left="0" w:firstLine="0"/>
        <w:rPr>
          <w:rStyle w:val="Hyperlink"/>
          <w:szCs w:val="16"/>
          <w:u w:val="none"/>
        </w:rPr>
      </w:pPr>
      <w:r>
        <w:rPr>
          <w:rStyle w:val="FootnoteReference"/>
          <w:sz w:val="16"/>
          <w:szCs w:val="16"/>
        </w:rPr>
        <w:footnoteRef/>
      </w:r>
      <w:r>
        <w:rPr>
          <w:sz w:val="16"/>
          <w:szCs w:val="16"/>
        </w:rPr>
        <w:t xml:space="preserve"> </w:t>
      </w:r>
      <w:r>
        <w:rPr>
          <w:rStyle w:val="Hyperlink"/>
          <w:szCs w:val="16"/>
          <w:u w:val="none"/>
        </w:rPr>
        <w:t>On average, the CO2 emissions of diesel cars (127.0 g CO2/km) are now very close to those of petrol cars (127.6 g CO2/km). The difference of 0.6 g CO2/km was the lowest observed since the beginning of the monitoring.</w:t>
      </w:r>
    </w:p>
  </w:footnote>
  <w:footnote w:id="241">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PHEV unfold their emission reduction potential only in electric mode. Member States increasingly report issues around a low use of PHEVs in electric mode.</w:t>
      </w:r>
    </w:p>
  </w:footnote>
  <w:footnote w:id="242">
    <w:p>
      <w:pPr>
        <w:pStyle w:val="FootnoteText"/>
        <w:tabs>
          <w:tab w:val="left" w:pos="709"/>
        </w:tabs>
        <w:snapToGrid w:val="0"/>
        <w:spacing w:after="0" w:line="240" w:lineRule="auto"/>
        <w:rPr>
          <w:sz w:val="16"/>
          <w:szCs w:val="16"/>
        </w:rPr>
      </w:pPr>
      <w:r>
        <w:rPr>
          <w:rStyle w:val="FootnoteReference"/>
          <w:sz w:val="16"/>
          <w:szCs w:val="16"/>
        </w:rPr>
        <w:footnoteRef/>
      </w:r>
      <w:r>
        <w:rPr>
          <w:sz w:val="16"/>
          <w:szCs w:val="16"/>
        </w:rPr>
        <w:t xml:space="preserve"> Category M1 and N1 vehicles.</w:t>
      </w:r>
    </w:p>
  </w:footnote>
  <w:footnote w:id="243">
    <w:p>
      <w:pPr>
        <w:pStyle w:val="FootnoteText"/>
        <w:tabs>
          <w:tab w:val="left" w:pos="709"/>
        </w:tabs>
        <w:snapToGrid w:val="0"/>
        <w:spacing w:after="0" w:line="240" w:lineRule="auto"/>
        <w:rPr>
          <w:sz w:val="16"/>
          <w:szCs w:val="16"/>
          <w:lang w:val="fr-BE"/>
        </w:rPr>
      </w:pPr>
      <w:r>
        <w:rPr>
          <w:rStyle w:val="FootnoteReference"/>
          <w:sz w:val="16"/>
          <w:szCs w:val="16"/>
        </w:rPr>
        <w:footnoteRef/>
      </w:r>
      <w:r>
        <w:rPr>
          <w:sz w:val="16"/>
          <w:szCs w:val="16"/>
          <w:lang w:val="fr-BE"/>
        </w:rPr>
        <w:t xml:space="preserve"> Source: FIM.</w:t>
      </w:r>
    </w:p>
  </w:footnote>
  <w:footnote w:id="244">
    <w:p>
      <w:pPr>
        <w:pStyle w:val="footnote"/>
        <w:tabs>
          <w:tab w:val="left" w:pos="709"/>
        </w:tabs>
        <w:snapToGrid w:val="0"/>
        <w:rPr>
          <w:lang w:val="fr-BE"/>
        </w:rPr>
      </w:pPr>
      <w:r>
        <w:rPr>
          <w:rStyle w:val="FootnoteReference"/>
        </w:rPr>
        <w:footnoteRef/>
      </w:r>
      <w:r>
        <w:rPr>
          <w:lang w:val="fr-BE"/>
        </w:rPr>
        <w:t xml:space="preserve"> https://www.eafo.eu.</w:t>
      </w:r>
    </w:p>
  </w:footnote>
  <w:footnote w:id="245">
    <w:p>
      <w:pPr>
        <w:pStyle w:val="footnote"/>
        <w:tabs>
          <w:tab w:val="left" w:pos="709"/>
        </w:tabs>
        <w:snapToGrid w:val="0"/>
      </w:pPr>
      <w:r>
        <w:rPr>
          <w:rStyle w:val="FootnoteReference"/>
        </w:rPr>
        <w:footnoteRef/>
      </w:r>
      <w:r>
        <w:t xml:space="preserve"> Hybrid stock (electric with diesel generator available) provides a shorter term fix avoiding diesel operations where electric power is available.</w:t>
      </w:r>
    </w:p>
  </w:footnote>
  <w:footnote w:id="246">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Based on: International Council on Clean Transport, “Fuel burn of new commercial jet aircraft: 1960 to 2019”, September 2020; ICAO environmental report 2019, Chapter 1 Aviation and environment outlook.</w:t>
      </w:r>
    </w:p>
  </w:footnote>
  <w:footnote w:id="247">
    <w:p>
      <w:pPr>
        <w:pStyle w:val="footnote"/>
        <w:tabs>
          <w:tab w:val="left" w:pos="709"/>
        </w:tabs>
        <w:snapToGrid w:val="0"/>
      </w:pPr>
      <w:r>
        <w:rPr>
          <w:rStyle w:val="FootnoteReference"/>
        </w:rPr>
        <w:footnoteRef/>
      </w:r>
      <w:r>
        <w:t xml:space="preserve"> In a Strategic Research and Innovation Agenda issued by an aviation industry stakeholder group with reference to the envisaged partnership under Horizon Europe, the overall investment effort needed to achieve climate goals is estimated at 12 billion EUR over a 10 year period (2020-2030), within the aim to develop marketable products towards 2035 and achieving climate neutrality in 2050.</w:t>
      </w:r>
    </w:p>
  </w:footnote>
  <w:footnote w:id="248">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See also Council Conclusions on "EU Waterborne Transport Sector – Future outlook: Towards a carbon-neutral, zero accidents, automated and competitive EU Waterborne Transport Sector” https://www.consilium.europa.eu/media/44311/st08648-en20.pdf</w:t>
      </w:r>
    </w:p>
  </w:footnote>
  <w:footnote w:id="249">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https://www.imo.org/en/MediaCentre/PressBriefings/pages/42-MEPC-short-term-measure.aspx </w:t>
      </w:r>
    </w:p>
  </w:footnote>
  <w:footnote w:id="250">
    <w:p>
      <w:pPr>
        <w:pStyle w:val="footnote"/>
        <w:tabs>
          <w:tab w:val="left" w:pos="709"/>
        </w:tabs>
        <w:snapToGrid w:val="0"/>
      </w:pPr>
      <w:r>
        <w:rPr>
          <w:rStyle w:val="FootnoteReference"/>
        </w:rPr>
        <w:footnoteRef/>
      </w:r>
      <w:r>
        <w:t xml:space="preserve"> The share is defined according to the Directive 2009/28/EC on promotion of the use of energy from renewable sources established accounting criteria for the 2020 targets on renewable energy sources. This is not the same as the share in unit of energy used. </w:t>
      </w:r>
    </w:p>
  </w:footnote>
  <w:footnote w:id="251">
    <w:p>
      <w:pPr>
        <w:pStyle w:val="FootnoteText"/>
        <w:tabs>
          <w:tab w:val="left" w:pos="709"/>
        </w:tabs>
        <w:snapToGrid w:val="0"/>
        <w:spacing w:after="0" w:line="240" w:lineRule="auto"/>
        <w:rPr>
          <w:sz w:val="16"/>
          <w:szCs w:val="16"/>
        </w:rPr>
      </w:pPr>
      <w:r>
        <w:rPr>
          <w:rStyle w:val="FootnoteReference"/>
          <w:sz w:val="16"/>
          <w:szCs w:val="16"/>
        </w:rPr>
        <w:footnoteRef/>
      </w:r>
      <w:r>
        <w:rPr>
          <w:sz w:val="16"/>
          <w:szCs w:val="16"/>
        </w:rPr>
        <w:t xml:space="preserve"> JRC, 2012, Driving and parking patterns of European car drivers --- a mobility survey </w:t>
      </w:r>
    </w:p>
    <w:p>
      <w:pPr>
        <w:pStyle w:val="FootnoteText"/>
        <w:tabs>
          <w:tab w:val="left" w:pos="709"/>
        </w:tabs>
        <w:snapToGrid w:val="0"/>
        <w:spacing w:after="0" w:line="240" w:lineRule="auto"/>
        <w:rPr>
          <w:sz w:val="16"/>
          <w:szCs w:val="16"/>
        </w:rPr>
      </w:pPr>
      <w:r>
        <w:rPr>
          <w:sz w:val="16"/>
          <w:szCs w:val="16"/>
        </w:rPr>
        <w:t>https://publications.jrc.ec.europa.eu/repository/bitstream/JRC77079/driving%20and%20parking%20patterns%20-%20final_online.pdf</w:t>
      </w:r>
    </w:p>
  </w:footnote>
  <w:footnote w:id="252">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Directive 2014/94/EU</w:t>
      </w:r>
    </w:p>
  </w:footnote>
  <w:footnote w:id="253">
    <w:p>
      <w:pPr>
        <w:pStyle w:val="FootnoteText"/>
        <w:spacing w:after="0" w:line="240" w:lineRule="auto"/>
        <w:ind w:left="0" w:firstLine="0"/>
        <w:rPr>
          <w:sz w:val="16"/>
          <w:szCs w:val="16"/>
        </w:rPr>
      </w:pPr>
      <w:r>
        <w:rPr>
          <w:rStyle w:val="FootnoteReference"/>
          <w:sz w:val="16"/>
          <w:szCs w:val="16"/>
        </w:rPr>
        <w:footnoteRef/>
      </w:r>
      <w:r>
        <w:rPr>
          <w:sz w:val="16"/>
          <w:szCs w:val="16"/>
        </w:rPr>
        <w:t xml:space="preserve"> </w:t>
      </w:r>
      <w:r>
        <w:rPr>
          <w:sz w:val="16"/>
        </w:rPr>
        <w:t>The widespread use of electrified vehicles will lead to the need to increase electricity production. Section 5 shows however that on a well to wheel basis, CO2 emissions will decrease in all policy scenarios. This is due to the reduction in the energy use in transport and higher uptake of renewables and low carbon fuels driven by policies, but also due to the power generation sector that is set to achieve decarbonisation by 2050. The power generation mix plays an important role in this time perspective considering the large scale electrification of transport.</w:t>
      </w:r>
    </w:p>
  </w:footnote>
  <w:footnote w:id="254">
    <w:p>
      <w:pPr>
        <w:pStyle w:val="footnote"/>
        <w:tabs>
          <w:tab w:val="left" w:pos="709"/>
        </w:tabs>
        <w:snapToGrid w:val="0"/>
        <w:rPr>
          <w:lang w:val="fr-BE"/>
        </w:rPr>
      </w:pPr>
      <w:r>
        <w:rPr>
          <w:rStyle w:val="FootnoteReference"/>
        </w:rPr>
        <w:footnoteRef/>
      </w:r>
      <w:r>
        <w:t xml:space="preserve"> There were about 75000 petrol stations in the EU at the end of 2018. </w:t>
      </w:r>
      <w:r>
        <w:rPr>
          <w:lang w:val="fr-BE"/>
        </w:rPr>
        <w:t>Source: FuelsEurope https://www.fuelseurope.eu/wp-content/uploads/SR_FuelsEurope-2019-48.pdf</w:t>
      </w:r>
    </w:p>
  </w:footnote>
  <w:footnote w:id="255">
    <w:p>
      <w:pPr>
        <w:pStyle w:val="footnote"/>
        <w:tabs>
          <w:tab w:val="left" w:pos="709"/>
        </w:tabs>
        <w:snapToGrid w:val="0"/>
      </w:pPr>
      <w:r>
        <w:rPr>
          <w:rStyle w:val="FootnoteReference"/>
        </w:rPr>
        <w:footnoteRef/>
      </w:r>
      <w:r>
        <w:t xml:space="preserve"> Source: European Alternative Fuels Observatory (EAFO).</w:t>
      </w:r>
    </w:p>
  </w:footnote>
  <w:footnote w:id="256">
    <w:p>
      <w:pPr>
        <w:pStyle w:val="footnote"/>
        <w:tabs>
          <w:tab w:val="left" w:pos="709"/>
        </w:tabs>
        <w:snapToGrid w:val="0"/>
      </w:pPr>
      <w:r>
        <w:rPr>
          <w:rStyle w:val="FootnoteReference"/>
        </w:rPr>
        <w:footnoteRef/>
      </w:r>
      <w:r>
        <w:t xml:space="preserve"> Ibid.</w:t>
      </w:r>
    </w:p>
  </w:footnote>
  <w:footnote w:id="257">
    <w:p>
      <w:pPr>
        <w:pStyle w:val="footnote"/>
        <w:tabs>
          <w:tab w:val="left" w:pos="709"/>
        </w:tabs>
        <w:snapToGrid w:val="0"/>
      </w:pPr>
      <w:r>
        <w:rPr>
          <w:rStyle w:val="FootnoteReference"/>
        </w:rPr>
        <w:footnoteRef/>
      </w:r>
      <w:r>
        <w:t xml:space="preserve"> Source: State of the Art on Alternative Fuels Transport Systems in Europe. Own elaboration based on data from (EAFO, 2019)</w:t>
      </w:r>
    </w:p>
  </w:footnote>
  <w:footnote w:id="258">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T&amp;E, 2020, Company cars:   how European governments  are subsidising pollution and  climate change https://www.transportenvironment.org/publications/company-cars-how-european-governments-are-subsidising-pollution-and-climate-change </w:t>
      </w:r>
    </w:p>
  </w:footnote>
  <w:footnote w:id="259">
    <w:p>
      <w:pPr>
        <w:pStyle w:val="footnote"/>
        <w:tabs>
          <w:tab w:val="left" w:pos="709"/>
        </w:tabs>
        <w:snapToGrid w:val="0"/>
      </w:pPr>
      <w:r>
        <w:rPr>
          <w:rStyle w:val="FootnoteReference"/>
        </w:rPr>
        <w:footnoteRef/>
      </w:r>
      <w:r>
        <w:t xml:space="preserve"> </w:t>
      </w:r>
      <w:r>
        <w:rPr>
          <w:lang w:eastAsia="en-US"/>
        </w:rPr>
        <w:t>Directive (EU) 2019/1161 of the European Parliament and of the Council of 20 June 2019 amending Directive 2009/33/EC on the promotion of clean and energy-efficient road transport vehicles, OJ L 188, 12.7.2019, p. 116.</w:t>
      </w:r>
    </w:p>
  </w:footnote>
  <w:footnote w:id="260">
    <w:p>
      <w:pPr>
        <w:pStyle w:val="footnote"/>
        <w:tabs>
          <w:tab w:val="left" w:pos="709"/>
        </w:tabs>
        <w:snapToGrid w:val="0"/>
      </w:pPr>
      <w:r>
        <w:rPr>
          <w:rStyle w:val="FootnoteReference"/>
        </w:rPr>
        <w:footnoteRef/>
      </w:r>
      <w:r>
        <w:t xml:space="preserve"> Council Directive 96/53/EC of 25 July 1996 laying down for certain road vehicles circulating within the Community the maximum authorized dimensions in national and international traffic and the maximum authorized weights in international traffic, OJ L 235, 17.9.1996, p. 59.</w:t>
      </w:r>
      <w:r>
        <w:rPr>
          <w:lang w:eastAsia="en-US"/>
        </w:rPr>
        <w:t> </w:t>
      </w:r>
    </w:p>
  </w:footnote>
  <w:footnote w:id="261">
    <w:p>
      <w:pPr>
        <w:pStyle w:val="footnote"/>
        <w:tabs>
          <w:tab w:val="left" w:pos="709"/>
        </w:tabs>
        <w:snapToGrid w:val="0"/>
      </w:pPr>
      <w:r>
        <w:rPr>
          <w:rStyle w:val="FootnoteReference"/>
        </w:rPr>
        <w:footnoteRef/>
      </w:r>
      <w:r>
        <w:t xml:space="preserve"> International Transport Forum (2019) ‘Transport Outlook 2019. OECD Paris’. </w:t>
      </w:r>
      <w:hyperlink r:id="rId43" w:history="1">
        <w:r>
          <w:rPr>
            <w:rStyle w:val="Hyperlink"/>
            <w:u w:val="none"/>
          </w:rPr>
          <w:t>https://www.oecd-ilibrary.org/transport/itf-transport-outlook-2019_transp_outlook-en-2019-en</w:t>
        </w:r>
      </w:hyperlink>
    </w:p>
  </w:footnote>
  <w:footnote w:id="262">
    <w:p>
      <w:pPr>
        <w:pStyle w:val="footnote"/>
        <w:tabs>
          <w:tab w:val="left" w:pos="709"/>
        </w:tabs>
        <w:snapToGrid w:val="0"/>
      </w:pPr>
      <w:r>
        <w:rPr>
          <w:rStyle w:val="FootnoteReference"/>
        </w:rPr>
        <w:footnoteRef/>
      </w:r>
      <w:r>
        <w:t xml:space="preserve"> ACEA, 2019, High Capacity Transport. https://www.acea.be/uploads/publications/ACEA_Paper-High_Capacity_Transport.pdf</w:t>
      </w:r>
    </w:p>
  </w:footnote>
  <w:footnote w:id="263">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Regulation (EU) 2018/858 of the European Parliament and of the Council of 30 May 2018 on the approval and market surveillance of motor vehicles and their trailers, and of systems, components and separate technical units intended for such vehicles, amending Regulations (EC) No 715/2007 and (EC) No 595/2009 and repealing Directive 2007/46/EC (Text with EEA relevance.) 14.6.2018; OJ L 151/1</w:t>
      </w:r>
    </w:p>
  </w:footnote>
  <w:footnote w:id="264">
    <w:p>
      <w:pPr>
        <w:pStyle w:val="footnote"/>
        <w:tabs>
          <w:tab w:val="left" w:pos="709"/>
        </w:tabs>
        <w:snapToGrid w:val="0"/>
        <w:rPr>
          <w:lang w:val="hu-HU"/>
        </w:rPr>
      </w:pPr>
      <w:r>
        <w:rPr>
          <w:rStyle w:val="FootnoteReference"/>
        </w:rPr>
        <w:footnoteRef/>
      </w:r>
      <w:r>
        <w:t xml:space="preserve"> </w:t>
      </w:r>
      <w:r>
        <w:rPr>
          <w:lang w:val="en-US"/>
        </w:rPr>
        <w:t xml:space="preserve">Kadijk, G., Spreen, J.S. and Mark, P.J. van der, Investigation into a Periodic Technical Inspection test method to check for presence and proper functioning of </w:t>
      </w:r>
      <w:r>
        <w:t>Diesel</w:t>
      </w:r>
      <w:r>
        <w:rPr>
          <w:lang w:val="en-US"/>
        </w:rPr>
        <w:t xml:space="preserve"> Particulate Filters in light duty diesel vehicles. Delft, 10 June 2016. TNO report TNO 2016 R10735</w:t>
      </w:r>
    </w:p>
  </w:footnote>
  <w:footnote w:id="265">
    <w:p>
      <w:pPr>
        <w:pStyle w:val="FootnoteText"/>
        <w:tabs>
          <w:tab w:val="left" w:pos="709"/>
        </w:tabs>
        <w:spacing w:after="0" w:line="240" w:lineRule="auto"/>
        <w:ind w:left="0" w:firstLine="0"/>
        <w:rPr>
          <w:sz w:val="16"/>
          <w:szCs w:val="16"/>
          <w:lang w:val="hu-HU"/>
        </w:rPr>
      </w:pPr>
      <w:r>
        <w:rPr>
          <w:rStyle w:val="FootnoteReference"/>
          <w:sz w:val="16"/>
          <w:szCs w:val="16"/>
        </w:rPr>
        <w:footnoteRef/>
      </w:r>
      <w:r>
        <w:rPr>
          <w:sz w:val="16"/>
          <w:szCs w:val="16"/>
          <w:lang w:val="hu-HU"/>
        </w:rPr>
        <w:t xml:space="preserve"> https://ec.europa.eu/info/sites/info/files/research_and_innovation/groups/sam/ec_rtd_sam-mnp-opinion_042019.pdf</w:t>
      </w:r>
    </w:p>
  </w:footnote>
  <w:footnote w:id="266">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Such as the EcoPorts or Airport Carbon Accreditation initiatives, developed by the European Sea Ports Organisation (ESPO) and ACI EUROPE, respectively. ACI Sustainability Strategy for the Airport Industry </w:t>
      </w:r>
      <w:r>
        <w:t>https://www.aci-europe.org/press-release/44-new-sustainability-strategy-guides-airports-towards-enhanced-societal-value.html</w:t>
      </w:r>
    </w:p>
  </w:footnote>
  <w:footnote w:id="267">
    <w:p>
      <w:pPr>
        <w:pStyle w:val="footnote"/>
        <w:tabs>
          <w:tab w:val="left" w:pos="709"/>
        </w:tabs>
        <w:snapToGrid w:val="0"/>
      </w:pPr>
      <w:r>
        <w:rPr>
          <w:rStyle w:val="FootnoteReference"/>
        </w:rPr>
        <w:footnoteRef/>
      </w:r>
      <w:r>
        <w:t xml:space="preserve"> </w:t>
      </w:r>
      <w:r>
        <w:rPr>
          <w:lang w:eastAsia="en-US"/>
        </w:rPr>
        <w:t xml:space="preserve">EPSC Strategic Note 32 of 28 October 2019 ‘Clean Transport at Sea’. Based on analysis done by Transport &amp; Environment </w:t>
      </w:r>
      <w:hyperlink r:id="rId44" w:history="1">
        <w:r>
          <w:rPr>
            <w:rStyle w:val="Hyperlink"/>
            <w:u w:val="none"/>
          </w:rPr>
          <w:t>https://www.transportenvironment.org/news/cruise-ships-poisoning-city-air-sulphur-much-cars-%E2%80%93-new-data-reveals</w:t>
        </w:r>
      </w:hyperlink>
    </w:p>
  </w:footnote>
  <w:footnote w:id="268">
    <w:p>
      <w:pPr>
        <w:pStyle w:val="footnote"/>
        <w:tabs>
          <w:tab w:val="left" w:pos="709"/>
        </w:tabs>
        <w:snapToGrid w:val="0"/>
      </w:pPr>
      <w:r>
        <w:rPr>
          <w:rStyle w:val="FootnoteReference"/>
        </w:rPr>
        <w:footnoteRef/>
      </w:r>
      <w:r>
        <w:t xml:space="preserve"> http://www.ecoports.com/</w:t>
      </w:r>
    </w:p>
  </w:footnote>
  <w:footnote w:id="269">
    <w:p>
      <w:pPr>
        <w:pStyle w:val="footnote"/>
        <w:tabs>
          <w:tab w:val="left" w:pos="709"/>
        </w:tabs>
        <w:snapToGrid w:val="0"/>
      </w:pPr>
      <w:r>
        <w:rPr>
          <w:rStyle w:val="FootnoteReference"/>
        </w:rPr>
        <w:footnoteRef/>
      </w:r>
      <w:r>
        <w:t xml:space="preserve"> COGEA for the European Commission: “Study on differentiated port infrastructure charges to promote environmentally friendly maritime transport activities and sustainable transportation”, June 2017: </w:t>
      </w:r>
      <w:hyperlink r:id="rId45" w:history="1">
        <w:r>
          <w:rPr>
            <w:rStyle w:val="Hyperlink"/>
            <w:u w:val="none"/>
          </w:rPr>
          <w:t>https://ec.europa.eu/transport/sites/transport/files/2017-06-differentiated-port-infrastructure-charges-report.pdf</w:t>
        </w:r>
      </w:hyperlink>
      <w:r>
        <w:t>.</w:t>
      </w:r>
    </w:p>
  </w:footnote>
  <w:footnote w:id="270">
    <w:p>
      <w:pPr>
        <w:pStyle w:val="footnote"/>
        <w:tabs>
          <w:tab w:val="left" w:pos="709"/>
        </w:tabs>
        <w:snapToGrid w:val="0"/>
      </w:pPr>
      <w:r>
        <w:rPr>
          <w:rStyle w:val="FootnoteReference"/>
        </w:rPr>
        <w:footnoteRef/>
      </w:r>
      <w:r>
        <w:t xml:space="preserve"> </w:t>
      </w:r>
      <w:hyperlink r:id="rId46" w:history="1">
        <w:r>
          <w:rPr>
            <w:rStyle w:val="Hyperlink"/>
            <w:u w:val="none"/>
          </w:rPr>
          <w:t>https://portcalloptimization.org/</w:t>
        </w:r>
      </w:hyperlink>
      <w:r>
        <w:t xml:space="preserve"> </w:t>
      </w:r>
    </w:p>
    <w:p>
      <w:pPr>
        <w:pStyle w:val="footnote"/>
        <w:tabs>
          <w:tab w:val="left" w:pos="709"/>
        </w:tabs>
        <w:snapToGrid w:val="0"/>
      </w:pPr>
    </w:p>
  </w:footnote>
  <w:footnote w:id="271">
    <w:p>
      <w:pPr>
        <w:pStyle w:val="FootnoteText"/>
        <w:tabs>
          <w:tab w:val="left" w:pos="709"/>
        </w:tabs>
        <w:snapToGrid w:val="0"/>
        <w:spacing w:after="0" w:line="240" w:lineRule="auto"/>
        <w:rPr>
          <w:sz w:val="16"/>
          <w:szCs w:val="16"/>
        </w:rPr>
      </w:pPr>
      <w:r>
        <w:rPr>
          <w:rStyle w:val="FootnoteReference"/>
          <w:sz w:val="16"/>
          <w:szCs w:val="16"/>
        </w:rPr>
        <w:footnoteRef/>
      </w:r>
      <w:r>
        <w:rPr>
          <w:sz w:val="16"/>
          <w:szCs w:val="16"/>
        </w:rPr>
        <w:t xml:space="preserve"> This mean ships carrying a different flag than the country in which the port is.</w:t>
      </w:r>
    </w:p>
  </w:footnote>
  <w:footnote w:id="272">
    <w:p>
      <w:pPr>
        <w:pStyle w:val="footnote"/>
        <w:tabs>
          <w:tab w:val="left" w:pos="709"/>
        </w:tabs>
        <w:snapToGrid w:val="0"/>
      </w:pPr>
      <w:r>
        <w:rPr>
          <w:rStyle w:val="FootnoteReference"/>
        </w:rPr>
        <w:footnoteRef/>
      </w:r>
      <w:r>
        <w:t xml:space="preserve"> THETIS is a single window information system combining port call information (from SafeSeaNet system also hosted by EMSA) and inspection data. The system guides its users through a risk based targeting mechanism to ships which should be inspected and allows the results of inspections to be recorded.</w:t>
      </w:r>
    </w:p>
  </w:footnote>
  <w:footnote w:id="273">
    <w:p>
      <w:pPr>
        <w:pStyle w:val="FootnoteText"/>
        <w:tabs>
          <w:tab w:val="left" w:pos="709"/>
        </w:tabs>
        <w:spacing w:after="0" w:line="240" w:lineRule="auto"/>
        <w:rPr>
          <w:sz w:val="16"/>
          <w:szCs w:val="16"/>
          <w:lang w:val="fr-BE"/>
        </w:rPr>
      </w:pPr>
      <w:r>
        <w:rPr>
          <w:rStyle w:val="FootnoteReference"/>
          <w:sz w:val="16"/>
          <w:szCs w:val="16"/>
        </w:rPr>
        <w:footnoteRef/>
      </w:r>
      <w:r>
        <w:rPr>
          <w:sz w:val="16"/>
          <w:szCs w:val="16"/>
          <w:lang w:val="fr-BE"/>
        </w:rPr>
        <w:t xml:space="preserve"> Source: https://www.airportco2.org/</w:t>
      </w:r>
    </w:p>
  </w:footnote>
  <w:footnote w:id="274">
    <w:p>
      <w:pPr>
        <w:pStyle w:val="FootnoteText"/>
        <w:tabs>
          <w:tab w:val="left" w:pos="709"/>
        </w:tabs>
        <w:spacing w:after="0" w:line="240" w:lineRule="auto"/>
        <w:rPr>
          <w:sz w:val="16"/>
          <w:szCs w:val="16"/>
          <w:lang w:val="fr-BE"/>
        </w:rPr>
      </w:pPr>
      <w:r>
        <w:rPr>
          <w:rStyle w:val="FootnoteReference"/>
          <w:sz w:val="16"/>
          <w:szCs w:val="16"/>
        </w:rPr>
        <w:footnoteRef/>
      </w:r>
      <w:r>
        <w:rPr>
          <w:sz w:val="16"/>
          <w:szCs w:val="16"/>
          <w:lang w:val="fr-BE"/>
        </w:rPr>
        <w:t xml:space="preserve"> Source: https://www.airportcarbonaccreditation.org/aca-media/news.html</w:t>
      </w:r>
    </w:p>
  </w:footnote>
  <w:footnote w:id="275">
    <w:p>
      <w:pPr>
        <w:pStyle w:val="FootnoteText"/>
        <w:tabs>
          <w:tab w:val="left" w:pos="709"/>
        </w:tabs>
        <w:spacing w:after="0" w:line="240" w:lineRule="auto"/>
        <w:ind w:left="0" w:firstLine="0"/>
        <w:rPr>
          <w:sz w:val="16"/>
          <w:szCs w:val="16"/>
          <w:lang w:val="en-US"/>
        </w:rPr>
      </w:pPr>
      <w:r>
        <w:rPr>
          <w:rStyle w:val="FootnoteReference"/>
          <w:sz w:val="16"/>
          <w:szCs w:val="16"/>
        </w:rPr>
        <w:footnoteRef/>
      </w:r>
      <w:r>
        <w:rPr>
          <w:sz w:val="16"/>
          <w:szCs w:val="16"/>
        </w:rPr>
        <w:t xml:space="preserve"> Council Directive 96/67/EC of 15 October 1996 on access to the groundhandling market at Community airports, </w:t>
      </w:r>
      <w:r>
        <w:rPr>
          <w:sz w:val="16"/>
          <w:szCs w:val="16"/>
          <w:lang w:val="en-US"/>
        </w:rPr>
        <w:t>OJ L 272, 25.10.1996, p. 36</w:t>
      </w:r>
    </w:p>
  </w:footnote>
  <w:footnote w:id="276">
    <w:p>
      <w:pPr>
        <w:pStyle w:val="FootnoteText"/>
        <w:ind w:left="0" w:firstLine="0"/>
      </w:pPr>
      <w:r>
        <w:rPr>
          <w:rStyle w:val="FootnoteReference"/>
        </w:rPr>
        <w:footnoteRef/>
      </w:r>
      <w:r>
        <w:t xml:space="preserve"> </w:t>
      </w:r>
      <w:r>
        <w:rPr>
          <w:sz w:val="16"/>
          <w:szCs w:val="16"/>
        </w:rPr>
        <w:t>Modulated air navigation charges can encourage eliminating such inefficiencies, especially if rolled out in a harmonised and effective scheme across the EU.</w:t>
      </w:r>
    </w:p>
  </w:footnote>
  <w:footnote w:id="277">
    <w:p>
      <w:pPr>
        <w:pStyle w:val="FootnoteText"/>
        <w:tabs>
          <w:tab w:val="left" w:pos="709"/>
        </w:tabs>
        <w:spacing w:after="0" w:line="240" w:lineRule="auto"/>
        <w:rPr>
          <w:sz w:val="16"/>
          <w:szCs w:val="16"/>
          <w:lang w:val="en-IE"/>
        </w:rPr>
      </w:pPr>
      <w:r>
        <w:rPr>
          <w:rStyle w:val="FootnoteReference"/>
          <w:sz w:val="16"/>
          <w:szCs w:val="16"/>
        </w:rPr>
        <w:footnoteRef/>
      </w:r>
      <w:r>
        <w:rPr>
          <w:sz w:val="16"/>
          <w:szCs w:val="16"/>
          <w:lang w:val="en-IE"/>
        </w:rPr>
        <w:t xml:space="preserve"> Directive 2014/94/EU</w:t>
      </w:r>
    </w:p>
  </w:footnote>
  <w:footnote w:id="278">
    <w:p>
      <w:pPr>
        <w:pStyle w:val="footnote"/>
        <w:tabs>
          <w:tab w:val="left" w:pos="709"/>
        </w:tabs>
        <w:snapToGrid w:val="0"/>
      </w:pPr>
      <w:r>
        <w:rPr>
          <w:rStyle w:val="FootnoteReference"/>
        </w:rPr>
        <w:footnoteRef/>
      </w:r>
      <w:r>
        <w:t xml:space="preserve"> Regulation (EU) No 598/2014 of the European Parliament and of the Council of 16 April 2014 on the establishment of rules and procedures with regard to the introduction of noise-related operating restrictions at Union airports within a Balanced Approach and repealing Directive 2002/30/EC, OJ L 173, 12.6.2014, p. 65.</w:t>
      </w:r>
    </w:p>
  </w:footnote>
  <w:footnote w:id="279">
    <w:p>
      <w:pPr>
        <w:pStyle w:val="footnote"/>
        <w:tabs>
          <w:tab w:val="left" w:pos="709"/>
        </w:tabs>
        <w:snapToGrid w:val="0"/>
      </w:pPr>
      <w:r>
        <w:rPr>
          <w:rStyle w:val="FootnoteReference"/>
        </w:rPr>
        <w:footnoteRef/>
      </w:r>
      <w:r>
        <w:t xml:space="preserve"> Directive 2002/49/EC of the European Parliament and of the Council of 25 June 2002 relating to the assessment and management of environmental noise - Declaration by the Commission in the Conciliation Committee on the Directive relating to the assessment and management of environmental noise, OJ L 189, 18.7.2002, p. 12.</w:t>
      </w:r>
    </w:p>
  </w:footnote>
  <w:footnote w:id="280">
    <w:p>
      <w:pPr>
        <w:pStyle w:val="footnote"/>
        <w:tabs>
          <w:tab w:val="left" w:pos="709"/>
        </w:tabs>
        <w:snapToGrid w:val="0"/>
      </w:pPr>
      <w:r>
        <w:rPr>
          <w:rStyle w:val="FootnoteReference"/>
        </w:rPr>
        <w:footnoteRef/>
      </w:r>
      <w:r>
        <w:t xml:space="preserve"> 2016 and 2018 data was based on airport reports representing 56% and 64% of European traffic respectively. </w:t>
      </w:r>
      <w:hyperlink r:id="rId47" w:history="1">
        <w:r>
          <w:rPr>
            <w:rStyle w:val="Hyperlink"/>
            <w:u w:val="none"/>
          </w:rPr>
          <w:t>https://ec.europa.eu/transport/sites/transport/files/2019-aviation-environmental-report.pdf</w:t>
        </w:r>
      </w:hyperlink>
    </w:p>
  </w:footnote>
  <w:footnote w:id="281">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w:t>
      </w:r>
      <w:r>
        <w:rPr>
          <w:sz w:val="16"/>
          <w:szCs w:val="16"/>
          <w:lang w:eastAsia="en-US"/>
        </w:rPr>
        <w:t>Articles 26 and 39 of Regulation (EU) N° 1315/2013</w:t>
      </w:r>
    </w:p>
  </w:footnote>
  <w:footnote w:id="282">
    <w:p>
      <w:pPr>
        <w:pStyle w:val="footnote"/>
        <w:tabs>
          <w:tab w:val="left" w:pos="709"/>
        </w:tabs>
        <w:snapToGrid w:val="0"/>
      </w:pPr>
      <w:r>
        <w:rPr>
          <w:rStyle w:val="FootnoteReference"/>
        </w:rPr>
        <w:footnoteRef/>
      </w:r>
      <w:r>
        <w:t xml:space="preserve">    The delay cost gives a value of the travel time lost relative to a free-flow situation. The deadweight loss costs is the part of the delay costs which is regarded as a proper basis for transport pricing. CE Delft (2019) ‘Handbook on the External Costs of Transport. Version 2019’. </w:t>
      </w:r>
    </w:p>
    <w:p>
      <w:pPr>
        <w:pStyle w:val="footnote"/>
        <w:tabs>
          <w:tab w:val="left" w:pos="709"/>
        </w:tabs>
        <w:snapToGrid w:val="0"/>
      </w:pPr>
      <w:r>
        <w:t>https://op.europa.eu/en/publication-detail/-/publication/9781f65f-8448-11ea-bf12-01aa75ed71a1.</w:t>
      </w:r>
      <w:r>
        <w:rPr>
          <w:rStyle w:val="Hyperlink"/>
          <w:u w:val="none"/>
        </w:rPr>
        <w:t xml:space="preserve"> </w:t>
      </w:r>
    </w:p>
  </w:footnote>
  <w:footnote w:id="283">
    <w:p>
      <w:pPr>
        <w:pStyle w:val="footnote"/>
        <w:tabs>
          <w:tab w:val="left" w:pos="709"/>
        </w:tabs>
        <w:snapToGrid w:val="0"/>
      </w:pPr>
      <w:r>
        <w:rPr>
          <w:rStyle w:val="FootnoteReference"/>
        </w:rPr>
        <w:footnoteRef/>
      </w:r>
      <w:r>
        <w:t xml:space="preserve"> Estimates based on the PRIMES-TREMOVE model developed by E3Modelling.</w:t>
      </w:r>
    </w:p>
  </w:footnote>
  <w:footnote w:id="284">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Paris, for example, through the ‘15 minute city’ project is aiming in such urban organization, where all everyday needs can be covered by a walk or cycling ride of maximum 15 minutes.   </w:t>
      </w:r>
    </w:p>
  </w:footnote>
  <w:footnote w:id="285">
    <w:p>
      <w:pPr>
        <w:pStyle w:val="footnote"/>
        <w:tabs>
          <w:tab w:val="left" w:pos="709"/>
        </w:tabs>
        <w:snapToGrid w:val="0"/>
        <w:rPr>
          <w:lang w:val="en-US"/>
        </w:rPr>
      </w:pPr>
      <w:r>
        <w:rPr>
          <w:rStyle w:val="FootnoteReference"/>
        </w:rPr>
        <w:footnoteRef/>
      </w:r>
      <w:r>
        <w:rPr>
          <w:lang w:val="en-US"/>
        </w:rPr>
        <w:t xml:space="preserve"> </w:t>
      </w:r>
      <w:hyperlink r:id="rId48" w:history="1">
        <w:r>
          <w:rPr>
            <w:rStyle w:val="Hyperlink"/>
            <w:u w:val="none"/>
            <w:lang w:val="en-US"/>
          </w:rPr>
          <w:t>COM(2013) 913 final</w:t>
        </w:r>
      </w:hyperlink>
      <w:r>
        <w:rPr>
          <w:rStyle w:val="Hyperlink"/>
          <w:u w:val="none"/>
          <w:lang w:val="en-US"/>
        </w:rPr>
        <w:t xml:space="preserve"> </w:t>
      </w:r>
      <w:r>
        <w:rPr>
          <w:lang w:val="en-US"/>
        </w:rPr>
        <w:t>It should be noted that an evaluation of the UMP, where UVARs are also considered, will be accomplished by the end of 2020.</w:t>
      </w:r>
    </w:p>
  </w:footnote>
  <w:footnote w:id="286">
    <w:p>
      <w:pPr>
        <w:pStyle w:val="footnote"/>
        <w:tabs>
          <w:tab w:val="left" w:pos="709"/>
        </w:tabs>
        <w:snapToGrid w:val="0"/>
        <w:rPr>
          <w:lang w:val="en-US"/>
        </w:rPr>
      </w:pPr>
      <w:r>
        <w:rPr>
          <w:rStyle w:val="FootnoteReference"/>
        </w:rPr>
        <w:footnoteRef/>
      </w:r>
      <w:r>
        <w:rPr>
          <w:lang w:val="en-US"/>
        </w:rPr>
        <w:t xml:space="preserve"> </w:t>
      </w:r>
      <w:hyperlink r:id="rId49" w:history="1">
        <w:r>
          <w:rPr>
            <w:rStyle w:val="Hyperlink"/>
            <w:u w:val="none"/>
            <w:lang w:val="en-US"/>
          </w:rPr>
          <w:t>https://www.eltis.org/mobility-plans/city-database</w:t>
        </w:r>
      </w:hyperlink>
      <w:r>
        <w:rPr>
          <w:lang w:val="en-US"/>
        </w:rPr>
        <w:t xml:space="preserve"> </w:t>
      </w:r>
    </w:p>
  </w:footnote>
  <w:footnote w:id="287">
    <w:p>
      <w:pPr>
        <w:pStyle w:val="footnote"/>
        <w:tabs>
          <w:tab w:val="left" w:pos="709"/>
        </w:tabs>
        <w:snapToGrid w:val="0"/>
        <w:rPr>
          <w:lang w:val="en-US"/>
        </w:rPr>
      </w:pPr>
      <w:r>
        <w:rPr>
          <w:rStyle w:val="FootnoteReference"/>
        </w:rPr>
        <w:footnoteRef/>
      </w:r>
      <w:r>
        <w:rPr>
          <w:lang w:val="en-US"/>
        </w:rPr>
        <w:t xml:space="preserve"> https://www.eltis.org/mobility-plans/guidelines-developing-and-implementing-sustainable-urban-mobility-plan-2nd-edition </w:t>
      </w:r>
    </w:p>
  </w:footnote>
  <w:footnote w:id="288">
    <w:p>
      <w:pPr>
        <w:pStyle w:val="footnote"/>
        <w:tabs>
          <w:tab w:val="left" w:pos="709"/>
        </w:tabs>
        <w:snapToGrid w:val="0"/>
        <w:rPr>
          <w:lang w:val="en-US"/>
        </w:rPr>
      </w:pPr>
      <w:r>
        <w:rPr>
          <w:rStyle w:val="FootnoteReference"/>
        </w:rPr>
        <w:footnoteRef/>
      </w:r>
      <w:r>
        <w:t xml:space="preserve"> Directive 2008/50/EC of the European Parliament and of the Council of 21 May 2008 on ambient air quality and cleaner air for Europe, OJ L 152, 11.6.2008, p. 1; and Directive 2004/107/EC of the European Parliament and of the Council of 15 December 2004 relating to arsenic, cadmium, mercury, nickel and polycyclic aromatic hydrocarbons in ambient air, OJ L 23, 26.1.2005, p. 3.</w:t>
      </w:r>
    </w:p>
  </w:footnote>
  <w:footnote w:id="289">
    <w:p>
      <w:pPr>
        <w:pStyle w:val="footnote"/>
        <w:tabs>
          <w:tab w:val="left" w:pos="709"/>
        </w:tabs>
        <w:snapToGrid w:val="0"/>
        <w:rPr>
          <w:lang w:val="fr-BE"/>
        </w:rPr>
      </w:pPr>
      <w:r>
        <w:rPr>
          <w:rStyle w:val="FootnoteReference"/>
        </w:rPr>
        <w:footnoteRef/>
      </w:r>
      <w:r>
        <w:t xml:space="preserve"> The figure shows the annual mean concentrations of nitrogen dioxide (NO2) observed at traffic stations in 2017. </w:t>
      </w:r>
      <w:r>
        <w:rPr>
          <w:lang w:val="fr-BE"/>
        </w:rPr>
        <w:t xml:space="preserve">Source: https://www.eea.europa.eu/data-and-maps/indicators/exceedances-of-air-quality-objectives-7/assessment-2 </w:t>
      </w:r>
    </w:p>
  </w:footnote>
  <w:footnote w:id="290">
    <w:p>
      <w:pPr>
        <w:pStyle w:val="footnote"/>
        <w:tabs>
          <w:tab w:val="left" w:pos="709"/>
        </w:tabs>
        <w:snapToGrid w:val="0"/>
        <w:rPr>
          <w:lang w:val="fr-BE"/>
        </w:rPr>
      </w:pPr>
      <w:r>
        <w:rPr>
          <w:rStyle w:val="FootnoteReference"/>
        </w:rPr>
        <w:footnoteRef/>
      </w:r>
      <w:r>
        <w:t xml:space="preserve"> The map shows the Percentile 90.4 of daily mean PM10 concentrations at traffic stations. This represents the 36th highest value in a complete series. It is related to the PM10 daily limit value, which allows 35 exceedances of the 50 µg/m3 threshold over a 1-year period. Dots in the last two colour categories indicate stations with concentrations above this daily limit value. Only stations for which more than 75 % of data are valid have been included in the map. </w:t>
      </w:r>
      <w:r>
        <w:rPr>
          <w:lang w:val="fr-BE"/>
        </w:rPr>
        <w:t xml:space="preserve">Source: https://www.eea.europa.eu/data-and-maps/indicators/exceedances-of-air-quality-objectives-7/assessment-2 </w:t>
      </w:r>
    </w:p>
  </w:footnote>
  <w:footnote w:id="291">
    <w:p>
      <w:pPr>
        <w:pStyle w:val="footnote"/>
        <w:tabs>
          <w:tab w:val="left" w:pos="709"/>
        </w:tabs>
        <w:snapToGrid w:val="0"/>
        <w:rPr>
          <w:lang w:val="fr-BE"/>
        </w:rPr>
      </w:pPr>
      <w:r>
        <w:rPr>
          <w:rStyle w:val="FootnoteReference"/>
        </w:rPr>
        <w:footnoteRef/>
      </w:r>
      <w:r>
        <w:t xml:space="preserve"> The figure shows the annual mean concentrations of particulate matter (PM2.5) observed at traffic stations in 2017. </w:t>
      </w:r>
      <w:r>
        <w:rPr>
          <w:lang w:val="fr-BE"/>
        </w:rPr>
        <w:t>Source: https://www.eea.europa.eu/data-and-maps/indicators/exceedances-of-air-quality-objectives-7/assessment-2</w:t>
      </w:r>
    </w:p>
  </w:footnote>
  <w:footnote w:id="292">
    <w:p>
      <w:pPr>
        <w:pStyle w:val="footnote"/>
        <w:tabs>
          <w:tab w:val="left" w:pos="709"/>
        </w:tabs>
        <w:snapToGrid w:val="0"/>
        <w:rPr>
          <w:lang w:val="fr-BE"/>
        </w:rPr>
      </w:pPr>
      <w:r>
        <w:rPr>
          <w:rStyle w:val="FootnoteReference"/>
        </w:rPr>
        <w:footnoteRef/>
      </w:r>
      <w:r>
        <w:rPr>
          <w:lang w:val="fr-BE"/>
        </w:rPr>
        <w:t xml:space="preserve"> https://www.eltis.org/sites/default/files/uvar_brochure_2019-09-26_digital_version_v2.pdf</w:t>
      </w:r>
    </w:p>
  </w:footnote>
  <w:footnote w:id="293">
    <w:p>
      <w:pPr>
        <w:pStyle w:val="footnote"/>
        <w:tabs>
          <w:tab w:val="left" w:pos="709"/>
        </w:tabs>
        <w:snapToGrid w:val="0"/>
        <w:rPr>
          <w:lang w:val="en-US"/>
        </w:rPr>
      </w:pPr>
      <w:r>
        <w:rPr>
          <w:rStyle w:val="FootnoteReference"/>
        </w:rPr>
        <w:footnoteRef/>
      </w:r>
      <w:r>
        <w:rPr>
          <w:lang w:val="en-US"/>
        </w:rPr>
        <w:t xml:space="preserve"> Including the </w:t>
      </w:r>
      <w:hyperlink r:id="rId50" w:history="1">
        <w:r>
          <w:rPr>
            <w:rStyle w:val="Hyperlink"/>
            <w:u w:val="none"/>
            <w:lang w:val="en-US"/>
          </w:rPr>
          <w:t>UVAR study from 2017</w:t>
        </w:r>
      </w:hyperlink>
      <w:r>
        <w:rPr>
          <w:lang w:val="en-US"/>
        </w:rPr>
        <w:t xml:space="preserve">, the </w:t>
      </w:r>
      <w:hyperlink r:id="rId51" w:history="1">
        <w:r>
          <w:rPr>
            <w:rStyle w:val="Hyperlink"/>
            <w:u w:val="none"/>
            <w:lang w:val="en-US"/>
          </w:rPr>
          <w:t>2009 Action plan on urban mobility</w:t>
        </w:r>
      </w:hyperlink>
      <w:r>
        <w:rPr>
          <w:lang w:val="en-US"/>
        </w:rPr>
        <w:t xml:space="preserve"> and the </w:t>
      </w:r>
      <w:hyperlink r:id="rId52" w:history="1">
        <w:r>
          <w:rPr>
            <w:rStyle w:val="Hyperlink"/>
            <w:u w:val="none"/>
            <w:lang w:val="en-US"/>
          </w:rPr>
          <w:t>2009 ARS study</w:t>
        </w:r>
      </w:hyperlink>
    </w:p>
  </w:footnote>
  <w:footnote w:id="294">
    <w:p>
      <w:pPr>
        <w:pStyle w:val="footnote"/>
        <w:tabs>
          <w:tab w:val="left" w:pos="709"/>
        </w:tabs>
        <w:snapToGrid w:val="0"/>
        <w:rPr>
          <w:lang w:val="en-US"/>
        </w:rPr>
      </w:pPr>
      <w:r>
        <w:rPr>
          <w:rStyle w:val="FootnoteReference"/>
        </w:rPr>
        <w:footnoteRef/>
      </w:r>
      <w:r>
        <w:t xml:space="preserve"> A map of the existing low-emission zones is available </w:t>
      </w:r>
      <w:hyperlink r:id="rId53" w:history="1">
        <w:r>
          <w:t>here</w:t>
        </w:r>
      </w:hyperlink>
      <w:r>
        <w:t>.</w:t>
      </w:r>
    </w:p>
  </w:footnote>
  <w:footnote w:id="295">
    <w:p>
      <w:pPr>
        <w:pStyle w:val="footnote"/>
        <w:tabs>
          <w:tab w:val="left" w:pos="709"/>
        </w:tabs>
        <w:snapToGrid w:val="0"/>
      </w:pPr>
      <w:r>
        <w:rPr>
          <w:rStyle w:val="FootnoteReference"/>
        </w:rPr>
        <w:footnoteRef/>
      </w:r>
      <w:r>
        <w:t xml:space="preserve"> As defined in the Ambient Air Quality </w:t>
      </w:r>
      <w:hyperlink r:id="rId54" w:history="1">
        <w:r>
          <w:rPr>
            <w:rStyle w:val="Hyperlink"/>
            <w:u w:val="none"/>
          </w:rPr>
          <w:t>Directive 2008/50/EC</w:t>
        </w:r>
      </w:hyperlink>
    </w:p>
  </w:footnote>
  <w:footnote w:id="296">
    <w:p>
      <w:pPr>
        <w:pStyle w:val="footnote"/>
        <w:tabs>
          <w:tab w:val="left" w:pos="709"/>
        </w:tabs>
        <w:snapToGrid w:val="0"/>
      </w:pPr>
      <w:r>
        <w:rPr>
          <w:rStyle w:val="FootnoteReference"/>
        </w:rPr>
        <w:footnoteRef/>
      </w:r>
      <w:r>
        <w:t xml:space="preserve"> International Transport Forum, 2020, Good to Go? Assessing the Environmental Performance of New Mobility https://www.itf-oecd.org/good-to-go-environmental-performance-new-mobility</w:t>
      </w:r>
    </w:p>
  </w:footnote>
  <w:footnote w:id="297">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The Commission is currently working on the Europe’s Beating Cancer Plan.</w:t>
      </w:r>
    </w:p>
  </w:footnote>
  <w:footnote w:id="298">
    <w:p>
      <w:pPr>
        <w:pStyle w:val="footnote"/>
        <w:tabs>
          <w:tab w:val="left" w:pos="709"/>
        </w:tabs>
        <w:snapToGrid w:val="0"/>
      </w:pPr>
      <w:r>
        <w:rPr>
          <w:rStyle w:val="FootnoteReference"/>
        </w:rPr>
        <w:footnoteRef/>
      </w:r>
      <w:r>
        <w:t xml:space="preserve"> Research has shown that improving conditions for active mobility can increase retail sales by 30%. Moreover, people who walk to shopping areas can spend up to 40% more and retail vacancies can be up to 17% lower after improvements to make these areas more walkable. Transport for London, 2019, </w:t>
      </w:r>
      <w:hyperlink r:id="rId55" w:history="1">
        <w:r>
          <w:rPr>
            <w:rStyle w:val="Hyperlink"/>
            <w:u w:val="none"/>
          </w:rPr>
          <w:t>http://content.tfl.gov.uk/walking-cycling-economic-benefits-summary-pack.pdf</w:t>
        </w:r>
      </w:hyperlink>
      <w:r>
        <w:t xml:space="preserve"> </w:t>
      </w:r>
    </w:p>
  </w:footnote>
  <w:footnote w:id="299">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https://www.roadsafetysweden.com/contentassets/b37f0951c837443eb9661668d5be439e/stockholm-declaration-english.pdf</w:t>
      </w:r>
    </w:p>
  </w:footnote>
  <w:footnote w:id="300">
    <w:p>
      <w:pPr>
        <w:pStyle w:val="footnote"/>
        <w:tabs>
          <w:tab w:val="left" w:pos="709"/>
        </w:tabs>
        <w:snapToGrid w:val="0"/>
      </w:pPr>
      <w:r>
        <w:rPr>
          <w:rStyle w:val="FootnoteReference"/>
        </w:rPr>
        <w:footnoteRef/>
      </w:r>
      <w:r>
        <w:t xml:space="preserve"> FLOW, 15 Quick Facts for Cities, </w:t>
      </w:r>
      <w:hyperlink r:id="rId56" w:history="1">
        <w:r>
          <w:rPr>
            <w:rStyle w:val="Hyperlink"/>
            <w:u w:val="none"/>
          </w:rPr>
          <w:t>http://h2020-flow.eu/fileadmin/user_upload/Deliverables/15_quick_facts_eng_FINAL.pdf</w:t>
        </w:r>
      </w:hyperlink>
      <w:r>
        <w:t xml:space="preserve"> </w:t>
      </w:r>
    </w:p>
  </w:footnote>
  <w:footnote w:id="301">
    <w:p>
      <w:pPr>
        <w:pStyle w:val="footnote"/>
        <w:tabs>
          <w:tab w:val="left" w:pos="709"/>
        </w:tabs>
        <w:snapToGrid w:val="0"/>
      </w:pPr>
      <w:r>
        <w:rPr>
          <w:rStyle w:val="FootnoteReference"/>
        </w:rPr>
        <w:footnoteRef/>
      </w:r>
      <w:r>
        <w:t xml:space="preserve"> </w:t>
      </w:r>
      <w:hyperlink r:id="rId57" w:history="1">
        <w:r>
          <w:rPr>
            <w:rStyle w:val="Hyperlink"/>
            <w:u w:val="none"/>
          </w:rPr>
          <w:t>http://h2020-flow.eu/</w:t>
        </w:r>
      </w:hyperlink>
      <w:r>
        <w:t xml:space="preserve"> </w:t>
      </w:r>
    </w:p>
  </w:footnote>
  <w:footnote w:id="302">
    <w:p>
      <w:pPr>
        <w:tabs>
          <w:tab w:val="left" w:pos="709"/>
        </w:tabs>
        <w:spacing w:after="0" w:line="240" w:lineRule="auto"/>
        <w:rPr>
          <w:sz w:val="16"/>
          <w:szCs w:val="16"/>
        </w:rPr>
      </w:pPr>
    </w:p>
    <w:p>
      <w:pPr>
        <w:tabs>
          <w:tab w:val="left" w:pos="709"/>
        </w:tabs>
        <w:spacing w:after="0" w:line="240" w:lineRule="auto"/>
        <w:rPr>
          <w:sz w:val="16"/>
          <w:szCs w:val="16"/>
        </w:rPr>
      </w:pPr>
    </w:p>
  </w:footnote>
  <w:footnote w:id="303">
    <w:p>
      <w:pPr>
        <w:pStyle w:val="footnote"/>
        <w:tabs>
          <w:tab w:val="left" w:pos="709"/>
        </w:tabs>
        <w:snapToGrid w:val="0"/>
      </w:pPr>
      <w:r>
        <w:t xml:space="preserve"> Research has shown that improving conditions for active mobility can increase retail sales by 30%. Moreover, people who walk to shopping areas can spend up to 40% more and retail vacancies can be up to 17% lower after improvements to make these areas more walkable. Transport for London, 2019, </w:t>
      </w:r>
      <w:hyperlink r:id="rId58" w:history="1">
        <w:r>
          <w:rPr>
            <w:rStyle w:val="Hyperlink"/>
            <w:u w:val="none"/>
          </w:rPr>
          <w:t>http://content.tfl.gov.uk/walking-cycling-economic-benefits-summary-pack.pdf</w:t>
        </w:r>
      </w:hyperlink>
      <w:r>
        <w:t xml:space="preserve"> </w:t>
      </w:r>
    </w:p>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https://www.roadsafetysweden.com/contentassets/b37f0951c837443eb9661668d5be439e/stockholm-declaration-english.pdf</w:t>
      </w:r>
    </w:p>
    <w:p>
      <w:pPr>
        <w:pStyle w:val="footnote"/>
        <w:tabs>
          <w:tab w:val="left" w:pos="709"/>
        </w:tabs>
        <w:snapToGrid w:val="0"/>
      </w:pPr>
      <w:r>
        <w:rPr>
          <w:rStyle w:val="FootnoteReference"/>
        </w:rPr>
        <w:footnoteRef/>
      </w:r>
      <w:r>
        <w:t xml:space="preserve"> FLOW, 15 Quick Facts for Cities, </w:t>
      </w:r>
      <w:hyperlink r:id="rId59" w:history="1">
        <w:r>
          <w:rPr>
            <w:rStyle w:val="Hyperlink"/>
            <w:u w:val="none"/>
          </w:rPr>
          <w:t>http://h2020-flow.eu/fileadmin/user_upload/Deliverables/15_quick_facts_eng_FINAL.pdf</w:t>
        </w:r>
      </w:hyperlink>
      <w:r>
        <w:t xml:space="preserve"> </w:t>
      </w:r>
    </w:p>
    <w:p>
      <w:pPr>
        <w:pStyle w:val="footnote"/>
        <w:tabs>
          <w:tab w:val="left" w:pos="709"/>
        </w:tabs>
        <w:snapToGrid w:val="0"/>
      </w:pPr>
      <w:r>
        <w:rPr>
          <w:rStyle w:val="FootnoteReference"/>
        </w:rPr>
        <w:footnoteRef/>
      </w:r>
      <w:r>
        <w:t xml:space="preserve"> </w:t>
      </w:r>
      <w:hyperlink r:id="rId60" w:history="1">
        <w:r>
          <w:rPr>
            <w:rStyle w:val="Hyperlink"/>
            <w:u w:val="none"/>
          </w:rPr>
          <w:t>http://h2020-flow.eu/</w:t>
        </w:r>
      </w:hyperlink>
      <w:r>
        <w:t xml:space="preserve"> </w:t>
      </w:r>
    </w:p>
    <w:p>
      <w:pPr>
        <w:pStyle w:val="footnote"/>
        <w:tabs>
          <w:tab w:val="left" w:pos="709"/>
        </w:tabs>
        <w:snapToGrid w:val="0"/>
      </w:pPr>
      <w:r>
        <w:rPr>
          <w:rStyle w:val="FootnoteReference"/>
        </w:rPr>
        <w:footnoteRef/>
      </w:r>
      <w:r>
        <w:t xml:space="preserve"> While some effects can be relatively easily quantified and assessed within a cost-benefit analysis (CBA) framework, others are much more difficult, such as better quality of life. These benefits also vary based on the local conditions. The FLOW project captured the various benefits into a dedicated FLOW Impact Assessment Tool.    </w:t>
      </w:r>
      <w:hyperlink r:id="rId61" w:history="1">
        <w:r>
          <w:rPr>
            <w:rStyle w:val="Hyperlink"/>
            <w:u w:val="none"/>
          </w:rPr>
          <w:t>https://civitas.eu/tool-inventory/flow-impact-assessment-tool</w:t>
        </w:r>
      </w:hyperlink>
    </w:p>
  </w:footnote>
  <w:footnote w:id="304">
    <w:p>
      <w:pPr>
        <w:pStyle w:val="FootnoteText"/>
        <w:tabs>
          <w:tab w:val="left" w:pos="709"/>
        </w:tabs>
        <w:spacing w:after="0" w:line="240" w:lineRule="auto"/>
        <w:ind w:left="0" w:firstLine="0"/>
        <w:rPr>
          <w:sz w:val="16"/>
          <w:szCs w:val="16"/>
        </w:rPr>
      </w:pPr>
      <w:hyperlink r:id="rId62" w:history="1">
        <w:r>
          <w:rPr>
            <w:rStyle w:val="Hyperlink"/>
            <w:szCs w:val="16"/>
            <w:u w:val="none"/>
          </w:rPr>
          <w:t>https://www.researchgate.net/publication/332710219_Evaluation_of_walking_level_health_and_economic_benefits_by_europe_health_economic_assessment_tool_for_walking_heat_-_for_walking</w:t>
        </w:r>
      </w:hyperlink>
      <w:r>
        <w:rPr>
          <w:sz w:val="16"/>
          <w:szCs w:val="16"/>
        </w:rPr>
        <w:t xml:space="preserve"> </w:t>
      </w:r>
    </w:p>
  </w:footnote>
  <w:footnote w:id="305">
    <w:p>
      <w:pPr>
        <w:pStyle w:val="footnote"/>
        <w:tabs>
          <w:tab w:val="left" w:pos="709"/>
        </w:tabs>
        <w:snapToGrid w:val="0"/>
      </w:pPr>
      <w:r>
        <w:rPr>
          <w:rStyle w:val="FootnoteReference"/>
        </w:rPr>
        <w:footnoteRef/>
      </w:r>
      <w:r>
        <w:t xml:space="preserve"> ECF, The benefits of cycling. https://ecf.com/what-we-do/cycling-economy/economic-benefits</w:t>
      </w:r>
    </w:p>
  </w:footnote>
  <w:footnote w:id="306">
    <w:p>
      <w:pPr>
        <w:pStyle w:val="FootnoteText"/>
        <w:tabs>
          <w:tab w:val="left" w:pos="709"/>
        </w:tabs>
        <w:snapToGrid w:val="0"/>
        <w:spacing w:after="0" w:line="240" w:lineRule="auto"/>
        <w:rPr>
          <w:sz w:val="16"/>
          <w:szCs w:val="16"/>
        </w:rPr>
      </w:pPr>
      <w:r>
        <w:rPr>
          <w:rStyle w:val="FootnoteReference"/>
          <w:sz w:val="16"/>
          <w:szCs w:val="16"/>
        </w:rPr>
        <w:footnoteRef/>
      </w:r>
      <w:r>
        <w:rPr>
          <w:sz w:val="16"/>
          <w:szCs w:val="16"/>
        </w:rPr>
        <w:t xml:space="preserve"> www.eurovelo.com</w:t>
      </w:r>
    </w:p>
  </w:footnote>
  <w:footnote w:id="307">
    <w:p>
      <w:pPr>
        <w:pStyle w:val="FootnoteText"/>
        <w:tabs>
          <w:tab w:val="left" w:pos="709"/>
        </w:tabs>
        <w:snapToGrid w:val="0"/>
        <w:spacing w:after="0" w:line="240" w:lineRule="auto"/>
        <w:rPr>
          <w:sz w:val="16"/>
          <w:szCs w:val="16"/>
        </w:rPr>
      </w:pPr>
      <w:r>
        <w:rPr>
          <w:rStyle w:val="FootnoteReference"/>
          <w:sz w:val="16"/>
          <w:szCs w:val="16"/>
        </w:rPr>
        <w:footnoteRef/>
      </w:r>
      <w:r>
        <w:rPr>
          <w:sz w:val="16"/>
          <w:szCs w:val="16"/>
        </w:rPr>
        <w:t xml:space="preserve"> Source: ECF</w:t>
      </w:r>
    </w:p>
  </w:footnote>
  <w:footnote w:id="308">
    <w:p>
      <w:pPr>
        <w:pStyle w:val="footnote"/>
        <w:tabs>
          <w:tab w:val="left" w:pos="709"/>
        </w:tabs>
        <w:snapToGrid w:val="0"/>
      </w:pPr>
      <w:r>
        <w:rPr>
          <w:rStyle w:val="FootnoteReference"/>
        </w:rPr>
        <w:footnoteRef/>
      </w:r>
      <w:r>
        <w:t xml:space="preserve"> An informal Transport Council held under the Luxembourg Presidency in 2015 recognised cycling as being a climate-friendly mode of transport. The Luxembourg declaration called for the Commission to take action to integrate cycling into multimodal transport policy, including smart mobility; develop an EU level strategic document on cycling; and set up a European focal point for cycling to serve as a one-stop-shop for relevant questions and facilitate exchange of best practices. http://www.eu2015lu.eu/en/actualites/communiques/2015/10/07-info-transports-declaration-velo/07-Info-Transport-Declaration-of-Luxembourg-on-Cycling-as-a-climate-friendly-Transport-Mode---2015-10-06.pdf At the 2016 Informal Meeting of EU Ministers responsible for Urban Matters Within the EU, the ‘Pact of Amsterdam’ was established and noted that cycling was one of the elements to be focused on in delivering sustainable and efficient urban mobility. https://ec.europa.eu/regional_policy/sources/policy/themes/urban-development/agenda/pact-of-amsterdam.pdf</w:t>
      </w:r>
    </w:p>
  </w:footnote>
  <w:footnote w:id="309">
    <w:p>
      <w:pPr>
        <w:pStyle w:val="footnote"/>
        <w:tabs>
          <w:tab w:val="left" w:pos="709"/>
        </w:tabs>
        <w:snapToGrid w:val="0"/>
      </w:pPr>
      <w:r>
        <w:rPr>
          <w:rStyle w:val="FootnoteReference"/>
        </w:rPr>
        <w:footnoteRef/>
      </w:r>
      <w:r>
        <w:t xml:space="preserve"> https://www.eu2018.at/latest-news/news/10-30-Graz-Declaration.html </w:t>
      </w:r>
    </w:p>
  </w:footnote>
  <w:footnote w:id="310">
    <w:p>
      <w:pPr>
        <w:pStyle w:val="footnote"/>
        <w:tabs>
          <w:tab w:val="left" w:pos="709"/>
        </w:tabs>
        <w:snapToGrid w:val="0"/>
      </w:pPr>
      <w:r>
        <w:rPr>
          <w:rStyle w:val="FootnoteReference"/>
        </w:rPr>
        <w:footnoteRef/>
      </w:r>
      <w:r>
        <w:t xml:space="preserve"> T</w:t>
      </w:r>
      <w:r>
        <w:rPr>
          <w:lang w:eastAsia="en-US"/>
        </w:rPr>
        <w:t>he European Cyclists’ Federation (ECF), supported by a number of other organisations, developed its own strategy and set of recommendations in 2017</w:t>
      </w:r>
    </w:p>
  </w:footnote>
  <w:footnote w:id="311">
    <w:p>
      <w:pPr>
        <w:pStyle w:val="FootnoteText"/>
        <w:tabs>
          <w:tab w:val="left" w:pos="709"/>
        </w:tabs>
        <w:snapToGrid w:val="0"/>
        <w:spacing w:after="0" w:line="240" w:lineRule="auto"/>
        <w:rPr>
          <w:sz w:val="16"/>
          <w:szCs w:val="16"/>
          <w:lang w:val="en-IE"/>
        </w:rPr>
      </w:pPr>
      <w:r>
        <w:rPr>
          <w:rStyle w:val="FootnoteReference"/>
          <w:sz w:val="16"/>
          <w:szCs w:val="16"/>
        </w:rPr>
        <w:footnoteRef/>
      </w:r>
      <w:r>
        <w:rPr>
          <w:sz w:val="16"/>
          <w:szCs w:val="16"/>
        </w:rPr>
        <w:t xml:space="preserve"> Poelman, H. Dijkstra, L. and Ackermans, L. (2020): How many people can you reach by public transport, bicycle or on foot in European Cities? Measuring urban accessibility for low-carbon modes. Regio Working Papers 01/2020.</w:t>
      </w:r>
    </w:p>
  </w:footnote>
  <w:footnote w:id="312">
    <w:p>
      <w:pPr>
        <w:pStyle w:val="footnote"/>
        <w:tabs>
          <w:tab w:val="left" w:pos="709"/>
        </w:tabs>
        <w:snapToGrid w:val="0"/>
        <w:rPr>
          <w:lang w:val="es-ES"/>
        </w:rPr>
      </w:pPr>
      <w:r>
        <w:rPr>
          <w:rStyle w:val="FootnoteReference"/>
        </w:rPr>
        <w:footnoteRef/>
      </w:r>
      <w:r>
        <w:rPr>
          <w:lang w:val="es-ES"/>
        </w:rPr>
        <w:t xml:space="preserve"> Special Eurobarometer 495 </w:t>
      </w:r>
    </w:p>
    <w:p>
      <w:pPr>
        <w:pStyle w:val="footnote"/>
        <w:tabs>
          <w:tab w:val="left" w:pos="709"/>
        </w:tabs>
        <w:snapToGrid w:val="0"/>
        <w:rPr>
          <w:lang w:val="es-ES"/>
        </w:rPr>
      </w:pPr>
      <w:r>
        <w:rPr>
          <w:lang w:val="es-ES"/>
        </w:rPr>
        <w:t>https://ec.europa.eu/commfrontoffice/publicopinion/index.cfm/survey/getsurveydetail/instruments/special/surveyky/2226</w:t>
      </w:r>
    </w:p>
  </w:footnote>
  <w:footnote w:id="313">
    <w:p>
      <w:pPr>
        <w:pStyle w:val="footnote"/>
        <w:tabs>
          <w:tab w:val="left" w:pos="709"/>
        </w:tabs>
        <w:snapToGrid w:val="0"/>
        <w:rPr>
          <w:lang w:val="es-ES"/>
        </w:rPr>
      </w:pPr>
      <w:r>
        <w:rPr>
          <w:rStyle w:val="FootnoteReference"/>
        </w:rPr>
        <w:footnoteRef/>
      </w:r>
      <w:r>
        <w:rPr>
          <w:lang w:val="es-ES"/>
        </w:rPr>
        <w:t xml:space="preserve"> https://ec.europa.eu/commfrontoffice/publicopinion/index.cfm/survey/getsurveydetail/instruments/special/surveyky/2226.</w:t>
      </w:r>
    </w:p>
  </w:footnote>
  <w:footnote w:id="314">
    <w:p>
      <w:pPr>
        <w:pStyle w:val="footnote"/>
        <w:tabs>
          <w:tab w:val="left" w:pos="709"/>
        </w:tabs>
        <w:snapToGrid w:val="0"/>
        <w:rPr>
          <w:lang w:val="es-ES"/>
        </w:rPr>
      </w:pPr>
      <w:r>
        <w:rPr>
          <w:rStyle w:val="FootnoteReference"/>
        </w:rPr>
        <w:footnoteRef/>
      </w:r>
      <w:r>
        <w:rPr>
          <w:lang w:val="es-ES"/>
        </w:rPr>
        <w:t xml:space="preserve"> https://ec.europa.eu/transport/themes/urban/cycling/guidance-cycling-projects-eu_en </w:t>
      </w:r>
    </w:p>
  </w:footnote>
  <w:footnote w:id="315">
    <w:p>
      <w:pPr>
        <w:pStyle w:val="footnote"/>
        <w:tabs>
          <w:tab w:val="left" w:pos="709"/>
        </w:tabs>
        <w:snapToGrid w:val="0"/>
        <w:rPr>
          <w:lang w:val="es-ES"/>
        </w:rPr>
      </w:pPr>
      <w:r>
        <w:rPr>
          <w:rStyle w:val="FootnoteReference"/>
        </w:rPr>
        <w:footnoteRef/>
      </w:r>
      <w:r>
        <w:rPr>
          <w:lang w:val="es-ES"/>
        </w:rPr>
        <w:t xml:space="preserve"> https://www.eltis.org/sites/default/files/supporting_and_encouraging_walking_in_sumps.pdf </w:t>
      </w:r>
    </w:p>
  </w:footnote>
  <w:footnote w:id="316">
    <w:p>
      <w:pPr>
        <w:pStyle w:val="footnote"/>
        <w:tabs>
          <w:tab w:val="left" w:pos="709"/>
        </w:tabs>
        <w:snapToGrid w:val="0"/>
        <w:rPr>
          <w:lang w:val="es-ES"/>
        </w:rPr>
      </w:pPr>
      <w:r>
        <w:rPr>
          <w:rStyle w:val="FootnoteReference"/>
        </w:rPr>
        <w:footnoteRef/>
      </w:r>
      <w:r>
        <w:rPr>
          <w:lang w:val="es-ES"/>
        </w:rPr>
        <w:t xml:space="preserve"> https://www.eltis.org/sites/default/files/supporting_and_encouraging_cycling_in_sumps.pdf </w:t>
      </w:r>
    </w:p>
  </w:footnote>
  <w:footnote w:id="317">
    <w:p>
      <w:pPr>
        <w:pStyle w:val="footnote"/>
        <w:tabs>
          <w:tab w:val="left" w:pos="709"/>
        </w:tabs>
        <w:snapToGrid w:val="0"/>
        <w:rPr>
          <w:lang w:val="es-ES"/>
        </w:rPr>
      </w:pPr>
      <w:r>
        <w:rPr>
          <w:rStyle w:val="FootnoteReference"/>
        </w:rPr>
        <w:footnoteRef/>
      </w:r>
      <w:r>
        <w:rPr>
          <w:lang w:val="es-ES"/>
        </w:rPr>
        <w:t xml:space="preserve"> https://www.eltis.org/sites/default/files/urban_road_safety_and_active_travel_in_sumps.pd_.pdf </w:t>
      </w:r>
    </w:p>
    <w:p>
      <w:pPr>
        <w:pStyle w:val="footnote"/>
        <w:tabs>
          <w:tab w:val="left" w:pos="709"/>
        </w:tabs>
        <w:snapToGrid w:val="0"/>
        <w:rPr>
          <w:lang w:eastAsia="en-US"/>
        </w:rPr>
      </w:pPr>
      <w:r>
        <w:rPr>
          <w:lang w:eastAsia="en-US"/>
        </w:rPr>
        <w:t xml:space="preserve">According to experts, efforts to improve facilities for cyclists in Paris are showing impressive results. The mayor’s office published statistics early 2020 showing that bicycle use in both the centre of Paris and the suburbs rose by 54% in one year following a considerable increase in cycle lanes, many of them separated from motorised traffic. That is still well below the total for car trips of 14.8 million, but car trips are down 5% since 2010. Research shows the most common reason for cycling is commuting by bike. That also explains why money has been invested in the so-called RER-V cycle network, which aims to expand cycle paths outside the ‘Péripherique’ Paris ring road so cycling to work is a viable option for people in the suburbs. </w:t>
      </w:r>
    </w:p>
    <w:p>
      <w:pPr>
        <w:pStyle w:val="footnote"/>
        <w:tabs>
          <w:tab w:val="left" w:pos="709"/>
        </w:tabs>
        <w:snapToGrid w:val="0"/>
      </w:pPr>
    </w:p>
  </w:footnote>
  <w:footnote w:id="318">
    <w:p>
      <w:pPr>
        <w:pStyle w:val="footnote"/>
        <w:tabs>
          <w:tab w:val="left" w:pos="709"/>
        </w:tabs>
        <w:snapToGrid w:val="0"/>
      </w:pPr>
      <w:r>
        <w:rPr>
          <w:rStyle w:val="FootnoteReference"/>
        </w:rPr>
        <w:footnoteRef/>
      </w:r>
      <w:r>
        <w:t xml:space="preserve"> https://ec.europa.eu/transport/road_safety/specialist/statistics_en</w:t>
      </w:r>
    </w:p>
  </w:footnote>
  <w:footnote w:id="319">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Alonso Raposo, M. (Ed.), Ciuffo, B. (Ed.), Alves Dies, P., Ardente, F., Aurambout, J-P., Baldini, G., Baranzelli, C., Blagoeva, D., Bobba, S., Braun, R., Cassio, L., Chawdhry, P., Christidis, P., Christodoulou, A., Corrado, S., Duboz, A., Duch Brown, N., Felici, S., Fernández Macías, E., Ferragut, J., Fulli, G., Galassi, M-C., Georgakaki, A., Gkoumas , K., Grosso, M., Gómez Vilchez, J., Hajdu, M., Iglesias, M., Julea, A., Krause, J., Kriston, A., Lavalle, C., Lonza, L., Lucas, A., Makridis, M., Marinopoulos, A., Marmier, A., Marques dos Santos, F., Martens, B., Mattas, K., Mathieux, F., Menzel, G., Minarini, F., Mondello, S., Moretto, P., Mortara, B., Navajas Cawood, E., Paffumi, E., Pasimeni, F., Pavel, C., Pekár, F., Pisoni, E., Raileanu, I-C., Sala, S., Saveyn, B., Scholz, H., Serra, N., Tamba, M., Thiel, C., Trentadue, G., Tecchio, P., Tsakalidis, A., Uihlein, A., van Balen, M., Vandecasteele, I., (2019). The future of road transport - Implications of automated, connected, low-carbon and shared mobility, EUR 29748 EN, Publications Office of the European Union, Luxembourg, ISBN 978-92-76-14318-5, doi: 10.2760/668964, JRC116644. https://ec.europa.eu/jrc/en/publication/eur-scientific-and-technical-research-reports/future-road-transport.</w:t>
      </w:r>
    </w:p>
  </w:footnote>
  <w:footnote w:id="320">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Poelman, H. Dijkstra, L. and Ackermans, L. (2020): How many people can you reach by public transport, bicycle or on foot in European Cities? Measuring urban accessibility for low-carbon modes. Regio Working Papers 01/2020.</w:t>
      </w:r>
    </w:p>
  </w:footnote>
  <w:footnote w:id="321">
    <w:p>
      <w:pPr>
        <w:pStyle w:val="FootnoteText"/>
        <w:tabs>
          <w:tab w:val="left" w:pos="709"/>
        </w:tabs>
        <w:snapToGrid w:val="0"/>
        <w:spacing w:after="0" w:line="240" w:lineRule="auto"/>
        <w:rPr>
          <w:sz w:val="16"/>
          <w:szCs w:val="16"/>
          <w:lang w:val="en-IE"/>
        </w:rPr>
      </w:pPr>
      <w:r>
        <w:rPr>
          <w:rStyle w:val="FootnoteReference"/>
          <w:sz w:val="16"/>
          <w:szCs w:val="16"/>
        </w:rPr>
        <w:footnoteRef/>
      </w:r>
      <w:r>
        <w:rPr>
          <w:sz w:val="16"/>
          <w:szCs w:val="16"/>
        </w:rPr>
        <w:t xml:space="preserve"> Ibid</w:t>
      </w:r>
      <w:r>
        <w:rPr>
          <w:sz w:val="16"/>
          <w:szCs w:val="16"/>
          <w:lang w:val="en-IE"/>
        </w:rPr>
        <w:t xml:space="preserve">. </w:t>
      </w:r>
    </w:p>
  </w:footnote>
  <w:footnote w:id="322">
    <w:p>
      <w:pPr>
        <w:pStyle w:val="FootnoteText"/>
        <w:tabs>
          <w:tab w:val="left" w:pos="709"/>
        </w:tabs>
        <w:snapToGrid w:val="0"/>
        <w:spacing w:after="0" w:line="240" w:lineRule="auto"/>
        <w:ind w:left="0" w:firstLine="0"/>
        <w:rPr>
          <w:sz w:val="16"/>
          <w:szCs w:val="16"/>
          <w:lang w:val="en-IE"/>
        </w:rPr>
      </w:pPr>
      <w:r>
        <w:rPr>
          <w:rStyle w:val="FootnoteReference"/>
          <w:sz w:val="16"/>
          <w:szCs w:val="16"/>
        </w:rPr>
        <w:footnoteRef/>
      </w:r>
      <w:r>
        <w:rPr>
          <w:sz w:val="16"/>
          <w:szCs w:val="16"/>
        </w:rPr>
        <w:t xml:space="preserve"> European Commission (2020), Report on the quality of life in European cities 2020, Publications Office of the European Union: Luxembourg.</w:t>
      </w:r>
    </w:p>
  </w:footnote>
  <w:footnote w:id="323">
    <w:p>
      <w:pPr>
        <w:pStyle w:val="FootnoteText"/>
        <w:tabs>
          <w:tab w:val="left" w:pos="709"/>
        </w:tabs>
        <w:snapToGrid w:val="0"/>
        <w:spacing w:after="0" w:line="240" w:lineRule="auto"/>
        <w:rPr>
          <w:sz w:val="16"/>
          <w:szCs w:val="16"/>
          <w:lang w:val="nl-BE"/>
        </w:rPr>
      </w:pPr>
      <w:r>
        <w:rPr>
          <w:rStyle w:val="FootnoteReference"/>
          <w:sz w:val="16"/>
          <w:szCs w:val="16"/>
        </w:rPr>
        <w:footnoteRef/>
      </w:r>
      <w:r>
        <w:rPr>
          <w:sz w:val="16"/>
          <w:szCs w:val="16"/>
          <w:lang w:val="nl-BE"/>
        </w:rPr>
        <w:t xml:space="preserve"> Ibid.</w:t>
      </w:r>
    </w:p>
  </w:footnote>
  <w:footnote w:id="324">
    <w:p>
      <w:pPr>
        <w:pStyle w:val="footnote"/>
        <w:tabs>
          <w:tab w:val="left" w:pos="709"/>
        </w:tabs>
        <w:snapToGrid w:val="0"/>
        <w:rPr>
          <w:lang w:val="nl-BE"/>
        </w:rPr>
      </w:pPr>
      <w:r>
        <w:rPr>
          <w:rStyle w:val="FootnoteReference"/>
        </w:rPr>
        <w:footnoteRef/>
      </w:r>
      <w:r>
        <w:rPr>
          <w:lang w:val="nl-BE"/>
        </w:rPr>
        <w:t xml:space="preserve"> UITP</w:t>
      </w:r>
    </w:p>
  </w:footnote>
  <w:footnote w:id="325">
    <w:p>
      <w:pPr>
        <w:pStyle w:val="footnote"/>
        <w:tabs>
          <w:tab w:val="left" w:pos="709"/>
        </w:tabs>
        <w:snapToGrid w:val="0"/>
        <w:rPr>
          <w:lang w:val="nl-BE"/>
        </w:rPr>
      </w:pPr>
      <w:r>
        <w:rPr>
          <w:rStyle w:val="FootnoteReference"/>
        </w:rPr>
        <w:footnoteRef/>
      </w:r>
      <w:r>
        <w:rPr>
          <w:lang w:val="nl-BE"/>
        </w:rPr>
        <w:t xml:space="preserve"> https://www.thelancet.com/journals/lanplh/article/PIIS2542-5196(20)30079-6/fulltext </w:t>
      </w:r>
    </w:p>
  </w:footnote>
  <w:footnote w:id="326">
    <w:p>
      <w:pPr>
        <w:pStyle w:val="footnote"/>
        <w:tabs>
          <w:tab w:val="left" w:pos="709"/>
        </w:tabs>
        <w:snapToGrid w:val="0"/>
        <w:rPr>
          <w:lang w:val="pt-PT"/>
        </w:rPr>
      </w:pPr>
      <w:r>
        <w:rPr>
          <w:rStyle w:val="FootnoteReference"/>
        </w:rPr>
        <w:footnoteRef/>
      </w:r>
      <w:r>
        <w:rPr>
          <w:lang w:val="pt-PT"/>
        </w:rPr>
        <w:t xml:space="preserve"> COM (2016/0356 final</w:t>
      </w:r>
    </w:p>
  </w:footnote>
  <w:footnote w:id="327">
    <w:p>
      <w:pPr>
        <w:pStyle w:val="footnote"/>
        <w:tabs>
          <w:tab w:val="left" w:pos="709"/>
        </w:tabs>
        <w:snapToGrid w:val="0"/>
      </w:pPr>
      <w:r>
        <w:rPr>
          <w:rStyle w:val="FootnoteReference"/>
        </w:rPr>
        <w:footnoteRef/>
      </w:r>
      <w:r>
        <w:rPr>
          <w:lang w:val="en-US"/>
        </w:rPr>
        <w:t xml:space="preserve"> </w:t>
      </w:r>
      <w:r>
        <w:rPr>
          <w:lang w:eastAsia="en-US"/>
        </w:rPr>
        <w:t>A dedicated topic guide in the context of SUMP was published in October 2019.</w:t>
      </w:r>
      <w:r>
        <w:rPr>
          <w:lang w:val="en-US"/>
        </w:rPr>
        <w:t xml:space="preserve"> </w:t>
      </w:r>
      <w:r>
        <w:t xml:space="preserve">https://www.eltis.org/sites/default/files/sustainable_urban_logistics_planning_0.pdf </w:t>
      </w:r>
    </w:p>
  </w:footnote>
  <w:footnote w:id="328">
    <w:p>
      <w:pPr>
        <w:pStyle w:val="FootnoteText"/>
        <w:tabs>
          <w:tab w:val="left" w:pos="709"/>
        </w:tabs>
        <w:spacing w:after="0" w:line="240" w:lineRule="auto"/>
        <w:rPr>
          <w:sz w:val="16"/>
          <w:szCs w:val="16"/>
          <w:lang w:val="fr-BE"/>
        </w:rPr>
      </w:pPr>
      <w:r>
        <w:rPr>
          <w:rStyle w:val="FootnoteReference"/>
          <w:sz w:val="16"/>
          <w:szCs w:val="16"/>
        </w:rPr>
        <w:footnoteRef/>
      </w:r>
      <w:r>
        <w:rPr>
          <w:sz w:val="16"/>
          <w:szCs w:val="16"/>
          <w:lang w:val="fr-BE"/>
        </w:rPr>
        <w:t xml:space="preserve"> Directive 2014/94/EU</w:t>
      </w:r>
    </w:p>
  </w:footnote>
  <w:footnote w:id="329">
    <w:p>
      <w:pPr>
        <w:pStyle w:val="FootnoteText"/>
        <w:tabs>
          <w:tab w:val="left" w:pos="709"/>
        </w:tabs>
        <w:spacing w:after="0" w:line="240" w:lineRule="auto"/>
        <w:rPr>
          <w:sz w:val="16"/>
          <w:szCs w:val="16"/>
          <w:lang w:val="fr-BE"/>
        </w:rPr>
      </w:pPr>
      <w:r>
        <w:rPr>
          <w:rStyle w:val="FootnoteReference"/>
          <w:sz w:val="16"/>
          <w:szCs w:val="16"/>
        </w:rPr>
        <w:footnoteRef/>
      </w:r>
      <w:r>
        <w:rPr>
          <w:sz w:val="16"/>
          <w:szCs w:val="16"/>
          <w:lang w:val="fr-BE"/>
        </w:rPr>
        <w:t xml:space="preserve"> Regulation (EU) 2019/631 and  Regulation (EU) 2019/1242</w:t>
      </w:r>
    </w:p>
  </w:footnote>
  <w:footnote w:id="330">
    <w:p>
      <w:pPr>
        <w:pStyle w:val="FootnoteText"/>
        <w:tabs>
          <w:tab w:val="left" w:pos="709"/>
        </w:tabs>
        <w:spacing w:after="0" w:line="240" w:lineRule="auto"/>
        <w:rPr>
          <w:sz w:val="16"/>
          <w:szCs w:val="16"/>
          <w:lang w:val="en-US"/>
        </w:rPr>
      </w:pPr>
      <w:r>
        <w:rPr>
          <w:rStyle w:val="FootnoteReference"/>
          <w:sz w:val="16"/>
          <w:szCs w:val="16"/>
        </w:rPr>
        <w:footnoteRef/>
      </w:r>
      <w:r>
        <w:rPr>
          <w:sz w:val="16"/>
          <w:szCs w:val="16"/>
          <w:lang w:val="en-US"/>
        </w:rPr>
        <w:t xml:space="preserve"> Directive 2009/33/EC</w:t>
      </w:r>
    </w:p>
  </w:footnote>
  <w:footnote w:id="331">
    <w:p>
      <w:pPr>
        <w:pStyle w:val="footnote"/>
        <w:tabs>
          <w:tab w:val="left" w:pos="709"/>
        </w:tabs>
        <w:snapToGrid w:val="0"/>
      </w:pPr>
      <w:r>
        <w:rPr>
          <w:rStyle w:val="FootnoteReference"/>
        </w:rPr>
        <w:footnoteRef/>
      </w:r>
      <w:r>
        <w:t xml:space="preserve"> </w:t>
      </w:r>
      <w:r>
        <w:rPr>
          <w:rStyle w:val="footnoteChar"/>
        </w:rPr>
        <w:t>The KoMoDo project in Berlin involved cargo bikes being used for the last-mile delivery of packages. 28,000 kilometres of journeys by vans have been avoided as a result. Districts are now putting the experience obtained here to use in similar projects. https://www.berlin.de/sen/uvk/en/traffic/transport-planning/cycling/</w:t>
      </w:r>
    </w:p>
  </w:footnote>
  <w:footnote w:id="332">
    <w:p>
      <w:pPr>
        <w:pStyle w:val="footnote"/>
        <w:tabs>
          <w:tab w:val="left" w:pos="709"/>
        </w:tabs>
        <w:snapToGrid w:val="0"/>
      </w:pPr>
      <w:r>
        <w:rPr>
          <w:rStyle w:val="FootnoteReference"/>
        </w:rPr>
        <w:footnoteRef/>
      </w:r>
      <w:r>
        <w:rPr>
          <w:lang w:val="fr-FR"/>
        </w:rPr>
        <w:t xml:space="preserve"> Source: European Commission (2020): EU Transport in Figures. </w:t>
      </w:r>
      <w:r>
        <w:t>Statistical Pocketbook 2020. Air and Sea: estimates; only domestic and intra-EU-28 transport. Road: national and international haulage performed by European drivers within the EU territory.</w:t>
      </w:r>
    </w:p>
  </w:footnote>
  <w:footnote w:id="333">
    <w:p>
      <w:pPr>
        <w:pStyle w:val="footnote"/>
        <w:tabs>
          <w:tab w:val="left" w:pos="709"/>
        </w:tabs>
        <w:snapToGrid w:val="0"/>
        <w:rPr>
          <w:lang w:val="en-US"/>
        </w:rPr>
      </w:pPr>
      <w:r>
        <w:rPr>
          <w:rStyle w:val="FootnoteReference"/>
        </w:rPr>
        <w:footnoteRef/>
      </w:r>
      <w:r>
        <w:rPr>
          <w:lang w:val="en-US"/>
        </w:rPr>
        <w:t xml:space="preserve"> Ibid.</w:t>
      </w:r>
    </w:p>
  </w:footnote>
  <w:footnote w:id="334">
    <w:p>
      <w:pPr>
        <w:pStyle w:val="FootnoteText"/>
        <w:tabs>
          <w:tab w:val="left" w:pos="709"/>
        </w:tabs>
        <w:spacing w:after="0" w:line="240" w:lineRule="auto"/>
        <w:rPr>
          <w:sz w:val="16"/>
          <w:szCs w:val="16"/>
          <w:lang w:val="en-IE"/>
        </w:rPr>
      </w:pPr>
      <w:r>
        <w:rPr>
          <w:rStyle w:val="FootnoteReference"/>
          <w:sz w:val="16"/>
          <w:szCs w:val="16"/>
        </w:rPr>
        <w:footnoteRef/>
      </w:r>
      <w:r>
        <w:rPr>
          <w:sz w:val="16"/>
          <w:szCs w:val="16"/>
        </w:rPr>
        <w:t xml:space="preserve"> </w:t>
      </w:r>
      <w:r>
        <w:rPr>
          <w:sz w:val="16"/>
          <w:szCs w:val="16"/>
          <w:lang w:val="en-IE"/>
        </w:rPr>
        <w:t>Based</w:t>
      </w:r>
      <w:r>
        <w:rPr>
          <w:sz w:val="16"/>
          <w:szCs w:val="16"/>
        </w:rPr>
        <w:t xml:space="preserve"> on Eurostat modal shares data, which includes passenger cars; trains; and motor coaches, buses and trolleys</w:t>
      </w:r>
    </w:p>
  </w:footnote>
  <w:footnote w:id="335">
    <w:p>
      <w:pPr>
        <w:pStyle w:val="footnote"/>
        <w:tabs>
          <w:tab w:val="left" w:pos="709"/>
        </w:tabs>
        <w:snapToGrid w:val="0"/>
        <w:rPr>
          <w:lang w:val="en-US"/>
        </w:rPr>
      </w:pPr>
      <w:r>
        <w:rPr>
          <w:rStyle w:val="FootnoteReference"/>
        </w:rPr>
        <w:footnoteRef/>
      </w:r>
      <w:r>
        <w:rPr>
          <w:lang w:val="en-US"/>
        </w:rPr>
        <w:t xml:space="preserve"> 2011 data for EU 27 as shown in    </w:t>
      </w:r>
    </w:p>
    <w:p>
      <w:pPr>
        <w:pStyle w:val="footnote"/>
        <w:tabs>
          <w:tab w:val="left" w:pos="709"/>
        </w:tabs>
        <w:snapToGrid w:val="0"/>
        <w:rPr>
          <w:lang w:val="en-US"/>
        </w:rPr>
      </w:pPr>
      <w:r>
        <w:t xml:space="preserve">COM(2019) 51 final </w:t>
      </w:r>
      <w:r>
        <w:rPr>
          <w:lang w:val="en-US"/>
        </w:rPr>
        <w:t>https://ec.europa.eu/transport/sites/transport/files/staff_working_document_-_6th_rmms_report.pdf</w:t>
      </w:r>
    </w:p>
  </w:footnote>
  <w:footnote w:id="336">
    <w:p>
      <w:pPr>
        <w:pStyle w:val="footnote"/>
        <w:tabs>
          <w:tab w:val="left" w:pos="709"/>
        </w:tabs>
        <w:snapToGrid w:val="0"/>
        <w:rPr>
          <w:lang w:val="en-US"/>
        </w:rPr>
      </w:pPr>
      <w:r>
        <w:rPr>
          <w:rStyle w:val="FootnoteReference"/>
        </w:rPr>
        <w:footnoteRef/>
      </w:r>
      <w:r>
        <w:rPr>
          <w:lang w:val="en-US"/>
        </w:rPr>
        <w:t xml:space="preserve"> https://ec.europa.eu/regional_policy/sources/docgener/work/032020_rail_transport_performance.pdf</w:t>
      </w:r>
      <w:r>
        <w:rPr>
          <w:rStyle w:val="Hyperlink"/>
          <w:lang w:val="en-US"/>
        </w:rPr>
        <w:t xml:space="preserve"> </w:t>
      </w:r>
    </w:p>
  </w:footnote>
  <w:footnote w:id="337">
    <w:p>
      <w:pPr>
        <w:pStyle w:val="footnote"/>
        <w:tabs>
          <w:tab w:val="left" w:pos="709"/>
        </w:tabs>
        <w:snapToGrid w:val="0"/>
      </w:pPr>
      <w:r>
        <w:rPr>
          <w:rStyle w:val="FootnoteReference"/>
        </w:rPr>
        <w:footnoteRef/>
      </w:r>
      <w:r>
        <w:t xml:space="preserve"> These issues will be discussed in depth in the sections that follow.</w:t>
      </w:r>
    </w:p>
  </w:footnote>
  <w:footnote w:id="338">
    <w:p>
      <w:pPr>
        <w:pStyle w:val="footnote"/>
        <w:tabs>
          <w:tab w:val="left" w:pos="709"/>
        </w:tabs>
        <w:snapToGrid w:val="0"/>
      </w:pPr>
      <w:r>
        <w:rPr>
          <w:rStyle w:val="FootnoteReference"/>
        </w:rPr>
        <w:footnoteRef/>
      </w:r>
      <w:r>
        <w:rPr>
          <w:lang w:val="en-US"/>
        </w:rPr>
        <w:t>Proposal for a Regulation of the European Parliament and of the Council amending Regulation (EC) No 1073/2009 on common rules for access to the international market for coach and bus services [COM(2017)647].</w:t>
      </w:r>
    </w:p>
  </w:footnote>
  <w:footnote w:id="339">
    <w:p>
      <w:pPr>
        <w:pStyle w:val="footnote"/>
        <w:tabs>
          <w:tab w:val="left" w:pos="709"/>
        </w:tabs>
        <w:snapToGrid w:val="0"/>
        <w:rPr>
          <w:lang w:val="en-IE"/>
        </w:rPr>
      </w:pPr>
      <w:r>
        <w:rPr>
          <w:rStyle w:val="FootnoteReference"/>
        </w:rPr>
        <w:footnoteRef/>
      </w:r>
      <w:r>
        <w:t xml:space="preserve"> PWC et al. (2015) Study on Single Wagonload Traffic in Europe – challenges, prospects and policy options. Final report, July 2015, https://ec.europa.eu/transport/sites/transport/files/2015-07-swl-final-report.pdf</w:t>
      </w:r>
    </w:p>
  </w:footnote>
  <w:footnote w:id="340">
    <w:p>
      <w:pPr>
        <w:pStyle w:val="footnote"/>
        <w:tabs>
          <w:tab w:val="left" w:pos="709"/>
        </w:tabs>
        <w:snapToGrid w:val="0"/>
      </w:pPr>
      <w:r>
        <w:rPr>
          <w:rStyle w:val="FootnoteReference"/>
        </w:rPr>
        <w:footnoteRef/>
      </w:r>
      <w:r>
        <w:t xml:space="preserve">  17.9 % rail ; 5.7% inland waterways; 4.4% pipelines. Source: European Commission (2020): EU Transport in Figures. Statistical Pocketbook 2020</w:t>
      </w:r>
    </w:p>
  </w:footnote>
  <w:footnote w:id="341">
    <w:p>
      <w:pPr>
        <w:pStyle w:val="footnote"/>
        <w:tabs>
          <w:tab w:val="left" w:pos="709"/>
        </w:tabs>
        <w:snapToGrid w:val="0"/>
      </w:pPr>
      <w:r>
        <w:rPr>
          <w:rStyle w:val="FootnoteReference"/>
        </w:rPr>
        <w:footnoteRef/>
      </w:r>
      <w:r>
        <w:t xml:space="preserve"> Figures do not include pipelines. https://ec.europa.eu/eurostat/statistics-explained/index.php?title=Freight_transport_statistics_-_modal_split</w:t>
      </w:r>
    </w:p>
  </w:footnote>
  <w:footnote w:id="342">
    <w:p>
      <w:pPr>
        <w:pStyle w:val="footnote"/>
        <w:tabs>
          <w:tab w:val="left" w:pos="709"/>
        </w:tabs>
        <w:snapToGrid w:val="0"/>
      </w:pPr>
      <w:r>
        <w:rPr>
          <w:rStyle w:val="FootnoteReference"/>
        </w:rPr>
        <w:footnoteRef/>
      </w:r>
      <w:r>
        <w:t xml:space="preserve"> TRT (2017) – Gathering additional data on EU combined transport – Final report</w:t>
      </w:r>
    </w:p>
  </w:footnote>
  <w:footnote w:id="343">
    <w:p>
      <w:pPr>
        <w:pStyle w:val="FootnoteText"/>
        <w:ind w:left="0" w:firstLine="0"/>
      </w:pPr>
      <w:r>
        <w:rPr>
          <w:rStyle w:val="FootnoteReference"/>
        </w:rPr>
        <w:footnoteRef/>
      </w:r>
      <w:r>
        <w:t xml:space="preserve"> </w:t>
      </w:r>
      <w:r>
        <w:rPr>
          <w:sz w:val="16"/>
          <w:szCs w:val="16"/>
        </w:rPr>
        <w:t>Commission Staff Working Document, Impact assessment, Accompanying the Proposal for a Directive of the European Parliament and of the Council amending Directive 92/106/EEC on the establishment of common rules for certain types of combined transport of goods between Member States, SWD(2017) 362 final</w:t>
      </w:r>
    </w:p>
  </w:footnote>
  <w:footnote w:id="344">
    <w:p>
      <w:pPr>
        <w:pStyle w:val="footnote"/>
        <w:tabs>
          <w:tab w:val="left" w:pos="709"/>
        </w:tabs>
        <w:snapToGrid w:val="0"/>
      </w:pPr>
      <w:r>
        <w:rPr>
          <w:rStyle w:val="FootnoteReference"/>
        </w:rPr>
        <w:footnoteRef/>
      </w:r>
      <w:r>
        <w:t xml:space="preserve"> Pastori et al. (2018) , Research for TRAN Committee – Modal shift in European transport: a way forward, European Parliament, Policy Department for Structural and Cohesion Policies, Brussels</w:t>
      </w:r>
    </w:p>
    <w:p>
      <w:pPr>
        <w:pStyle w:val="footnote"/>
        <w:tabs>
          <w:tab w:val="left" w:pos="709"/>
        </w:tabs>
        <w:snapToGrid w:val="0"/>
      </w:pPr>
      <w:r>
        <w:t>https://www.europarl.europa.eu/RegData/etudes/STUD/2018/629182/IPOL_STU(2018)629182_EN.pdf</w:t>
      </w:r>
    </w:p>
  </w:footnote>
  <w:footnote w:id="345">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Directive 2004/51/EC of the European Parliament and of the Council of 29 April 2004 amending Council Directive 91/440/EEC on the development of the Community's railways</w:t>
      </w:r>
      <w:hyperlink r:id="rId63" w:history="1"/>
    </w:p>
  </w:footnote>
  <w:footnote w:id="346">
    <w:p>
      <w:pPr>
        <w:pStyle w:val="FootnoteText"/>
        <w:ind w:left="0" w:firstLine="0"/>
      </w:pPr>
      <w:r>
        <w:rPr>
          <w:rStyle w:val="FootnoteReference"/>
        </w:rPr>
        <w:footnoteRef/>
      </w:r>
      <w:r>
        <w:t xml:space="preserve"> </w:t>
      </w:r>
      <w:r>
        <w:rPr>
          <w:sz w:val="16"/>
          <w:szCs w:val="16"/>
        </w:rPr>
        <w:t>COM(2020) 685 final Communication “upgrading the transport Green Lanes to keep the economy going during the COVID-19 pandemic resurgence”</w:t>
      </w:r>
    </w:p>
  </w:footnote>
  <w:footnote w:id="347">
    <w:p>
      <w:pPr>
        <w:pStyle w:val="footnote"/>
        <w:tabs>
          <w:tab w:val="left" w:pos="709"/>
        </w:tabs>
        <w:snapToGrid w:val="0"/>
      </w:pPr>
      <w:r>
        <w:rPr>
          <w:rStyle w:val="FootnoteReference"/>
        </w:rPr>
        <w:footnoteRef/>
      </w:r>
      <w:r>
        <w:t xml:space="preserve">https://www.railfreight.com/corridors/2018/04/22/economic-damage-of-rastatt-incident-2-2-billion-euros/ ; http://www.hupac.com/EN/Study-Rastatt-disruption-b26dcc00?MasterId=g1_3725 </w:t>
      </w:r>
    </w:p>
  </w:footnote>
  <w:footnote w:id="348">
    <w:p>
      <w:pPr>
        <w:pStyle w:val="footnote"/>
        <w:tabs>
          <w:tab w:val="left" w:pos="709"/>
        </w:tabs>
        <w:snapToGrid w:val="0"/>
      </w:pPr>
      <w:r>
        <w:rPr>
          <w:rStyle w:val="FootnoteReference"/>
        </w:rPr>
        <w:footnoteRef/>
      </w:r>
      <w:r>
        <w:t xml:space="preserve"> Regulation (EU) No 913/2010 of the European Parliament and of the Council of 22 September 2010 concerning a European rail network for competitive freight, OJ L 276, 20.10.2010, p. 22.</w:t>
      </w:r>
    </w:p>
  </w:footnote>
  <w:footnote w:id="349">
    <w:p>
      <w:pPr>
        <w:pStyle w:val="footnote"/>
        <w:tabs>
          <w:tab w:val="left" w:pos="709"/>
        </w:tabs>
        <w:snapToGrid w:val="0"/>
      </w:pPr>
      <w:r>
        <w:rPr>
          <w:rStyle w:val="FootnoteReference"/>
        </w:rPr>
        <w:footnoteRef/>
      </w:r>
      <w:r>
        <w:t xml:space="preserve"> Regulation (EU) No 913/2010 of the European Parliament and of the Council of 22 September 2010 concerning a European rail network for competitive freight, OJ L 276, 20.10.2010, p. 22.</w:t>
      </w:r>
    </w:p>
  </w:footnote>
  <w:footnote w:id="350">
    <w:p>
      <w:pPr>
        <w:pStyle w:val="footnote"/>
        <w:tabs>
          <w:tab w:val="left" w:pos="709"/>
        </w:tabs>
        <w:snapToGrid w:val="0"/>
      </w:pPr>
      <w:r>
        <w:rPr>
          <w:rStyle w:val="FootnoteReference"/>
        </w:rPr>
        <w:footnoteRef/>
      </w:r>
      <w:r>
        <w:t xml:space="preserve"> For instance, the user pays principle is enshrined in the Treaties (Article 191 paragraph 2). </w:t>
      </w:r>
    </w:p>
    <w:p>
      <w:pPr>
        <w:pStyle w:val="footnote"/>
        <w:tabs>
          <w:tab w:val="left" w:pos="709"/>
        </w:tabs>
        <w:snapToGrid w:val="0"/>
      </w:pPr>
      <w:r>
        <w:t xml:space="preserve">In its communication ‘Strategy for the internalisation of external costs’ (SEC(2008) 2207, accompanying COM(2008)435), the Commission has laid down a common methodology to charge all external costs across the whole transport sector. </w:t>
      </w:r>
    </w:p>
    <w:p>
      <w:pPr>
        <w:pStyle w:val="footnote"/>
        <w:tabs>
          <w:tab w:val="left" w:pos="709"/>
        </w:tabs>
        <w:snapToGrid w:val="0"/>
        <w:rPr>
          <w:noProof/>
        </w:rPr>
      </w:pPr>
      <w:r>
        <w:t>In the 2011 ‘White Paper Roadmap to a Single European Transport Area : Towards a competitive and resource efficient transport system’</w:t>
      </w:r>
      <w:r>
        <w:rPr>
          <w:i/>
          <w:iCs/>
          <w:noProof/>
        </w:rPr>
        <w:t xml:space="preserve">, </w:t>
      </w:r>
      <w:r>
        <w:rPr>
          <w:noProof/>
        </w:rPr>
        <w:t>the EC called for, i.a., “the full and mandatory internalisation of external costs for road and rail transport”</w:t>
      </w:r>
    </w:p>
    <w:p>
      <w:pPr>
        <w:pStyle w:val="footnote"/>
        <w:tabs>
          <w:tab w:val="left" w:pos="709"/>
        </w:tabs>
        <w:snapToGrid w:val="0"/>
      </w:pPr>
      <w:r>
        <w:rPr>
          <w:noProof/>
        </w:rPr>
        <w:t>A</w:t>
      </w:r>
      <w:r>
        <w:t>lso the Commission Communication of 2016 on ‘A European Strategy for Low-Emission Mobility’ emphasized the need for further action in applying the ‘polluter pays’ and ‘user pays’ principles</w:t>
      </w:r>
    </w:p>
    <w:p>
      <w:pPr>
        <w:pStyle w:val="footnote"/>
        <w:tabs>
          <w:tab w:val="left" w:pos="709"/>
        </w:tabs>
        <w:snapToGrid w:val="0"/>
      </w:pPr>
      <w:r>
        <w:t>More recently, in its “in-depth analysis in support of the commission communication COM(2018) 773” concerning the climate long-term strategy, the lack of internalisation is mentioned as one of the problems hindering the uptake of green technologies</w:t>
      </w:r>
    </w:p>
  </w:footnote>
  <w:footnote w:id="351">
    <w:p>
      <w:pPr>
        <w:pStyle w:val="footnote"/>
        <w:tabs>
          <w:tab w:val="left" w:pos="709"/>
        </w:tabs>
        <w:snapToGrid w:val="0"/>
      </w:pPr>
      <w:r>
        <w:rPr>
          <w:rStyle w:val="FootnoteReference"/>
        </w:rPr>
        <w:footnoteRef/>
      </w:r>
      <w:r>
        <w:t xml:space="preserve"> This implies excluding the fixed infrastructure costs from the analyses. It recognises that fixed infrastructure costs are sunk costs and that paying for these costs may result in (further) underutilisation of existing infrastructure (e.g. rail). </w:t>
      </w:r>
    </w:p>
  </w:footnote>
  <w:footnote w:id="352">
    <w:p>
      <w:pPr>
        <w:pStyle w:val="footnote"/>
        <w:tabs>
          <w:tab w:val="left" w:pos="709"/>
        </w:tabs>
        <w:snapToGrid w:val="0"/>
      </w:pPr>
      <w:r>
        <w:rPr>
          <w:rStyle w:val="FootnoteReference"/>
        </w:rPr>
        <w:footnoteRef/>
      </w:r>
      <w:r>
        <w:t xml:space="preserve"> “</w:t>
      </w:r>
      <w:r>
        <w:rPr>
          <w:lang w:val="en-US"/>
        </w:rPr>
        <w:t xml:space="preserve">Sustainable Transport Infrastructure Charging and Internalisation of Transport Externalities”, CE DELFT, 2019 </w:t>
      </w:r>
      <w:r>
        <w:rPr>
          <w:rFonts w:eastAsiaTheme="majorEastAsia"/>
        </w:rPr>
        <w:t>https://ec.europa.eu/transport/themes/sustainable-transport/internalisation-transport-external-costs_en</w:t>
      </w:r>
    </w:p>
  </w:footnote>
  <w:footnote w:id="353">
    <w:p>
      <w:pPr>
        <w:pStyle w:val="footnote"/>
        <w:tabs>
          <w:tab w:val="left" w:pos="709"/>
        </w:tabs>
        <w:snapToGrid w:val="0"/>
      </w:pPr>
      <w:r>
        <w:rPr>
          <w:rStyle w:val="FootnoteReference"/>
        </w:rPr>
        <w:footnoteRef/>
      </w:r>
      <w:r>
        <w:t xml:space="preserve"> Within each mode there may be specific segments where the cost coverage is higher than in other segments. For high speed trains for example, the current taxes and charges do cover all external and variable infrastructure costs, but not fixed costs of infrastructure. </w:t>
      </w:r>
    </w:p>
  </w:footnote>
  <w:footnote w:id="354">
    <w:p>
      <w:pPr>
        <w:pStyle w:val="footnote"/>
        <w:tabs>
          <w:tab w:val="left" w:pos="709"/>
        </w:tabs>
        <w:snapToGrid w:val="0"/>
      </w:pPr>
      <w:r>
        <w:rPr>
          <w:rStyle w:val="FootnoteReference"/>
        </w:rPr>
        <w:footnoteRef/>
      </w:r>
      <w:r>
        <w:t xml:space="preserve"> COM(2011) 169 final Proposal for a COUNCIL DIRECTIVE amending Directive 2003/96/EC restructuring the Community framework for the taxation of energy products and electricity</w:t>
      </w:r>
    </w:p>
  </w:footnote>
  <w:footnote w:id="355">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Member States that adopted, under their national legislation, CO2 taxes that are linked to fuel volumes have to respect the provisions under Articles 1(2) of Directive 2008/118 and 4(2) of Directive 2003/96.</w:t>
      </w:r>
    </w:p>
  </w:footnote>
  <w:footnote w:id="356">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According to Article 14 of the ETD, Member States must exempt from taxation energy products supplied for use as fuel for the purpose of air navigation other than in private pleasure-flying and energy products supplied for use as fuel for the purposes of navigation within Union waters (including fishing), other than private pleasure craft, and electricity produced on board a craft. Member States may limit the scope of the exemptions to international and intra-EU transport. In addition, where a Member State has entered into a bilateral agreement with another Member State, it may also waive the exemptions, in which case it may apply a level of taxation below the minimum level set out in the ETD.</w:t>
      </w:r>
    </w:p>
  </w:footnote>
  <w:footnote w:id="357">
    <w:p>
      <w:pPr>
        <w:pStyle w:val="footnote"/>
        <w:tabs>
          <w:tab w:val="left" w:pos="709"/>
        </w:tabs>
        <w:snapToGrid w:val="0"/>
      </w:pPr>
      <w:r>
        <w:rPr>
          <w:rStyle w:val="FootnoteReference"/>
        </w:rPr>
        <w:footnoteRef/>
      </w:r>
      <w:r>
        <w:t xml:space="preserve"> Composed of 44 countries, including the EU Member States. </w:t>
      </w:r>
    </w:p>
  </w:footnote>
  <w:footnote w:id="358">
    <w:p>
      <w:pPr>
        <w:pStyle w:val="footnote"/>
        <w:tabs>
          <w:tab w:val="left" w:pos="709"/>
        </w:tabs>
        <w:snapToGrid w:val="0"/>
      </w:pPr>
      <w:r>
        <w:rPr>
          <w:rStyle w:val="FootnoteReference"/>
        </w:rPr>
        <w:footnoteRef/>
      </w:r>
      <w:r>
        <w:t xml:space="preserve"> Fuel tankering is a practice whereby an aircraft carries more fuel than required for its flight in order to reduce or avoid refuelling at the destination airport.</w:t>
      </w:r>
    </w:p>
  </w:footnote>
  <w:footnote w:id="359">
    <w:p>
      <w:pPr>
        <w:pStyle w:val="footnote"/>
        <w:tabs>
          <w:tab w:val="left" w:pos="709"/>
        </w:tabs>
        <w:snapToGrid w:val="0"/>
        <w:rPr>
          <w:lang w:val="fr-FR"/>
        </w:rPr>
      </w:pPr>
      <w:r>
        <w:rPr>
          <w:rStyle w:val="FootnoteReference"/>
        </w:rPr>
        <w:footnoteRef/>
      </w:r>
      <w:r>
        <w:rPr>
          <w:lang w:val="fr-FR"/>
        </w:rPr>
        <w:t xml:space="preserve"> Source: https://www.eurocontrol.int/publication/fuel-tankering-european-skies-economic-benefits-and-environmental-impact</w:t>
      </w:r>
    </w:p>
  </w:footnote>
  <w:footnote w:id="360">
    <w:p>
      <w:pPr>
        <w:pStyle w:val="footnote"/>
        <w:tabs>
          <w:tab w:val="left" w:pos="709"/>
        </w:tabs>
        <w:snapToGrid w:val="0"/>
        <w:rPr>
          <w:lang w:val="fr-FR"/>
        </w:rPr>
      </w:pPr>
      <w:r>
        <w:rPr>
          <w:rStyle w:val="FootnoteReference"/>
        </w:rPr>
        <w:footnoteRef/>
      </w:r>
      <w:r>
        <w:rPr>
          <w:lang w:val="fr-FR"/>
        </w:rPr>
        <w:t xml:space="preserve"> Source : https://ec.europa.eu/clima/sites/clima/files/transport/shipping/docs/ghg_maritime_report_en.pdf</w:t>
      </w:r>
    </w:p>
  </w:footnote>
  <w:footnote w:id="361">
    <w:p>
      <w:pPr>
        <w:pStyle w:val="footnote"/>
        <w:tabs>
          <w:tab w:val="left" w:pos="709"/>
        </w:tabs>
        <w:snapToGrid w:val="0"/>
        <w:rPr>
          <w:lang w:val="fr-FR"/>
        </w:rPr>
      </w:pPr>
      <w:r>
        <w:rPr>
          <w:rStyle w:val="FootnoteReference"/>
        </w:rPr>
        <w:footnoteRef/>
      </w:r>
      <w:r>
        <w:rPr>
          <w:lang w:val="fr-FR"/>
        </w:rPr>
        <w:t xml:space="preserve"> Source : https://ec.europa.eu/clima/sites/clima/files/transport/shipping/docs/ghg_maritime_report_en.pdf</w:t>
      </w:r>
    </w:p>
  </w:footnote>
  <w:footnote w:id="362">
    <w:p>
      <w:pPr>
        <w:pStyle w:val="footnote"/>
        <w:tabs>
          <w:tab w:val="left" w:pos="709"/>
        </w:tabs>
        <w:snapToGrid w:val="0"/>
      </w:pPr>
      <w:r>
        <w:rPr>
          <w:rStyle w:val="FootnoteReference"/>
        </w:rPr>
        <w:footnoteRef/>
      </w:r>
      <w:r>
        <w:t>SEC(2011) 409 final Impact Assessment for Proposal for a COUNCIL DIRECTIVE amending Directive 2003/96/EC restructuring the Community framework for the taxation of energy products and electricity, Table 1 https://ec.europa.eu/smart-regulation/impact/ia_carried_out/docs/ia_2011/sec_2011_0409_en.pdf</w:t>
      </w:r>
    </w:p>
  </w:footnote>
  <w:footnote w:id="363">
    <w:p>
      <w:pPr>
        <w:pStyle w:val="footnote"/>
        <w:tabs>
          <w:tab w:val="left" w:pos="709"/>
        </w:tabs>
        <w:snapToGrid w:val="0"/>
      </w:pPr>
      <w:r>
        <w:rPr>
          <w:rStyle w:val="FootnoteReference"/>
        </w:rPr>
        <w:footnoteRef/>
      </w:r>
      <w:r>
        <w:t xml:space="preserve"> Including VAT, almost entirely coming from road users. Excluding VAT revenues amount to about EUR 170 billion. </w:t>
      </w:r>
      <w:r>
        <w:rPr>
          <w:lang w:val="en-IE"/>
        </w:rPr>
        <w:t>Source:</w:t>
      </w:r>
      <w:r>
        <w:t xml:space="preserve"> CE Delft, 2019: </w:t>
      </w:r>
      <w:r>
        <w:rPr>
          <w:lang w:val="en-IE"/>
        </w:rPr>
        <w:t>Transport taxes and charges in Europe</w:t>
      </w:r>
    </w:p>
  </w:footnote>
  <w:footnote w:id="364">
    <w:p>
      <w:pPr>
        <w:pStyle w:val="footnote"/>
        <w:tabs>
          <w:tab w:val="left" w:pos="709"/>
        </w:tabs>
        <w:snapToGrid w:val="0"/>
      </w:pPr>
      <w:r>
        <w:rPr>
          <w:rStyle w:val="FootnoteReference"/>
        </w:rPr>
        <w:footnoteRef/>
      </w:r>
      <w:r>
        <w:t xml:space="preserve"> European Environment Agency, European Union Aviation Safety Agency, Eurocontrol (2019): ‘European Aviation Environmental Report 2019’. https://ec.europa.eu/transport/sites/transport/files/2019-aviation-environmental-report.pdf </w:t>
      </w:r>
    </w:p>
  </w:footnote>
  <w:footnote w:id="365">
    <w:p>
      <w:pPr>
        <w:pStyle w:val="footnote"/>
        <w:tabs>
          <w:tab w:val="left" w:pos="709"/>
        </w:tabs>
        <w:snapToGrid w:val="0"/>
      </w:pPr>
      <w:r>
        <w:rPr>
          <w:rStyle w:val="FootnoteReference"/>
        </w:rPr>
        <w:footnoteRef/>
      </w:r>
      <w:r>
        <w:t xml:space="preserve"> </w:t>
      </w:r>
      <w:r>
        <w:rPr>
          <w:rStyle w:val="footnoteChar"/>
        </w:rPr>
        <w:t>COM(2020) 562 final</w:t>
      </w:r>
    </w:p>
  </w:footnote>
  <w:footnote w:id="366">
    <w:p>
      <w:pPr>
        <w:pStyle w:val="footnote"/>
        <w:tabs>
          <w:tab w:val="left" w:pos="709"/>
        </w:tabs>
        <w:snapToGrid w:val="0"/>
      </w:pPr>
      <w:r>
        <w:rPr>
          <w:rStyle w:val="FootnoteReference"/>
        </w:rPr>
        <w:footnoteRef/>
      </w:r>
      <w:r>
        <w:t xml:space="preserve"> CE Delft, 2019: Transport taxes and charges in Europe</w:t>
      </w:r>
    </w:p>
    <w:p>
      <w:pPr>
        <w:pStyle w:val="footnote"/>
        <w:tabs>
          <w:tab w:val="left" w:pos="709"/>
        </w:tabs>
        <w:snapToGrid w:val="0"/>
      </w:pPr>
      <w:r>
        <w:t>https://ec.europa.eu/transport/sites/transport/files/studies/transport-taxes-and-charges-in-europe-isbn-978-92-79-99561-3.pdf</w:t>
      </w:r>
    </w:p>
  </w:footnote>
  <w:footnote w:id="367">
    <w:p>
      <w:pPr>
        <w:pStyle w:val="footnote"/>
        <w:tabs>
          <w:tab w:val="left" w:pos="709"/>
        </w:tabs>
        <w:snapToGrid w:val="0"/>
      </w:pPr>
      <w:r>
        <w:rPr>
          <w:rStyle w:val="FootnoteReference"/>
        </w:rPr>
        <w:footnoteRef/>
      </w:r>
      <w:r>
        <w:t xml:space="preserve"> COM(2018) 20 final.</w:t>
      </w:r>
    </w:p>
  </w:footnote>
  <w:footnote w:id="368">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COM(2020) 312 final</w:t>
      </w:r>
    </w:p>
  </w:footnote>
  <w:footnote w:id="369">
    <w:p>
      <w:pPr>
        <w:pStyle w:val="footnote"/>
        <w:tabs>
          <w:tab w:val="left" w:pos="709"/>
        </w:tabs>
        <w:snapToGrid w:val="0"/>
      </w:pPr>
      <w:r>
        <w:rPr>
          <w:rStyle w:val="FootnoteReference"/>
        </w:rPr>
        <w:footnoteRef/>
      </w:r>
      <w:r>
        <w:t xml:space="preserve"> Directive 2012/34/EU of the European Parliament and of the Council of 21 November 2012 establishing a single European railway area (recast), OJ L343, 14.12.2012, p. 32.</w:t>
      </w:r>
    </w:p>
  </w:footnote>
  <w:footnote w:id="370">
    <w:p>
      <w:pPr>
        <w:pStyle w:val="footnote"/>
        <w:tabs>
          <w:tab w:val="left" w:pos="709"/>
        </w:tabs>
        <w:snapToGrid w:val="0"/>
      </w:pPr>
      <w:r>
        <w:rPr>
          <w:rStyle w:val="FootnoteReference"/>
        </w:rPr>
        <w:footnoteRef/>
      </w:r>
      <w:r>
        <w:t xml:space="preserve"> In addition, two specific implementing acts clarify the modalities for the calculation of the cost that is directly incurred as a result of operating the train service and for the application of the charging for the cost of noise effects. References.</w:t>
      </w:r>
    </w:p>
  </w:footnote>
  <w:footnote w:id="371">
    <w:p>
      <w:pPr>
        <w:pStyle w:val="footnote"/>
        <w:tabs>
          <w:tab w:val="left" w:pos="709"/>
        </w:tabs>
        <w:snapToGrid w:val="0"/>
      </w:pPr>
      <w:r>
        <w:rPr>
          <w:rStyle w:val="FootnoteReference"/>
        </w:rPr>
        <w:footnoteRef/>
      </w:r>
      <w:r>
        <w:t xml:space="preserve"> Sustainable Transport Infrastructure Charging and Internalisation of Transport Externalities: Main Findings, May 2019, Table 5, https://ec.europa.eu/transport/sites/transport/files/studies/internalisation-study-summary-isbn_978-92-76-03076-8.pdf</w:t>
      </w:r>
    </w:p>
  </w:footnote>
  <w:footnote w:id="372">
    <w:p>
      <w:pPr>
        <w:pStyle w:val="footnote"/>
        <w:tabs>
          <w:tab w:val="left" w:pos="709"/>
        </w:tabs>
        <w:snapToGrid w:val="0"/>
      </w:pPr>
      <w:r>
        <w:rPr>
          <w:rStyle w:val="FootnoteReference"/>
        </w:rPr>
        <w:footnoteRef/>
      </w:r>
      <w:r>
        <w:t xml:space="preserve"> COGEA for the European Commission: “Study on differentiated port infrastructure charges to promote environmentally friendly maritime transport activities and sustainable transportation”, June 2017: </w:t>
      </w:r>
      <w:hyperlink r:id="rId64" w:history="1">
        <w:r>
          <w:rPr>
            <w:rStyle w:val="Hyperlink"/>
            <w:u w:val="none"/>
          </w:rPr>
          <w:t>https://ec.europa.eu/transport/sites/transport/files/2017-06-differentiated-port-infrastructure-charges-report.pdf</w:t>
        </w:r>
      </w:hyperlink>
      <w:r>
        <w:t>.</w:t>
      </w:r>
    </w:p>
    <w:p>
      <w:pPr>
        <w:pStyle w:val="FootnoteText"/>
        <w:tabs>
          <w:tab w:val="left" w:pos="709"/>
        </w:tabs>
        <w:snapToGrid w:val="0"/>
        <w:spacing w:after="0" w:line="240" w:lineRule="auto"/>
        <w:rPr>
          <w:sz w:val="16"/>
          <w:szCs w:val="16"/>
        </w:rPr>
      </w:pPr>
    </w:p>
  </w:footnote>
  <w:footnote w:id="373">
    <w:p>
      <w:pPr>
        <w:pStyle w:val="footnote"/>
        <w:tabs>
          <w:tab w:val="left" w:pos="709"/>
        </w:tabs>
        <w:snapToGrid w:val="0"/>
      </w:pPr>
      <w:r>
        <w:rPr>
          <w:rStyle w:val="FootnoteReference"/>
        </w:rPr>
        <w:footnoteRef/>
      </w:r>
      <w:r>
        <w:t xml:space="preserve"> https://ec.europa.eu/transport/sites/transport/files/themes/strategies/studies/doc/2014-12-introduction-of-a-standardised-carbon-footprint-methodology.pdf</w:t>
      </w:r>
    </w:p>
  </w:footnote>
  <w:footnote w:id="374">
    <w:p>
      <w:pPr>
        <w:pStyle w:val="FootnoteText"/>
        <w:tabs>
          <w:tab w:val="left" w:pos="709"/>
        </w:tabs>
        <w:snapToGrid w:val="0"/>
        <w:spacing w:after="0" w:line="240" w:lineRule="auto"/>
        <w:rPr>
          <w:sz w:val="16"/>
          <w:szCs w:val="16"/>
        </w:rPr>
      </w:pPr>
      <w:r>
        <w:rPr>
          <w:rStyle w:val="FootnoteReference"/>
          <w:sz w:val="16"/>
          <w:szCs w:val="16"/>
        </w:rPr>
        <w:footnoteRef/>
      </w:r>
      <w:r>
        <w:rPr>
          <w:sz w:val="16"/>
          <w:szCs w:val="16"/>
        </w:rPr>
        <w:tab/>
        <w:t xml:space="preserve">Such as Product Environmental Footprint and Organisation Environmental Footprint rules, </w:t>
      </w:r>
      <w:hyperlink r:id="rId65" w:history="1">
        <w:r>
          <w:rPr>
            <w:sz w:val="16"/>
            <w:szCs w:val="16"/>
          </w:rPr>
          <w:t>https://ec.europa.eu/environment/eussd/smgp/</w:t>
        </w:r>
      </w:hyperlink>
    </w:p>
  </w:footnote>
  <w:footnote w:id="375">
    <w:p>
      <w:pPr>
        <w:pStyle w:val="footnote"/>
        <w:tabs>
          <w:tab w:val="left" w:pos="709"/>
        </w:tabs>
        <w:snapToGrid w:val="0"/>
        <w:rPr>
          <w:lang w:val="es-ES"/>
        </w:rPr>
      </w:pPr>
      <w:r>
        <w:rPr>
          <w:rStyle w:val="FootnoteReference"/>
        </w:rPr>
        <w:footnoteRef/>
      </w:r>
      <w:r>
        <w:rPr>
          <w:lang w:val="es-ES"/>
        </w:rPr>
        <w:t xml:space="preserve"> Special Eurobarometer 495.</w:t>
      </w:r>
    </w:p>
    <w:p>
      <w:pPr>
        <w:pStyle w:val="footnote"/>
        <w:tabs>
          <w:tab w:val="left" w:pos="709"/>
        </w:tabs>
        <w:snapToGrid w:val="0"/>
        <w:rPr>
          <w:lang w:val="es-ES"/>
        </w:rPr>
      </w:pPr>
      <w:r>
        <w:rPr>
          <w:lang w:val="es-ES"/>
        </w:rPr>
        <w:t>https://ec.europa.eu/commfrontoffice/publicopinion/index.cfm/survey/getsurveydetail/instruments/special/surveyky/2226</w:t>
      </w:r>
    </w:p>
  </w:footnote>
  <w:footnote w:id="376">
    <w:p>
      <w:pPr>
        <w:pStyle w:val="footnote"/>
        <w:tabs>
          <w:tab w:val="left" w:pos="709"/>
        </w:tabs>
        <w:snapToGrid w:val="0"/>
      </w:pPr>
      <w:r>
        <w:rPr>
          <w:rStyle w:val="FootnoteReference"/>
        </w:rPr>
        <w:footnoteRef/>
      </w:r>
      <w:r>
        <w:t xml:space="preserve"> OIA Global is a non-asset-based supply chain provider managing customer’s transportation, packaging design and optimization, and raw materials sourcing. OIA Global calculates and reports its own and also customers emissions by using a standardised CO2 accounting method. As a supply chain provider with packaging optimization expertise, OIA Global optimized the space used to transport shoes for a global footwear retailer. In 2016, this retailer was able to ship 48% more units per m3, resulting in $1.24 million reduced transport costs and 43% lower CO2 emissions, or 152 grams per pair of shoes. </w:t>
      </w:r>
    </w:p>
    <w:p>
      <w:pPr>
        <w:pStyle w:val="footnote"/>
        <w:tabs>
          <w:tab w:val="left" w:pos="709"/>
        </w:tabs>
        <w:snapToGrid w:val="0"/>
      </w:pPr>
      <w:r>
        <w:t xml:space="preserve">FM Logistic is a family-owned independent logistics company, which also uses methodology to calculate carbon footprint from its activities. FM Logistics set the interim targets for 2022, including 20% reduction of the warehousing carbon footprint compared to 2018. </w:t>
      </w:r>
    </w:p>
    <w:p>
      <w:pPr>
        <w:pStyle w:val="footnote"/>
        <w:tabs>
          <w:tab w:val="left" w:pos="709"/>
        </w:tabs>
        <w:snapToGrid w:val="0"/>
      </w:pPr>
      <w:r>
        <w:t>LENOVO, one of the global technology leaders, supports a 2050 reduction target of 40-70% for transport and transhipment emissions compared to 2018/19. Subcontracting reduction targets, pending final approval, are 25% CO2e per tonne-km of transported product by 2029/30 from a 2018/19 baseline.</w:t>
      </w:r>
    </w:p>
  </w:footnote>
  <w:footnote w:id="377">
    <w:p>
      <w:pPr>
        <w:pStyle w:val="footnote"/>
        <w:tabs>
          <w:tab w:val="left" w:pos="709"/>
        </w:tabs>
        <w:snapToGrid w:val="0"/>
      </w:pPr>
      <w:r>
        <w:rPr>
          <w:rStyle w:val="FootnoteReference"/>
        </w:rPr>
        <w:footnoteRef/>
      </w:r>
      <w:r>
        <w:t xml:space="preserve"> A recent study noted that “An investigation conducted in Sweden (Ericsson et al., 2006) found that 46% of trips based on the spontaneous route choice of the traveller were not the most eco-friendly. Fuel consumption on such trips could be reduced by 8.2% if the most eco-friendly route was chosen. Similarly, Ahn and Rakha (2013) reported that fuel savings over networks range between 3.3% and 9.3% when compared to typical travel time minimization routing strategies.</w:t>
      </w:r>
    </w:p>
    <w:p>
      <w:pPr>
        <w:pStyle w:val="footnote"/>
        <w:tabs>
          <w:tab w:val="left" w:pos="709"/>
        </w:tabs>
        <w:snapToGrid w:val="0"/>
      </w:pPr>
      <w:r>
        <w:t>Zeng et al. 2020. Eco-routing problem considering fuel consumption and probabilistic travel time budget, Transportation Research Part D: Transport and Environment, Volume 78, January 2020, 102219</w:t>
      </w:r>
    </w:p>
  </w:footnote>
  <w:footnote w:id="378">
    <w:p>
      <w:pPr>
        <w:pStyle w:val="FootnoteText"/>
        <w:spacing w:after="0" w:line="240" w:lineRule="auto"/>
        <w:ind w:left="0" w:firstLine="0"/>
        <w:rPr>
          <w:sz w:val="16"/>
        </w:rPr>
      </w:pPr>
      <w:r>
        <w:rPr>
          <w:rStyle w:val="FootnoteReference"/>
        </w:rPr>
        <w:footnoteRef/>
      </w:r>
      <w:r>
        <w:t xml:space="preserve"> </w:t>
      </w:r>
      <w:r>
        <w:rPr>
          <w:sz w:val="16"/>
        </w:rPr>
        <w:t xml:space="preserve">As part of the informal agreement with the European Year of Rail 2021 , the Commission is asked to consider launching a study on the feasibility of creating a European label to promote goods and products transported by rail. </w:t>
      </w:r>
    </w:p>
    <w:p>
      <w:pPr>
        <w:pStyle w:val="FootnoteText"/>
        <w:spacing w:after="0" w:line="240" w:lineRule="auto"/>
        <w:ind w:left="0" w:firstLine="0"/>
      </w:pPr>
      <w:r>
        <w:rPr>
          <w:sz w:val="16"/>
        </w:rPr>
        <w:t>https://www.consilium.europa.eu/en/press/press-releases/2020/11/12/european-year-of-rail-2021-informal-agreement-with-the-european-parliament/</w:t>
      </w:r>
    </w:p>
  </w:footnote>
  <w:footnote w:id="379">
    <w:p>
      <w:pPr>
        <w:pStyle w:val="footnote"/>
        <w:tabs>
          <w:tab w:val="left" w:pos="709"/>
        </w:tabs>
        <w:snapToGrid w:val="0"/>
      </w:pPr>
      <w:r>
        <w:rPr>
          <w:rStyle w:val="FootnoteReference"/>
        </w:rPr>
        <w:footnoteRef/>
      </w:r>
      <w:r>
        <w:t xml:space="preserve"> Regulation (EC) No 1222/2009 first introduced the obligation of placing car and van tyres on the EU market with a sticker showing the label. That regulation has been reviewed and will be replaced by Regulation (EU) 2020/740 from 1 May 2021 onwards, when new requirements will start applying. Under the new regulation, bus and truck tyres will also be covered.</w:t>
      </w:r>
    </w:p>
  </w:footnote>
  <w:footnote w:id="380">
    <w:p>
      <w:pPr>
        <w:pStyle w:val="FootnoteText"/>
        <w:tabs>
          <w:tab w:val="left" w:pos="709"/>
        </w:tabs>
        <w:snapToGrid w:val="0"/>
        <w:spacing w:after="0" w:line="240" w:lineRule="auto"/>
        <w:ind w:left="0" w:firstLine="0"/>
        <w:rPr>
          <w:sz w:val="16"/>
          <w:szCs w:val="16"/>
          <w:lang w:val="fr-BE"/>
        </w:rPr>
      </w:pPr>
      <w:r>
        <w:rPr>
          <w:rStyle w:val="FootnoteReference"/>
          <w:sz w:val="16"/>
          <w:szCs w:val="16"/>
        </w:rPr>
        <w:footnoteRef/>
      </w:r>
      <w:r>
        <w:rPr>
          <w:sz w:val="16"/>
          <w:szCs w:val="16"/>
        </w:rPr>
        <w:t xml:space="preserve"> </w:t>
      </w:r>
      <w:r>
        <w:rPr>
          <w:rStyle w:val="Footnote1Char"/>
          <w:rFonts w:ascii="Times New Roman" w:hAnsi="Times New Roman" w:cs="Times New Roman"/>
          <w:sz w:val="16"/>
          <w:szCs w:val="16"/>
        </w:rPr>
        <w:t xml:space="preserve">In 2016, the European tyre industry committed to further reduce the rolling resistance coefficient of truck tyres by 1% per year until 2030. </w:t>
      </w:r>
      <w:r>
        <w:rPr>
          <w:rStyle w:val="Footnote1Char"/>
          <w:rFonts w:ascii="Times New Roman" w:hAnsi="Times New Roman" w:cs="Times New Roman"/>
          <w:sz w:val="16"/>
          <w:szCs w:val="16"/>
          <w:lang w:val="fr-BE"/>
        </w:rPr>
        <w:t>Source: ETRma</w:t>
      </w:r>
    </w:p>
  </w:footnote>
  <w:footnote w:id="381">
    <w:p>
      <w:pPr>
        <w:pStyle w:val="FootnoteText"/>
        <w:tabs>
          <w:tab w:val="left" w:pos="709"/>
        </w:tabs>
        <w:spacing w:after="0" w:line="240" w:lineRule="auto"/>
        <w:rPr>
          <w:sz w:val="16"/>
          <w:szCs w:val="16"/>
          <w:lang w:val="fr-BE"/>
        </w:rPr>
      </w:pPr>
      <w:r>
        <w:rPr>
          <w:rStyle w:val="FootnoteReference"/>
          <w:sz w:val="16"/>
          <w:szCs w:val="16"/>
        </w:rPr>
        <w:footnoteRef/>
      </w:r>
      <w:r>
        <w:rPr>
          <w:sz w:val="16"/>
          <w:szCs w:val="16"/>
          <w:lang w:val="fr-BE"/>
        </w:rPr>
        <w:t xml:space="preserve"> C(2017) 3525 final </w:t>
      </w:r>
    </w:p>
  </w:footnote>
  <w:footnote w:id="382">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lang w:val="fr-BE"/>
        </w:rPr>
        <w:t xml:space="preserve">Fontaras, G., Ciuffo, B., Zacharof, N., Tsiakmakis, S., Marotta, A., Pavlovic, J., Anagnostopoulos, K., 2017. </w:t>
      </w:r>
      <w:r>
        <w:rPr>
          <w:sz w:val="16"/>
          <w:szCs w:val="16"/>
        </w:rPr>
        <w:t xml:space="preserve">The difference between reported and real-world CO2 emissions: How much improvement can be expected by WLTP introduction? Transportation Research Procedia, World Conference on Transport Research - WCTR 2016 Shanghai. 10-15 July 2016 25, 3933–3943. https://doi.org/10.1016/j.trpro.2017.05.333 </w:t>
      </w:r>
    </w:p>
  </w:footnote>
  <w:footnote w:id="383">
    <w:p>
      <w:pPr>
        <w:pStyle w:val="FootnoteText"/>
        <w:tabs>
          <w:tab w:val="left" w:pos="709"/>
        </w:tabs>
        <w:snapToGrid w:val="0"/>
        <w:spacing w:after="0" w:line="240" w:lineRule="auto"/>
        <w:ind w:left="0" w:firstLine="0"/>
        <w:rPr>
          <w:sz w:val="16"/>
          <w:szCs w:val="16"/>
          <w:lang w:val="en-US"/>
        </w:rPr>
      </w:pPr>
      <w:r>
        <w:rPr>
          <w:rStyle w:val="FootnoteReference"/>
          <w:sz w:val="16"/>
          <w:szCs w:val="16"/>
        </w:rPr>
        <w:footnoteRef/>
      </w:r>
      <w:r>
        <w:rPr>
          <w:sz w:val="16"/>
          <w:szCs w:val="16"/>
        </w:rPr>
        <w:t xml:space="preserve"> Pavlovic J, Fontaras G, Broekaert S, Ciuffo B, Ktistakis M, Grigoratos T (2020) How accurately can we measure vehicle fuel consumption in real world operation? Transportation Research Part D: Transport and Environment., 2021. </w:t>
      </w:r>
    </w:p>
  </w:footnote>
  <w:footnote w:id="384">
    <w:p>
      <w:pPr>
        <w:pStyle w:val="footnote"/>
        <w:tabs>
          <w:tab w:val="left" w:pos="709"/>
        </w:tabs>
        <w:snapToGrid w:val="0"/>
      </w:pPr>
      <w:r>
        <w:rPr>
          <w:rStyle w:val="FootnoteReference"/>
        </w:rPr>
        <w:footnoteRef/>
      </w:r>
      <w:r>
        <w:t xml:space="preserve"> https://mobilityweek.eu</w:t>
      </w:r>
    </w:p>
  </w:footnote>
  <w:footnote w:id="385">
    <w:p>
      <w:pPr>
        <w:pStyle w:val="footnote"/>
        <w:tabs>
          <w:tab w:val="left" w:pos="709"/>
        </w:tabs>
        <w:snapToGrid w:val="0"/>
        <w:rPr>
          <w:lang w:eastAsia="en-US"/>
        </w:rPr>
      </w:pPr>
      <w:r>
        <w:rPr>
          <w:rStyle w:val="FootnoteReference"/>
        </w:rPr>
        <w:footnoteRef/>
      </w:r>
      <w:r>
        <w:t xml:space="preserve"> </w:t>
      </w:r>
      <w:r>
        <w:rPr>
          <w:lang w:eastAsia="en-US"/>
        </w:rPr>
        <w:t xml:space="preserve">The </w:t>
      </w:r>
      <w:r>
        <w:t>following</w:t>
      </w:r>
      <w:r>
        <w:rPr>
          <w:lang w:eastAsia="en-US"/>
        </w:rPr>
        <w:t xml:space="preserve"> examples of registered Mobility Actions can be invoked in this context: </w:t>
      </w:r>
    </w:p>
    <w:p>
      <w:pPr>
        <w:pStyle w:val="footnote"/>
        <w:tabs>
          <w:tab w:val="left" w:pos="709"/>
        </w:tabs>
        <w:snapToGrid w:val="0"/>
        <w:rPr>
          <w:lang w:eastAsia="en-US"/>
        </w:rPr>
      </w:pPr>
      <w:r>
        <w:rPr>
          <w:lang w:eastAsia="en-US"/>
        </w:rPr>
        <w:t xml:space="preserve">Decathlon is organising a commuting competition among all staff in the country (around 11,000 people) </w:t>
      </w:r>
      <w:r>
        <w:t>with the aim of boosting sustainable mobility by collecting "sustainable kilometres”.</w:t>
      </w:r>
      <w:r>
        <w:rPr>
          <w:lang w:eastAsia="en-US"/>
        </w:rPr>
        <w:t xml:space="preserve">   https://mobilityweek.eu/registered-actions/?action_uid=TqYZQxSf</w:t>
      </w:r>
    </w:p>
    <w:p>
      <w:pPr>
        <w:pStyle w:val="footnote"/>
        <w:tabs>
          <w:tab w:val="left" w:pos="709"/>
        </w:tabs>
        <w:snapToGrid w:val="0"/>
        <w:rPr>
          <w:lang w:eastAsia="en-US"/>
        </w:rPr>
      </w:pPr>
      <w:r>
        <w:t xml:space="preserve">First self driving shuttle in Luxembourg, set-up to </w:t>
      </w:r>
      <w:r>
        <w:rPr>
          <w:lang w:val="en-US"/>
        </w:rPr>
        <w:t>solve last mile problems between an</w:t>
      </w:r>
      <w:r>
        <w:t xml:space="preserve"> office building and the train station</w:t>
      </w:r>
      <w:r>
        <w:rPr>
          <w:lang w:val="en-US"/>
        </w:rPr>
        <w:t xml:space="preserve"> among employees at Campus Contern, Luxembourg </w:t>
      </w:r>
      <w:r>
        <w:rPr>
          <w:rStyle w:val="FootnoteReference"/>
          <w:vertAlign w:val="baseline"/>
          <w:lang w:val="en-US"/>
        </w:rPr>
        <w:t>https://mobilityweek.eu/registered-actions/?action_uid=tKDkH0xg</w:t>
      </w:r>
    </w:p>
    <w:p>
      <w:pPr>
        <w:pStyle w:val="footnote"/>
        <w:tabs>
          <w:tab w:val="left" w:pos="709"/>
        </w:tabs>
        <w:snapToGrid w:val="0"/>
        <w:rPr>
          <w:lang w:eastAsia="en-US"/>
        </w:rPr>
      </w:pPr>
      <w:r>
        <w:rPr>
          <w:lang w:eastAsia="en-US"/>
        </w:rPr>
        <w:t xml:space="preserve">Navantia is implementing an annual programme of incentives </w:t>
      </w:r>
      <w:r>
        <w:t>together with Ciclogreen to encourage its employees to travel environmentally friendly to work on a daily basis; walking, biking, car sharing or using public transportation is rewarded with an incentive; https://mobilityweek.eu/registered-actions/?action_uid=mCRuJeWw</w:t>
      </w:r>
    </w:p>
    <w:p>
      <w:pPr>
        <w:pStyle w:val="footnote"/>
        <w:tabs>
          <w:tab w:val="left" w:pos="709"/>
        </w:tabs>
        <w:snapToGrid w:val="0"/>
        <w:rPr>
          <w:lang w:eastAsia="en-US"/>
        </w:rPr>
      </w:pPr>
      <w:r>
        <w:t>The Regional Inspectorate of Environment and Water in Plovdiv (Bulgaria) organised a literary competition under the theme "Walk to the end of the city”, with participants submitting a piece of literature that explores the theme.</w:t>
      </w:r>
    </w:p>
    <w:p>
      <w:pPr>
        <w:pStyle w:val="footnote"/>
        <w:tabs>
          <w:tab w:val="left" w:pos="709"/>
        </w:tabs>
        <w:snapToGrid w:val="0"/>
        <w:rPr>
          <w:lang w:eastAsia="en-US"/>
        </w:rPr>
      </w:pPr>
      <w:r>
        <w:t xml:space="preserve">https://mobilityweek.eu/action-in-the-spotlight/literature-competition/ </w:t>
      </w:r>
    </w:p>
    <w:p>
      <w:pPr>
        <w:pStyle w:val="footnote"/>
        <w:tabs>
          <w:tab w:val="left" w:pos="709"/>
        </w:tabs>
        <w:snapToGrid w:val="0"/>
        <w:rPr>
          <w:lang w:eastAsia="en-US"/>
        </w:rPr>
      </w:pPr>
      <w:r>
        <w:t>Scoala Gimnazială</w:t>
      </w:r>
      <w:r>
        <w:rPr>
          <w:lang w:eastAsia="en-US"/>
        </w:rPr>
        <w:t xml:space="preserve"> (</w:t>
      </w:r>
      <w:r>
        <w:t>City of Baia Mare, Romania</w:t>
      </w:r>
      <w:r>
        <w:rPr>
          <w:lang w:eastAsia="en-US"/>
        </w:rPr>
        <w:t xml:space="preserve">) organises a competition for its </w:t>
      </w:r>
      <w:r>
        <w:t>students who will ‘design attractive posters regarding the bike routes in the city, to be posted in central places frequented by a lot of people’ https://mobilityweek.eu/registered-actions/?country=RO&amp;action_uid=2T3XbT9P</w:t>
      </w:r>
    </w:p>
    <w:p>
      <w:pPr>
        <w:pStyle w:val="footnote"/>
        <w:tabs>
          <w:tab w:val="left" w:pos="709"/>
        </w:tabs>
        <w:snapToGrid w:val="0"/>
      </w:pPr>
    </w:p>
  </w:footnote>
  <w:footnote w:id="386">
    <w:p>
      <w:pPr>
        <w:pStyle w:val="footnote"/>
        <w:tabs>
          <w:tab w:val="left" w:pos="709"/>
        </w:tabs>
        <w:snapToGrid w:val="0"/>
      </w:pPr>
      <w:r>
        <w:rPr>
          <w:rStyle w:val="FootnoteReference"/>
        </w:rPr>
        <w:footnoteRef/>
      </w:r>
      <w:r>
        <w:t xml:space="preserve"> “</w:t>
      </w:r>
      <w:hyperlink r:id="rId66" w:history="1">
        <w:r>
          <w:rPr>
            <w:rStyle w:val="Hyperlink"/>
            <w:u w:val="none"/>
            <w:lang w:eastAsia="en-US"/>
          </w:rPr>
          <w:t>Remaining</w:t>
        </w:r>
        <w:r>
          <w:rPr>
            <w:rStyle w:val="Hyperlink"/>
            <w:u w:val="none"/>
          </w:rPr>
          <w:t xml:space="preserve"> challenges for EU-wide integrated ticketing and payment systems</w:t>
        </w:r>
      </w:hyperlink>
      <w:r>
        <w:t xml:space="preserve">”, </w:t>
      </w:r>
      <w:hyperlink r:id="rId67" w:history="1">
        <w:r>
          <w:rPr>
            <w:rStyle w:val="Hyperlink"/>
            <w:u w:val="none"/>
          </w:rPr>
          <w:t>European Commission</w:t>
        </w:r>
      </w:hyperlink>
      <w:r>
        <w:t xml:space="preserve">, </w:t>
      </w:r>
      <w:hyperlink r:id="rId68" w:history="1">
        <w:r>
          <w:rPr>
            <w:rStyle w:val="Hyperlink"/>
            <w:u w:val="none"/>
          </w:rPr>
          <w:t>Grimaldi Studio Legale</w:t>
        </w:r>
      </w:hyperlink>
      <w:r>
        <w:t xml:space="preserve">, </w:t>
      </w:r>
      <w:hyperlink r:id="rId69" w:history="1">
        <w:r>
          <w:rPr>
            <w:rStyle w:val="Hyperlink"/>
            <w:u w:val="none"/>
          </w:rPr>
          <w:t>VVA</w:t>
        </w:r>
      </w:hyperlink>
      <w:r>
        <w:t xml:space="preserve">, </w:t>
      </w:r>
      <w:hyperlink r:id="rId70" w:history="1">
        <w:r>
          <w:rPr>
            <w:rStyle w:val="Hyperlink"/>
            <w:u w:val="none"/>
          </w:rPr>
          <w:t>Wavestone</w:t>
        </w:r>
      </w:hyperlink>
      <w:r>
        <w:t>, 2019</w:t>
      </w:r>
    </w:p>
  </w:footnote>
  <w:footnote w:id="387">
    <w:p>
      <w:pPr>
        <w:pStyle w:val="footnote"/>
        <w:tabs>
          <w:tab w:val="left" w:pos="709"/>
        </w:tabs>
        <w:snapToGrid w:val="0"/>
      </w:pPr>
      <w:r>
        <w:rPr>
          <w:rStyle w:val="FootnoteReference"/>
        </w:rPr>
        <w:footnoteRef/>
      </w:r>
      <w:r>
        <w:t xml:space="preserve"> https://ec.europa.eu/transport/modes/rail/interoperability/interoperability/telematic_applications_en</w:t>
      </w:r>
    </w:p>
  </w:footnote>
  <w:footnote w:id="388">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https://www.consilium.europa.eu/en/press/press-releases/2020/10/21/improved-rail-passenger-rights-council-approves-the-informal-deal/ </w:t>
      </w:r>
    </w:p>
  </w:footnote>
  <w:footnote w:id="389">
    <w:p>
      <w:pPr>
        <w:pStyle w:val="footnote"/>
        <w:tabs>
          <w:tab w:val="left" w:pos="709"/>
        </w:tabs>
        <w:snapToGrid w:val="0"/>
      </w:pPr>
      <w:r>
        <w:rPr>
          <w:rStyle w:val="FootnoteReference"/>
        </w:rPr>
        <w:footnoteRef/>
      </w:r>
      <w:r>
        <w:t xml:space="preserve">Bundeskartellamt: </w:t>
      </w:r>
      <w:hyperlink r:id="rId71" w:history="1">
        <w:r>
          <w:rPr>
            <w:rStyle w:val="Hyperlink"/>
            <w:u w:val="none"/>
          </w:rPr>
          <w:t>https://www.bundeskartellamt.de/SharedDocs/Meldung/EN/Meldungen%20News%20Karussell/2019/28_11_2019_DB_Mobilität.html;jsessionid=78C82035F037E081EDD1C18249A94842.1_cid362</w:t>
        </w:r>
      </w:hyperlink>
      <w:r>
        <w:t xml:space="preserve">; </w:t>
      </w:r>
      <w:r>
        <w:br/>
        <w:t xml:space="preserve">Swedish Competition Authority: </w:t>
      </w:r>
      <w:hyperlink r:id="rId72" w:history="1">
        <w:r>
          <w:rPr>
            <w:rStyle w:val="Hyperlink"/>
            <w:u w:val="none"/>
          </w:rPr>
          <w:t>www.konkurrensverket.se/globalassets/konkurrens/beslut/18-0230-och-18-0380-beslut.pdf</w:t>
        </w:r>
      </w:hyperlink>
    </w:p>
  </w:footnote>
  <w:footnote w:id="390">
    <w:p>
      <w:pPr>
        <w:pStyle w:val="footnote"/>
        <w:tabs>
          <w:tab w:val="left" w:pos="709"/>
        </w:tabs>
        <w:snapToGrid w:val="0"/>
      </w:pPr>
      <w:r>
        <w:rPr>
          <w:rStyle w:val="FootnoteReference"/>
        </w:rPr>
        <w:footnoteRef/>
      </w:r>
      <w:r>
        <w:t xml:space="preserve"> Council Regulation (EEC) No 2299/89 of 24 July 1989 on a code of conduct for computerised reservation systems, OJ 1989 L 220, p. 1.</w:t>
      </w:r>
    </w:p>
  </w:footnote>
  <w:footnote w:id="391">
    <w:p>
      <w:pPr>
        <w:pStyle w:val="footnote"/>
        <w:tabs>
          <w:tab w:val="left" w:pos="709"/>
        </w:tabs>
        <w:snapToGrid w:val="0"/>
      </w:pPr>
      <w:r>
        <w:rPr>
          <w:rStyle w:val="FootnoteReference"/>
        </w:rPr>
        <w:footnoteRef/>
      </w:r>
      <w:r>
        <w:t xml:space="preserve"> </w:t>
      </w:r>
      <w:r>
        <w:rPr>
          <w:shd w:val="clear" w:color="auto" w:fill="FFFFFF"/>
        </w:rPr>
        <w:t>Regulation (EC) 80/2009 on Air Ticket Distribution and on a Code of Conduct for Computerised Reservation Systems and repealing Council Regulation (EEC) No 2299/89, OJ L 35, 4.2.2009, p. 47.</w:t>
      </w:r>
    </w:p>
  </w:footnote>
  <w:footnote w:id="392">
    <w:p>
      <w:pPr>
        <w:pStyle w:val="footnote"/>
        <w:tabs>
          <w:tab w:val="left" w:pos="709"/>
        </w:tabs>
        <w:snapToGrid w:val="0"/>
      </w:pPr>
      <w:r>
        <w:rPr>
          <w:rStyle w:val="FootnoteReference"/>
        </w:rPr>
        <w:footnoteRef/>
      </w:r>
      <w:r>
        <w:t xml:space="preserve"> SWD(2020) 9 final</w:t>
      </w:r>
    </w:p>
  </w:footnote>
  <w:footnote w:id="393">
    <w:p>
      <w:pPr>
        <w:pStyle w:val="footnote"/>
        <w:tabs>
          <w:tab w:val="left" w:pos="709"/>
        </w:tabs>
        <w:snapToGrid w:val="0"/>
      </w:pPr>
      <w:r>
        <w:rPr>
          <w:rStyle w:val="FootnoteReference"/>
        </w:rPr>
        <w:footnoteRef/>
      </w:r>
      <w:r>
        <w:t xml:space="preserve"> The Commission is currently carrying out an evaluation of Directive 2006/126/EC on driving licences, which introduced a standard format for all driving licences issued in the EU and standardised administrative validity periods.</w:t>
      </w:r>
    </w:p>
  </w:footnote>
  <w:footnote w:id="394">
    <w:p>
      <w:pPr>
        <w:pStyle w:val="footnote"/>
        <w:tabs>
          <w:tab w:val="left" w:pos="709"/>
        </w:tabs>
        <w:snapToGrid w:val="0"/>
        <w:rPr>
          <w:lang w:val="es-ES"/>
        </w:rPr>
      </w:pPr>
      <w:r>
        <w:rPr>
          <w:rStyle w:val="FootnoteReference"/>
        </w:rPr>
        <w:footnoteRef/>
      </w:r>
      <w:r>
        <w:rPr>
          <w:lang w:val="es-ES"/>
        </w:rPr>
        <w:t xml:space="preserve"> Special Eurobarometer 495.</w:t>
      </w:r>
    </w:p>
    <w:p>
      <w:pPr>
        <w:pStyle w:val="footnote"/>
        <w:tabs>
          <w:tab w:val="left" w:pos="709"/>
        </w:tabs>
        <w:snapToGrid w:val="0"/>
        <w:rPr>
          <w:lang w:val="es-ES"/>
        </w:rPr>
      </w:pPr>
      <w:r>
        <w:rPr>
          <w:lang w:val="es-ES"/>
        </w:rPr>
        <w:t xml:space="preserve">https://ec.europa.eu/commfrontoffice/publicopinion/index.cfm/Survey/getSurveyDetail/search/495/surveyKy/2226 </w:t>
      </w:r>
    </w:p>
  </w:footnote>
  <w:footnote w:id="395">
    <w:p>
      <w:pPr>
        <w:pStyle w:val="footnote"/>
        <w:tabs>
          <w:tab w:val="left" w:pos="709"/>
        </w:tabs>
        <w:snapToGrid w:val="0"/>
      </w:pPr>
      <w:r>
        <w:rPr>
          <w:rStyle w:val="FootnoteReference"/>
        </w:rPr>
        <w:footnoteRef/>
      </w:r>
      <w:r>
        <w:rPr>
          <w:lang w:val="en-IE"/>
        </w:rPr>
        <w:t xml:space="preserve"> SWD (2016) 244 final. </w:t>
      </w:r>
      <w:r>
        <w:t xml:space="preserve">According to the EU Reference scenario 2016, based on PRIMES-TREMOVE model developed by the National Technical University of Athens (ICCS-E3MLab).    </w:t>
      </w:r>
    </w:p>
  </w:footnote>
  <w:footnote w:id="396">
    <w:p>
      <w:pPr>
        <w:pStyle w:val="footnote"/>
        <w:tabs>
          <w:tab w:val="left" w:pos="709"/>
        </w:tabs>
        <w:snapToGrid w:val="0"/>
      </w:pPr>
      <w:r>
        <w:rPr>
          <w:rStyle w:val="FootnoteReference"/>
        </w:rPr>
        <w:footnoteRef/>
      </w:r>
      <w:r>
        <w:t xml:space="preserve"> See for instance Transport and Environment, 201, 9Europe’s giant ‘taxi’ company: is Uber part of the problem or the solution?; and    Schaller Consulting, 2018, The New Automobility:    Lyft, Uber and the Future of    American Cities, </w:t>
      </w:r>
    </w:p>
  </w:footnote>
  <w:footnote w:id="397">
    <w:p>
      <w:pPr>
        <w:pStyle w:val="footnote"/>
        <w:tabs>
          <w:tab w:val="left" w:pos="709"/>
        </w:tabs>
        <w:snapToGrid w:val="0"/>
      </w:pPr>
      <w:r>
        <w:rPr>
          <w:rStyle w:val="FootnoteReference"/>
        </w:rPr>
        <w:footnoteRef/>
      </w:r>
      <w:r>
        <w:t xml:space="preserve"> Special Eurobarometer 495 on Mobility and Transport.</w:t>
      </w:r>
    </w:p>
    <w:p>
      <w:pPr>
        <w:pStyle w:val="footnote"/>
        <w:tabs>
          <w:tab w:val="left" w:pos="709"/>
        </w:tabs>
        <w:snapToGrid w:val="0"/>
      </w:pPr>
      <w:r>
        <w:t xml:space="preserve">https://ec.europa.eu/commfrontoffice/publicopinion/index.cfm/Survey/getSurveyDetail/search/495/surveyKy/2226 </w:t>
      </w:r>
    </w:p>
  </w:footnote>
  <w:footnote w:id="398">
    <w:p>
      <w:pPr>
        <w:pStyle w:val="footnote"/>
        <w:tabs>
          <w:tab w:val="left" w:pos="709"/>
        </w:tabs>
        <w:snapToGrid w:val="0"/>
        <w:jc w:val="left"/>
      </w:pPr>
      <w:r>
        <w:rPr>
          <w:rStyle w:val="FootnoteReference"/>
        </w:rPr>
        <w:footnoteRef/>
      </w:r>
      <w:r>
        <w:t xml:space="preserve"> Europe’s giant ‘taxi’ company: is Uber part of the problem or the solution?; Source: https://www.transportenvironment.org/sites/te/files/T%26E_Europe%20s%20giant%20taxi%20company%20is%20Uber%20part%20of%20the%20problem%20or%20the%20solut...%20%281%29.pdf</w:t>
      </w:r>
    </w:p>
  </w:footnote>
  <w:footnote w:id="399">
    <w:p>
      <w:pPr>
        <w:pStyle w:val="footnote"/>
        <w:tabs>
          <w:tab w:val="left" w:pos="709"/>
        </w:tabs>
        <w:snapToGrid w:val="0"/>
        <w:jc w:val="left"/>
      </w:pPr>
      <w:r>
        <w:rPr>
          <w:rStyle w:val="FootnoteReference"/>
        </w:rPr>
        <w:footnoteRef/>
      </w:r>
      <w:r>
        <w:t>Study on passenger transport by taxi, hire car with driver and ridesharing in the EU, 2016; https://ec.europa.eu/transport/sites/transport/files/2016-09-26-pax-transport-taxi-hirecar-w-driver-ridesharing-final-report.pdf</w:t>
      </w:r>
      <w:r>
        <w:rPr>
          <w:lang w:val="en-IE"/>
        </w:rPr>
        <w:t>.</w:t>
      </w:r>
    </w:p>
  </w:footnote>
  <w:footnote w:id="400">
    <w:p>
      <w:pPr>
        <w:pStyle w:val="footnote"/>
        <w:tabs>
          <w:tab w:val="left" w:pos="709"/>
        </w:tabs>
        <w:snapToGrid w:val="0"/>
      </w:pPr>
      <w:r>
        <w:rPr>
          <w:rStyle w:val="FootnoteReference"/>
        </w:rPr>
        <w:footnoteRef/>
      </w:r>
      <w:r>
        <w:t xml:space="preserve"> In particular the dedicated topical guides on integration of shared mobility approaches in SUMP, on Mobility as a Service (MaaS) and SUMP, and on the role of Intelligent Transport Systems (ITS) in SUMP: </w:t>
      </w:r>
      <w:hyperlink r:id="rId73" w:history="1">
        <w:r>
          <w:rPr>
            <w:rStyle w:val="Hyperlink"/>
            <w:u w:val="none"/>
          </w:rPr>
          <w:t>https://www.eltis.org/mobility-plans/topic-guides-0</w:t>
        </w:r>
      </w:hyperlink>
      <w:r>
        <w:t xml:space="preserve"> </w:t>
      </w:r>
    </w:p>
  </w:footnote>
  <w:footnote w:id="401">
    <w:p>
      <w:pPr>
        <w:pStyle w:val="footnote"/>
        <w:tabs>
          <w:tab w:val="left" w:pos="709"/>
        </w:tabs>
        <w:snapToGrid w:val="0"/>
      </w:pPr>
      <w:r>
        <w:rPr>
          <w:rStyle w:val="FootnoteReference"/>
        </w:rPr>
        <w:footnoteRef/>
      </w:r>
      <w:r>
        <w:t>Special Eurobarometer 496 on Expectations and concerns of connected and automated driving, April 2020; https://data.europa.eu/euodp/en/data/dataset/S2231_92_1_496_ENG</w:t>
      </w:r>
    </w:p>
  </w:footnote>
  <w:footnote w:id="402">
    <w:p>
      <w:pPr>
        <w:pStyle w:val="footnote"/>
        <w:tabs>
          <w:tab w:val="left" w:pos="709"/>
        </w:tabs>
        <w:snapToGrid w:val="0"/>
        <w:rPr>
          <w:lang w:val="es-ES"/>
        </w:rPr>
      </w:pPr>
      <w:r>
        <w:rPr>
          <w:rStyle w:val="FootnoteReference"/>
        </w:rPr>
        <w:footnoteRef/>
      </w:r>
      <w:r>
        <w:rPr>
          <w:lang w:val="es-ES"/>
        </w:rPr>
        <w:t xml:space="preserve"> Ibid.</w:t>
      </w:r>
    </w:p>
  </w:footnote>
  <w:footnote w:id="403">
    <w:p>
      <w:pPr>
        <w:pStyle w:val="FootnoteText"/>
        <w:tabs>
          <w:tab w:val="left" w:pos="709"/>
        </w:tabs>
        <w:snapToGrid w:val="0"/>
        <w:spacing w:after="0" w:line="240" w:lineRule="auto"/>
        <w:rPr>
          <w:sz w:val="16"/>
          <w:szCs w:val="16"/>
          <w:lang w:val="es-ES"/>
        </w:rPr>
      </w:pPr>
      <w:r>
        <w:rPr>
          <w:rStyle w:val="FootnoteReference"/>
          <w:sz w:val="16"/>
          <w:szCs w:val="16"/>
        </w:rPr>
        <w:footnoteRef/>
      </w:r>
      <w:r>
        <w:rPr>
          <w:sz w:val="16"/>
          <w:szCs w:val="16"/>
          <w:lang w:val="es-ES"/>
        </w:rPr>
        <w:t xml:space="preserve"> https://5g-ppp.eu/wp-content/uploads/2020/10/20201002_5G_SDA_for_CAM_Final.pdf</w:t>
      </w:r>
    </w:p>
  </w:footnote>
  <w:footnote w:id="404">
    <w:p>
      <w:pPr>
        <w:pStyle w:val="footnote"/>
        <w:tabs>
          <w:tab w:val="left" w:pos="709"/>
        </w:tabs>
        <w:snapToGrid w:val="0"/>
      </w:pPr>
      <w:r>
        <w:rPr>
          <w:rStyle w:val="FootnoteReference"/>
        </w:rPr>
        <w:footnoteRef/>
      </w:r>
      <w:r>
        <w:t xml:space="preserve"> See SWD [XXX], Impact Assessment accompanying the Proposal for a Council Regulation establishing the Joint Undertakings under Horizon Europe.    European Partnership for cooperative, connected and automated mobility </w:t>
      </w:r>
    </w:p>
  </w:footnote>
  <w:footnote w:id="405">
    <w:p>
      <w:pPr>
        <w:pStyle w:val="footnote"/>
        <w:tabs>
          <w:tab w:val="left" w:pos="709"/>
        </w:tabs>
        <w:snapToGrid w:val="0"/>
      </w:pPr>
      <w:r>
        <w:rPr>
          <w:rStyle w:val="FootnoteReference"/>
        </w:rPr>
        <w:footnoteRef/>
      </w:r>
      <w:r>
        <w:t xml:space="preserve"> The train is driven automatically, stopping is automated but a driver in the cab is required to start automatic driving of the train.</w:t>
      </w:r>
    </w:p>
  </w:footnote>
  <w:footnote w:id="406">
    <w:p>
      <w:pPr>
        <w:pStyle w:val="footnote"/>
        <w:tabs>
          <w:tab w:val="left" w:pos="709"/>
        </w:tabs>
        <w:snapToGrid w:val="0"/>
      </w:pPr>
      <w:r>
        <w:rPr>
          <w:rStyle w:val="FootnoteReference"/>
        </w:rPr>
        <w:footnoteRef/>
      </w:r>
      <w:r>
        <w:t xml:space="preserve"> The Airspace Architecture Study, carried out by the SESAR Joint Undertaking in collaboration with the Network Manager and released on 5 March 2019, defines how Europe’s airspace architecture should look in the medium- to long-term (2025-2035), and what practical steps would need to be taken to make it a reality. It is estimated that a reduction of nautical miles flown between 4 and 10 NM in 2030 and between 7 and 13 NM in 2035 per flight could be achieved. Considering the traffic forecast up to 2035 as projected before the outbreak of the COVID-19 pandemic, and linear increase in the reduction of nautical miles saved, the total benefit was estimated to be between 30 and 60 millions of tons of CO</w:t>
      </w:r>
      <w:r>
        <w:rPr>
          <w:vertAlign w:val="subscript"/>
        </w:rPr>
        <w:t>2</w:t>
      </w:r>
      <w:r>
        <w:t xml:space="preserve"> over the 2019-2035 time period. That implies optimising flight trajectories thanks to SESAR solutions such as free route airspace operations, airspace reorganisation and 4D trajectory management, which can alone generate between 240 and 450 kg savings of CO2 emissions on average per flight. Revised long-term traffic forecasts for post COVID-19 scenarios are not available at the time of writing this report. It can however be assumed that traffic will resume and pick up again until 2035 and some of this CO</w:t>
      </w:r>
      <w:r>
        <w:rPr>
          <w:vertAlign w:val="subscript"/>
        </w:rPr>
        <w:t>2</w:t>
      </w:r>
      <w:r>
        <w:t xml:space="preserve"> saving potential can be realised over this time frame.</w:t>
      </w:r>
    </w:p>
  </w:footnote>
  <w:footnote w:id="407">
    <w:p>
      <w:pPr>
        <w:pStyle w:val="footnote"/>
        <w:tabs>
          <w:tab w:val="left" w:pos="709"/>
        </w:tabs>
        <w:snapToGrid w:val="0"/>
      </w:pPr>
      <w:r>
        <w:rPr>
          <w:rStyle w:val="FootnoteReference"/>
        </w:rPr>
        <w:footnoteRef/>
      </w:r>
      <w:r>
        <w:t xml:space="preserve"> </w:t>
      </w:r>
      <w:r>
        <w:rPr>
          <w:lang w:eastAsia="en-US"/>
        </w:rPr>
        <w:t>It should be noted, however, that there are a number of reasons why the actual trajectory flown can vary from the unimpeded trajectory, and therefore 100% efficiency is not always achievable (e.g. due to adverse weather, avoidance of ‘Danger Areas’, need to maintain minimum separation).</w:t>
      </w:r>
    </w:p>
  </w:footnote>
  <w:footnote w:id="408">
    <w:p>
      <w:pPr>
        <w:pStyle w:val="footnote"/>
        <w:tabs>
          <w:tab w:val="left" w:pos="709"/>
        </w:tabs>
        <w:snapToGrid w:val="0"/>
      </w:pPr>
      <w:r>
        <w:rPr>
          <w:rStyle w:val="FootnoteReference"/>
        </w:rPr>
        <w:footnoteRef/>
      </w:r>
      <w:r>
        <w:rPr>
          <w:lang w:val="en-US"/>
        </w:rPr>
        <w:t xml:space="preserve"> https://ec.europa.eu/jrc/en/publication/last-mile-delivery-drones-estimation-viable-market-potential-and-access-citizens-across-european</w:t>
      </w:r>
    </w:p>
  </w:footnote>
  <w:footnote w:id="409">
    <w:p>
      <w:pPr>
        <w:pStyle w:val="footnote"/>
        <w:tabs>
          <w:tab w:val="left" w:pos="709"/>
        </w:tabs>
        <w:snapToGrid w:val="0"/>
      </w:pPr>
      <w:r>
        <w:rPr>
          <w:rStyle w:val="FootnoteReference"/>
        </w:rPr>
        <w:footnoteRef/>
      </w:r>
      <w:r>
        <w:t xml:space="preserve"> The majority (80%) of the time this delivery is not urgent and the Flemish Institute for Logistics has calculated that if three quarters of deliveries were done to picking-up points instead of home, the environmental cost would be reduced by 60 to 80%.</w:t>
      </w:r>
    </w:p>
  </w:footnote>
  <w:footnote w:id="410">
    <w:p>
      <w:pPr>
        <w:pStyle w:val="FootnoteText"/>
        <w:tabs>
          <w:tab w:val="left" w:pos="709"/>
        </w:tabs>
        <w:snapToGrid w:val="0"/>
        <w:spacing w:after="0" w:line="240" w:lineRule="auto"/>
        <w:rPr>
          <w:sz w:val="16"/>
          <w:szCs w:val="16"/>
        </w:rPr>
      </w:pPr>
      <w:r>
        <w:rPr>
          <w:rStyle w:val="FootnoteReference"/>
          <w:sz w:val="16"/>
          <w:szCs w:val="16"/>
        </w:rPr>
        <w:footnoteRef/>
      </w:r>
      <w:r>
        <w:rPr>
          <w:sz w:val="16"/>
          <w:szCs w:val="16"/>
        </w:rPr>
        <w:t xml:space="preserve"> https://www.autoship-project.eu/</w:t>
      </w:r>
    </w:p>
  </w:footnote>
  <w:footnote w:id="411">
    <w:p>
      <w:pPr>
        <w:pStyle w:val="footnote"/>
        <w:tabs>
          <w:tab w:val="left" w:pos="709"/>
        </w:tabs>
        <w:snapToGrid w:val="0"/>
      </w:pPr>
      <w:r>
        <w:rPr>
          <w:rStyle w:val="FootnoteReference"/>
        </w:rPr>
        <w:footnoteRef/>
      </w:r>
      <w:r>
        <w:t xml:space="preserve"> Directive 2002/59/EC of the European Parliament and of the Council of 27 June 2002 establishing a Community vessel traffic monitoring and information system and repealing Council Directive 93/75/EEC, OJ L 208, 5.8.2002, p. 10.</w:t>
      </w:r>
    </w:p>
  </w:footnote>
  <w:footnote w:id="412">
    <w:p>
      <w:pPr>
        <w:pStyle w:val="FootnoteText"/>
        <w:tabs>
          <w:tab w:val="left" w:pos="709"/>
        </w:tabs>
        <w:snapToGrid w:val="0"/>
        <w:spacing w:after="0" w:line="240" w:lineRule="auto"/>
        <w:rPr>
          <w:sz w:val="16"/>
          <w:szCs w:val="16"/>
        </w:rPr>
      </w:pPr>
      <w:r>
        <w:rPr>
          <w:rStyle w:val="FootnoteReference"/>
          <w:sz w:val="16"/>
          <w:szCs w:val="16"/>
        </w:rPr>
        <w:footnoteRef/>
      </w:r>
      <w:r>
        <w:rPr>
          <w:sz w:val="16"/>
          <w:szCs w:val="16"/>
        </w:rPr>
        <w:t xml:space="preserve"> https://op.europa.eu/en/publication-detail/-/publication/1f0e2c53-7ebe-11ea-aea8-01aa75ed71a1 </w:t>
      </w:r>
    </w:p>
  </w:footnote>
  <w:footnote w:id="413">
    <w:p>
      <w:pPr>
        <w:pStyle w:val="footnote"/>
        <w:tabs>
          <w:tab w:val="left" w:pos="709"/>
        </w:tabs>
        <w:snapToGrid w:val="0"/>
      </w:pPr>
      <w:r>
        <w:rPr>
          <w:rStyle w:val="FootnoteReference"/>
        </w:rPr>
        <w:footnoteRef/>
      </w:r>
      <w:r>
        <w:t xml:space="preserve"> STRIA roadmap on mobility service, 2019</w:t>
      </w:r>
    </w:p>
  </w:footnote>
  <w:footnote w:id="414">
    <w:p>
      <w:pPr>
        <w:pStyle w:val="footnote"/>
        <w:tabs>
          <w:tab w:val="left" w:pos="709"/>
        </w:tabs>
        <w:snapToGrid w:val="0"/>
      </w:pPr>
      <w:r>
        <w:rPr>
          <w:rStyle w:val="FootnoteReference"/>
        </w:rPr>
        <w:footnoteRef/>
      </w:r>
      <w:r>
        <w:t xml:space="preserve"> SWD(2020) 98 final </w:t>
      </w:r>
    </w:p>
  </w:footnote>
  <w:footnote w:id="415">
    <w:p>
      <w:pPr>
        <w:pStyle w:val="footnote"/>
        <w:tabs>
          <w:tab w:val="left" w:pos="709"/>
        </w:tabs>
        <w:snapToGrid w:val="0"/>
      </w:pPr>
      <w:r>
        <w:rPr>
          <w:rStyle w:val="FootnoteReference"/>
        </w:rPr>
        <w:footnoteRef/>
      </w:r>
      <w:r>
        <w:t xml:space="preserve"> Interim evaluation of Horizon 2020 (Commission Staff Working Document, SWD(2017)220 and 221)</w:t>
      </w:r>
    </w:p>
  </w:footnote>
  <w:footnote w:id="416">
    <w:p>
      <w:pPr>
        <w:pStyle w:val="footnote"/>
        <w:tabs>
          <w:tab w:val="left" w:pos="709"/>
        </w:tabs>
        <w:snapToGrid w:val="0"/>
      </w:pPr>
      <w:r>
        <w:rPr>
          <w:rStyle w:val="FootnoteReference"/>
        </w:rPr>
        <w:footnoteRef/>
      </w:r>
      <w:r>
        <w:t>Orientations towards the first Strategic Plan for Horizon Europe, Annex 7 (https://ec.europa.eu/info/sites/info/files/research_and_innovation/strategy_on_research_and_innovation/documents/ec_rtd_orientations-he-strategic-plan_122019.pdf)</w:t>
      </w:r>
    </w:p>
  </w:footnote>
  <w:footnote w:id="417">
    <w:p>
      <w:pPr>
        <w:pStyle w:val="footnote"/>
        <w:tabs>
          <w:tab w:val="left" w:pos="709"/>
        </w:tabs>
        <w:snapToGrid w:val="0"/>
      </w:pPr>
      <w:r>
        <w:rPr>
          <w:rStyle w:val="FootnoteReference"/>
        </w:rPr>
        <w:footnoteRef/>
      </w:r>
      <w:r>
        <w:t xml:space="preserve"> Interim evaluation of the Joint Undertakings operating under Horizon 2020 (Commission Staff Working Document, SWD(2017) 338) </w:t>
      </w:r>
    </w:p>
  </w:footnote>
  <w:footnote w:id="418">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w:t>
      </w:r>
      <w:hyperlink r:id="rId74" w:history="1">
        <w:r>
          <w:rPr>
            <w:rStyle w:val="Hyperlink"/>
            <w:szCs w:val="16"/>
            <w:u w:val="none"/>
          </w:rPr>
          <w:t>https://s3platform.jrc.ec.europa.eu/mobility</w:t>
        </w:r>
      </w:hyperlink>
    </w:p>
  </w:footnote>
  <w:footnote w:id="419">
    <w:p>
      <w:pPr>
        <w:pStyle w:val="FootnoteText"/>
        <w:spacing w:after="0" w:line="240" w:lineRule="auto"/>
        <w:ind w:left="0" w:firstLine="0"/>
        <w:jc w:val="left"/>
      </w:pPr>
      <w:r>
        <w:rPr>
          <w:rStyle w:val="FootnoteReference"/>
        </w:rPr>
        <w:footnoteRef/>
      </w:r>
      <w:r>
        <w:t xml:space="preserve"> </w:t>
      </w:r>
      <w:r>
        <w:rPr>
          <w:sz w:val="16"/>
          <w:szCs w:val="16"/>
        </w:rPr>
        <w:t xml:space="preserve">Another concept being considered is that of underground freight transport. </w:t>
      </w:r>
      <w:r>
        <w:t xml:space="preserve">https://www.admin.ch/gov/fr/accueil/documentation/communiques.msg-id-80871.html </w:t>
      </w:r>
    </w:p>
  </w:footnote>
  <w:footnote w:id="420">
    <w:p>
      <w:pPr>
        <w:pStyle w:val="footnote"/>
        <w:tabs>
          <w:tab w:val="left" w:pos="709"/>
        </w:tabs>
        <w:snapToGrid w:val="0"/>
      </w:pPr>
      <w:r>
        <w:rPr>
          <w:rStyle w:val="FootnoteReference"/>
        </w:rPr>
        <w:footnoteRef/>
      </w:r>
      <w:r>
        <w:t xml:space="preserve"> See e.g.: https://www.digitaltrends.com/cars/all-the-flying-cars-and-taxis-currently-in-development/</w:t>
      </w:r>
    </w:p>
  </w:footnote>
  <w:footnote w:id="421">
    <w:p>
      <w:pPr>
        <w:pStyle w:val="FootnoteText"/>
        <w:spacing w:after="0" w:line="240" w:lineRule="auto"/>
        <w:rPr>
          <w:color w:val="000000"/>
          <w:sz w:val="16"/>
          <w:szCs w:val="16"/>
          <w:shd w:val="clear" w:color="auto" w:fill="FFFFFF"/>
        </w:rPr>
      </w:pPr>
      <w:r>
        <w:rPr>
          <w:rStyle w:val="FootnoteReference"/>
        </w:rPr>
        <w:footnoteRef/>
      </w:r>
      <w:r>
        <w:t xml:space="preserve"> </w:t>
      </w:r>
      <w:r>
        <w:rPr>
          <w:color w:val="000000"/>
          <w:sz w:val="16"/>
          <w:szCs w:val="16"/>
          <w:shd w:val="clear" w:color="auto" w:fill="FFFFFF"/>
        </w:rPr>
        <w:t xml:space="preserve">https://joinup.ec.europa.eu/collection/nifo-national-interoperability-framework-observatory/eif-european-interoperability-framework-0 </w:t>
      </w:r>
    </w:p>
    <w:p>
      <w:pPr>
        <w:pStyle w:val="FootnoteText"/>
        <w:spacing w:after="0" w:line="240" w:lineRule="auto"/>
      </w:pPr>
      <w:r>
        <w:rPr>
          <w:color w:val="000000"/>
          <w:sz w:val="16"/>
          <w:szCs w:val="16"/>
          <w:shd w:val="clear" w:color="auto" w:fill="FFFFFF"/>
        </w:rPr>
        <w:t>https://ec.europa.eu/isa2/shaping-future-interoperability-policy_en</w:t>
      </w:r>
    </w:p>
  </w:footnote>
  <w:footnote w:id="422">
    <w:p>
      <w:pPr>
        <w:pStyle w:val="footnote"/>
        <w:tabs>
          <w:tab w:val="left" w:pos="709"/>
        </w:tabs>
        <w:snapToGrid w:val="0"/>
      </w:pPr>
      <w:r>
        <w:rPr>
          <w:rStyle w:val="FootnoteReference"/>
        </w:rPr>
        <w:footnoteRef/>
      </w:r>
      <w:r>
        <w:t xml:space="preserve"> Directive (EU) 2010/40 of the European Parliament and of the Council on the framework for the deployment of Intelligent Transport Systems in the field of road transport and for interfaces with other modes of transport and its four delegated Regulations: (EU) 885/2013 (provision of information services for safe and secure parking places for lorries and commercial vehicles); (EU) 886/2013 (data and procedures for the provision, where possible, of road safety-related minimum universal traffic information free of charge to users); (EU) 962/2015 (the provision of EU-wide real-time traffic information services); (EU) 1926/2017 (the provision of EU-wide Multimodal Travel Information Services). </w:t>
      </w:r>
    </w:p>
  </w:footnote>
  <w:footnote w:id="423">
    <w:p>
      <w:pPr>
        <w:pStyle w:val="footnote"/>
        <w:tabs>
          <w:tab w:val="left" w:pos="709"/>
        </w:tabs>
        <w:snapToGrid w:val="0"/>
      </w:pPr>
      <w:r>
        <w:rPr>
          <w:rStyle w:val="FootnoteReference"/>
        </w:rPr>
        <w:footnoteRef/>
      </w:r>
      <w:r>
        <w:t xml:space="preserve"> https://ec.europa.eu/transport/themes/its/road/action_plan/nap_en </w:t>
      </w:r>
    </w:p>
  </w:footnote>
  <w:footnote w:id="424">
    <w:p>
      <w:pPr>
        <w:pStyle w:val="footnote"/>
        <w:tabs>
          <w:tab w:val="left" w:pos="709"/>
        </w:tabs>
        <w:snapToGrid w:val="0"/>
      </w:pPr>
      <w:r>
        <w:rPr>
          <w:rStyle w:val="FootnoteReference"/>
        </w:rPr>
        <w:footnoteRef/>
      </w:r>
      <w:r>
        <w:t xml:space="preserve"> SWD(2019) 368 final Ex post evaluation of the Intelligent Transport Systems Directive 2010/40/EU </w:t>
      </w:r>
    </w:p>
  </w:footnote>
  <w:footnote w:id="425">
    <w:p>
      <w:pPr>
        <w:pStyle w:val="footnote"/>
        <w:tabs>
          <w:tab w:val="left" w:pos="709"/>
        </w:tabs>
        <w:snapToGrid w:val="0"/>
      </w:pPr>
      <w:r>
        <w:rPr>
          <w:rStyle w:val="FootnoteReference"/>
        </w:rPr>
        <w:footnoteRef/>
      </w:r>
      <w:r>
        <w:t xml:space="preserve"> Ibid.</w:t>
      </w:r>
    </w:p>
  </w:footnote>
  <w:footnote w:id="426">
    <w:p>
      <w:pPr>
        <w:pStyle w:val="footnote"/>
        <w:tabs>
          <w:tab w:val="left" w:pos="709"/>
        </w:tabs>
        <w:snapToGrid w:val="0"/>
      </w:pPr>
      <w:r>
        <w:rPr>
          <w:rStyle w:val="FootnoteReference"/>
        </w:rPr>
        <w:footnoteRef/>
      </w:r>
      <w:r>
        <w:t xml:space="preserve"> COM(2018) 279 - 2018/0140/COD</w:t>
      </w:r>
    </w:p>
  </w:footnote>
  <w:footnote w:id="427">
    <w:p>
      <w:pPr>
        <w:pStyle w:val="footnote"/>
        <w:tabs>
          <w:tab w:val="left" w:pos="709"/>
        </w:tabs>
        <w:snapToGrid w:val="0"/>
      </w:pPr>
      <w:r>
        <w:rPr>
          <w:rStyle w:val="FootnoteReference"/>
        </w:rPr>
        <w:footnoteRef/>
      </w:r>
      <w:r>
        <w:t xml:space="preserve"> COM(2018) 279 - 2018/0140/COD</w:t>
      </w:r>
    </w:p>
  </w:footnote>
  <w:footnote w:id="428">
    <w:p>
      <w:pPr>
        <w:pStyle w:val="footnote"/>
        <w:tabs>
          <w:tab w:val="left" w:pos="709"/>
        </w:tabs>
        <w:snapToGrid w:val="0"/>
      </w:pPr>
      <w:r>
        <w:rPr>
          <w:rStyle w:val="FootnoteReference"/>
        </w:rPr>
        <w:footnoteRef/>
      </w:r>
      <w:r>
        <w:t>Impact assessment accompanying electronic Freight Transport Information Regulation, https://eur-lex.europa.eu/resource.html?uri=cellar:810e3b10-59bb-11e8-ab41-01aa75ed71a1.0001.02/DOC_1&amp;format=PDF</w:t>
      </w:r>
    </w:p>
  </w:footnote>
  <w:footnote w:id="429">
    <w:p>
      <w:pPr>
        <w:pStyle w:val="footnote"/>
        <w:tabs>
          <w:tab w:val="left" w:pos="709"/>
        </w:tabs>
        <w:snapToGrid w:val="0"/>
      </w:pPr>
      <w:r>
        <w:rPr>
          <w:rStyle w:val="FootnoteReference"/>
        </w:rPr>
        <w:footnoteRef/>
      </w:r>
      <w:r>
        <w:t xml:space="preserve"> “</w:t>
      </w:r>
      <w:hyperlink r:id="rId75" w:history="1">
        <w:r>
          <w:rPr>
            <w:rStyle w:val="Hyperlink"/>
            <w:u w:val="none"/>
          </w:rPr>
          <w:t>Remaining challenges for EU-wide integrated ticketing and payment systems</w:t>
        </w:r>
      </w:hyperlink>
      <w:r>
        <w:t xml:space="preserve">”, </w:t>
      </w:r>
      <w:hyperlink r:id="rId76" w:history="1">
        <w:r>
          <w:rPr>
            <w:rStyle w:val="Hyperlink"/>
            <w:u w:val="none"/>
          </w:rPr>
          <w:t>European Commission</w:t>
        </w:r>
      </w:hyperlink>
      <w:r>
        <w:t xml:space="preserve">, </w:t>
      </w:r>
      <w:hyperlink r:id="rId77" w:history="1">
        <w:r>
          <w:rPr>
            <w:rStyle w:val="Hyperlink"/>
            <w:u w:val="none"/>
          </w:rPr>
          <w:t>Grimaldi Studio Legale</w:t>
        </w:r>
      </w:hyperlink>
      <w:r>
        <w:t xml:space="preserve"> , </w:t>
      </w:r>
      <w:hyperlink r:id="rId78" w:history="1">
        <w:r>
          <w:rPr>
            <w:rStyle w:val="Hyperlink"/>
            <w:u w:val="none"/>
          </w:rPr>
          <w:t>VVA</w:t>
        </w:r>
      </w:hyperlink>
      <w:r>
        <w:t xml:space="preserve"> , </w:t>
      </w:r>
      <w:hyperlink r:id="rId79" w:history="1">
        <w:r>
          <w:rPr>
            <w:rStyle w:val="Hyperlink"/>
            <w:u w:val="none"/>
          </w:rPr>
          <w:t>Wavestone</w:t>
        </w:r>
      </w:hyperlink>
      <w:r>
        <w:t xml:space="preserve">, 2019 </w:t>
      </w:r>
    </w:p>
  </w:footnote>
  <w:footnote w:id="430">
    <w:p>
      <w:pPr>
        <w:pStyle w:val="footnote"/>
        <w:tabs>
          <w:tab w:val="left" w:pos="709"/>
        </w:tabs>
        <w:snapToGrid w:val="0"/>
      </w:pPr>
      <w:r>
        <w:rPr>
          <w:rStyle w:val="FootnoteReference"/>
        </w:rPr>
        <w:footnoteRef/>
      </w:r>
      <w:r>
        <w:t xml:space="preserve"> Regulation 80/2009. The first Regulation on a CRS Code of Conduct was adopted in 1989.</w:t>
      </w:r>
    </w:p>
  </w:footnote>
  <w:footnote w:id="431">
    <w:p>
      <w:pPr>
        <w:pStyle w:val="footnote"/>
        <w:tabs>
          <w:tab w:val="left" w:pos="709"/>
        </w:tabs>
        <w:snapToGrid w:val="0"/>
        <w:rPr>
          <w:lang w:val="pt-PT"/>
        </w:rPr>
      </w:pPr>
      <w:r>
        <w:rPr>
          <w:rStyle w:val="FootnoteReference"/>
        </w:rPr>
        <w:footnoteRef/>
      </w:r>
      <w:r>
        <w:rPr>
          <w:lang w:val="pt-PT"/>
        </w:rPr>
        <w:t xml:space="preserve"> COM(2020) 9 final</w:t>
      </w:r>
    </w:p>
  </w:footnote>
  <w:footnote w:id="432">
    <w:p>
      <w:pPr>
        <w:pStyle w:val="footnote"/>
        <w:tabs>
          <w:tab w:val="left" w:pos="709"/>
        </w:tabs>
        <w:snapToGrid w:val="0"/>
        <w:rPr>
          <w:lang w:val="pt-PT"/>
        </w:rPr>
      </w:pPr>
      <w:r>
        <w:rPr>
          <w:rStyle w:val="FootnoteReference"/>
        </w:rPr>
        <w:footnoteRef/>
      </w:r>
      <w:r>
        <w:rPr>
          <w:lang w:val="pt-PT"/>
        </w:rPr>
        <w:t xml:space="preserve"> COM (2020) 66 final</w:t>
      </w:r>
    </w:p>
  </w:footnote>
  <w:footnote w:id="433">
    <w:p>
      <w:pPr>
        <w:pStyle w:val="footnote"/>
        <w:tabs>
          <w:tab w:val="left" w:pos="709"/>
        </w:tabs>
        <w:snapToGrid w:val="0"/>
      </w:pPr>
      <w:r>
        <w:rPr>
          <w:vertAlign w:val="superscript"/>
        </w:rPr>
        <w:footnoteRef/>
      </w:r>
      <w:r>
        <w:t xml:space="preserve"> COM(2018) 237 final</w:t>
      </w:r>
    </w:p>
  </w:footnote>
  <w:footnote w:id="434">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COM(2019)168 final</w:t>
      </w:r>
    </w:p>
  </w:footnote>
  <w:footnote w:id="435">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COM(2020) 65 final</w:t>
      </w:r>
    </w:p>
  </w:footnote>
  <w:footnote w:id="436">
    <w:p>
      <w:pPr>
        <w:pStyle w:val="footnote"/>
        <w:tabs>
          <w:tab w:val="left" w:pos="709"/>
        </w:tabs>
        <w:snapToGrid w:val="0"/>
        <w:rPr>
          <w:lang w:val="pt-PT"/>
        </w:rPr>
      </w:pPr>
      <w:r>
        <w:rPr>
          <w:vertAlign w:val="superscript"/>
        </w:rPr>
        <w:footnoteRef/>
      </w:r>
      <w:r>
        <w:rPr>
          <w:lang w:val="pt-PT"/>
        </w:rPr>
        <w:t xml:space="preserve"> COM(2018) 237 final</w:t>
      </w:r>
    </w:p>
  </w:footnote>
  <w:footnote w:id="437">
    <w:p>
      <w:pPr>
        <w:pStyle w:val="footnote"/>
        <w:tabs>
          <w:tab w:val="left" w:pos="709"/>
        </w:tabs>
        <w:snapToGrid w:val="0"/>
        <w:rPr>
          <w:lang w:val="pt-PT"/>
        </w:rPr>
      </w:pPr>
      <w:r>
        <w:rPr>
          <w:rStyle w:val="FootnoteReference"/>
        </w:rPr>
        <w:footnoteRef/>
      </w:r>
      <w:r>
        <w:rPr>
          <w:lang w:val="pt-PT"/>
        </w:rPr>
        <w:t xml:space="preserve"> https://www.eurocontrol.int/publication/fly-ai-report</w:t>
      </w:r>
    </w:p>
  </w:footnote>
  <w:footnote w:id="438">
    <w:p>
      <w:pPr>
        <w:pStyle w:val="footnote"/>
        <w:tabs>
          <w:tab w:val="left" w:pos="709"/>
        </w:tabs>
        <w:snapToGrid w:val="0"/>
        <w:rPr>
          <w:lang w:val="pt-PT"/>
        </w:rPr>
      </w:pPr>
      <w:r>
        <w:rPr>
          <w:rStyle w:val="FootnoteReference"/>
        </w:rPr>
        <w:footnoteRef/>
      </w:r>
      <w:r>
        <w:rPr>
          <w:lang w:val="pt-PT"/>
        </w:rPr>
        <w:t xml:space="preserve"> https://www.consilium.europa.eu/en/press/press-releases/2020/10/23/pandemic-contingency-plan-for-freight-transport-council-adopts-conclusions/</w:t>
      </w:r>
    </w:p>
  </w:footnote>
  <w:footnote w:id="439">
    <w:p>
      <w:pPr>
        <w:pStyle w:val="footnote"/>
        <w:tabs>
          <w:tab w:val="left" w:pos="709"/>
        </w:tabs>
        <w:snapToGrid w:val="0"/>
        <w:rPr>
          <w:lang w:val="pt-PT"/>
        </w:rPr>
      </w:pPr>
      <w:r>
        <w:rPr>
          <w:rStyle w:val="FootnoteReference"/>
        </w:rPr>
        <w:footnoteRef/>
      </w:r>
      <w:r>
        <w:rPr>
          <w:lang w:val="pt-PT"/>
        </w:rPr>
        <w:t>UNECE: https://www.unece.org/info/media/presscurrent-press-h/transport/2020/unece-study-maps-transport-infrastructure-at-high-risk-due-to-climate-change-in-pan-european-region-and-canada/doc.html</w:t>
      </w:r>
    </w:p>
  </w:footnote>
  <w:footnote w:id="440">
    <w:p>
      <w:pPr>
        <w:pStyle w:val="FootnoteText"/>
        <w:tabs>
          <w:tab w:val="left" w:pos="709"/>
        </w:tabs>
        <w:snapToGrid w:val="0"/>
        <w:spacing w:after="0" w:line="240" w:lineRule="auto"/>
        <w:ind w:left="240" w:hanging="240"/>
        <w:rPr>
          <w:sz w:val="16"/>
          <w:szCs w:val="16"/>
        </w:rPr>
      </w:pPr>
      <w:r>
        <w:rPr>
          <w:rStyle w:val="FootnoteReference"/>
          <w:sz w:val="16"/>
          <w:szCs w:val="16"/>
        </w:rPr>
        <w:footnoteRef/>
      </w:r>
      <w:r>
        <w:rPr>
          <w:sz w:val="16"/>
          <w:szCs w:val="16"/>
        </w:rPr>
        <w:t xml:space="preserve"> For example: According to the European Federation of Inland Ports (EFIP) and Inland Navigation Europe (INE) (part of their submission for the open public consultation on the Sustainable and Smart Mobility Strategy) in 2018 the prolonged low water levels of the Rhine resulted in a decrease of Germany’s industrial production by EUR 5 billion.</w:t>
      </w:r>
    </w:p>
  </w:footnote>
  <w:footnote w:id="441">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The text box provides an illustrative, non-exhaustive list of measures taken. The full overview of activities can be found at: </w:t>
      </w:r>
      <w:hyperlink r:id="rId80" w:anchor="euactions" w:history="1">
        <w:r>
          <w:rPr>
            <w:rStyle w:val="Hyperlink"/>
            <w:szCs w:val="16"/>
            <w:u w:val="none"/>
          </w:rPr>
          <w:t>https://ec.europa.eu/info/live-work-travel-eu/coronavirus-response_en#euactions</w:t>
        </w:r>
      </w:hyperlink>
      <w:r>
        <w:rPr>
          <w:sz w:val="16"/>
          <w:szCs w:val="16"/>
        </w:rPr>
        <w:t xml:space="preserve">  </w:t>
      </w:r>
    </w:p>
  </w:footnote>
  <w:footnote w:id="442">
    <w:p>
      <w:pPr>
        <w:pStyle w:val="footnote"/>
        <w:tabs>
          <w:tab w:val="left" w:pos="709"/>
        </w:tabs>
        <w:snapToGrid w:val="0"/>
        <w:rPr>
          <w:lang w:val="pt-PT"/>
        </w:rPr>
      </w:pPr>
      <w:r>
        <w:rPr>
          <w:rStyle w:val="FootnoteReference"/>
        </w:rPr>
        <w:footnoteRef/>
      </w:r>
      <w:r>
        <w:rPr>
          <w:lang w:val="pt-PT"/>
        </w:rPr>
        <w:t xml:space="preserve">    C(2020) 1753 final, , OJ C 86I, 16.3.2020, p.1.</w:t>
      </w:r>
    </w:p>
  </w:footnote>
  <w:footnote w:id="443">
    <w:p>
      <w:pPr>
        <w:pStyle w:val="footnote"/>
        <w:tabs>
          <w:tab w:val="left" w:pos="709"/>
        </w:tabs>
        <w:snapToGrid w:val="0"/>
        <w:rPr>
          <w:lang w:val="pt-PT"/>
        </w:rPr>
      </w:pPr>
      <w:r>
        <w:rPr>
          <w:rStyle w:val="FootnoteReference"/>
        </w:rPr>
        <w:footnoteRef/>
      </w:r>
      <w:r>
        <w:rPr>
          <w:lang w:val="pt-PT"/>
        </w:rPr>
        <w:t xml:space="preserve">    C(2020) 1897 final, OJ C 96I, 24.3.2020, p.1.</w:t>
      </w:r>
    </w:p>
  </w:footnote>
  <w:footnote w:id="444">
    <w:p>
      <w:pPr>
        <w:pStyle w:val="footnote"/>
        <w:tabs>
          <w:tab w:val="left" w:pos="709"/>
        </w:tabs>
        <w:snapToGrid w:val="0"/>
        <w:rPr>
          <w:lang w:val="pt-PT"/>
        </w:rPr>
      </w:pPr>
      <w:r>
        <w:rPr>
          <w:rStyle w:val="FootnoteReference"/>
        </w:rPr>
        <w:footnoteRef/>
      </w:r>
      <w:r>
        <w:rPr>
          <w:lang w:val="pt-PT"/>
        </w:rPr>
        <w:t xml:space="preserve">    C(2020) 1897 final, OJ C 96I, 24.3.2020, p.1.</w:t>
      </w:r>
    </w:p>
  </w:footnote>
  <w:footnote w:id="445">
    <w:p>
      <w:pPr>
        <w:pStyle w:val="footnote"/>
        <w:tabs>
          <w:tab w:val="left" w:pos="709"/>
        </w:tabs>
        <w:snapToGrid w:val="0"/>
        <w:rPr>
          <w:lang w:val="pt-PT"/>
        </w:rPr>
      </w:pPr>
      <w:r>
        <w:rPr>
          <w:rStyle w:val="FootnoteReference"/>
        </w:rPr>
        <w:footnoteRef/>
      </w:r>
      <w:r>
        <w:rPr>
          <w:lang w:val="pt-PT"/>
        </w:rPr>
        <w:t xml:space="preserve">    C(2020) 1897 final, OJ C 96I, 24.3.2020, p.1.</w:t>
      </w:r>
    </w:p>
  </w:footnote>
  <w:footnote w:id="446">
    <w:p>
      <w:pPr>
        <w:pStyle w:val="footnote"/>
        <w:tabs>
          <w:tab w:val="left" w:pos="709"/>
        </w:tabs>
        <w:snapToGrid w:val="0"/>
        <w:rPr>
          <w:lang w:val="pt-PT"/>
        </w:rPr>
      </w:pPr>
      <w:r>
        <w:rPr>
          <w:rStyle w:val="FootnoteReference"/>
        </w:rPr>
        <w:footnoteRef/>
      </w:r>
      <w:r>
        <w:rPr>
          <w:lang w:val="pt-PT"/>
        </w:rPr>
        <w:t xml:space="preserve">    C(2020) 2010 final, OJ C 100I, 27.3.2020, p.1.</w:t>
      </w:r>
    </w:p>
  </w:footnote>
  <w:footnote w:id="447">
    <w:p>
      <w:pPr>
        <w:pStyle w:val="footnote"/>
        <w:tabs>
          <w:tab w:val="left" w:pos="709"/>
        </w:tabs>
        <w:snapToGrid w:val="0"/>
        <w:rPr>
          <w:lang w:val="es-ES"/>
        </w:rPr>
      </w:pPr>
      <w:r>
        <w:rPr>
          <w:rStyle w:val="FootnoteReference"/>
        </w:rPr>
        <w:footnoteRef/>
      </w:r>
      <w:r>
        <w:rPr>
          <w:lang w:val="es-ES"/>
        </w:rPr>
        <w:t xml:space="preserve">    C(2020) 2051 final, OJ C 102, 30.3.2020, p.12.</w:t>
      </w:r>
    </w:p>
  </w:footnote>
  <w:footnote w:id="448">
    <w:p>
      <w:pPr>
        <w:pStyle w:val="footnote"/>
        <w:tabs>
          <w:tab w:val="left" w:pos="709"/>
        </w:tabs>
        <w:snapToGrid w:val="0"/>
        <w:rPr>
          <w:lang w:val="es-ES"/>
        </w:rPr>
      </w:pPr>
      <w:r>
        <w:rPr>
          <w:rStyle w:val="FootnoteReference"/>
        </w:rPr>
        <w:footnoteRef/>
      </w:r>
      <w:r>
        <w:rPr>
          <w:lang w:val="es-ES"/>
        </w:rPr>
        <w:t xml:space="preserve"> C(2020) 3100 final, OJ C 119, 14.4.2020, p. 1.</w:t>
      </w:r>
    </w:p>
  </w:footnote>
  <w:footnote w:id="449">
    <w:p>
      <w:pPr>
        <w:pStyle w:val="footnote"/>
        <w:tabs>
          <w:tab w:val="left" w:pos="709"/>
        </w:tabs>
        <w:snapToGrid w:val="0"/>
      </w:pPr>
      <w:r>
        <w:rPr>
          <w:rStyle w:val="FootnoteReference"/>
        </w:rPr>
        <w:footnoteRef/>
      </w:r>
      <w:r>
        <w:rPr>
          <w:rStyle w:val="FootnoteReference"/>
        </w:rPr>
        <w:t xml:space="preserve"> </w:t>
      </w:r>
      <w:r>
        <w:rPr>
          <w:rStyle w:val="FootnoteReference"/>
          <w:vertAlign w:val="baseline"/>
        </w:rPr>
        <w:t>https://ec.europa.eu/transport/media/news/2020-04-29-coronavirus-package-measures-support-transport-sector_en</w:t>
      </w:r>
    </w:p>
  </w:footnote>
  <w:footnote w:id="450">
    <w:p>
      <w:pPr>
        <w:pStyle w:val="footnote"/>
        <w:tabs>
          <w:tab w:val="left" w:pos="709"/>
        </w:tabs>
        <w:snapToGrid w:val="0"/>
      </w:pPr>
      <w:r>
        <w:rPr>
          <w:rStyle w:val="FootnoteReference"/>
        </w:rPr>
        <w:footnoteRef/>
      </w:r>
      <w:r>
        <w:t xml:space="preserve"> Apart from aviation (COM (2020) 178 final), the package also included an amendment to the regulation on port charges, providing Member States and port authorities the flexibility to defer, reduce or lift port infrastructure charges for port users. For rail, the Commission proposed to extend the deadline by which some Member States must transpose EU law on rail safety and interoperability by three months. For road transport, the package included the extension of several licences and authorisations. Separately, at the request of several Member States, the Commission authorised derogations from driving and rest times for drivers until end of May.</w:t>
      </w:r>
    </w:p>
  </w:footnote>
  <w:footnote w:id="451">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COM(2020) 685 final</w:t>
      </w:r>
    </w:p>
  </w:footnote>
  <w:footnote w:id="452">
    <w:p>
      <w:pPr>
        <w:pStyle w:val="footnote"/>
        <w:tabs>
          <w:tab w:val="left" w:pos="709"/>
        </w:tabs>
        <w:snapToGrid w:val="0"/>
      </w:pPr>
      <w:r>
        <w:rPr>
          <w:rStyle w:val="FootnoteReference"/>
        </w:rPr>
        <w:footnoteRef/>
      </w:r>
      <w:r>
        <w:t xml:space="preserve"> https://ec.europa.eu/transport/coronavirus-response_en</w:t>
      </w:r>
    </w:p>
  </w:footnote>
  <w:footnote w:id="453">
    <w:p>
      <w:pPr>
        <w:pStyle w:val="footnote"/>
        <w:tabs>
          <w:tab w:val="left" w:pos="709"/>
        </w:tabs>
        <w:snapToGrid w:val="0"/>
        <w:rPr>
          <w:lang w:val="en-US"/>
        </w:rPr>
      </w:pPr>
      <w:r>
        <w:rPr>
          <w:rStyle w:val="FootnoteReference"/>
        </w:rPr>
        <w:footnoteRef/>
      </w:r>
      <w:r>
        <w:rPr>
          <w:lang w:val="en-US"/>
        </w:rPr>
        <w:t xml:space="preserve">    </w:t>
      </w:r>
      <w:hyperlink r:id="rId81" w:history="1">
        <w:r>
          <w:rPr>
            <w:rStyle w:val="Hyperlink"/>
            <w:u w:val="none"/>
            <w:lang w:val="en-US"/>
          </w:rPr>
          <w:t>https://ec.europa.eu/transport/sites/transport/files/derogation_request_art14.docx</w:t>
        </w:r>
      </w:hyperlink>
      <w:r>
        <w:rPr>
          <w:lang w:val="en-US"/>
        </w:rPr>
        <w:t xml:space="preserve">. </w:t>
      </w:r>
      <w:r>
        <w:t xml:space="preserve">The Commission published guidance to help Member States to prepare the derogations to the rules on driving and rest time. While providing flexibility to drivers and road operators to carry out transport operations, these derogations should be proportionate and avoid jeopardizing road safety and minimum working conditions for drivers. </w:t>
      </w:r>
    </w:p>
  </w:footnote>
  <w:footnote w:id="454">
    <w:p>
      <w:pPr>
        <w:pStyle w:val="footnote"/>
        <w:tabs>
          <w:tab w:val="left" w:pos="709"/>
        </w:tabs>
        <w:snapToGrid w:val="0"/>
      </w:pPr>
      <w:r>
        <w:rPr>
          <w:rStyle w:val="FootnoteReference"/>
        </w:rPr>
        <w:footnoteRef/>
      </w:r>
      <w:r>
        <w:t xml:space="preserve"> </w:t>
      </w:r>
      <w:hyperlink r:id="rId82" w:history="1">
        <w:r>
          <w:rPr>
            <w:rStyle w:val="Hyperlink"/>
            <w:u w:val="none"/>
          </w:rPr>
          <w:t>https://ec.europa.eu/transport/news/2020-03-27-exceptional-measures-inability-comply-legislation_en</w:t>
        </w:r>
      </w:hyperlink>
      <w:r>
        <w:t xml:space="preserve">. The information note of the Commission services highlighted that the measures taken by Member States in the area of licences and certificates should remain proportionate and sufficiently short, such as three months, so as to avoid that they benefit situations well after the termination of public measures intended to contain the epidemic. </w:t>
      </w:r>
    </w:p>
  </w:footnote>
  <w:footnote w:id="455">
    <w:p>
      <w:pPr>
        <w:pStyle w:val="footnote"/>
        <w:tabs>
          <w:tab w:val="left" w:pos="709"/>
        </w:tabs>
        <w:snapToGrid w:val="0"/>
      </w:pPr>
      <w:r>
        <w:rPr>
          <w:rStyle w:val="FootnoteReference"/>
        </w:rPr>
        <w:footnoteRef/>
      </w:r>
      <w:r>
        <w:t xml:space="preserve"> COM(2020) 112 final</w:t>
      </w:r>
    </w:p>
  </w:footnote>
  <w:footnote w:id="456">
    <w:p>
      <w:pPr>
        <w:pStyle w:val="footnote"/>
        <w:tabs>
          <w:tab w:val="left" w:pos="709"/>
        </w:tabs>
        <w:snapToGrid w:val="0"/>
      </w:pPr>
      <w:r>
        <w:rPr>
          <w:rStyle w:val="FootnoteReference"/>
        </w:rPr>
        <w:footnoteRef/>
      </w:r>
      <w:r>
        <w:t xml:space="preserve"> COM(2020) 113 final</w:t>
      </w:r>
    </w:p>
  </w:footnote>
  <w:footnote w:id="457">
    <w:p>
      <w:pPr>
        <w:pStyle w:val="footnote"/>
        <w:tabs>
          <w:tab w:val="left" w:pos="709"/>
        </w:tabs>
        <w:snapToGrid w:val="0"/>
        <w:rPr>
          <w:rStyle w:val="FootnoteReference"/>
        </w:rPr>
      </w:pPr>
      <w:r>
        <w:rPr>
          <w:rStyle w:val="FootnoteReference"/>
        </w:rPr>
        <w:footnoteRef/>
      </w:r>
      <w:r>
        <w:t xml:space="preserve"> COM(2020)0827 final which led to the adoption of Regulation (EU) 2020/459 of the European Parliament and of the Council of 30 March 2020 amending Council Regulation (EEC) No 95/93 on common rules for the allocation of slots at Community </w:t>
      </w:r>
      <w:r>
        <w:rPr>
          <w:rStyle w:val="FootnoteReference"/>
          <w:vertAlign w:val="baseline"/>
        </w:rPr>
        <w:t xml:space="preserve">airports, OJ L 99, 31.3.2020, p. 1. </w:t>
      </w:r>
    </w:p>
  </w:footnote>
  <w:footnote w:id="458">
    <w:p>
      <w:pPr>
        <w:pStyle w:val="footnote"/>
        <w:tabs>
          <w:tab w:val="left" w:pos="709"/>
        </w:tabs>
        <w:snapToGrid w:val="0"/>
      </w:pPr>
      <w:r>
        <w:rPr>
          <w:rStyle w:val="FootnoteReference"/>
        </w:rPr>
        <w:footnoteRef/>
      </w:r>
      <w:r>
        <w:t xml:space="preserve"> COM(2020) 178 final which led to the adoption of Regulation (EU) 2020/696 of the European Parliament and of the Council of 25 May 2020 amending Regulation (EC) No 1008/2008 on common rules for the operation of air services in the Community in view of the COVID-19 pandemic, OJ L 165, 27.5.2020, p. 1–6.</w:t>
      </w:r>
    </w:p>
  </w:footnote>
  <w:footnote w:id="459">
    <w:p>
      <w:pPr>
        <w:pStyle w:val="footnote"/>
        <w:tabs>
          <w:tab w:val="left" w:pos="709"/>
        </w:tabs>
        <w:snapToGrid w:val="0"/>
        <w:rPr>
          <w:lang w:val="en-US"/>
        </w:rPr>
      </w:pPr>
      <w:r>
        <w:rPr>
          <w:rStyle w:val="FootnoteReference"/>
          <w:rFonts w:eastAsiaTheme="majorEastAsia"/>
        </w:rPr>
        <w:footnoteRef/>
      </w:r>
      <w:r>
        <w:t xml:space="preserve"> C(2020)1863 final, OJ C 091I of 20.3.2020, p.1. , https://ec.europa.eu/competition/state_aid/what_is_new/TF_consolidated_version_amended_3_april_8_may_29_june_and_13_oct_2020_en.pdf </w:t>
      </w:r>
    </w:p>
  </w:footnote>
  <w:footnote w:id="460">
    <w:p>
      <w:pPr>
        <w:pStyle w:val="footnote"/>
        <w:tabs>
          <w:tab w:val="left" w:pos="709"/>
        </w:tabs>
        <w:snapToGrid w:val="0"/>
      </w:pPr>
      <w:r>
        <w:rPr>
          <w:rStyle w:val="FootnoteReference"/>
        </w:rPr>
        <w:footnoteRef/>
      </w:r>
      <w:r>
        <w:t xml:space="preserve"> COM(2020) 123 final</w:t>
      </w:r>
    </w:p>
  </w:footnote>
  <w:footnote w:id="461">
    <w:p>
      <w:pPr>
        <w:pStyle w:val="footnote"/>
        <w:tabs>
          <w:tab w:val="left" w:pos="709"/>
        </w:tabs>
        <w:snapToGrid w:val="0"/>
        <w:rPr>
          <w:rStyle w:val="FootnoteReference"/>
        </w:rPr>
      </w:pPr>
      <w:r>
        <w:rPr>
          <w:rStyle w:val="FootnoteReference"/>
        </w:rPr>
        <w:footnoteRef/>
      </w:r>
      <w:r>
        <w:rPr>
          <w:rStyle w:val="FootnoteReference"/>
        </w:rPr>
        <w:t xml:space="preserve"> </w:t>
      </w:r>
      <w:r>
        <w:rPr>
          <w:rStyle w:val="FootnoteReference"/>
          <w:vertAlign w:val="baseline"/>
        </w:rPr>
        <w:t>C(2020) 1830 final, OJ C 89I, 18.3.2020, p.1.</w:t>
      </w:r>
    </w:p>
  </w:footnote>
  <w:footnote w:id="462">
    <w:p>
      <w:pPr>
        <w:pStyle w:val="footnote"/>
        <w:tabs>
          <w:tab w:val="left" w:pos="709"/>
        </w:tabs>
        <w:snapToGrid w:val="0"/>
        <w:rPr>
          <w:lang w:val="pt-PT"/>
        </w:rPr>
      </w:pPr>
      <w:r>
        <w:rPr>
          <w:rStyle w:val="FootnoteReference"/>
        </w:rPr>
        <w:footnoteRef/>
      </w:r>
      <w:r>
        <w:rPr>
          <w:lang w:val="pt-PT"/>
        </w:rPr>
        <w:t xml:space="preserve"> COM(2020) 139 final</w:t>
      </w:r>
    </w:p>
  </w:footnote>
  <w:footnote w:id="463">
    <w:p>
      <w:pPr>
        <w:pStyle w:val="footnote"/>
        <w:tabs>
          <w:tab w:val="left" w:pos="709"/>
        </w:tabs>
        <w:snapToGrid w:val="0"/>
        <w:rPr>
          <w:rStyle w:val="FootnoteReference"/>
          <w:vertAlign w:val="baseline"/>
          <w:lang w:val="pt-PT"/>
        </w:rPr>
      </w:pPr>
      <w:r>
        <w:rPr>
          <w:rStyle w:val="FootnoteReference"/>
        </w:rPr>
        <w:footnoteRef/>
      </w:r>
      <w:r>
        <w:rPr>
          <w:vertAlign w:val="superscript"/>
          <w:lang w:val="pt-PT"/>
        </w:rPr>
        <w:t xml:space="preserve"> </w:t>
      </w:r>
      <w:r>
        <w:rPr>
          <w:rStyle w:val="FootnoteReference"/>
          <w:vertAlign w:val="baseline"/>
          <w:lang w:val="pt-PT"/>
        </w:rPr>
        <w:t>https://ec.europa.eu/competition/state_aid/what_is_new/air_transport_overview_sa_rules_during_coronavirus.pdf</w:t>
      </w:r>
    </w:p>
    <w:p>
      <w:pPr>
        <w:pStyle w:val="footnote"/>
        <w:tabs>
          <w:tab w:val="left" w:pos="709"/>
        </w:tabs>
        <w:snapToGrid w:val="0"/>
        <w:rPr>
          <w:rStyle w:val="FootnoteReference"/>
          <w:vertAlign w:val="baseline"/>
        </w:rPr>
      </w:pPr>
      <w:hyperlink r:id="rId83" w:history="1">
        <w:r>
          <w:rPr>
            <w:rStyle w:val="FootnoteReference"/>
            <w:vertAlign w:val="baseline"/>
          </w:rPr>
          <w:t>https://ec.europa.eu/competition/state_aid/what_is_new/maritime_transport_overview_sa_rules_during_coronavirus.pdf</w:t>
        </w:r>
      </w:hyperlink>
    </w:p>
    <w:p>
      <w:pPr>
        <w:pStyle w:val="footnote"/>
        <w:tabs>
          <w:tab w:val="left" w:pos="709"/>
        </w:tabs>
        <w:snapToGrid w:val="0"/>
      </w:pPr>
      <w:r>
        <w:rPr>
          <w:rStyle w:val="FootnoteReference"/>
          <w:vertAlign w:val="baseline"/>
        </w:rPr>
        <w:t>https://ec.europa.eu/competition/state_aid/what_is_new/land_transport_overview_rules_during_coronavirus.pdf</w:t>
      </w:r>
    </w:p>
  </w:footnote>
  <w:footnote w:id="464">
    <w:p>
      <w:pPr>
        <w:pStyle w:val="footnote"/>
        <w:tabs>
          <w:tab w:val="left" w:pos="709"/>
        </w:tabs>
        <w:snapToGrid w:val="0"/>
        <w:rPr>
          <w:lang w:val="pt-PT"/>
        </w:rPr>
      </w:pPr>
      <w:r>
        <w:rPr>
          <w:rStyle w:val="FootnoteReference"/>
        </w:rPr>
        <w:footnoteRef/>
      </w:r>
      <w:r>
        <w:rPr>
          <w:lang w:val="pt-PT"/>
        </w:rPr>
        <w:t xml:space="preserve"> COM(2020) 260 final</w:t>
      </w:r>
    </w:p>
  </w:footnote>
  <w:footnote w:id="465">
    <w:p>
      <w:pPr>
        <w:pStyle w:val="footnote"/>
        <w:tabs>
          <w:tab w:val="left" w:pos="709"/>
        </w:tabs>
        <w:snapToGrid w:val="0"/>
        <w:rPr>
          <w:lang w:val="pt-PT"/>
        </w:rPr>
      </w:pPr>
      <w:r>
        <w:rPr>
          <w:rStyle w:val="FootnoteReference"/>
        </w:rPr>
        <w:footnoteRef/>
      </w:r>
      <w:r>
        <w:rPr>
          <w:lang w:val="pt-PT"/>
        </w:rPr>
        <w:t xml:space="preserve"> https://ec.europa.eu/commission/presscorner/detail/en/ip_20_854</w:t>
      </w:r>
    </w:p>
  </w:footnote>
  <w:footnote w:id="466">
    <w:p>
      <w:pPr>
        <w:pStyle w:val="NormalWeb"/>
        <w:tabs>
          <w:tab w:val="left" w:pos="709"/>
        </w:tabs>
        <w:spacing w:before="0" w:beforeAutospacing="0" w:after="0" w:afterAutospacing="0"/>
        <w:rPr>
          <w:sz w:val="16"/>
          <w:szCs w:val="16"/>
          <w:lang w:val="en-IE"/>
        </w:rPr>
      </w:pPr>
      <w:r>
        <w:rPr>
          <w:rStyle w:val="FootnoteReference"/>
          <w:sz w:val="16"/>
          <w:szCs w:val="16"/>
        </w:rPr>
        <w:footnoteRef/>
      </w:r>
      <w:r>
        <w:rPr>
          <w:sz w:val="16"/>
          <w:szCs w:val="16"/>
        </w:rPr>
        <w:t xml:space="preserve"> </w:t>
      </w:r>
      <w:r>
        <w:rPr>
          <w:sz w:val="16"/>
          <w:szCs w:val="16"/>
          <w:lang w:val="en-IE"/>
        </w:rPr>
        <w:t xml:space="preserve">Commission Recommendation (EU) 2020/648 of 13 May 2020 on vouchers offered to passengers and travellers as an alternative to reimbursement for cancelled package travel and transport services in the context of the COVID-19 pandemic, </w:t>
      </w:r>
      <w:r>
        <w:rPr>
          <w:rStyle w:val="Emphasis"/>
          <w:i w:val="0"/>
          <w:iCs w:val="0"/>
          <w:sz w:val="16"/>
          <w:szCs w:val="16"/>
          <w:lang w:val="en-IE"/>
        </w:rPr>
        <w:t>OJ L 151, 14.5.2020, p. 10.</w:t>
      </w:r>
      <w:r>
        <w:rPr>
          <w:rStyle w:val="Emphasis"/>
          <w:sz w:val="16"/>
          <w:szCs w:val="16"/>
          <w:lang w:val="en-IE"/>
        </w:rPr>
        <w:t xml:space="preserve"> </w:t>
      </w:r>
    </w:p>
  </w:footnote>
  <w:footnote w:id="467">
    <w:p>
      <w:pPr>
        <w:pStyle w:val="footnote"/>
        <w:tabs>
          <w:tab w:val="left" w:pos="709"/>
        </w:tabs>
        <w:snapToGrid w:val="0"/>
        <w:rPr>
          <w:lang w:val="en-IE"/>
        </w:rPr>
      </w:pPr>
      <w:r>
        <w:rPr>
          <w:rStyle w:val="FootnoteReference"/>
        </w:rPr>
        <w:footnoteRef/>
      </w:r>
      <w:r>
        <w:rPr>
          <w:lang w:val="en-IE"/>
        </w:rPr>
        <w:t>https://www.easa.europa.eu/sites/default/files/dfu/EASA-ECDC_COVID-19_Operational%20guidelines%20for%20management%20of%20passengers_v2.pdf</w:t>
      </w:r>
    </w:p>
  </w:footnote>
  <w:footnote w:id="468">
    <w:p>
      <w:pPr>
        <w:pStyle w:val="footnote"/>
        <w:tabs>
          <w:tab w:val="left" w:pos="709"/>
        </w:tabs>
        <w:snapToGrid w:val="0"/>
        <w:rPr>
          <w:lang w:val="en-IE"/>
        </w:rPr>
      </w:pPr>
      <w:r>
        <w:rPr>
          <w:rStyle w:val="FootnoteReference"/>
        </w:rPr>
        <w:footnoteRef/>
      </w:r>
      <w:r>
        <w:rPr>
          <w:lang w:val="en-IE"/>
        </w:rPr>
        <w:t xml:space="preserve"> https://www.era.europa.eu/sites/default/files/events-news/docs/covid-19_rail_protocol_en.pdf</w:t>
      </w:r>
    </w:p>
  </w:footnote>
  <w:footnote w:id="469">
    <w:p>
      <w:pPr>
        <w:pStyle w:val="footnote"/>
        <w:tabs>
          <w:tab w:val="left" w:pos="709"/>
        </w:tabs>
        <w:snapToGrid w:val="0"/>
        <w:rPr>
          <w:lang w:val="en-IE"/>
        </w:rPr>
      </w:pPr>
      <w:r>
        <w:rPr>
          <w:rStyle w:val="FootnoteReference"/>
        </w:rPr>
        <w:footnoteRef/>
      </w:r>
      <w:r>
        <w:rPr>
          <w:lang w:val="en-IE"/>
        </w:rPr>
        <w:t xml:space="preserve"> https://emsa.europa.eu/emsa-documents/latest/download/6376/3978/23.html</w:t>
      </w:r>
    </w:p>
  </w:footnote>
  <w:footnote w:id="470">
    <w:p>
      <w:pPr>
        <w:pStyle w:val="footnote"/>
        <w:tabs>
          <w:tab w:val="left" w:pos="709"/>
        </w:tabs>
        <w:snapToGrid w:val="0"/>
        <w:rPr>
          <w:lang w:val="en-IE"/>
        </w:rPr>
      </w:pPr>
      <w:r>
        <w:rPr>
          <w:rStyle w:val="FootnoteReference"/>
        </w:rPr>
        <w:footnoteRef/>
      </w:r>
      <w:r>
        <w:rPr>
          <w:lang w:val="en-IE"/>
        </w:rPr>
        <w:t xml:space="preserve"> https://www.eltis.org/sites/default/files/covid-19_sumppractitionersbriefing_final.pdf</w:t>
      </w:r>
    </w:p>
  </w:footnote>
  <w:footnote w:id="471">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A reporting obligation occurring every two years can be seen, for example in Article 26 (1) in the Regulation to pursue the occupation of road transport operator (Regulation (EC) No. 1071/2009).</w:t>
      </w:r>
    </w:p>
  </w:footnote>
  <w:footnote w:id="472">
    <w:p>
      <w:pPr>
        <w:pStyle w:val="FootnoteText"/>
        <w:tabs>
          <w:tab w:val="left" w:pos="709"/>
        </w:tabs>
        <w:snapToGrid w:val="0"/>
        <w:spacing w:after="0" w:line="240" w:lineRule="auto"/>
        <w:rPr>
          <w:sz w:val="16"/>
          <w:szCs w:val="16"/>
        </w:rPr>
      </w:pPr>
      <w:r>
        <w:rPr>
          <w:rStyle w:val="FootnoteReference"/>
          <w:sz w:val="16"/>
          <w:szCs w:val="16"/>
        </w:rPr>
        <w:footnoteRef/>
      </w:r>
      <w:r>
        <w:rPr>
          <w:sz w:val="16"/>
          <w:szCs w:val="16"/>
        </w:rPr>
        <w:t xml:space="preserve"> As an example, this can be seen in Art. 8 (2) of the Flag State directive (Directive 2009/21/EC).</w:t>
      </w:r>
    </w:p>
  </w:footnote>
  <w:footnote w:id="473">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w:t>
      </w:r>
      <w:r>
        <w:rPr>
          <w:sz w:val="16"/>
          <w:szCs w:val="16"/>
          <w:lang w:eastAsia="en-US"/>
        </w:rPr>
        <w:t>This, for example, can be seen in the waterborne sector in Art. 22 EMSW Regulation (Regulation EU 2019/1239), or as implemented in the rail sector in the Annex to the Commission Implementing Regulation on the reporting obligations of the Member States in the framework of rail market monitoring (Commission Implementing Regulation (EU) 2015/1100).</w:t>
      </w:r>
    </w:p>
  </w:footnote>
  <w:footnote w:id="474">
    <w:p>
      <w:pPr>
        <w:pStyle w:val="FootnoteText"/>
        <w:tabs>
          <w:tab w:val="left" w:pos="709"/>
        </w:tabs>
        <w:snapToGrid w:val="0"/>
        <w:spacing w:after="0" w:line="240" w:lineRule="auto"/>
        <w:rPr>
          <w:sz w:val="16"/>
          <w:szCs w:val="16"/>
        </w:rPr>
      </w:pPr>
      <w:r>
        <w:rPr>
          <w:rStyle w:val="FootnoteReference"/>
          <w:sz w:val="16"/>
          <w:szCs w:val="16"/>
        </w:rPr>
        <w:footnoteRef/>
      </w:r>
      <w:r>
        <w:rPr>
          <w:sz w:val="16"/>
          <w:szCs w:val="16"/>
        </w:rPr>
        <w:t xml:space="preserve"> </w:t>
      </w:r>
      <w:r>
        <w:rPr>
          <w:sz w:val="16"/>
          <w:szCs w:val="16"/>
          <w:lang w:eastAsia="en-US"/>
        </w:rPr>
        <w:t>SWD(2013) 401</w:t>
      </w:r>
    </w:p>
  </w:footnote>
  <w:footnote w:id="475">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The State aid Scoreboard in the railway sector highlights the heterogeneity of Member States’ efforts to accurately report the level of public financing in that sector.  </w:t>
      </w:r>
    </w:p>
    <w:p>
      <w:pPr>
        <w:pStyle w:val="FootnoteText"/>
        <w:tabs>
          <w:tab w:val="left" w:pos="709"/>
        </w:tabs>
        <w:snapToGrid w:val="0"/>
        <w:spacing w:after="0" w:line="240" w:lineRule="auto"/>
        <w:rPr>
          <w:sz w:val="16"/>
          <w:szCs w:val="16"/>
        </w:rPr>
      </w:pPr>
      <w:r>
        <w:rPr>
          <w:sz w:val="16"/>
          <w:szCs w:val="16"/>
        </w:rPr>
        <w:t>https://ec.europa.eu/competition/state_aid/scoreboard/index_en.html</w:t>
      </w:r>
    </w:p>
  </w:footnote>
  <w:footnote w:id="476">
    <w:p>
      <w:pPr>
        <w:pStyle w:val="footnote"/>
        <w:tabs>
          <w:tab w:val="left" w:pos="709"/>
        </w:tabs>
        <w:snapToGrid w:val="0"/>
      </w:pPr>
      <w:r>
        <w:rPr>
          <w:rStyle w:val="FootnoteReference"/>
        </w:rPr>
        <w:footnoteRef/>
      </w:r>
      <w:r>
        <w:t xml:space="preserve"> https://ec.europa.eu/transport/themes/urban/urban_mobility/sumi_en</w:t>
      </w:r>
    </w:p>
  </w:footnote>
  <w:footnote w:id="477">
    <w:p>
      <w:pPr>
        <w:pStyle w:val="footnote"/>
        <w:tabs>
          <w:tab w:val="left" w:pos="709"/>
        </w:tabs>
        <w:snapToGrid w:val="0"/>
      </w:pPr>
      <w:r>
        <w:rPr>
          <w:rStyle w:val="FootnoteReference"/>
        </w:rPr>
        <w:footnoteRef/>
      </w:r>
      <w:r>
        <w:t xml:space="preserve"> European Court of Auditors, Special report 06/2020: Sustainable Urban Mobility in the EU: No substantial improvement is possible without Member States’ commitment</w:t>
      </w:r>
    </w:p>
  </w:footnote>
  <w:footnote w:id="478">
    <w:p>
      <w:pPr>
        <w:pStyle w:val="footnote"/>
        <w:tabs>
          <w:tab w:val="left" w:pos="709"/>
        </w:tabs>
        <w:snapToGrid w:val="0"/>
      </w:pPr>
      <w:r>
        <w:rPr>
          <w:rStyle w:val="FootnoteReference"/>
        </w:rPr>
        <w:footnoteRef/>
      </w:r>
      <w:r>
        <w:t xml:space="preserve"> European Commission (2019), ‘Transport in the European Union - Current Trends and Issues’. </w:t>
      </w:r>
      <w:hyperlink r:id="rId84" w:history="1">
        <w:r>
          <w:rPr>
            <w:rStyle w:val="Hyperlink"/>
            <w:u w:val="none"/>
          </w:rPr>
          <w:t>https://ec.europa.eu/transport/sites/transport/files/2019-transport-in-the-eu-current-trends-and-issues.pdf</w:t>
        </w:r>
      </w:hyperlink>
      <w:r>
        <w:rPr>
          <w:b/>
          <w:bCs/>
        </w:rPr>
        <w:t xml:space="preserve">. </w:t>
      </w:r>
    </w:p>
  </w:footnote>
  <w:footnote w:id="479">
    <w:p>
      <w:pPr>
        <w:pStyle w:val="footnote"/>
        <w:tabs>
          <w:tab w:val="left" w:pos="709"/>
        </w:tabs>
        <w:snapToGrid w:val="0"/>
      </w:pPr>
      <w:r>
        <w:rPr>
          <w:rStyle w:val="FootnoteReference"/>
        </w:rPr>
        <w:footnoteRef/>
      </w:r>
      <w:r>
        <w:t xml:space="preserve"> European Investment Bank (2019), ‘EIB Investment Report 2019/2020. Accelerating Europe's Transformation’. </w:t>
      </w:r>
      <w:hyperlink r:id="rId85" w:history="1">
        <w:r>
          <w:rPr>
            <w:rStyle w:val="Hyperlink"/>
            <w:u w:val="none"/>
          </w:rPr>
          <w:t>https://www.eib.org/en/publications/investment-report-2019</w:t>
        </w:r>
      </w:hyperlink>
      <w:r>
        <w:t xml:space="preserve"> </w:t>
      </w:r>
    </w:p>
  </w:footnote>
  <w:footnote w:id="480">
    <w:p>
      <w:pPr>
        <w:pStyle w:val="footnote"/>
        <w:tabs>
          <w:tab w:val="left" w:pos="709"/>
        </w:tabs>
        <w:snapToGrid w:val="0"/>
      </w:pPr>
      <w:r>
        <w:rPr>
          <w:rStyle w:val="FootnoteReference"/>
        </w:rPr>
        <w:footnoteRef/>
      </w:r>
      <w:r>
        <w:t xml:space="preserve"> European Commission (2019), ‘Transport in the European Union - Current Trends and Issues’. </w:t>
      </w:r>
      <w:hyperlink r:id="rId86" w:history="1">
        <w:r>
          <w:rPr>
            <w:rStyle w:val="Hyperlink"/>
            <w:u w:val="none"/>
          </w:rPr>
          <w:t>https://ec.europa.eu/transport/sites/transport/files/2019-transport-in-the-eu-current-trends-and-issues.pdf</w:t>
        </w:r>
      </w:hyperlink>
      <w:r>
        <w:rPr>
          <w:b/>
          <w:bCs/>
        </w:rPr>
        <w:t>.</w:t>
      </w:r>
      <w:r>
        <w:t>.</w:t>
      </w:r>
    </w:p>
  </w:footnote>
  <w:footnote w:id="481">
    <w:p>
      <w:pPr>
        <w:pStyle w:val="footnote"/>
        <w:tabs>
          <w:tab w:val="left" w:pos="709"/>
        </w:tabs>
        <w:snapToGrid w:val="0"/>
      </w:pPr>
      <w:r>
        <w:rPr>
          <w:rStyle w:val="FootnoteReference"/>
        </w:rPr>
        <w:footnoteRef/>
      </w:r>
      <w:r>
        <w:t xml:space="preserve"> European Investment Bank (2019), ‘EIB Investment Report 2019/2020. Accelerating Europe's Transformation’. </w:t>
      </w:r>
      <w:hyperlink r:id="rId87" w:history="1">
        <w:r>
          <w:rPr>
            <w:rStyle w:val="Hyperlink"/>
            <w:u w:val="none"/>
          </w:rPr>
          <w:t>https://www.eib.org/en/publications/investment-report-2019</w:t>
        </w:r>
      </w:hyperlink>
      <w:r>
        <w:t xml:space="preserve"> </w:t>
      </w:r>
    </w:p>
  </w:footnote>
  <w:footnote w:id="482">
    <w:p>
      <w:pPr>
        <w:pStyle w:val="footnote"/>
        <w:tabs>
          <w:tab w:val="left" w:pos="709"/>
        </w:tabs>
        <w:snapToGrid w:val="0"/>
      </w:pPr>
      <w:r>
        <w:rPr>
          <w:rStyle w:val="FootnoteReference"/>
        </w:rPr>
        <w:footnoteRef/>
      </w:r>
      <w:r>
        <w:t xml:space="preserve"> Ibid.</w:t>
      </w:r>
    </w:p>
  </w:footnote>
  <w:footnote w:id="483">
    <w:p>
      <w:pPr>
        <w:pStyle w:val="footnote"/>
        <w:tabs>
          <w:tab w:val="left" w:pos="709"/>
        </w:tabs>
        <w:snapToGrid w:val="0"/>
      </w:pPr>
      <w:r>
        <w:rPr>
          <w:rStyle w:val="FootnoteReference"/>
        </w:rPr>
        <w:footnoteRef/>
      </w:r>
      <w:r>
        <w:t xml:space="preserve"> European Commission (2019): ), DG REGIO Working Paper – ‘Road Transport Performance in Europe, Introducing a New Accessibility Framework’. </w:t>
      </w:r>
      <w:hyperlink r:id="rId88" w:history="1">
        <w:r>
          <w:rPr>
            <w:rStyle w:val="Hyperlink"/>
            <w:u w:val="none"/>
          </w:rPr>
          <w:t>https://ec.europa.eu/regional_policy/en/information/publications/working-papers/2019/road-transport-performance-in-europe</w:t>
        </w:r>
      </w:hyperlink>
      <w:r>
        <w:t xml:space="preserve"> .</w:t>
      </w:r>
    </w:p>
  </w:footnote>
  <w:footnote w:id="484">
    <w:p>
      <w:pPr>
        <w:pStyle w:val="footnote"/>
        <w:tabs>
          <w:tab w:val="left" w:pos="709"/>
        </w:tabs>
        <w:snapToGrid w:val="0"/>
      </w:pPr>
      <w:r>
        <w:rPr>
          <w:rStyle w:val="FootnoteReference"/>
        </w:rPr>
        <w:footnoteRef/>
      </w:r>
      <w:r>
        <w:t xml:space="preserve"> Ibid.</w:t>
      </w:r>
    </w:p>
  </w:footnote>
  <w:footnote w:id="485">
    <w:p>
      <w:pPr>
        <w:pStyle w:val="footnote"/>
        <w:tabs>
          <w:tab w:val="left" w:pos="709"/>
        </w:tabs>
        <w:snapToGrid w:val="0"/>
      </w:pPr>
      <w:r>
        <w:rPr>
          <w:rStyle w:val="FootnoteReference"/>
        </w:rPr>
        <w:footnoteRef/>
      </w:r>
      <w:r>
        <w:t xml:space="preserve"> World Economic Forum (2019), ‘The Global Competiveness Report 2019’.</w:t>
      </w:r>
    </w:p>
  </w:footnote>
  <w:footnote w:id="486">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SWD(2020) 98 final, based on TEN-T related estimates and EIB calculations. This estimate does not include the costs of equity repairs, or that of the regular renewal of the fleet, which however may be delayed due to the impact of the COVID-19 pandemic on transport companies.</w:t>
      </w:r>
    </w:p>
  </w:footnote>
  <w:footnote w:id="487">
    <w:p>
      <w:pPr>
        <w:tabs>
          <w:tab w:val="left" w:pos="709"/>
        </w:tabs>
        <w:spacing w:after="0" w:line="240" w:lineRule="auto"/>
        <w:rPr>
          <w:sz w:val="16"/>
          <w:szCs w:val="16"/>
        </w:rPr>
      </w:pPr>
    </w:p>
    <w:p>
      <w:pPr>
        <w:pStyle w:val="footnote"/>
        <w:tabs>
          <w:tab w:val="left" w:pos="709"/>
        </w:tabs>
        <w:snapToGrid w:val="0"/>
      </w:pPr>
    </w:p>
  </w:footnote>
  <w:footnote w:id="488">
    <w:p>
      <w:pPr>
        <w:pStyle w:val="footnote"/>
        <w:tabs>
          <w:tab w:val="left" w:pos="709"/>
        </w:tabs>
        <w:snapToGrid w:val="0"/>
        <w:rPr>
          <w:rStyle w:val="Hyperlink"/>
          <w:u w:val="none"/>
          <w:lang w:val="fr-BE"/>
        </w:rPr>
      </w:pPr>
      <w:r>
        <w:rPr>
          <w:rStyle w:val="FootnoteReference"/>
        </w:rPr>
        <w:footnoteRef/>
      </w:r>
      <w:r>
        <w:t xml:space="preserve"> CE Delft (2019), ‘Handbook on the External Costs of Transport. </w:t>
      </w:r>
      <w:r>
        <w:rPr>
          <w:lang w:val="fr-BE"/>
        </w:rPr>
        <w:t xml:space="preserve">Version 2019’. </w:t>
      </w:r>
    </w:p>
    <w:p>
      <w:pPr>
        <w:pStyle w:val="footnote"/>
        <w:tabs>
          <w:tab w:val="left" w:pos="709"/>
        </w:tabs>
        <w:snapToGrid w:val="0"/>
        <w:rPr>
          <w:lang w:val="fr-BE"/>
        </w:rPr>
      </w:pPr>
      <w:r>
        <w:rPr>
          <w:lang w:val="fr-BE"/>
        </w:rPr>
        <w:t>https://op.europa.eu/en/publication-detail/-/publication/9781f65f-8448-11ea-bf12-01aa75ed71a1</w:t>
      </w:r>
    </w:p>
  </w:footnote>
  <w:footnote w:id="489">
    <w:p>
      <w:pPr>
        <w:pStyle w:val="footnote"/>
        <w:tabs>
          <w:tab w:val="left" w:pos="709"/>
        </w:tabs>
        <w:snapToGrid w:val="0"/>
      </w:pPr>
      <w:r>
        <w:rPr>
          <w:rStyle w:val="FootnoteReference"/>
        </w:rPr>
        <w:footnoteRef/>
      </w:r>
      <w:r>
        <w:t xml:space="preserve"> 6</w:t>
      </w:r>
      <w:r>
        <w:rPr>
          <w:vertAlign w:val="superscript"/>
        </w:rPr>
        <w:t>th</w:t>
      </w:r>
      <w:r>
        <w:t xml:space="preserve"> RMMS report, p. 68 f, </w:t>
      </w:r>
      <w:hyperlink r:id="rId89" w:history="1">
        <w:r>
          <w:rPr>
            <w:rStyle w:val="Hyperlink"/>
            <w:u w:val="none"/>
          </w:rPr>
          <w:t>https://ec.europa.eu/transport/sites/transport/files/6th_rmms_report.pdf</w:t>
        </w:r>
      </w:hyperlink>
    </w:p>
  </w:footnote>
  <w:footnote w:id="490">
    <w:p>
      <w:pPr>
        <w:pStyle w:val="footnote"/>
        <w:tabs>
          <w:tab w:val="left" w:pos="709"/>
        </w:tabs>
        <w:snapToGrid w:val="0"/>
        <w:rPr>
          <w:lang w:val="en-IE"/>
        </w:rPr>
      </w:pPr>
      <w:r>
        <w:rPr>
          <w:rStyle w:val="FootnoteReference"/>
        </w:rPr>
        <w:footnoteRef/>
      </w:r>
      <w:r>
        <w:t xml:space="preserve"> Directive 2012/34/EU of the European Parliament and of the Council of 21 November 2012 establishing a single European railway area, OJ L 343, 14.12.2012, p. 32.</w:t>
      </w:r>
    </w:p>
  </w:footnote>
  <w:footnote w:id="491">
    <w:p>
      <w:pPr>
        <w:pStyle w:val="FootnoteText"/>
        <w:spacing w:after="0" w:line="240" w:lineRule="auto"/>
        <w:ind w:left="0" w:firstLine="0"/>
      </w:pPr>
      <w:r>
        <w:rPr>
          <w:rStyle w:val="FootnoteReference"/>
        </w:rPr>
        <w:footnoteRef/>
      </w:r>
      <w:r>
        <w:t xml:space="preserve"> </w:t>
      </w:r>
      <w:r>
        <w:rPr>
          <w:sz w:val="16"/>
        </w:rPr>
        <w:t>COM (2018) 438 Proposal for a Regulation of the European Parliamanet and of the Council establishing the Connecting Europe Facility and repealing Regulations (EU) No 1316/2013 and (EU) No 283/2014</w:t>
      </w:r>
    </w:p>
  </w:footnote>
  <w:footnote w:id="492">
    <w:p>
      <w:pPr>
        <w:pStyle w:val="footnote"/>
        <w:tabs>
          <w:tab w:val="left" w:pos="709"/>
        </w:tabs>
        <w:snapToGrid w:val="0"/>
      </w:pPr>
      <w:r>
        <w:rPr>
          <w:rStyle w:val="FootnoteReference"/>
        </w:rPr>
        <w:footnoteRef/>
      </w:r>
      <w:hyperlink r:id="rId90" w:history="1">
        <w:r>
          <w:rPr>
            <w:rStyle w:val="Hyperlink"/>
            <w:u w:val="none"/>
          </w:rPr>
          <w:t>http://www.euro.who.int/en/health-topics/environment-and-health/Transport-and-health/activities/guidance-and-tools/health-economic-assessment-tool-heat-for-cycling-and-walking</w:t>
        </w:r>
      </w:hyperlink>
      <w:r>
        <w:t xml:space="preserve"> </w:t>
      </w:r>
    </w:p>
  </w:footnote>
  <w:footnote w:id="493">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MEAT enables the contracting authority to take account of criteria that reflect qualitative, technical and sustainability aspects as well as price.</w:t>
      </w:r>
    </w:p>
  </w:footnote>
  <w:footnote w:id="494">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Member States may use the options to regulate participation to public tenders, as explained in the 2019 Guidance on the participation of third-country bidders and goods in the EU procurement market (in particular Article 25 of Directive 2014/24/EU and Article 85 of Directive 2014/25/EU).</w:t>
      </w:r>
    </w:p>
  </w:footnote>
  <w:footnote w:id="495">
    <w:p>
      <w:pPr>
        <w:pStyle w:val="footnote"/>
        <w:tabs>
          <w:tab w:val="left" w:pos="709"/>
        </w:tabs>
        <w:snapToGrid w:val="0"/>
      </w:pPr>
      <w:r>
        <w:rPr>
          <w:rStyle w:val="FootnoteReference"/>
        </w:rPr>
        <w:footnoteRef/>
      </w:r>
      <w:r>
        <w:t xml:space="preserve"> For instance, in rail there are some examples of excellent monitoring and managing the state-of-repair of infrastructure, e.g. </w:t>
      </w:r>
      <w:hyperlink r:id="rId91" w:history="1">
        <w:r>
          <w:rPr>
            <w:rStyle w:val="Hyperlink"/>
            <w:u w:val="none"/>
          </w:rPr>
          <w:t>https://www.eba.bund.de/DE/Themen/Finanzierung/LuFV/IZB/izb_node.html</w:t>
        </w:r>
      </w:hyperlink>
      <w:r>
        <w:t xml:space="preserve"> </w:t>
      </w:r>
    </w:p>
  </w:footnote>
  <w:footnote w:id="496">
    <w:p>
      <w:pPr>
        <w:pStyle w:val="footnote"/>
        <w:tabs>
          <w:tab w:val="left" w:pos="709"/>
        </w:tabs>
        <w:snapToGrid w:val="0"/>
      </w:pPr>
      <w:r>
        <w:rPr>
          <w:rStyle w:val="FootnoteReference"/>
        </w:rPr>
        <w:footnoteRef/>
      </w:r>
      <w:hyperlink r:id="rId92" w:history="1">
        <w:r>
          <w:rPr>
            <w:rStyle w:val="Hyperlink"/>
            <w:u w:val="none"/>
            <w:lang w:val="en-US"/>
          </w:rPr>
          <w:t>https://publications.jrc.ec.europa.eu/repository/bitstream/JRC72217/transport%20and%20climate%20change%20final%20report.pdf</w:t>
        </w:r>
      </w:hyperlink>
    </w:p>
  </w:footnote>
  <w:footnote w:id="497">
    <w:p>
      <w:pPr>
        <w:pStyle w:val="footnote"/>
        <w:tabs>
          <w:tab w:val="left" w:pos="709"/>
        </w:tabs>
        <w:snapToGrid w:val="0"/>
      </w:pPr>
      <w:r>
        <w:rPr>
          <w:rStyle w:val="FootnoteReference"/>
        </w:rPr>
        <w:footnoteRef/>
      </w:r>
      <w:r>
        <w:t xml:space="preserve"> </w:t>
      </w:r>
      <w:hyperlink r:id="rId93" w:history="1">
        <w:r>
          <w:rPr>
            <w:rStyle w:val="Hyperlink"/>
            <w:u w:val="none"/>
            <w:lang w:val="en-US"/>
          </w:rPr>
          <w:t>https://publications.jrc.ec.europa.eu/repository/bitstream/JRC108865/jrc108865_final.pdf</w:t>
        </w:r>
      </w:hyperlink>
    </w:p>
  </w:footnote>
  <w:footnote w:id="498">
    <w:p>
      <w:pPr>
        <w:pStyle w:val="Default"/>
        <w:tabs>
          <w:tab w:val="left" w:pos="709"/>
        </w:tabs>
        <w:snapToGrid w:val="0"/>
        <w:jc w:val="both"/>
        <w:rPr>
          <w:rFonts w:ascii="Times New Roman" w:hAnsi="Times New Roman" w:cs="Times New Roman"/>
          <w:sz w:val="16"/>
          <w:szCs w:val="16"/>
        </w:rPr>
      </w:pPr>
      <w:r>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A Joint Commission and High Representative Action Plan on Military Mobility was adopted in March 2018. It identifies EU-level actions to support the protection / defence of the Union. In the area of transport, the Action Plan identifies two areas for action: (i) transport infrastructure development; and (ii) transport of dangerous goods. </w:t>
      </w:r>
    </w:p>
  </w:footnote>
  <w:footnote w:id="499">
    <w:p>
      <w:pPr>
        <w:pStyle w:val="FootnoteText"/>
        <w:tabs>
          <w:tab w:val="left" w:pos="709"/>
        </w:tabs>
        <w:snapToGrid w:val="0"/>
        <w:spacing w:after="0" w:line="240" w:lineRule="auto"/>
        <w:rPr>
          <w:sz w:val="16"/>
          <w:szCs w:val="16"/>
        </w:rPr>
      </w:pPr>
      <w:r>
        <w:rPr>
          <w:rStyle w:val="FootnoteReference"/>
          <w:sz w:val="16"/>
          <w:szCs w:val="16"/>
        </w:rPr>
        <w:footnoteRef/>
      </w:r>
      <w:r>
        <w:rPr>
          <w:sz w:val="16"/>
          <w:szCs w:val="16"/>
        </w:rPr>
        <w:t xml:space="preserve"> COM(2020) 575 final</w:t>
      </w:r>
    </w:p>
  </w:footnote>
  <w:footnote w:id="500">
    <w:p>
      <w:pPr>
        <w:pStyle w:val="FootnoteText"/>
        <w:spacing w:after="0" w:line="240" w:lineRule="auto"/>
        <w:rPr>
          <w:sz w:val="16"/>
        </w:rPr>
      </w:pPr>
      <w:r>
        <w:rPr>
          <w:rStyle w:val="FootnoteReference"/>
        </w:rPr>
        <w:footnoteRef/>
      </w:r>
      <w:r>
        <w:t xml:space="preserve"> </w:t>
      </w:r>
      <w:r>
        <w:rPr>
          <w:sz w:val="16"/>
        </w:rPr>
        <w:t>https://ec.europa.eu/info/departments/recovery-and-resilience-task-force_en#Documents</w:t>
      </w:r>
    </w:p>
  </w:footnote>
  <w:footnote w:id="501">
    <w:p>
      <w:pPr>
        <w:pStyle w:val="FootnoteText"/>
        <w:spacing w:after="0" w:line="240" w:lineRule="auto"/>
      </w:pPr>
      <w:r>
        <w:rPr>
          <w:rStyle w:val="FootnoteReference"/>
        </w:rPr>
        <w:footnoteRef/>
      </w:r>
      <w:r>
        <w:t xml:space="preserve"> </w:t>
      </w:r>
      <w:r>
        <w:rPr>
          <w:sz w:val="16"/>
        </w:rPr>
        <w:t>https://ec.europa.eu/info/sites/info/files/component_clean_urban_mobility.pdf</w:t>
      </w:r>
    </w:p>
  </w:footnote>
  <w:footnote w:id="502">
    <w:p>
      <w:pPr>
        <w:pStyle w:val="footnote"/>
        <w:tabs>
          <w:tab w:val="left" w:pos="709"/>
        </w:tabs>
        <w:snapToGrid w:val="0"/>
      </w:pPr>
      <w:r>
        <w:rPr>
          <w:rStyle w:val="FootnoteReference"/>
        </w:rPr>
        <w:footnoteRef/>
      </w:r>
      <w:r>
        <w:t xml:space="preserve"> NER 300 is a funding programme pooling together about EUR 2 billion for innovative low-carbon technology, focusing on the demonstration of environmentally safe Carbon Capture and Storage (CCS) and innovative renewable energy technologies on a commercial scale within the EU.</w:t>
      </w:r>
    </w:p>
  </w:footnote>
  <w:footnote w:id="503">
    <w:p>
      <w:pPr>
        <w:pStyle w:val="footnote"/>
        <w:tabs>
          <w:tab w:val="left" w:pos="709"/>
        </w:tabs>
        <w:snapToGrid w:val="0"/>
        <w:rPr>
          <w:lang w:val="en-IE"/>
        </w:rPr>
      </w:pPr>
      <w:r>
        <w:rPr>
          <w:rStyle w:val="FootnoteReference"/>
        </w:rPr>
        <w:footnoteRef/>
      </w:r>
      <w:r>
        <w:t xml:space="preserve"> Overview of transport infrastructure expenditure and costs: </w:t>
      </w:r>
      <w:r>
        <w:rPr>
          <w:lang w:val="en-IE"/>
        </w:rPr>
        <w:t xml:space="preserve">https://ec.europa.eu/transport/sites/transport/files/studies/overview-transport-infrastructure-expenditures-costs-isbn-978-92-79-96920-1.pdf </w:t>
      </w:r>
    </w:p>
  </w:footnote>
  <w:footnote w:id="504">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White Paper – Roadmap to a Single European Transport Area – Towards a competitive and resource efficient transport system, COM (2011) 144 final.</w:t>
      </w:r>
    </w:p>
  </w:footnote>
  <w:footnote w:id="505">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Regulation (EU) No 2020/1054 of the European Parliament and of the Council of 15 July 2020 amending Regulation (EC) No 561/2006 as regards minimum requirements on maximum daily and  weekly driving times, minimum breaks and daily and weekly rest periods and Regulation (EU) No 165/2014 as regards positioning by means of tachographs; Regulation (EU) 2020/1055 of the European Parliament and of the Council of 15 July 2020 amending Regulations (EC) No 1071/2009, (EC)No 1072/2009 and 9EU) 1024/2012 with a view to adapting them to developments in road transport sector; Directive (EU) 2020/1057 of the European Parliament and of the Council of 15 July 2020 laying down specific rules with respect to Directive 96/71/EC and Directive 2014/67/EU for posting drivers in road transport sector and amending Directive 2006/22/EC as regards enforcement requirements and Regulation (EU) No 1024/2012.</w:t>
      </w:r>
    </w:p>
  </w:footnote>
  <w:footnote w:id="506">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Commission Implementing Regulation (EU) 2017/2177 of 22 November 2017 on access to service facilities and rail-related services, https://eur-lex.europa.eu/legal-content/EN/TXT/?uri=CELEX%3A32017R2177</w:t>
      </w:r>
    </w:p>
  </w:footnote>
  <w:footnote w:id="507">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In particular Directive 2012/34/EU establishing a single European rail area, as amended by the Fourth Railway Package, https://eur-lex.europa.eu/legal-content/EN/TXT/?uri=CELEX:02012L0034-20190101</w:t>
      </w:r>
    </w:p>
  </w:footnote>
  <w:footnote w:id="508">
    <w:p>
      <w:pPr>
        <w:pStyle w:val="FootnoteText"/>
        <w:tabs>
          <w:tab w:val="left" w:pos="709"/>
        </w:tabs>
        <w:snapToGrid w:val="0"/>
        <w:spacing w:after="0" w:line="240" w:lineRule="auto"/>
        <w:rPr>
          <w:sz w:val="16"/>
          <w:szCs w:val="16"/>
        </w:rPr>
      </w:pPr>
      <w:r>
        <w:rPr>
          <w:rStyle w:val="FootnoteReference"/>
          <w:sz w:val="16"/>
          <w:szCs w:val="16"/>
        </w:rPr>
        <w:footnoteRef/>
      </w:r>
      <w:r>
        <w:rPr>
          <w:sz w:val="16"/>
          <w:szCs w:val="16"/>
        </w:rPr>
        <w:t xml:space="preserve"> </w:t>
      </w:r>
      <w:r>
        <w:rPr>
          <w:sz w:val="16"/>
          <w:szCs w:val="16"/>
        </w:rPr>
        <w:tab/>
        <w:t>Mostly, Regulation n</w:t>
      </w:r>
      <w:r>
        <w:rPr>
          <w:rFonts w:eastAsiaTheme="minorEastAsia"/>
          <w:sz w:val="16"/>
          <w:szCs w:val="16"/>
          <w:lang w:eastAsia="ja-JP"/>
        </w:rPr>
        <w:t>°</w:t>
      </w:r>
      <w:r>
        <w:rPr>
          <w:sz w:val="16"/>
          <w:szCs w:val="16"/>
        </w:rPr>
        <w:t xml:space="preserve">1370/2007 and the Community guidelines on State aid for railway undertakings of 22/7/2008. </w:t>
      </w:r>
    </w:p>
  </w:footnote>
  <w:footnote w:id="509">
    <w:p>
      <w:pPr>
        <w:pStyle w:val="footnote"/>
        <w:tabs>
          <w:tab w:val="left" w:pos="709"/>
        </w:tabs>
        <w:snapToGrid w:val="0"/>
        <w:rPr>
          <w:lang w:val="en-IE"/>
        </w:rPr>
      </w:pPr>
      <w:r>
        <w:rPr>
          <w:rStyle w:val="FootnoteReference"/>
        </w:rPr>
        <w:footnoteRef/>
      </w:r>
      <w:r>
        <w:t xml:space="preserve"> Including study on “Remaining challenges for EU-wide integrated ticketing and payment systems”, European Commission, Grimaldi Studio Legale , VVA , Wavestone, 2019 https://op.europa.eu/en/publication-detail/-/publication/8a7b0dd0-df3d-11e9-9c4e-01aa75ed71a1/language-en</w:t>
      </w:r>
    </w:p>
  </w:footnote>
  <w:footnote w:id="510">
    <w:p>
      <w:pPr>
        <w:pStyle w:val="footnote"/>
        <w:tabs>
          <w:tab w:val="left" w:pos="709"/>
        </w:tabs>
        <w:snapToGrid w:val="0"/>
      </w:pPr>
      <w:r>
        <w:rPr>
          <w:rStyle w:val="FootnoteReference"/>
        </w:rPr>
        <w:footnoteRef/>
      </w:r>
      <w:r>
        <w:t xml:space="preserve"> See also CER “Public Service Rail Transport in the European Union: an Overview”, June 2017. </w:t>
      </w:r>
    </w:p>
  </w:footnote>
  <w:footnote w:id="511">
    <w:p>
      <w:pPr>
        <w:pStyle w:val="footnote"/>
        <w:tabs>
          <w:tab w:val="left" w:pos="709"/>
        </w:tabs>
        <w:snapToGrid w:val="0"/>
      </w:pPr>
      <w:r>
        <w:rPr>
          <w:rStyle w:val="FootnoteReference"/>
        </w:rPr>
        <w:footnoteRef/>
      </w:r>
      <w:r>
        <w:t xml:space="preserve"> See ALLRAIL contribution of 22 May 2019 to the consultation of stakeholders of future transport strategy. </w:t>
      </w:r>
    </w:p>
  </w:footnote>
  <w:footnote w:id="512">
    <w:p>
      <w:pPr>
        <w:pStyle w:val="footnote"/>
        <w:tabs>
          <w:tab w:val="left" w:pos="709"/>
        </w:tabs>
        <w:snapToGrid w:val="0"/>
      </w:pPr>
      <w:r>
        <w:rPr>
          <w:rStyle w:val="FootnoteReference"/>
        </w:rPr>
        <w:footnoteRef/>
      </w:r>
      <w:r>
        <w:t xml:space="preserve"> See IRG-Rail contribution to the stakeholders’ consultation on the future transport strategy of 12 May 2017. </w:t>
      </w:r>
    </w:p>
  </w:footnote>
  <w:footnote w:id="513">
    <w:p>
      <w:pPr>
        <w:pStyle w:val="footnote"/>
        <w:tabs>
          <w:tab w:val="left" w:pos="709"/>
        </w:tabs>
        <w:snapToGrid w:val="0"/>
      </w:pPr>
      <w:r>
        <w:rPr>
          <w:rStyle w:val="FootnoteReference"/>
        </w:rPr>
        <w:footnoteRef/>
      </w:r>
      <w:r>
        <w:t xml:space="preserve"> Regulation (EC) No 1370/2007 of the European Parliament and of the Council of 23 October 2007 on public passenger transport services by rail and by road and repealing Council Regulations (EEC) Nos 1191/69 and 1107/70, OJ L 315, 3.12.2007, p. 1. </w:t>
      </w:r>
    </w:p>
  </w:footnote>
  <w:footnote w:id="514">
    <w:p>
      <w:pPr>
        <w:pStyle w:val="footnote"/>
        <w:tabs>
          <w:tab w:val="left" w:pos="709"/>
        </w:tabs>
        <w:snapToGrid w:val="0"/>
      </w:pPr>
      <w:r>
        <w:rPr>
          <w:rStyle w:val="FootnoteReference"/>
        </w:rPr>
        <w:footnoteRef/>
      </w:r>
      <w:r>
        <w:t xml:space="preserve"> Regulation (EC) No 1008/2008 of the European Parliament and of the Council of 24 September 2008 on common rules for the operation of air services in the Community (Recast), OJ L 293, 31.10.2008, p. 3.</w:t>
      </w:r>
    </w:p>
  </w:footnote>
  <w:footnote w:id="515">
    <w:p>
      <w:pPr>
        <w:pStyle w:val="footnote"/>
        <w:tabs>
          <w:tab w:val="left" w:pos="709"/>
        </w:tabs>
        <w:snapToGrid w:val="0"/>
      </w:pPr>
      <w:r>
        <w:rPr>
          <w:rStyle w:val="FootnoteReference"/>
        </w:rPr>
        <w:footnoteRef/>
      </w:r>
      <w:r>
        <w:t xml:space="preserve"> SWD(2019) 295 final</w:t>
      </w:r>
    </w:p>
  </w:footnote>
  <w:footnote w:id="516">
    <w:p>
      <w:pPr>
        <w:pStyle w:val="footnote"/>
        <w:tabs>
          <w:tab w:val="left" w:pos="709"/>
        </w:tabs>
        <w:snapToGrid w:val="0"/>
      </w:pPr>
      <w:r>
        <w:rPr>
          <w:rStyle w:val="FootnoteReference"/>
        </w:rPr>
        <w:footnoteRef/>
      </w:r>
      <w:r>
        <w:t xml:space="preserve"> SWD(2020) 9 final, and </w:t>
      </w:r>
      <w:r>
        <w:rPr>
          <w:i/>
          <w:iCs/>
        </w:rPr>
        <w:t>Executive Summary</w:t>
      </w:r>
      <w:r>
        <w:t xml:space="preserve"> SWD(2020) 11 final.</w:t>
      </w:r>
    </w:p>
    <w:p>
      <w:pPr>
        <w:pStyle w:val="footnote"/>
        <w:tabs>
          <w:tab w:val="left" w:pos="709"/>
        </w:tabs>
        <w:snapToGrid w:val="0"/>
      </w:pPr>
      <w:r>
        <w:t xml:space="preserve"> https://ec.europa.eu/transport/sites/transport/files/legislation/swd20200009.pdf</w:t>
      </w:r>
    </w:p>
  </w:footnote>
  <w:footnote w:id="517">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COM(2020)579 final.</w:t>
      </w:r>
    </w:p>
  </w:footnote>
  <w:footnote w:id="518">
    <w:p>
      <w:pPr>
        <w:pStyle w:val="footnote"/>
        <w:tabs>
          <w:tab w:val="left" w:pos="709"/>
        </w:tabs>
        <w:snapToGrid w:val="0"/>
      </w:pPr>
      <w:r>
        <w:rPr>
          <w:rStyle w:val="FootnoteReference"/>
        </w:rPr>
        <w:footnoteRef/>
      </w:r>
      <w:r>
        <w:t xml:space="preserve"> International Certificate for Operators of Pleasure Craft, Resolution No. 40 adopted by the UNECE Working Party on Inland Water Transport</w:t>
      </w:r>
    </w:p>
  </w:footnote>
  <w:footnote w:id="519">
    <w:p>
      <w:pPr>
        <w:pStyle w:val="footnote"/>
        <w:tabs>
          <w:tab w:val="left" w:pos="709"/>
        </w:tabs>
        <w:snapToGrid w:val="0"/>
      </w:pPr>
      <w:r>
        <w:rPr>
          <w:rStyle w:val="FootnoteReference"/>
        </w:rPr>
        <w:footnoteRef/>
      </w:r>
      <w:r>
        <w:t xml:space="preserve"> This Commission is further strengthening social dialogue and social partner involvement in the definition of EU initiatives. President Ursula von der Leyen stressed her firm commitment to strengthen social dialogue and to engage with social partners at the EU level across all of our priorities, including sectoral initiatives having a social dimension. The Commission Communication of 27 May on the Recovery Plan also underlined the need for a close cooperation with social partners to achieve a fair and inclusive recovery. In times of economic crisis, a well-functioning social dialogue becomes even more important to create the conditions for a sustainable recovery. </w:t>
      </w:r>
    </w:p>
    <w:p>
      <w:pPr>
        <w:pStyle w:val="footnote"/>
        <w:tabs>
          <w:tab w:val="left" w:pos="709"/>
        </w:tabs>
        <w:snapToGrid w:val="0"/>
      </w:pPr>
      <w:r>
        <w:t>In this context, DG MOVE and DG EMPL organised a dedicated hearing with all the transport social partners on the Strategy for Sustainable and Smart Mobility. The objective of the hearing was to complement the open public consultation through a targeted consultation of social partners. Moreover, social partners were given the opportunity to send written material, in addition to the formal Open Public Consultation.</w:t>
      </w:r>
    </w:p>
  </w:footnote>
  <w:footnote w:id="520">
    <w:p>
      <w:pPr>
        <w:pStyle w:val="FootnoteText"/>
        <w:tabs>
          <w:tab w:val="left" w:pos="709"/>
        </w:tabs>
        <w:spacing w:after="0" w:line="240" w:lineRule="auto"/>
        <w:rPr>
          <w:sz w:val="16"/>
          <w:szCs w:val="16"/>
          <w:lang w:val="en-IE"/>
        </w:rPr>
      </w:pPr>
      <w:r>
        <w:rPr>
          <w:rStyle w:val="FootnoteReference"/>
          <w:sz w:val="16"/>
          <w:szCs w:val="16"/>
        </w:rPr>
        <w:footnoteRef/>
      </w:r>
      <w:r>
        <w:rPr>
          <w:sz w:val="16"/>
          <w:szCs w:val="16"/>
        </w:rPr>
        <w:t xml:space="preserve"> The European Disability Forum estimates the number of persons with disabilities to be over 100 million in Europe.</w:t>
      </w:r>
    </w:p>
  </w:footnote>
  <w:footnote w:id="521">
    <w:p>
      <w:pPr>
        <w:pStyle w:val="footnote"/>
        <w:tabs>
          <w:tab w:val="left" w:pos="709"/>
        </w:tabs>
        <w:snapToGrid w:val="0"/>
      </w:pPr>
      <w:r>
        <w:rPr>
          <w:rStyle w:val="FootnoteReference"/>
        </w:rPr>
        <w:footnoteRef/>
      </w:r>
      <w:r>
        <w:t xml:space="preserve"> Ex-post evaluation of social legislation in road transport and its enforcement, Final report, Page 127. </w:t>
      </w:r>
    </w:p>
    <w:p>
      <w:pPr>
        <w:pStyle w:val="footnote"/>
        <w:tabs>
          <w:tab w:val="left" w:pos="709"/>
        </w:tabs>
        <w:snapToGrid w:val="0"/>
      </w:pPr>
      <w:r>
        <w:t>https://ec.europa.eu/transport/sites/transport/files/facts-fundings/evaluations/doc/2016-ex-post-eval-road-transport-social-legislation-final-report.pdf</w:t>
      </w:r>
    </w:p>
  </w:footnote>
  <w:footnote w:id="522">
    <w:p>
      <w:pPr>
        <w:pStyle w:val="footnote"/>
        <w:tabs>
          <w:tab w:val="left" w:pos="709"/>
        </w:tabs>
        <w:snapToGrid w:val="0"/>
        <w:rPr>
          <w:lang w:val="en-IE"/>
        </w:rPr>
      </w:pPr>
      <w:r>
        <w:rPr>
          <w:rStyle w:val="FootnoteReference"/>
        </w:rPr>
        <w:footnoteRef/>
      </w:r>
      <w:r>
        <w:t xml:space="preserve"> </w:t>
      </w:r>
      <w:r>
        <w:rPr>
          <w:lang w:val="en-IE"/>
        </w:rPr>
        <w:t xml:space="preserve">https://op.europa.eu/en/publication-detail/-/publication/97abb7bb-54f3-11e9-a8ed-01aa75ed71a1 </w:t>
      </w:r>
    </w:p>
  </w:footnote>
  <w:footnote w:id="523">
    <w:p>
      <w:pPr>
        <w:pStyle w:val="FootnoteText"/>
        <w:tabs>
          <w:tab w:val="left" w:pos="709"/>
        </w:tabs>
        <w:snapToGrid w:val="0"/>
        <w:spacing w:after="0" w:line="240" w:lineRule="auto"/>
        <w:rPr>
          <w:sz w:val="16"/>
          <w:szCs w:val="16"/>
          <w:lang w:val="en-US"/>
        </w:rPr>
      </w:pPr>
      <w:r>
        <w:rPr>
          <w:rStyle w:val="FootnoteReference"/>
          <w:sz w:val="16"/>
          <w:szCs w:val="16"/>
        </w:rPr>
        <w:footnoteRef/>
      </w:r>
      <w:r>
        <w:rPr>
          <w:sz w:val="16"/>
          <w:szCs w:val="16"/>
        </w:rPr>
        <w:t xml:space="preserve"> </w:t>
      </w:r>
      <w:r>
        <w:rPr>
          <w:sz w:val="16"/>
          <w:szCs w:val="16"/>
          <w:lang w:val="en-US"/>
        </w:rPr>
        <w:t>In the context of EGHD: Expert Group on the Human Dimension of the Single European Sky</w:t>
      </w:r>
    </w:p>
  </w:footnote>
  <w:footnote w:id="524">
    <w:p>
      <w:pPr>
        <w:pStyle w:val="FootnoteText"/>
        <w:tabs>
          <w:tab w:val="left" w:pos="709"/>
        </w:tabs>
        <w:spacing w:after="0" w:line="240" w:lineRule="auto"/>
        <w:rPr>
          <w:sz w:val="16"/>
          <w:szCs w:val="16"/>
          <w:lang w:val="en-IE"/>
        </w:rPr>
      </w:pPr>
      <w:r>
        <w:rPr>
          <w:rStyle w:val="FootnoteReference"/>
          <w:sz w:val="16"/>
          <w:szCs w:val="16"/>
        </w:rPr>
        <w:footnoteRef/>
      </w:r>
      <w:r>
        <w:rPr>
          <w:sz w:val="16"/>
          <w:szCs w:val="16"/>
        </w:rPr>
        <w:t xml:space="preserve"> Regulation (EC) No 883/2004, social security coordination.</w:t>
      </w:r>
    </w:p>
  </w:footnote>
  <w:footnote w:id="525">
    <w:p>
      <w:pPr>
        <w:pStyle w:val="FootnoteText"/>
        <w:tabs>
          <w:tab w:val="left" w:pos="709"/>
        </w:tabs>
        <w:snapToGrid w:val="0"/>
        <w:spacing w:after="0" w:line="240" w:lineRule="auto"/>
        <w:rPr>
          <w:sz w:val="16"/>
          <w:szCs w:val="16"/>
        </w:rPr>
      </w:pPr>
      <w:r>
        <w:rPr>
          <w:rStyle w:val="FootnoteReference"/>
          <w:sz w:val="16"/>
          <w:szCs w:val="16"/>
        </w:rPr>
        <w:footnoteRef/>
      </w:r>
      <w:r>
        <w:rPr>
          <w:sz w:val="16"/>
          <w:szCs w:val="16"/>
        </w:rPr>
        <w:t xml:space="preserve"> SWD(2017) 186 final</w:t>
      </w:r>
    </w:p>
  </w:footnote>
  <w:footnote w:id="526">
    <w:p>
      <w:pPr>
        <w:pStyle w:val="footnote"/>
        <w:tabs>
          <w:tab w:val="left" w:pos="709"/>
        </w:tabs>
        <w:snapToGrid w:val="0"/>
      </w:pPr>
      <w:r>
        <w:rPr>
          <w:rStyle w:val="FootnoteReference"/>
        </w:rPr>
        <w:footnoteRef/>
      </w:r>
      <w:r>
        <w:t xml:space="preserve"> Regulation (EU) 2020/1054 of the European Parliament and of the Council of 15 July 2020 amending Regulation (EC) No 561/2006 as regards minimum requirements on maximum daily and weekly driving times, minimum breaks and daily and weekly rest periods and Regulation (EU) No 165/2014 as regards positioning by means of tachographs; OJ L 249, 31.7.2020, p. 1.</w:t>
      </w:r>
    </w:p>
  </w:footnote>
  <w:footnote w:id="527">
    <w:p>
      <w:pPr>
        <w:pStyle w:val="footnote"/>
        <w:tabs>
          <w:tab w:val="left" w:pos="709"/>
        </w:tabs>
        <w:snapToGrid w:val="0"/>
      </w:pPr>
      <w:r>
        <w:rPr>
          <w:rStyle w:val="FootnoteReference"/>
        </w:rPr>
        <w:footnoteRef/>
      </w:r>
      <w:r>
        <w:t xml:space="preserve"> European Commission (2020), Study to gather evidence on the working conditions of platform workers, https://ec.europa.eu/social/main.jsp?langId=en&amp;catId=89&amp;newsId=9582&amp;furtherNews=yes#navItem-1 </w:t>
      </w:r>
    </w:p>
  </w:footnote>
  <w:footnote w:id="528">
    <w:p>
      <w:pPr>
        <w:pStyle w:val="footnote"/>
        <w:tabs>
          <w:tab w:val="left" w:pos="709"/>
        </w:tabs>
        <w:snapToGrid w:val="0"/>
      </w:pPr>
      <w:r>
        <w:rPr>
          <w:rStyle w:val="FootnoteReference"/>
        </w:rPr>
        <w:footnoteRef/>
      </w:r>
      <w:r>
        <w:t xml:space="preserve"> The study found that France is the only Member State that has enacted national legislation with a view to improving the labour and social rights of platform workers.</w:t>
      </w:r>
    </w:p>
  </w:footnote>
  <w:footnote w:id="529">
    <w:p>
      <w:pPr>
        <w:pStyle w:val="footnote"/>
        <w:tabs>
          <w:tab w:val="left" w:pos="709"/>
        </w:tabs>
        <w:snapToGrid w:val="0"/>
        <w:rPr>
          <w:lang w:val="en-IE"/>
        </w:rPr>
      </w:pPr>
      <w:r>
        <w:rPr>
          <w:rStyle w:val="FootnoteReference"/>
        </w:rPr>
        <w:footnoteRef/>
      </w:r>
      <w:r>
        <w:rPr>
          <w:lang w:val="en-IE"/>
        </w:rPr>
        <w:t xml:space="preserve"> Eurofound (2019), Platform work: Maximising the potential while safeguarding standards, Publications Office of the European Union, Luxembourg.</w:t>
      </w:r>
    </w:p>
  </w:footnote>
  <w:footnote w:id="530">
    <w:p>
      <w:pPr>
        <w:pStyle w:val="footnote"/>
        <w:tabs>
          <w:tab w:val="left" w:pos="709"/>
        </w:tabs>
        <w:snapToGrid w:val="0"/>
      </w:pPr>
      <w:r>
        <w:rPr>
          <w:rStyle w:val="FootnoteReference"/>
        </w:rPr>
        <w:footnoteRef/>
      </w:r>
      <w:r>
        <w:t xml:space="preserve"> European Commission press release IP/20/1937, 30 June 2020, "Competition: The European Commission launches a process to address the issue of collective bargaining for the self-employed".</w:t>
      </w:r>
    </w:p>
  </w:footnote>
  <w:footnote w:id="531">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See DocksTheFuture </w:t>
      </w:r>
      <w:hyperlink r:id="rId94" w:history="1">
        <w:r>
          <w:rPr>
            <w:rStyle w:val="Hyperlink"/>
            <w:color w:val="000000"/>
            <w:szCs w:val="16"/>
            <w:u w:val="none"/>
            <w:lang w:eastAsia="en-US"/>
          </w:rPr>
          <w:t>https://www.docksthefuture.eu</w:t>
        </w:r>
        <w:r>
          <w:rPr>
            <w:rStyle w:val="Hyperlink"/>
            <w:b/>
            <w:bCs/>
            <w:color w:val="000000"/>
            <w:szCs w:val="16"/>
            <w:u w:val="none"/>
            <w:lang w:eastAsia="en-US"/>
          </w:rPr>
          <w:t>/</w:t>
        </w:r>
      </w:hyperlink>
      <w:r>
        <w:rPr>
          <w:sz w:val="16"/>
          <w:szCs w:val="16"/>
        </w:rPr>
        <w:t xml:space="preserve">, COREALIS </w:t>
      </w:r>
      <w:hyperlink r:id="rId95" w:history="1">
        <w:r>
          <w:rPr>
            <w:rStyle w:val="Hyperlink"/>
            <w:color w:val="000000"/>
            <w:szCs w:val="16"/>
            <w:u w:val="none"/>
          </w:rPr>
          <w:t>https://www.corealis.eu/</w:t>
        </w:r>
      </w:hyperlink>
      <w:r>
        <w:rPr>
          <w:sz w:val="16"/>
          <w:szCs w:val="16"/>
        </w:rPr>
        <w:t xml:space="preserve">, Port Forward </w:t>
      </w:r>
      <w:hyperlink r:id="rId96" w:history="1">
        <w:r>
          <w:rPr>
            <w:rStyle w:val="Hyperlink"/>
            <w:color w:val="000000"/>
            <w:szCs w:val="16"/>
            <w:u w:val="none"/>
          </w:rPr>
          <w:t>https://www.portforward-project.eu/</w:t>
        </w:r>
      </w:hyperlink>
      <w:r>
        <w:rPr>
          <w:sz w:val="16"/>
          <w:szCs w:val="16"/>
        </w:rPr>
        <w:t xml:space="preserve">, and PIXEL </w:t>
      </w:r>
      <w:hyperlink r:id="rId97" w:history="1">
        <w:r>
          <w:rPr>
            <w:rStyle w:val="Hyperlink"/>
            <w:color w:val="000000"/>
            <w:szCs w:val="16"/>
            <w:u w:val="none"/>
          </w:rPr>
          <w:t>https://pixel-ports.eu/</w:t>
        </w:r>
      </w:hyperlink>
      <w:r>
        <w:rPr>
          <w:sz w:val="16"/>
          <w:szCs w:val="16"/>
        </w:rPr>
        <w:t xml:space="preserve">.  </w:t>
      </w:r>
    </w:p>
  </w:footnote>
  <w:footnote w:id="532">
    <w:p>
      <w:pPr>
        <w:pStyle w:val="FootnoteText"/>
        <w:tabs>
          <w:tab w:val="left" w:pos="709"/>
        </w:tabs>
        <w:snapToGrid w:val="0"/>
        <w:spacing w:after="0" w:line="240" w:lineRule="auto"/>
        <w:rPr>
          <w:sz w:val="16"/>
          <w:szCs w:val="16"/>
        </w:rPr>
      </w:pPr>
      <w:r>
        <w:rPr>
          <w:rStyle w:val="FootnoteReference"/>
          <w:sz w:val="16"/>
          <w:szCs w:val="16"/>
        </w:rPr>
        <w:footnoteRef/>
      </w:r>
      <w:r>
        <w:rPr>
          <w:sz w:val="16"/>
          <w:szCs w:val="16"/>
        </w:rPr>
        <w:t xml:space="preserve"> See </w:t>
      </w:r>
      <w:hyperlink r:id="rId98" w:history="1">
        <w:r>
          <w:rPr>
            <w:rStyle w:val="Hyperlink"/>
            <w:color w:val="000000"/>
            <w:szCs w:val="16"/>
            <w:u w:val="none"/>
            <w:lang w:eastAsia="en-US"/>
          </w:rPr>
          <w:t>https://ec.europa.eu/inea/en/connecting-europe-facility/cef-transport/2018-eu-tm-0135-s</w:t>
        </w:r>
      </w:hyperlink>
    </w:p>
  </w:footnote>
  <w:footnote w:id="533">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See World Maritime University (2019), Transport 2040: Automation, Technology, Employment – The Future of Work, https://commons.wmu.se/cgi/viewcontent.cgi?article=1071&amp;context=lib_reports</w:t>
      </w:r>
    </w:p>
  </w:footnote>
  <w:footnote w:id="534">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Furthermore the 2019 annual edition of ‘Employment and Social Developments in Europe’ acknowledges that “If well managed, the shift towards a climate-neutral economy can provide employment opportunities for all skill levels. The sectors supporting a transition towards green jobs are mainly construction, transport, manufacturing and services sectors. The highest proportions of employment in green(able) jobs are found in construction (73%), transport (61%) and in manufacturing, energy and waste management and professional service activities There is a contrast in skill composition between new and emerging green jobs on the one hand and non-green ‘green rival’ jobs on the other. This contrast is significant for all sectors, notably manufacturing, construction and transport, which have high proportions of workers in low-skilled employment in non-green jobs. This illustrates the skills challenges of the transition to the green economy and the need for significant upskilling in these sectors. The skills profile of new and emerging green jobs, the fastest growing category, can be seen as a proxy for future skill needs in these sectors.”</w:t>
      </w:r>
    </w:p>
  </w:footnote>
  <w:footnote w:id="535">
    <w:p>
      <w:pPr>
        <w:pStyle w:val="footnote"/>
        <w:tabs>
          <w:tab w:val="left" w:pos="709"/>
        </w:tabs>
        <w:snapToGrid w:val="0"/>
      </w:pPr>
      <w:r>
        <w:rPr>
          <w:rStyle w:val="FootnoteReference"/>
        </w:rPr>
        <w:footnoteRef/>
      </w:r>
      <w:r>
        <w:t xml:space="preserve"> This is notably highlighted by aviation professionals and workers’ associations in the context of their COVID-19 </w:t>
      </w:r>
      <w:r>
        <w:rPr>
          <w:rStyle w:val="FootnoteReference"/>
          <w:vertAlign w:val="baseline"/>
        </w:rPr>
        <w:t>statement</w:t>
      </w:r>
      <w:r>
        <w:t xml:space="preserve"> https://www.eurocockpit.be/news/covid-19-aviation-time-rethink, https://www.etf-europe.org/wp-content/uploads/2020/09/COVID-19-statement-ETF-230920.pdf</w:t>
      </w:r>
    </w:p>
  </w:footnote>
  <w:footnote w:id="536">
    <w:p>
      <w:pPr>
        <w:pStyle w:val="FootnotesymbolCarZchn"/>
        <w:tabs>
          <w:tab w:val="left" w:pos="709"/>
        </w:tabs>
        <w:snapToGrid w:val="0"/>
        <w:spacing w:after="0" w:line="240" w:lineRule="auto"/>
        <w:rPr>
          <w:sz w:val="16"/>
          <w:szCs w:val="16"/>
        </w:rPr>
      </w:pPr>
      <w:r>
        <w:rPr>
          <w:rStyle w:val="FootnoteReference"/>
          <w:sz w:val="16"/>
          <w:szCs w:val="16"/>
        </w:rPr>
        <w:footnoteRef/>
      </w:r>
      <w:r>
        <w:rPr>
          <w:sz w:val="16"/>
          <w:szCs w:val="16"/>
        </w:rPr>
        <w:t xml:space="preserve"> </w:t>
      </w:r>
      <w:r>
        <w:rPr>
          <w:rFonts w:eastAsiaTheme="minorEastAsia"/>
          <w:sz w:val="16"/>
          <w:szCs w:val="16"/>
          <w:vertAlign w:val="baseline"/>
        </w:rPr>
        <w:t>For instance, there is an acute need for skilled drivers in freight and passenger road transport sector. According to IRU research, Europe is facing the most acute driver shortage in decades. In 2019, the freight sector had a driver shortage of 23% and the passenger transport sector of 19%. This is a growing trend as IRU estimates that the shortage of freight drivers will rise to 36% in 2020. Awaiting the automation of transport operations the sector needs swift short term solutions to satisfy the transport demand, even though disturbed temporarily by COVID-19 pandemic.</w:t>
      </w:r>
      <w:r>
        <w:rPr>
          <w:sz w:val="16"/>
          <w:szCs w:val="16"/>
        </w:rPr>
        <w:t xml:space="preserve"> </w:t>
      </w:r>
    </w:p>
  </w:footnote>
  <w:footnote w:id="537">
    <w:p>
      <w:pPr>
        <w:pStyle w:val="FootnotesymbolCarZchn"/>
        <w:tabs>
          <w:tab w:val="left" w:pos="709"/>
        </w:tabs>
        <w:snapToGrid w:val="0"/>
        <w:spacing w:after="0" w:line="240" w:lineRule="auto"/>
        <w:rPr>
          <w:sz w:val="16"/>
          <w:szCs w:val="16"/>
        </w:rPr>
      </w:pPr>
      <w:r>
        <w:rPr>
          <w:rFonts w:eastAsiaTheme="minorEastAsia"/>
          <w:sz w:val="16"/>
          <w:szCs w:val="16"/>
        </w:rPr>
        <w:footnoteRef/>
      </w:r>
      <w:r>
        <w:rPr>
          <w:rFonts w:eastAsiaTheme="minorEastAsia"/>
          <w:sz w:val="16"/>
          <w:szCs w:val="16"/>
        </w:rPr>
        <w:t xml:space="preserve"> </w:t>
      </w:r>
      <w:r>
        <w:rPr>
          <w:rFonts w:eastAsiaTheme="minorEastAsia"/>
          <w:sz w:val="16"/>
          <w:szCs w:val="16"/>
          <w:vertAlign w:val="baseline"/>
        </w:rPr>
        <w:t>According to the European Transport Workers’ Federation, the average age of trucks drivers is around 45, while the average age of bus and coach drivers is 55 years plus, and an estimated 98% of the drivers are male.</w:t>
      </w:r>
    </w:p>
  </w:footnote>
  <w:footnote w:id="538">
    <w:p>
      <w:pPr>
        <w:pStyle w:val="footnote"/>
        <w:tabs>
          <w:tab w:val="left" w:pos="709"/>
        </w:tabs>
        <w:snapToGrid w:val="0"/>
      </w:pPr>
      <w:r>
        <w:rPr>
          <w:rStyle w:val="FootnoteReference"/>
        </w:rPr>
        <w:footnoteRef/>
      </w:r>
      <w:r>
        <w:t xml:space="preserve"> Survey by the European Transport Workers’ Federation.</w:t>
      </w:r>
    </w:p>
  </w:footnote>
  <w:footnote w:id="539">
    <w:p>
      <w:pPr>
        <w:pStyle w:val="footnote"/>
        <w:tabs>
          <w:tab w:val="left" w:pos="709"/>
        </w:tabs>
        <w:snapToGrid w:val="0"/>
      </w:pPr>
      <w:r>
        <w:rPr>
          <w:rStyle w:val="FootnoteReference"/>
        </w:rPr>
        <w:footnoteRef/>
      </w:r>
      <w:r>
        <w:t xml:space="preserve"> https://ec.europa.eu/transport/themes/social/women-transport-eu-platform-change_en</w:t>
      </w:r>
    </w:p>
  </w:footnote>
  <w:footnote w:id="540">
    <w:p>
      <w:pPr>
        <w:pStyle w:val="footnote"/>
        <w:tabs>
          <w:tab w:val="left" w:pos="709"/>
        </w:tabs>
        <w:snapToGrid w:val="0"/>
      </w:pPr>
      <w:r>
        <w:rPr>
          <w:rStyle w:val="FootnoteReference"/>
        </w:rPr>
        <w:footnoteRef/>
      </w:r>
      <w:r>
        <w:t xml:space="preserve"> As measured by the harmonised index of consumer prices. </w:t>
      </w:r>
      <w:r>
        <w:rPr>
          <w:lang w:val="fr-FR"/>
        </w:rPr>
        <w:t xml:space="preserve">Source: European Commission (2020): EU Transport in Figures. </w:t>
      </w:r>
      <w:r>
        <w:t xml:space="preserve">Statistical Pocketbook 2020. </w:t>
      </w:r>
    </w:p>
  </w:footnote>
  <w:footnote w:id="541">
    <w:p>
      <w:pPr>
        <w:pStyle w:val="footnote"/>
        <w:tabs>
          <w:tab w:val="left" w:pos="709"/>
        </w:tabs>
        <w:snapToGrid w:val="0"/>
      </w:pPr>
      <w:r>
        <w:rPr>
          <w:rStyle w:val="FootnoteReference"/>
        </w:rPr>
        <w:footnoteRef/>
      </w:r>
      <w:r>
        <w:t xml:space="preserve"> Source: European Commission (2020): EU Transport in Figures. Statistical Pocketbook 2020.</w:t>
      </w:r>
    </w:p>
  </w:footnote>
  <w:footnote w:id="542">
    <w:p>
      <w:pPr>
        <w:pStyle w:val="footnote"/>
        <w:tabs>
          <w:tab w:val="left" w:pos="709"/>
        </w:tabs>
        <w:snapToGrid w:val="0"/>
        <w:rPr>
          <w:lang w:val="fr-BE"/>
        </w:rPr>
      </w:pPr>
      <w:r>
        <w:rPr>
          <w:rStyle w:val="FootnoteReference"/>
        </w:rPr>
        <w:footnoteRef/>
      </w:r>
      <w:r>
        <w:rPr>
          <w:lang w:val="fr-BE"/>
        </w:rPr>
        <w:t xml:space="preserve"> </w:t>
      </w:r>
      <w:r>
        <w:rPr>
          <w:lang w:val="fr-BE" w:eastAsia="en-US"/>
        </w:rPr>
        <w:t xml:space="preserve">Source: </w:t>
      </w:r>
      <w:r>
        <w:rPr>
          <w:lang w:val="fr-FR"/>
        </w:rPr>
        <w:t>Eurostat</w:t>
      </w:r>
      <w:r>
        <w:rPr>
          <w:lang w:val="fr-BE" w:eastAsia="en-US"/>
        </w:rPr>
        <w:t>.</w:t>
      </w:r>
    </w:p>
  </w:footnote>
  <w:footnote w:id="543">
    <w:p>
      <w:pPr>
        <w:pStyle w:val="footnote"/>
        <w:tabs>
          <w:tab w:val="left" w:pos="709"/>
        </w:tabs>
        <w:snapToGrid w:val="0"/>
        <w:rPr>
          <w:lang w:val="fr-BE"/>
        </w:rPr>
      </w:pPr>
      <w:r>
        <w:rPr>
          <w:rStyle w:val="FootnoteReference"/>
        </w:rPr>
        <w:footnoteRef/>
      </w:r>
      <w:r>
        <w:rPr>
          <w:lang w:val="fr-BE"/>
        </w:rPr>
        <w:t xml:space="preserve"> Source: </w:t>
      </w:r>
      <w:r>
        <w:rPr>
          <w:lang w:val="fr-FR"/>
        </w:rPr>
        <w:t>Eurostat</w:t>
      </w:r>
      <w:r>
        <w:rPr>
          <w:lang w:val="fr-BE"/>
        </w:rPr>
        <w:t>, EU-SILC Survey, data for 2014</w:t>
      </w:r>
    </w:p>
  </w:footnote>
  <w:footnote w:id="544">
    <w:p>
      <w:pPr>
        <w:pStyle w:val="footnote"/>
        <w:tabs>
          <w:tab w:val="left" w:pos="709"/>
        </w:tabs>
        <w:snapToGrid w:val="0"/>
      </w:pPr>
      <w:r>
        <w:rPr>
          <w:rStyle w:val="FootnoteReference"/>
        </w:rPr>
        <w:footnoteRef/>
      </w:r>
      <w:r>
        <w:t xml:space="preserve"> ESPN(2020), </w:t>
      </w:r>
      <w:hyperlink r:id="rId99" w:history="1">
        <w:r>
          <w:rPr>
            <w:rStyle w:val="Hyperlink"/>
            <w:u w:val="none"/>
          </w:rPr>
          <w:t>Access to essential services for people on low incomes in Europe. An analysis of policies in 35 countries</w:t>
        </w:r>
      </w:hyperlink>
      <w:r>
        <w:t xml:space="preserve">, Brussels: European Commission.                                                                                                                                                                                                                                                                                                                                                    </w:t>
      </w:r>
    </w:p>
  </w:footnote>
  <w:footnote w:id="545">
    <w:p>
      <w:pPr>
        <w:pStyle w:val="footnote"/>
        <w:tabs>
          <w:tab w:val="left" w:pos="709"/>
        </w:tabs>
        <w:snapToGrid w:val="0"/>
      </w:pPr>
      <w:r>
        <w:rPr>
          <w:rStyle w:val="FootnoteReference"/>
        </w:rPr>
        <w:footnoteRef/>
      </w:r>
      <w:r>
        <w:t xml:space="preserve"> Special Eurobarometer 495</w:t>
      </w:r>
    </w:p>
    <w:p>
      <w:pPr>
        <w:pStyle w:val="footnote"/>
        <w:tabs>
          <w:tab w:val="left" w:pos="709"/>
        </w:tabs>
        <w:snapToGrid w:val="0"/>
      </w:pPr>
      <w:r>
        <w:t xml:space="preserve">https://ec.europa.eu/commfrontoffice/publicopinion/index.cfm/Survey/getSurveyDetail/instruments/SPECIAL/surveyKy/2226 </w:t>
      </w:r>
    </w:p>
  </w:footnote>
  <w:footnote w:id="546">
    <w:p>
      <w:pPr>
        <w:pStyle w:val="footnote"/>
        <w:tabs>
          <w:tab w:val="left" w:pos="709"/>
        </w:tabs>
        <w:snapToGrid w:val="0"/>
      </w:pPr>
      <w:r>
        <w:rPr>
          <w:vertAlign w:val="superscript"/>
        </w:rPr>
        <w:footnoteRef/>
      </w:r>
      <w:r>
        <w:rPr>
          <w:vertAlign w:val="superscript"/>
        </w:rPr>
        <w:t xml:space="preserve"> </w:t>
      </w:r>
      <w:r>
        <w:t>Ibid.</w:t>
      </w:r>
    </w:p>
  </w:footnote>
  <w:footnote w:id="547">
    <w:p>
      <w:pPr>
        <w:pStyle w:val="footnote"/>
        <w:tabs>
          <w:tab w:val="left" w:pos="709"/>
        </w:tabs>
        <w:snapToGrid w:val="0"/>
      </w:pPr>
      <w:r>
        <w:rPr>
          <w:rStyle w:val="FootnoteReference"/>
        </w:rPr>
        <w:footnoteRef/>
      </w:r>
      <w:r>
        <w:t xml:space="preserve"> </w:t>
      </w:r>
      <w:hyperlink w:history="1">
        <w:r>
          <w:t>https://ruralsharedmobility.eu</w:t>
        </w:r>
        <w:r>
          <w:rPr>
            <w:rStyle w:val="Hyperlink"/>
          </w:rPr>
          <w:t xml:space="preserve"> </w:t>
        </w:r>
      </w:hyperlink>
      <w:r>
        <w:t xml:space="preserve">    </w:t>
      </w:r>
    </w:p>
  </w:footnote>
  <w:footnote w:id="548">
    <w:p>
      <w:pPr>
        <w:pStyle w:val="footnote"/>
        <w:tabs>
          <w:tab w:val="left" w:pos="709"/>
        </w:tabs>
        <w:snapToGrid w:val="0"/>
      </w:pPr>
      <w:r>
        <w:rPr>
          <w:rStyle w:val="FootnoteReference"/>
        </w:rPr>
        <w:footnoteRef/>
      </w:r>
      <w:r>
        <w:t xml:space="preserve"> SWD(2019) 295 final</w:t>
      </w:r>
    </w:p>
  </w:footnote>
  <w:footnote w:id="549">
    <w:p>
      <w:pPr>
        <w:pStyle w:val="FootnoteText"/>
        <w:spacing w:after="0"/>
        <w:ind w:left="0" w:firstLine="0"/>
      </w:pPr>
      <w:r>
        <w:rPr>
          <w:rStyle w:val="FootnoteReference"/>
        </w:rPr>
        <w:footnoteRef/>
      </w:r>
      <w:r>
        <w:rPr>
          <w:sz w:val="16"/>
          <w:szCs w:val="16"/>
          <w:lang w:val="fr-BE"/>
        </w:rPr>
        <w:t xml:space="preserve"> T-289/03 BUPA and others v Commission, EU:T:2008:29, para 172. </w:t>
      </w:r>
      <w:r>
        <w:rPr>
          <w:sz w:val="16"/>
          <w:szCs w:val="16"/>
        </w:rPr>
        <w:t>Communication from the Commission on the application of the European Union State aid rules to compensation granted for the provision of services of general economic interest, OJ C 8, 11.01.2012, p. 4, para. 46. See also Commission Decision C(2012) 2257 final of 25 April 2012 on Germany- State aid granted by Germany to the Zweckverband and Tierkörperbeseitigung in Rhineland- Palatinate, Saarland, Rheingau-Taunus-Kreis and Landkreis Limburg- Weilburg, (NN23/2010 and N15/2004), OJ L 236, 01.09.2012, p. 1, para 176. An appeal by that decision was rejected by the General Court in Case T-309/12 Zweckverband and Tierkörperbeseitigung v Commission, EU:IT:T:2014:676.</w:t>
      </w:r>
    </w:p>
  </w:footnote>
  <w:footnote w:id="550">
    <w:p>
      <w:pPr>
        <w:pStyle w:val="footnote"/>
        <w:tabs>
          <w:tab w:val="left" w:pos="709"/>
        </w:tabs>
        <w:snapToGrid w:val="0"/>
      </w:pPr>
      <w:r>
        <w:rPr>
          <w:rStyle w:val="FootnoteReference"/>
        </w:rPr>
        <w:footnoteRef/>
      </w:r>
      <w:r>
        <w:t xml:space="preserve"> Report on the impact of demographic change, COM/2020/241 final, https://ec.europa.eu/info/strategy/priorities-2019-2024/new-push-european-democracy/impact-demographic-change-europe_en.</w:t>
      </w:r>
    </w:p>
  </w:footnote>
  <w:footnote w:id="551">
    <w:p>
      <w:pPr>
        <w:pStyle w:val="footnote"/>
        <w:tabs>
          <w:tab w:val="left" w:pos="709"/>
        </w:tabs>
        <w:snapToGrid w:val="0"/>
      </w:pPr>
      <w:r>
        <w:rPr>
          <w:rStyle w:val="FootnoteReference"/>
        </w:rPr>
        <w:footnoteRef/>
      </w:r>
      <w:r>
        <w:t xml:space="preserve"> Digital Economy and Society Index Report 2020 - Human Capital, https://ec.europa.eu/digital-single-market/en/human-capital. </w:t>
      </w:r>
    </w:p>
  </w:footnote>
  <w:footnote w:id="552">
    <w:p>
      <w:pPr>
        <w:pStyle w:val="FootnoteText"/>
        <w:spacing w:after="0" w:line="240" w:lineRule="auto"/>
        <w:ind w:left="0" w:firstLine="0"/>
        <w:rPr>
          <w:sz w:val="16"/>
          <w:szCs w:val="16"/>
        </w:rPr>
      </w:pPr>
      <w:r>
        <w:rPr>
          <w:rStyle w:val="FootnoteReference"/>
          <w:sz w:val="16"/>
          <w:szCs w:val="16"/>
        </w:rPr>
        <w:footnoteRef/>
      </w:r>
      <w:r>
        <w:rPr>
          <w:sz w:val="16"/>
          <w:szCs w:val="16"/>
        </w:rPr>
        <w:t>https://www.consilium.europa.eu/en/press/press-releases/2020/10/21/improved-rail-passenger-rights-council-approves-the-informal-deal/</w:t>
      </w:r>
    </w:p>
  </w:footnote>
  <w:footnote w:id="553">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Directive (EU) 2019/882 of the European Parliament and of the Council of 17 April 2019 on the accessibility requirements for products and services (Text with EEA relevance) PE/81/2018/REV/1 OJ L 151, 7.6.2019, p. 70–115</w:t>
      </w:r>
    </w:p>
  </w:footnote>
  <w:footnote w:id="554">
    <w:p>
      <w:pPr>
        <w:pStyle w:val="footnote"/>
        <w:tabs>
          <w:tab w:val="left" w:pos="709"/>
        </w:tabs>
        <w:snapToGrid w:val="0"/>
      </w:pPr>
      <w:r>
        <w:rPr>
          <w:rStyle w:val="FootnoteReference"/>
        </w:rPr>
        <w:footnoteRef/>
      </w:r>
      <w:r>
        <w:t xml:space="preserve"> Special Eurobarometer 485 – Passenger Rights. Field work February-March 2019, publ. January 2020.    </w:t>
      </w:r>
    </w:p>
    <w:p>
      <w:pPr>
        <w:pStyle w:val="footnote"/>
        <w:tabs>
          <w:tab w:val="left" w:pos="709"/>
        </w:tabs>
        <w:snapToGrid w:val="0"/>
        <w:rPr>
          <w:lang w:val="en-IE"/>
        </w:rPr>
      </w:pPr>
      <w:r>
        <w:t xml:space="preserve">See: https://ec.europa.eu/commfrontoffice/publicopinion/index.cfm/survey/getsurveydetail/instruments/special/surveyky/2200 </w:t>
      </w:r>
    </w:p>
  </w:footnote>
  <w:footnote w:id="555">
    <w:p>
      <w:pPr>
        <w:pStyle w:val="footnote"/>
        <w:tabs>
          <w:tab w:val="left" w:pos="709"/>
        </w:tabs>
        <w:snapToGrid w:val="0"/>
      </w:pPr>
      <w:r>
        <w:rPr>
          <w:rStyle w:val="FootnoteReference"/>
        </w:rPr>
        <w:footnoteRef/>
      </w:r>
      <w:r>
        <w:t>Directive (EU) 2020/1828 of the European Parliament and of the Council of 25 November 2020 on representative actions for the protection of the collective interests of consumers and repealing Directive 2009/22/EC (Text with EEA relevance)</w:t>
      </w:r>
    </w:p>
    <w:p>
      <w:pPr>
        <w:pStyle w:val="footnote"/>
        <w:tabs>
          <w:tab w:val="left" w:pos="709"/>
        </w:tabs>
        <w:snapToGrid w:val="0"/>
      </w:pPr>
      <w:r>
        <w:rPr>
          <w:i/>
          <w:iCs/>
        </w:rPr>
        <w:t>OJ L 409, 4.12.2020, p. 1–27</w:t>
      </w:r>
      <w:r>
        <w:t xml:space="preserve">  </w:t>
      </w:r>
    </w:p>
  </w:footnote>
  <w:footnote w:id="556">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https://www.consilium.europa.eu/en/press/press-releases/2020/10/21/improved-rail-passenger-rights-council-approves-the-informal-deal/</w:t>
      </w:r>
    </w:p>
  </w:footnote>
  <w:footnote w:id="557">
    <w:p>
      <w:pPr>
        <w:pStyle w:val="footnote"/>
        <w:tabs>
          <w:tab w:val="left" w:pos="709"/>
        </w:tabs>
        <w:snapToGrid w:val="0"/>
      </w:pPr>
      <w:r>
        <w:rPr>
          <w:rStyle w:val="FootnoteReference"/>
        </w:rPr>
        <w:footnoteRef/>
      </w:r>
      <w:r>
        <w:t xml:space="preserve"> Study on the level of protection of air passenger rights in the EU, January 2020. </w:t>
      </w:r>
    </w:p>
    <w:p>
      <w:pPr>
        <w:pStyle w:val="footnote"/>
        <w:tabs>
          <w:tab w:val="left" w:pos="709"/>
        </w:tabs>
        <w:snapToGrid w:val="0"/>
      </w:pPr>
      <w:r>
        <w:t>https://ec.europa.eu/transport/themes/passengers/news/2020-01-13-air-passenger-rights-study_en</w:t>
      </w:r>
    </w:p>
  </w:footnote>
  <w:footnote w:id="558">
    <w:p>
      <w:pPr>
        <w:pStyle w:val="footnote"/>
        <w:tabs>
          <w:tab w:val="left" w:pos="709"/>
        </w:tabs>
        <w:snapToGrid w:val="0"/>
        <w:rPr>
          <w:lang w:val="en-IE"/>
        </w:rPr>
      </w:pPr>
      <w:r>
        <w:rPr>
          <w:vertAlign w:val="superscript"/>
        </w:rPr>
        <w:footnoteRef/>
      </w:r>
      <w:r>
        <w:t xml:space="preserve"> Exploratory study on passenger rights in multimodal transport, September 2019. https://op.europa.eu/en/publication-detail/-/publication/f176da6f-d9ca-11e9-9c4e-01aa75ed71a1</w:t>
      </w:r>
    </w:p>
  </w:footnote>
  <w:footnote w:id="559">
    <w:p>
      <w:pPr>
        <w:pStyle w:val="footnote"/>
        <w:tabs>
          <w:tab w:val="left" w:pos="709"/>
        </w:tabs>
        <w:snapToGrid w:val="0"/>
      </w:pPr>
      <w:r>
        <w:rPr>
          <w:rStyle w:val="FootnoteReference"/>
        </w:rPr>
        <w:footnoteRef/>
      </w:r>
      <w:r>
        <w:t xml:space="preserve"> Commission Notice - Interpretative Guidelines on EU passenger rights regulations in the context of the developing situation with Covid-19, </w:t>
      </w:r>
      <w:r>
        <w:rPr>
          <w:i/>
          <w:iCs/>
        </w:rPr>
        <w:t>OJ C 89I, 18.3.2020, p. 1–8</w:t>
      </w:r>
      <w:r>
        <w:t xml:space="preserve">. See https://eur-lex.europa.eu/legal-content/EN/TXT/?uri=CELEX:52020XC0318(04) </w:t>
      </w:r>
    </w:p>
  </w:footnote>
  <w:footnote w:id="560">
    <w:p>
      <w:pPr>
        <w:pStyle w:val="footnote"/>
        <w:tabs>
          <w:tab w:val="left" w:pos="709"/>
        </w:tabs>
        <w:snapToGrid w:val="0"/>
      </w:pPr>
      <w:r>
        <w:rPr>
          <w:rStyle w:val="FootnoteReference"/>
        </w:rPr>
        <w:footnoteRef/>
      </w:r>
      <w:r>
        <w:t xml:space="preserve"> Commission Recommendation (EU) 2020/648 of 13 May 2020 on vouchers offered to passengers and travellers as an alternative to reimbursement for cancelled package travel and transport services in the context of the COVID-19 pandemic, OJ L 151, 14.5.2020, p. 10-16. See</w:t>
      </w:r>
      <w:r>
        <w:rPr>
          <w:color w:val="000000"/>
        </w:rPr>
        <w:t xml:space="preserve"> https://eur-lex.europa.eu/eli/reco/2020/648/oj</w:t>
      </w:r>
    </w:p>
  </w:footnote>
  <w:footnote w:id="561">
    <w:p>
      <w:pPr>
        <w:pStyle w:val="footnote"/>
        <w:tabs>
          <w:tab w:val="left" w:pos="284"/>
        </w:tabs>
        <w:snapToGrid w:val="0"/>
      </w:pPr>
      <w:r>
        <w:rPr>
          <w:rStyle w:val="FootnoteReference"/>
        </w:rPr>
        <w:footnoteRef/>
      </w:r>
      <w:r>
        <w:t>https://ec.europa.eu/info/live-work-travel-eu/health/coronavirus-response/travel-and-transportation-during-coronavirus-pandemic_en</w:t>
      </w:r>
    </w:p>
  </w:footnote>
  <w:footnote w:id="562">
    <w:p>
      <w:pPr>
        <w:pStyle w:val="footnote"/>
        <w:tabs>
          <w:tab w:val="left" w:pos="284"/>
        </w:tabs>
        <w:snapToGrid w:val="0"/>
      </w:pPr>
      <w:r>
        <w:rPr>
          <w:rStyle w:val="FootnoteReference"/>
        </w:rPr>
        <w:footnoteRef/>
      </w:r>
      <w:r>
        <w:t xml:space="preserve"> Evaluation of Regulation 1008/2008, SWD(2019) 295 final.</w:t>
      </w:r>
    </w:p>
  </w:footnote>
  <w:footnote w:id="563">
    <w:p>
      <w:pPr>
        <w:pStyle w:val="footnote"/>
        <w:tabs>
          <w:tab w:val="left" w:pos="284"/>
        </w:tabs>
        <w:snapToGrid w:val="0"/>
      </w:pPr>
      <w:r>
        <w:rPr>
          <w:rStyle w:val="FootnoteReference"/>
        </w:rPr>
        <w:footnoteRef/>
      </w:r>
      <w:r>
        <w:t xml:space="preserve"> Summary report on Regulation (EU) 2020/696 adopted by the Commission on 13/11/2020, COM(2020) 714 final.</w:t>
      </w:r>
    </w:p>
  </w:footnote>
  <w:footnote w:id="564">
    <w:p>
      <w:pPr>
        <w:pStyle w:val="footnote"/>
        <w:tabs>
          <w:tab w:val="left" w:pos="709"/>
        </w:tabs>
        <w:snapToGrid w:val="0"/>
      </w:pPr>
      <w:r>
        <w:rPr>
          <w:rStyle w:val="FootnoteReference"/>
        </w:rPr>
        <w:footnoteRef/>
      </w:r>
      <w:r>
        <w:t xml:space="preserve"> Study on the level of protection of air passenger rights in the EU, January 2020.</w:t>
      </w:r>
    </w:p>
    <w:p>
      <w:pPr>
        <w:pStyle w:val="footnote"/>
        <w:tabs>
          <w:tab w:val="left" w:pos="709"/>
        </w:tabs>
        <w:snapToGrid w:val="0"/>
        <w:rPr>
          <w:lang w:val="en-IE"/>
        </w:rPr>
      </w:pPr>
      <w:r>
        <w:t>See: https://ec.europa.eu/transport/themes/passengers/news/2020-01-13-air-passenger-rights-study_en</w:t>
      </w:r>
    </w:p>
  </w:footnote>
  <w:footnote w:id="565">
    <w:p>
      <w:pPr>
        <w:pStyle w:val="footnote"/>
        <w:tabs>
          <w:tab w:val="left" w:pos="709"/>
        </w:tabs>
        <w:snapToGrid w:val="0"/>
      </w:pPr>
      <w:r>
        <w:rPr>
          <w:rStyle w:val="FootnoteReference"/>
        </w:rPr>
        <w:footnoteRef/>
      </w:r>
      <w:r>
        <w:t xml:space="preserve"> European Parliamentary Research Service (2018): Odometer manipulation in motor vehicles in the EU (study), European Added Value Assessment accompanying the EP’s legislative initiative report </w:t>
      </w:r>
    </w:p>
    <w:p>
      <w:pPr>
        <w:pStyle w:val="footnote"/>
        <w:tabs>
          <w:tab w:val="left" w:pos="709"/>
        </w:tabs>
        <w:snapToGrid w:val="0"/>
      </w:pPr>
      <w:r>
        <w:t>https://www.europarl.europa.eu/RegData/etudes/STUD/2018/615637/EPRS_STU(2018)615637_EN.pdf</w:t>
      </w:r>
    </w:p>
  </w:footnote>
  <w:footnote w:id="566">
    <w:p>
      <w:pPr>
        <w:pStyle w:val="footnote"/>
        <w:tabs>
          <w:tab w:val="left" w:pos="709"/>
        </w:tabs>
        <w:snapToGrid w:val="0"/>
      </w:pPr>
      <w:r>
        <w:rPr>
          <w:rStyle w:val="FootnoteReference"/>
        </w:rPr>
        <w:footnoteRef/>
      </w:r>
      <w:r>
        <w:t xml:space="preserve"> Eurofound (2019), Annual review of working life 2018, Publications Office of the European Union, Luxembourg.</w:t>
      </w:r>
    </w:p>
  </w:footnote>
  <w:footnote w:id="567">
    <w:p>
      <w:pPr>
        <w:pStyle w:val="footnote"/>
        <w:tabs>
          <w:tab w:val="left" w:pos="709"/>
        </w:tabs>
        <w:snapToGrid w:val="0"/>
      </w:pPr>
      <w:r>
        <w:rPr>
          <w:vertAlign w:val="superscript"/>
        </w:rPr>
        <w:footnoteRef/>
      </w:r>
      <w:r>
        <w:t>https://ec.europa.eu/transport/sites/transport/files/2017-03-06-study-on-options-to-improve-atm-service-continuity-in-the-event-of-strikes.pdf</w:t>
      </w:r>
    </w:p>
  </w:footnote>
  <w:footnote w:id="568">
    <w:p>
      <w:pPr>
        <w:pStyle w:val="footnote"/>
        <w:tabs>
          <w:tab w:val="left" w:pos="709"/>
        </w:tabs>
        <w:snapToGrid w:val="0"/>
      </w:pPr>
      <w:r>
        <w:rPr>
          <w:vertAlign w:val="superscript"/>
        </w:rPr>
        <w:footnoteRef/>
      </w:r>
      <w:r>
        <w:t>https://ec.europa.eu/transport/sites/transport/files/swd20170207-practices-favouring-air-traffic-management-service-continuity.pdf</w:t>
      </w:r>
    </w:p>
  </w:footnote>
  <w:footnote w:id="569">
    <w:p>
      <w:pPr>
        <w:pStyle w:val="footnote"/>
        <w:tabs>
          <w:tab w:val="left" w:pos="709"/>
        </w:tabs>
        <w:snapToGrid w:val="0"/>
      </w:pPr>
      <w:r>
        <w:rPr>
          <w:rStyle w:val="FootnoteReference"/>
        </w:rPr>
        <w:footnoteRef/>
      </w:r>
      <w:r>
        <w:t xml:space="preserve"> The “Safe System” approach to road safety, derived from European best practices and recommended globally by the World Health Organisation, accepts that collisions will continue to occur to some extent, but aims for a more forgiving system that protects all users from death and serious injury. Better vehicle construction, improved infrastructure, lower speeds etc. should work together to reduce the impact of crashes and form layers of protection ensuring that, if one element fails, another will compensate.</w:t>
      </w:r>
    </w:p>
  </w:footnote>
  <w:footnote w:id="570">
    <w:p>
      <w:pPr>
        <w:pStyle w:val="footnote"/>
        <w:tabs>
          <w:tab w:val="left" w:pos="709"/>
        </w:tabs>
        <w:snapToGrid w:val="0"/>
      </w:pPr>
      <w:r>
        <w:rPr>
          <w:vertAlign w:val="superscript"/>
        </w:rPr>
        <w:footnoteRef/>
      </w:r>
      <w:r>
        <w:t xml:space="preserve"> The need to prioritise safety is notably highlighted by aviation professionals and workers’ associations in the context of their post COVID-19 statement </w:t>
      </w:r>
    </w:p>
    <w:p>
      <w:pPr>
        <w:pStyle w:val="footnote"/>
        <w:tabs>
          <w:tab w:val="left" w:pos="709"/>
        </w:tabs>
        <w:snapToGrid w:val="0"/>
      </w:pPr>
      <w:r>
        <w:t xml:space="preserve">https://www.eurocockpit.be/news/covid-19-aviation-time-rethink, https://www.etf-europe.org/wp-content/uploads/2020/09/COVID-19-statement-ETF-230920.pdf </w:t>
      </w:r>
    </w:p>
  </w:footnote>
  <w:footnote w:id="571">
    <w:p>
      <w:pPr>
        <w:pStyle w:val="footnote"/>
        <w:tabs>
          <w:tab w:val="left" w:pos="709"/>
        </w:tabs>
        <w:snapToGrid w:val="0"/>
      </w:pPr>
      <w:r>
        <w:rPr>
          <w:rStyle w:val="FootnoteReference"/>
        </w:rPr>
        <w:footnoteRef/>
      </w:r>
      <w:r>
        <w:t xml:space="preserve"> Press release: “Road safety: Europe’s roads are getting safer but progress remains too slow” (11/06/2020) </w:t>
      </w:r>
      <w:hyperlink r:id="rId100" w:history="1">
        <w:r>
          <w:rPr>
            <w:rStyle w:val="Hyperlink"/>
            <w:u w:val="none"/>
          </w:rPr>
          <w:t>https://ec.europa.eu/transport/media/news/2020-06-11-road-safety-statistics-2019_en</w:t>
        </w:r>
      </w:hyperlink>
      <w:r>
        <w:t>.    2020 still may prove to be an outlier with early indications that the number of road fatalities is likely to drop significantly in view of the measures taken to tackle coronavirus, but not by enough to meet the target.</w:t>
      </w:r>
    </w:p>
  </w:footnote>
  <w:footnote w:id="572">
    <w:p>
      <w:pPr>
        <w:pStyle w:val="footnote"/>
        <w:tabs>
          <w:tab w:val="left" w:pos="709"/>
        </w:tabs>
        <w:snapToGrid w:val="0"/>
        <w:rPr>
          <w:lang w:val="en-IE"/>
        </w:rPr>
      </w:pPr>
      <w:r>
        <w:rPr>
          <w:rStyle w:val="FootnoteReference"/>
        </w:rPr>
        <w:footnoteRef/>
      </w:r>
      <w:r>
        <w:t xml:space="preserve"> </w:t>
      </w:r>
      <w:r>
        <w:rPr>
          <w:lang w:val="en-IE"/>
        </w:rPr>
        <w:t xml:space="preserve">While the total </w:t>
      </w:r>
      <w:r>
        <w:t>number</w:t>
      </w:r>
      <w:r>
        <w:rPr>
          <w:lang w:val="en-IE"/>
        </w:rPr>
        <w:t xml:space="preserve"> of road fatalities is available for 2019, disaggregated data by type of road and transport mode are currently available up to 2018 only.</w:t>
      </w:r>
    </w:p>
  </w:footnote>
  <w:footnote w:id="573">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Source: ERA, 2020, Report on Railway Safety and Interoperability in the EU 2020</w:t>
      </w:r>
    </w:p>
    <w:p>
      <w:pPr>
        <w:pStyle w:val="FootnoteText"/>
        <w:tabs>
          <w:tab w:val="left" w:pos="709"/>
        </w:tabs>
        <w:snapToGrid w:val="0"/>
        <w:spacing w:after="0" w:line="240" w:lineRule="auto"/>
        <w:ind w:left="0" w:firstLine="0"/>
        <w:rPr>
          <w:sz w:val="16"/>
          <w:szCs w:val="16"/>
        </w:rPr>
      </w:pPr>
      <w:r>
        <w:rPr>
          <w:sz w:val="16"/>
          <w:szCs w:val="16"/>
        </w:rPr>
        <w:t xml:space="preserve">https://www.era.europa.eu/sites/default/files/library/docs/safety_interoperability_progress_reports/report_on_railway_safety_and_interoperability_in_the_eu_2020_en.pdf </w:t>
      </w:r>
    </w:p>
  </w:footnote>
  <w:footnote w:id="574">
    <w:p>
      <w:pPr>
        <w:pStyle w:val="FootnoteText"/>
        <w:tabs>
          <w:tab w:val="left" w:pos="709"/>
        </w:tabs>
        <w:snapToGrid w:val="0"/>
        <w:spacing w:after="0" w:line="240" w:lineRule="auto"/>
        <w:ind w:left="0" w:firstLine="0"/>
        <w:rPr>
          <w:sz w:val="16"/>
          <w:szCs w:val="16"/>
        </w:rPr>
      </w:pPr>
      <w:r>
        <w:rPr>
          <w:sz w:val="16"/>
          <w:szCs w:val="16"/>
          <w:vertAlign w:val="superscript"/>
          <w:lang w:val="fr-BE"/>
        </w:rPr>
        <w:footnoteRef/>
      </w:r>
      <w:r>
        <w:rPr>
          <w:sz w:val="16"/>
          <w:szCs w:val="16"/>
        </w:rPr>
        <w:t xml:space="preserve"> Global figures are for fatalities involving large aeroplane passenger and cargo operations worldwide. </w:t>
      </w:r>
    </w:p>
    <w:p>
      <w:pPr>
        <w:pStyle w:val="FootnoteText"/>
        <w:tabs>
          <w:tab w:val="left" w:pos="709"/>
        </w:tabs>
        <w:snapToGrid w:val="0"/>
        <w:spacing w:after="0" w:line="240" w:lineRule="auto"/>
        <w:ind w:left="0" w:firstLine="0"/>
        <w:rPr>
          <w:sz w:val="16"/>
          <w:szCs w:val="16"/>
        </w:rPr>
      </w:pPr>
      <w:r>
        <w:rPr>
          <w:sz w:val="16"/>
          <w:szCs w:val="16"/>
        </w:rPr>
        <w:t>Source: EASA https://www.easa.europa.eu/sites/default/files/dfu/easa_asr_2020.pdf</w:t>
      </w:r>
    </w:p>
  </w:footnote>
  <w:footnote w:id="575">
    <w:p>
      <w:pPr>
        <w:pStyle w:val="FootnoteText"/>
        <w:tabs>
          <w:tab w:val="left" w:pos="709"/>
        </w:tabs>
        <w:snapToGrid w:val="0"/>
        <w:spacing w:after="0" w:line="240" w:lineRule="auto"/>
        <w:ind w:left="0" w:firstLine="0"/>
        <w:rPr>
          <w:sz w:val="16"/>
          <w:szCs w:val="16"/>
        </w:rPr>
      </w:pPr>
      <w:r>
        <w:rPr>
          <w:sz w:val="16"/>
          <w:szCs w:val="16"/>
          <w:vertAlign w:val="superscript"/>
          <w:lang w:val="fr-BE"/>
        </w:rPr>
        <w:footnoteRef/>
      </w:r>
      <w:r>
        <w:rPr>
          <w:sz w:val="16"/>
          <w:szCs w:val="16"/>
        </w:rPr>
        <w:t xml:space="preserve">Accidents involving commercial air transport airline and air-taxi aeroplanes. </w:t>
      </w:r>
    </w:p>
    <w:p>
      <w:pPr>
        <w:pStyle w:val="FootnoteText"/>
        <w:tabs>
          <w:tab w:val="left" w:pos="709"/>
        </w:tabs>
        <w:snapToGrid w:val="0"/>
        <w:spacing w:after="0" w:line="240" w:lineRule="auto"/>
        <w:ind w:left="0" w:firstLine="0"/>
        <w:rPr>
          <w:sz w:val="16"/>
          <w:szCs w:val="16"/>
          <w:lang w:val="fr-BE"/>
        </w:rPr>
      </w:pPr>
      <w:r>
        <w:rPr>
          <w:sz w:val="16"/>
          <w:szCs w:val="16"/>
          <w:lang w:val="fr-BE"/>
        </w:rPr>
        <w:t>Source: EASA https://www.easa.europa.eu/sites/default/files/dfu/easa_asr_2020.pdf</w:t>
      </w:r>
    </w:p>
  </w:footnote>
  <w:footnote w:id="576">
    <w:p>
      <w:pPr>
        <w:pStyle w:val="footnote"/>
        <w:tabs>
          <w:tab w:val="left" w:pos="709"/>
        </w:tabs>
        <w:snapToGrid w:val="0"/>
        <w:rPr>
          <w:lang w:val="fr-BE"/>
        </w:rPr>
      </w:pPr>
      <w:r>
        <w:rPr>
          <w:vertAlign w:val="superscript"/>
        </w:rPr>
        <w:footnoteRef/>
      </w:r>
      <w:r>
        <w:rPr>
          <w:vertAlign w:val="superscript"/>
          <w:lang w:val="fr-BE"/>
        </w:rPr>
        <w:t xml:space="preserve"> </w:t>
      </w:r>
      <w:r>
        <w:rPr>
          <w:lang w:val="fr-BE"/>
        </w:rPr>
        <w:t xml:space="preserve">Source: EMSA, http://www.emsa.europa.eu/accident-investigation-publications/annual-overview.html </w:t>
      </w:r>
    </w:p>
  </w:footnote>
  <w:footnote w:id="577">
    <w:p>
      <w:pPr>
        <w:pStyle w:val="footnote"/>
        <w:tabs>
          <w:tab w:val="left" w:pos="709"/>
        </w:tabs>
        <w:snapToGrid w:val="0"/>
      </w:pPr>
      <w:r>
        <w:rPr>
          <w:rStyle w:val="FootnoteReference"/>
        </w:rPr>
        <w:footnoteRef/>
      </w:r>
      <w:r>
        <w:t xml:space="preserve">C/2020/3139, Communication from the Commission Guidelines on the progressive restoration of transport services and connectivity – COVID-19 2020/C 169/02, OJ C 169, 15.5.2020, p. 17–29. Additional guidelines: </w:t>
      </w:r>
    </w:p>
    <w:p>
      <w:pPr>
        <w:pStyle w:val="footnote"/>
        <w:tabs>
          <w:tab w:val="left" w:pos="709"/>
        </w:tabs>
        <w:snapToGrid w:val="0"/>
      </w:pPr>
      <w:r>
        <w:t xml:space="preserve">EASA </w:t>
      </w:r>
    </w:p>
    <w:p>
      <w:pPr>
        <w:pStyle w:val="footnote"/>
        <w:tabs>
          <w:tab w:val="left" w:pos="709"/>
        </w:tabs>
        <w:snapToGrid w:val="0"/>
      </w:pPr>
      <w:r>
        <w:t xml:space="preserve">https://www.easa.europa.eu/sites/default/files/dfu/EASA-ECDC_COVID-19_Operational%20guidelines%20for%20management%20of%20passengers_v2.pdf </w:t>
      </w:r>
    </w:p>
    <w:p>
      <w:pPr>
        <w:pStyle w:val="footnote"/>
        <w:tabs>
          <w:tab w:val="left" w:pos="709"/>
        </w:tabs>
        <w:snapToGrid w:val="0"/>
        <w:rPr>
          <w:lang w:val="es-ES"/>
        </w:rPr>
      </w:pPr>
      <w:r>
        <w:rPr>
          <w:lang w:val="es-ES"/>
        </w:rPr>
        <w:t xml:space="preserve">ERA https://www.era.europa.eu/sites/default/files/events-news/docs/covid-19_rail_protocol_en.pdf </w:t>
      </w:r>
    </w:p>
    <w:p>
      <w:pPr>
        <w:pStyle w:val="footnote"/>
        <w:tabs>
          <w:tab w:val="left" w:pos="709"/>
        </w:tabs>
        <w:snapToGrid w:val="0"/>
      </w:pPr>
      <w:r>
        <w:t xml:space="preserve">EMSA https://emsa.europa.eu/emsa-documents/latest/download/6376/3978/23.html </w:t>
      </w:r>
    </w:p>
  </w:footnote>
  <w:footnote w:id="578">
    <w:p>
      <w:pPr>
        <w:pStyle w:val="footnote"/>
        <w:tabs>
          <w:tab w:val="left" w:pos="709"/>
        </w:tabs>
        <w:snapToGrid w:val="0"/>
      </w:pPr>
      <w:r>
        <w:rPr>
          <w:rStyle w:val="FootnoteReference"/>
        </w:rPr>
        <w:footnoteRef/>
      </w:r>
      <w:r>
        <w:t xml:space="preserve"> Germany reported statistics for the first time covering the first quarter of 2020, during which 251 e-scooter users were injured and one died (</w:t>
      </w:r>
      <w:hyperlink r:id="rId101" w:history="1">
        <w:r>
          <w:rPr>
            <w:rStyle w:val="Hyperlink"/>
            <w:u w:val="none"/>
          </w:rPr>
          <w:t>https://www.destatis.de/EN/Press/2020/07/PE20_N035_46241.html</w:t>
        </w:r>
      </w:hyperlink>
      <w:r>
        <w:t>). France also reported statistics for the first time in 2020, indicating that 10 people were killed in 2019 using “Engins de Déplacement Personnel (EDP) motorisés” (https://www.onisr.securite-routiere.gouv.fr/sites/default/files/2020-05/2020%2005%2030%20Présentation%20Bilan%20Définitif%20ONISR%202019%20vMS.pdf).</w:t>
      </w:r>
    </w:p>
  </w:footnote>
  <w:footnote w:id="579">
    <w:p>
      <w:pPr>
        <w:pStyle w:val="footnote"/>
        <w:tabs>
          <w:tab w:val="left" w:pos="709"/>
        </w:tabs>
        <w:snapToGrid w:val="0"/>
      </w:pPr>
      <w:r>
        <w:rPr>
          <w:rStyle w:val="FootnoteReference"/>
        </w:rPr>
        <w:footnoteRef/>
      </w:r>
      <w:r>
        <w:t xml:space="preserve"> </w:t>
      </w:r>
      <w:hyperlink r:id="rId102" w:history="1">
        <w:r>
          <w:rPr>
            <w:rStyle w:val="Hyperlink"/>
            <w:u w:val="none"/>
          </w:rPr>
          <w:t>https://www.eltis.org/sites/default/files/integration_of_shared_mobility_approaches_in_sumps.pdf</w:t>
        </w:r>
      </w:hyperlink>
      <w:r>
        <w:t xml:space="preserve"> </w:t>
      </w:r>
    </w:p>
  </w:footnote>
  <w:footnote w:id="580">
    <w:p>
      <w:pPr>
        <w:pStyle w:val="footnote"/>
        <w:tabs>
          <w:tab w:val="left" w:pos="709"/>
        </w:tabs>
        <w:snapToGrid w:val="0"/>
      </w:pPr>
      <w:r>
        <w:rPr>
          <w:rStyle w:val="FootnoteReference"/>
        </w:rPr>
        <w:footnoteRef/>
      </w:r>
      <w:r>
        <w:t xml:space="preserve"> Directive 2004/54/EC of the European Parliament and of the Council of 29 April 2004 on minimum safety requirements for tunnels in the Trans-European Road Network, OJ L 167, 30.4.2004, p. 39.</w:t>
      </w:r>
    </w:p>
  </w:footnote>
  <w:footnote w:id="581">
    <w:p>
      <w:pPr>
        <w:pStyle w:val="footnote"/>
        <w:tabs>
          <w:tab w:val="left" w:pos="709"/>
        </w:tabs>
        <w:snapToGrid w:val="0"/>
      </w:pPr>
      <w:r>
        <w:rPr>
          <w:vertAlign w:val="superscript"/>
        </w:rPr>
        <w:footnoteRef/>
      </w:r>
      <w:r>
        <w:rPr>
          <w:vertAlign w:val="superscript"/>
        </w:rPr>
        <w:t xml:space="preserve"> </w:t>
      </w:r>
      <w:hyperlink r:id="rId103" w:tgtFrame="_blank" w:history="1">
        <w:r>
          <w:rPr>
            <w:rStyle w:val="Hyperlink"/>
            <w:u w:val="none"/>
          </w:rPr>
          <w:t>Directive (EU) 2019/1936 of 23 October 2019 amending Directive 2008/96/EC on road infrastructure safety management</w:t>
        </w:r>
      </w:hyperlink>
      <w:r>
        <w:t>, OJ L 305, 26.11.2019, p. 1.</w:t>
      </w:r>
    </w:p>
  </w:footnote>
  <w:footnote w:id="582">
    <w:p>
      <w:pPr>
        <w:pStyle w:val="footnote"/>
        <w:tabs>
          <w:tab w:val="left" w:pos="709"/>
        </w:tabs>
        <w:snapToGrid w:val="0"/>
      </w:pPr>
      <w:r>
        <w:rPr>
          <w:rStyle w:val="FootnoteReference"/>
        </w:rPr>
        <w:footnoteRef/>
      </w:r>
      <w:r>
        <w:t xml:space="preserve"> Regulation (EU) 2019/2144 of the European Parliament and of the Council of 27 November 2019 on type-approval requirements for motor vehicles and their trailers, and systems, components and separate technical units intended for such vehicles, as regards their general safety and the protection of vehicle occupants and vulnerable road users, OJ L 325, 16.12.2019, p. 1.</w:t>
      </w:r>
    </w:p>
  </w:footnote>
  <w:footnote w:id="583">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https://iheero.eu/</w:t>
      </w:r>
    </w:p>
  </w:footnote>
  <w:footnote w:id="584">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https://safe112.eu/</w:t>
      </w:r>
    </w:p>
  </w:footnote>
  <w:footnote w:id="585">
    <w:p>
      <w:pPr>
        <w:pStyle w:val="footnote"/>
        <w:tabs>
          <w:tab w:val="left" w:pos="709"/>
        </w:tabs>
        <w:snapToGrid w:val="0"/>
        <w:rPr>
          <w:lang w:val="da-DK"/>
        </w:rPr>
      </w:pPr>
      <w:r>
        <w:rPr>
          <w:rStyle w:val="FootnoteReference"/>
        </w:rPr>
        <w:footnoteRef/>
      </w:r>
      <w:r>
        <w:rPr>
          <w:lang w:val="da-DK"/>
        </w:rPr>
        <w:t xml:space="preserve"> Source: i_HeERO</w:t>
      </w:r>
    </w:p>
  </w:footnote>
  <w:footnote w:id="586">
    <w:p>
      <w:pPr>
        <w:pStyle w:val="footnote"/>
        <w:tabs>
          <w:tab w:val="left" w:pos="709"/>
        </w:tabs>
        <w:snapToGrid w:val="0"/>
      </w:pPr>
      <w:r>
        <w:rPr>
          <w:rStyle w:val="FootnoteReference"/>
        </w:rPr>
        <w:footnoteRef/>
      </w:r>
      <w:r>
        <w:rPr>
          <w:lang w:val="da-DK"/>
        </w:rPr>
        <w:t xml:space="preserve"> Elvik et al. </w:t>
      </w:r>
      <w:r>
        <w:t>(2019): Elvik R, Vadeby A, Hels T and van Schagen I (2019) Updated estimates of the relationship between speed and road safety at the aggregate and individual levels.</w:t>
      </w:r>
    </w:p>
  </w:footnote>
  <w:footnote w:id="587">
    <w:p>
      <w:pPr>
        <w:pStyle w:val="footnote"/>
        <w:tabs>
          <w:tab w:val="left" w:pos="709"/>
        </w:tabs>
        <w:snapToGrid w:val="0"/>
      </w:pPr>
      <w:r>
        <w:rPr>
          <w:rStyle w:val="FootnoteReference"/>
        </w:rPr>
        <w:footnoteRef/>
      </w:r>
      <w:r>
        <w:t xml:space="preserve"> European Commission (2014), Study on the prevention of drink-driving by the use of alcohol interlock devices, Final Report.</w:t>
      </w:r>
    </w:p>
  </w:footnote>
  <w:footnote w:id="588">
    <w:p>
      <w:pPr>
        <w:pStyle w:val="footnote"/>
        <w:tabs>
          <w:tab w:val="left" w:pos="709"/>
        </w:tabs>
        <w:snapToGrid w:val="0"/>
      </w:pPr>
      <w:r>
        <w:rPr>
          <w:rStyle w:val="FootnoteReference"/>
        </w:rPr>
        <w:footnoteRef/>
      </w:r>
      <w:r>
        <w:rPr>
          <w:rStyle w:val="FootnoteReference"/>
        </w:rPr>
        <w:t xml:space="preserve"> </w:t>
      </w:r>
      <w:r>
        <w:t>https://ec.europa.eu/health/ph_determinants/life_style/alcohol/documents/alcohol_com_625_en.pdf</w:t>
      </w:r>
    </w:p>
  </w:footnote>
  <w:footnote w:id="589">
    <w:p>
      <w:pPr>
        <w:pStyle w:val="footnote"/>
        <w:tabs>
          <w:tab w:val="left" w:pos="709"/>
        </w:tabs>
        <w:snapToGrid w:val="0"/>
      </w:pPr>
      <w:r>
        <w:rPr>
          <w:rStyle w:val="FootnoteReference"/>
        </w:rPr>
        <w:footnoteRef/>
      </w:r>
      <w:r>
        <w:t xml:space="preserve"> Final report of DRUID project (2012) (http://www.emcdda.europa.eu/publications/thematic-papers/druid_en)</w:t>
      </w:r>
    </w:p>
  </w:footnote>
  <w:footnote w:id="590">
    <w:p>
      <w:pPr>
        <w:pStyle w:val="footnote"/>
        <w:tabs>
          <w:tab w:val="left" w:pos="709"/>
        </w:tabs>
        <w:snapToGrid w:val="0"/>
      </w:pPr>
      <w:r>
        <w:rPr>
          <w:rStyle w:val="FootnoteReference"/>
        </w:rPr>
        <w:footnoteRef/>
      </w:r>
      <w:r>
        <w:t xml:space="preserve"> Dingus et al (2016): Driver crash risk factors and prevalence evaluation using naturalistic driving data. </w:t>
      </w:r>
    </w:p>
  </w:footnote>
  <w:footnote w:id="591">
    <w:p>
      <w:pPr>
        <w:pStyle w:val="footnote"/>
        <w:tabs>
          <w:tab w:val="left" w:pos="709"/>
        </w:tabs>
        <w:snapToGrid w:val="0"/>
      </w:pPr>
      <w:r>
        <w:rPr>
          <w:rStyle w:val="FootnoteReference"/>
        </w:rPr>
        <w:footnoteRef/>
      </w:r>
      <w:r>
        <w:t>Report on Driver Distraction 2018, European Road Safety Observatory</w:t>
      </w:r>
    </w:p>
    <w:p>
      <w:pPr>
        <w:pStyle w:val="footnote"/>
        <w:tabs>
          <w:tab w:val="left" w:pos="709"/>
        </w:tabs>
        <w:snapToGrid w:val="0"/>
      </w:pPr>
      <w:r>
        <w:t>https://ec.europa.eu/transport/road_safety/sites/roadsafety/files/pdf/ersosynthesis2018-driverdistraction.pdf</w:t>
      </w:r>
    </w:p>
  </w:footnote>
  <w:footnote w:id="592">
    <w:p>
      <w:pPr>
        <w:pStyle w:val="footnote"/>
        <w:tabs>
          <w:tab w:val="left" w:pos="709"/>
        </w:tabs>
        <w:snapToGrid w:val="0"/>
      </w:pPr>
      <w:r>
        <w:rPr>
          <w:rStyle w:val="FootnoteReference"/>
        </w:rPr>
        <w:footnoteRef/>
      </w:r>
      <w:r>
        <w:t xml:space="preserve"> Directive 2006/126/EC of the European Parliament and of the Council of 20 December 2006 on driving licences (Recast), OJ L 403, 30.12.2006, p. 18.</w:t>
      </w:r>
    </w:p>
  </w:footnote>
  <w:footnote w:id="593">
    <w:p>
      <w:pPr>
        <w:pStyle w:val="footnote"/>
        <w:tabs>
          <w:tab w:val="left" w:pos="709"/>
        </w:tabs>
        <w:snapToGrid w:val="0"/>
      </w:pPr>
      <w:r>
        <w:rPr>
          <w:rStyle w:val="FootnoteReference"/>
        </w:rPr>
        <w:footnoteRef/>
      </w:r>
      <w:r>
        <w:t xml:space="preserve"> Directive (EU) 2015/413 of the European Parliament and of the Council of 11 March 2015 facilitating cross-border exchange of information on road-safety-related traffic offences, OJ L 68, 13.3.2015, p. 9.</w:t>
      </w:r>
    </w:p>
  </w:footnote>
  <w:footnote w:id="594">
    <w:p>
      <w:pPr>
        <w:pStyle w:val="footnote"/>
        <w:tabs>
          <w:tab w:val="left" w:pos="709"/>
        </w:tabs>
        <w:snapToGrid w:val="0"/>
      </w:pPr>
      <w:r>
        <w:rPr>
          <w:rStyle w:val="FootnoteReference"/>
        </w:rPr>
        <w:footnoteRef/>
      </w:r>
      <w:r>
        <w:t xml:space="preserve"> Commission recommendation of 17 January 2001 on the maximum permitted blood alcohol content (BAC) for drivers of motorised vehicles. </w:t>
      </w:r>
    </w:p>
    <w:p>
      <w:pPr>
        <w:pStyle w:val="footnote"/>
        <w:tabs>
          <w:tab w:val="left" w:pos="709"/>
        </w:tabs>
        <w:snapToGrid w:val="0"/>
      </w:pPr>
    </w:p>
  </w:footnote>
  <w:footnote w:id="595">
    <w:p>
      <w:pPr>
        <w:pStyle w:val="footnote"/>
        <w:tabs>
          <w:tab w:val="left" w:pos="709"/>
        </w:tabs>
        <w:snapToGrid w:val="0"/>
      </w:pPr>
      <w:r>
        <w:rPr>
          <w:rStyle w:val="FootnoteReference"/>
        </w:rPr>
        <w:footnoteRef/>
      </w:r>
      <w:r>
        <w:t xml:space="preserve"> According to IRU, Europe is lacking daily 100,000 parking spots for truck drivers, to take their legally mandatory breaks and rests, whilst most of the existing parking areas are below acceptable standards.</w:t>
      </w:r>
    </w:p>
  </w:footnote>
  <w:footnote w:id="596">
    <w:p>
      <w:pPr>
        <w:pStyle w:val="footnote"/>
        <w:tabs>
          <w:tab w:val="left" w:pos="709"/>
        </w:tabs>
        <w:snapToGrid w:val="0"/>
      </w:pPr>
      <w:r>
        <w:rPr>
          <w:rStyle w:val="FootnoteReference"/>
        </w:rPr>
        <w:footnoteRef/>
      </w:r>
      <w:r>
        <w:t xml:space="preserve"> Directive 2009/16/EC of the European Parliament and of the Council of 23 April 2009 on port State control, OJ L 131, 28.5.2009, p. 57.</w:t>
      </w:r>
    </w:p>
  </w:footnote>
  <w:footnote w:id="597">
    <w:p>
      <w:pPr>
        <w:pStyle w:val="FootnoteText"/>
        <w:tabs>
          <w:tab w:val="left" w:pos="709"/>
        </w:tabs>
        <w:snapToGrid w:val="0"/>
        <w:spacing w:after="0" w:line="240" w:lineRule="auto"/>
        <w:rPr>
          <w:sz w:val="16"/>
          <w:szCs w:val="16"/>
          <w:lang w:val="pt-PT"/>
        </w:rPr>
      </w:pPr>
      <w:r>
        <w:rPr>
          <w:rStyle w:val="FootnoteReference"/>
          <w:sz w:val="16"/>
          <w:szCs w:val="16"/>
        </w:rPr>
        <w:footnoteRef/>
      </w:r>
      <w:r>
        <w:rPr>
          <w:sz w:val="16"/>
          <w:szCs w:val="16"/>
          <w:lang w:val="pt-PT"/>
        </w:rPr>
        <w:t xml:space="preserve"> COM(2018) 188 final</w:t>
      </w:r>
    </w:p>
  </w:footnote>
  <w:footnote w:id="598">
    <w:p>
      <w:pPr>
        <w:pStyle w:val="FootnoteText"/>
        <w:tabs>
          <w:tab w:val="left" w:pos="709"/>
        </w:tabs>
        <w:snapToGrid w:val="0"/>
        <w:spacing w:after="0" w:line="240" w:lineRule="auto"/>
        <w:rPr>
          <w:sz w:val="16"/>
          <w:szCs w:val="16"/>
          <w:lang w:val="pt-PT"/>
        </w:rPr>
      </w:pPr>
      <w:r>
        <w:rPr>
          <w:rStyle w:val="FootnoteReference"/>
          <w:sz w:val="16"/>
          <w:szCs w:val="16"/>
        </w:rPr>
        <w:footnoteRef/>
      </w:r>
      <w:r>
        <w:rPr>
          <w:sz w:val="16"/>
          <w:szCs w:val="16"/>
          <w:lang w:val="pt-PT"/>
        </w:rPr>
        <w:t xml:space="preserve"> https://ec.europa.eu/environment/waste/ships/list.htm</w:t>
      </w:r>
    </w:p>
  </w:footnote>
  <w:footnote w:id="599">
    <w:p>
      <w:pPr>
        <w:pStyle w:val="footnote"/>
        <w:tabs>
          <w:tab w:val="left" w:pos="709"/>
        </w:tabs>
        <w:snapToGrid w:val="0"/>
      </w:pPr>
      <w:r>
        <w:rPr>
          <w:rStyle w:val="FootnoteReference"/>
        </w:rPr>
        <w:footnoteRef/>
      </w:r>
      <w:r>
        <w:t xml:space="preserve"> Directive (EU) 2015/413 of the European Parliament and of the Council of 11 March 2015 facilitating cross-border exchange of information on road-safety-related traffic offences, OJ L 68, 13.3.2015, p. 9.</w:t>
      </w:r>
    </w:p>
  </w:footnote>
  <w:footnote w:id="600">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Regulation (EU) 2019/452 of the European Parliament and of the Council of 19 March 2019 establishing a framework for the screening of foreign direct investments into the Union, OJ L 79I , 21.3.2019, p. 1.</w:t>
      </w:r>
    </w:p>
  </w:footnote>
  <w:footnote w:id="601">
    <w:p>
      <w:pPr>
        <w:pStyle w:val="footnote"/>
        <w:tabs>
          <w:tab w:val="left" w:pos="709"/>
        </w:tabs>
        <w:snapToGrid w:val="0"/>
      </w:pPr>
      <w:r>
        <w:rPr>
          <w:rStyle w:val="FootnoteReference"/>
        </w:rPr>
        <w:footnoteRef/>
      </w:r>
      <w:r>
        <w:t xml:space="preserve"> Opinion 2/15 of the Court of 16 May 2017, ECLI:EU:C:2017:376.</w:t>
      </w:r>
    </w:p>
  </w:footnote>
  <w:footnote w:id="602">
    <w:p>
      <w:pPr>
        <w:pStyle w:val="footnote"/>
        <w:tabs>
          <w:tab w:val="left" w:pos="709"/>
        </w:tabs>
        <w:snapToGrid w:val="0"/>
        <w:rPr>
          <w:lang w:val="fr-BE"/>
        </w:rPr>
      </w:pPr>
      <w:r>
        <w:rPr>
          <w:rStyle w:val="FootnoteReference"/>
        </w:rPr>
        <w:footnoteRef/>
      </w:r>
      <w:r>
        <w:rPr>
          <w:lang w:val="fr-BE"/>
        </w:rPr>
        <w:t xml:space="preserve"> Commission centrale pour la navigation du Rhin (CCNR)</w:t>
      </w:r>
    </w:p>
  </w:footnote>
  <w:footnote w:id="603">
    <w:p>
      <w:pPr>
        <w:pStyle w:val="footnote"/>
        <w:tabs>
          <w:tab w:val="left" w:pos="709"/>
        </w:tabs>
        <w:snapToGrid w:val="0"/>
      </w:pPr>
      <w:r>
        <w:rPr>
          <w:vertAlign w:val="superscript"/>
        </w:rPr>
        <w:footnoteRef/>
      </w:r>
      <w:r>
        <w:rPr>
          <w:vertAlign w:val="superscript"/>
        </w:rPr>
        <w:t xml:space="preserve"> </w:t>
      </w:r>
      <w:r>
        <w:t>The European Commission is a member of and currently chairs the Advisory Board of the UN Road Safety Fund.</w:t>
      </w:r>
    </w:p>
  </w:footnote>
  <w:footnote w:id="604">
    <w:p>
      <w:pPr>
        <w:pStyle w:val="footnote"/>
        <w:tabs>
          <w:tab w:val="left" w:pos="709"/>
        </w:tabs>
        <w:snapToGrid w:val="0"/>
      </w:pPr>
      <w:r>
        <w:rPr>
          <w:rStyle w:val="FootnoteReference"/>
        </w:rPr>
        <w:footnoteRef/>
      </w:r>
      <w:r>
        <w:t xml:space="preserve"> https://mobiliseyourcity.net/about_the_partnership </w:t>
      </w:r>
    </w:p>
  </w:footnote>
  <w:footnote w:id="605">
    <w:p>
      <w:pPr>
        <w:pStyle w:val="footnote"/>
        <w:tabs>
          <w:tab w:val="left" w:pos="709"/>
        </w:tabs>
        <w:snapToGrid w:val="0"/>
        <w:rPr>
          <w:lang w:val="en-US"/>
        </w:rPr>
      </w:pPr>
      <w:r>
        <w:rPr>
          <w:rStyle w:val="FootnoteReference"/>
        </w:rPr>
        <w:footnoteRef/>
      </w:r>
      <w:r>
        <w:rPr>
          <w:lang w:val="en-US"/>
        </w:rPr>
        <w:t xml:space="preserve"> https://mobilityweek.eu/home/ </w:t>
      </w:r>
    </w:p>
  </w:footnote>
  <w:footnote w:id="606">
    <w:p>
      <w:pPr>
        <w:pStyle w:val="footnote"/>
        <w:tabs>
          <w:tab w:val="left" w:pos="709"/>
        </w:tabs>
        <w:snapToGrid w:val="0"/>
      </w:pPr>
      <w:r>
        <w:rPr>
          <w:rStyle w:val="FootnoteReference"/>
        </w:rPr>
        <w:footnoteRef/>
      </w:r>
      <w:r>
        <w:t xml:space="preserve"> Regulation (EU) 2019/712 of the European Parliament and of the Council of 17 April 2019 on safeguarding competition in air transport, OJ L 123, 10.5.2019, p. 4.</w:t>
      </w:r>
    </w:p>
  </w:footnote>
  <w:footnote w:id="607">
    <w:p>
      <w:pPr>
        <w:pStyle w:val="footnote"/>
        <w:tabs>
          <w:tab w:val="left" w:pos="709"/>
        </w:tabs>
        <w:snapToGrid w:val="0"/>
        <w:rPr>
          <w:rFonts w:eastAsiaTheme="minorHAnsi"/>
        </w:rPr>
      </w:pPr>
      <w:r>
        <w:footnoteRef/>
      </w:r>
      <w:r>
        <w:rPr>
          <w:vertAlign w:val="superscript"/>
        </w:rPr>
        <w:t xml:space="preserve"> </w:t>
      </w:r>
      <w:r>
        <w:t>European Aviation Round Table Report on the Recovery of European Aviation, November 2020.</w:t>
      </w:r>
    </w:p>
  </w:footnote>
  <w:footnote w:id="608">
    <w:p>
      <w:pPr>
        <w:pStyle w:val="footnote"/>
        <w:tabs>
          <w:tab w:val="left" w:pos="709"/>
        </w:tabs>
        <w:snapToGrid w:val="0"/>
      </w:pPr>
      <w:r>
        <w:rPr>
          <w:rStyle w:val="FootnoteReference"/>
        </w:rPr>
        <w:footnoteRef/>
      </w:r>
      <w:r>
        <w:t xml:space="preserve"> Armenia, Azerbaijan, Belarus, Georgia, Moldova and Ukraine</w:t>
      </w:r>
    </w:p>
  </w:footnote>
  <w:footnote w:id="609">
    <w:p>
      <w:pPr>
        <w:pStyle w:val="footnote"/>
        <w:tabs>
          <w:tab w:val="left" w:pos="709"/>
        </w:tabs>
        <w:snapToGrid w:val="0"/>
      </w:pPr>
      <w:r>
        <w:rPr>
          <w:rStyle w:val="FootnoteReference"/>
        </w:rPr>
        <w:footnoteRef/>
      </w:r>
      <w:r>
        <w:t xml:space="preserve"> The Southern Partnership of </w:t>
      </w:r>
      <w:r>
        <w:rPr>
          <w:rStyle w:val="None"/>
        </w:rPr>
        <w:t>the European Neighbourhood Policy covers Algeria, Egypt, Israel, Jordan, Lebanon, Libya, Morocco, Palestine*</w:t>
      </w:r>
      <w:r>
        <w:t xml:space="preserve">, </w:t>
      </w:r>
      <w:r>
        <w:rPr>
          <w:rStyle w:val="None"/>
        </w:rPr>
        <w:t xml:space="preserve">Syria </w:t>
      </w:r>
      <w:r>
        <w:t xml:space="preserve">(cooperation suspended since 2011) and </w:t>
      </w:r>
      <w:r>
        <w:rPr>
          <w:rStyle w:val="None"/>
        </w:rPr>
        <w:t>Tunisia.</w:t>
      </w:r>
    </w:p>
  </w:footnote>
  <w:footnote w:id="610">
    <w:p>
      <w:pPr>
        <w:pStyle w:val="FootnoteText"/>
        <w:spacing w:after="0" w:line="240" w:lineRule="auto"/>
        <w:ind w:left="0" w:firstLine="0"/>
      </w:pPr>
      <w:r>
        <w:rPr>
          <w:rStyle w:val="FootnoteReference"/>
        </w:rPr>
        <w:footnoteRef/>
      </w:r>
      <w:r>
        <w:t xml:space="preserve"> </w:t>
      </w:r>
      <w:r>
        <w:rPr>
          <w:sz w:val="16"/>
        </w:rPr>
        <w:t xml:space="preserve"> https://ec.europa.eu/transport/themes/international/eu-china-connectivity-platform_en</w:t>
      </w:r>
    </w:p>
  </w:footnote>
  <w:footnote w:id="611">
    <w:p>
      <w:pPr>
        <w:pStyle w:val="footnote"/>
        <w:tabs>
          <w:tab w:val="left" w:pos="709"/>
        </w:tabs>
        <w:snapToGrid w:val="0"/>
      </w:pPr>
      <w:r>
        <w:rPr>
          <w:rStyle w:val="FootnoteReference"/>
        </w:rPr>
        <w:footnoteRef/>
      </w:r>
      <w:r>
        <w:t xml:space="preserve"> EC (2020), Impact assessment accompanying the Commission Communication “Stepping up Europe’s 2030 climate ambition - Investing in a climate-neutral future for the benefit of our people”, SWD(2020) 176 final</w:t>
      </w:r>
    </w:p>
  </w:footnote>
  <w:footnote w:id="612">
    <w:p>
      <w:pPr>
        <w:pStyle w:val="footnote"/>
        <w:tabs>
          <w:tab w:val="left" w:pos="709"/>
        </w:tabs>
        <w:snapToGrid w:val="0"/>
      </w:pPr>
      <w:r>
        <w:rPr>
          <w:rStyle w:val="FootnoteReference"/>
        </w:rPr>
        <w:footnoteRef/>
      </w:r>
      <w:r>
        <w:t xml:space="preserve"> All policy scenarios assume the full inclusion in the emission profile of net emissions from the LULUCF sector.</w:t>
      </w:r>
    </w:p>
  </w:footnote>
  <w:footnote w:id="613">
    <w:p>
      <w:pPr>
        <w:pStyle w:val="FootnoteText"/>
        <w:spacing w:after="0"/>
        <w:rPr>
          <w:sz w:val="16"/>
          <w:szCs w:val="16"/>
        </w:rPr>
      </w:pPr>
      <w:r>
        <w:rPr>
          <w:rStyle w:val="FootnoteReference"/>
          <w:sz w:val="16"/>
          <w:szCs w:val="16"/>
        </w:rPr>
        <w:footnoteRef/>
      </w:r>
      <w:r>
        <w:rPr>
          <w:sz w:val="16"/>
          <w:szCs w:val="16"/>
        </w:rPr>
        <w:t xml:space="preserve"> Except for the intra-EU maritime.</w:t>
      </w:r>
    </w:p>
  </w:footnote>
  <w:footnote w:id="614">
    <w:p>
      <w:pPr>
        <w:pStyle w:val="FootnoteText"/>
        <w:spacing w:after="0"/>
        <w:rPr>
          <w:sz w:val="16"/>
          <w:szCs w:val="16"/>
        </w:rPr>
      </w:pPr>
      <w:r>
        <w:rPr>
          <w:rStyle w:val="FootnoteReference"/>
          <w:sz w:val="16"/>
          <w:szCs w:val="16"/>
        </w:rPr>
        <w:footnoteRef/>
      </w:r>
      <w:r>
        <w:rPr>
          <w:sz w:val="16"/>
          <w:szCs w:val="16"/>
        </w:rPr>
        <w:t xml:space="preserve"> Except for the intra-EU maritime.</w:t>
      </w:r>
    </w:p>
  </w:footnote>
  <w:footnote w:id="615">
    <w:p>
      <w:pPr>
        <w:pStyle w:val="footnote"/>
        <w:tabs>
          <w:tab w:val="left" w:pos="709"/>
        </w:tabs>
        <w:snapToGrid w:val="0"/>
        <w:rPr>
          <w:iCs/>
        </w:rPr>
      </w:pPr>
      <w:r>
        <w:rPr>
          <w:rStyle w:val="FootnoteReference"/>
        </w:rPr>
        <w:footnoteRef/>
      </w:r>
      <w:r>
        <w:t xml:space="preserve"> The existing legislation sets for newly registered passenger cars, an EU fleet-wide average emission target of 95 gCO</w:t>
      </w:r>
      <w:r>
        <w:rPr>
          <w:vertAlign w:val="subscript"/>
        </w:rPr>
        <w:t>2</w:t>
      </w:r>
      <w:r>
        <w:t>/km from 2021, phased in from 2020. For newly registered vans, the EU fleet-wide average emission target is 147 gCO</w:t>
      </w:r>
      <w:r>
        <w:rPr>
          <w:vertAlign w:val="subscript"/>
        </w:rPr>
        <w:t>2</w:t>
      </w:r>
      <w:r>
        <w:t xml:space="preserve"> /km from 2020 onward. Stricter EU fleet-wide CO</w:t>
      </w:r>
      <w:r>
        <w:rPr>
          <w:vertAlign w:val="subscript"/>
        </w:rPr>
        <w:t>2</w:t>
      </w:r>
      <w:r>
        <w:t xml:space="preserve"> emission targets, start to apply from 2025 and from 2030. In particular emissions will have to reduce by 15% from 2025 for both cars and vans, and by 37.5% and 31% for cars and vans respectively from 2030, as compared to 2021. From 2025 on, also trucks manufacturers will have to meet CO</w:t>
      </w:r>
      <w:r>
        <w:rPr>
          <w:vertAlign w:val="subscript"/>
        </w:rPr>
        <w:t>2</w:t>
      </w:r>
      <w:r>
        <w:t xml:space="preserve"> emission targets. In particular, the EU fleet-wide average CO</w:t>
      </w:r>
      <w:r>
        <w:rPr>
          <w:vertAlign w:val="subscript"/>
        </w:rPr>
        <w:t>2</w:t>
      </w:r>
      <w:r>
        <w:t xml:space="preserve"> emissions of newly registered trucks will have to reduce by 15% by 2025 and 30% by 2030, compared to the average emissions in the reference period (1 July 2019–30 June 2020). For cars, vans and trucks, specific incentive systems are also set to incentivise the uptake of zero and low-emission vehicles.</w:t>
      </w:r>
    </w:p>
  </w:footnote>
  <w:footnote w:id="616">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Integrating the sharing economy and connected, cooperative and automated mobility in the existing transport set-up is extremely important. At the same time, it is important to ensure that the direction is right, leading to emissions reduction in transport, and limiting rebound effects. For example, there is a risk that vehicle automation would increase the demand for mobility or willingness to spend time in traffic, with adverse environmental effects as a consequence. Hence automation and connectivity need to go hand in hand in order to achieve overall system efficiency improvements.</w:t>
      </w:r>
    </w:p>
  </w:footnote>
  <w:footnote w:id="617">
    <w:p>
      <w:pPr>
        <w:pStyle w:val="FootnoteText"/>
        <w:tabs>
          <w:tab w:val="left" w:pos="709"/>
        </w:tabs>
        <w:snapToGrid w:val="0"/>
        <w:spacing w:after="0" w:line="240" w:lineRule="auto"/>
        <w:ind w:left="0" w:firstLine="0"/>
        <w:rPr>
          <w:sz w:val="16"/>
          <w:szCs w:val="16"/>
          <w:lang w:val="en-US"/>
        </w:rPr>
      </w:pPr>
      <w:r>
        <w:rPr>
          <w:rStyle w:val="FootnoteReference"/>
          <w:sz w:val="16"/>
          <w:szCs w:val="16"/>
        </w:rPr>
        <w:footnoteRef/>
      </w:r>
      <w:r>
        <w:rPr>
          <w:sz w:val="16"/>
          <w:szCs w:val="16"/>
        </w:rPr>
        <w:t xml:space="preserve"> The impacts of promotion and industrial deployment of proof clean technologies, the reorganisation, streamlining and modernisation of supply chains and production capacity are not specifically quantified here. </w:t>
      </w:r>
    </w:p>
  </w:footnote>
  <w:footnote w:id="618">
    <w:p>
      <w:pPr>
        <w:pStyle w:val="footnote"/>
        <w:tabs>
          <w:tab w:val="left" w:pos="709"/>
        </w:tabs>
        <w:snapToGrid w:val="0"/>
      </w:pPr>
      <w:r>
        <w:rPr>
          <w:rStyle w:val="FootnoteReference"/>
        </w:rPr>
        <w:footnoteRef/>
      </w:r>
      <w:r>
        <w:t xml:space="preserve"> Including international aviation and maritime. </w:t>
      </w:r>
    </w:p>
  </w:footnote>
  <w:footnote w:id="619">
    <w:p>
      <w:pPr>
        <w:pStyle w:val="footnote"/>
        <w:tabs>
          <w:tab w:val="left" w:pos="709"/>
        </w:tabs>
        <w:snapToGrid w:val="0"/>
      </w:pPr>
      <w:r>
        <w:rPr>
          <w:rStyle w:val="FootnoteReference"/>
        </w:rPr>
        <w:footnoteRef/>
      </w:r>
      <w:r>
        <w:t xml:space="preserve"> According to Eurostat methodology, final energy consumption in transport excludes international aviation and maritime.</w:t>
      </w:r>
    </w:p>
  </w:footnote>
  <w:footnote w:id="620">
    <w:p>
      <w:pPr>
        <w:pStyle w:val="footnote"/>
        <w:tabs>
          <w:tab w:val="left" w:pos="709"/>
        </w:tabs>
        <w:snapToGrid w:val="0"/>
      </w:pPr>
      <w:r>
        <w:rPr>
          <w:rStyle w:val="FootnoteReference"/>
        </w:rPr>
        <w:footnoteRef/>
      </w:r>
      <w:r>
        <w:t xml:space="preserve"> According to the Directive 2014/94/EU, ‘alternative fuels’ refer to fuels or power sources which serve, at least partly, as a substitute for fossil oil sources in the energy supply to transport and which have the potential to contribute to its decarbonisation and enhance the environmental performance of the transport sector. They include, inter alia: electricity, hydrogen, biofuels, synthetic and paraffinic fuels, natural gas, including biomethane, in gaseous form (compressed natural gas (CNG)) and liquefied form (liquefied natural gas (LNG)), and liquefied petroleum gas (LPG).</w:t>
      </w:r>
    </w:p>
  </w:footnote>
  <w:footnote w:id="621">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Not accounting for multipliers. </w:t>
      </w:r>
    </w:p>
  </w:footnote>
  <w:footnote w:id="622">
    <w:p>
      <w:pPr>
        <w:pStyle w:val="FootnoteText"/>
        <w:tabs>
          <w:tab w:val="left" w:pos="709"/>
        </w:tabs>
        <w:snapToGrid w:val="0"/>
        <w:spacing w:after="0" w:line="240" w:lineRule="auto"/>
        <w:ind w:left="0" w:firstLine="0"/>
        <w:rPr>
          <w:sz w:val="16"/>
          <w:szCs w:val="16"/>
          <w:lang w:val="en-IE"/>
        </w:rPr>
      </w:pPr>
      <w:r>
        <w:rPr>
          <w:rStyle w:val="FootnoteReference"/>
          <w:sz w:val="16"/>
          <w:szCs w:val="16"/>
        </w:rPr>
        <w:footnoteRef/>
      </w:r>
      <w:r>
        <w:rPr>
          <w:sz w:val="16"/>
          <w:szCs w:val="16"/>
        </w:rPr>
        <w:t xml:space="preserve"> </w:t>
      </w:r>
      <w:r>
        <w:rPr>
          <w:sz w:val="16"/>
          <w:szCs w:val="16"/>
          <w:lang w:val="en-IE"/>
        </w:rPr>
        <w:t>According to Articles 25-27 of Directive 2018/2001/EC (revised RED) where specific caps and multipliers apply for different renewable fuels.</w:t>
      </w:r>
    </w:p>
  </w:footnote>
  <w:footnote w:id="623">
    <w:p>
      <w:pPr>
        <w:pStyle w:val="FootnoteText"/>
        <w:tabs>
          <w:tab w:val="left" w:pos="709"/>
        </w:tabs>
        <w:snapToGrid w:val="0"/>
        <w:spacing w:after="0" w:line="240" w:lineRule="auto"/>
        <w:ind w:left="0" w:firstLine="0"/>
        <w:rPr>
          <w:sz w:val="16"/>
          <w:szCs w:val="16"/>
          <w:lang w:val="en-IE"/>
        </w:rPr>
      </w:pPr>
      <w:r>
        <w:rPr>
          <w:rStyle w:val="FootnoteReference"/>
          <w:sz w:val="16"/>
          <w:szCs w:val="16"/>
        </w:rPr>
        <w:footnoteRef/>
      </w:r>
      <w:r>
        <w:rPr>
          <w:sz w:val="16"/>
          <w:szCs w:val="16"/>
        </w:rPr>
        <w:t xml:space="preserve"> Emissions from transport are reported on a tank to wheel basis, in line with the Impact assessment accompanying the Commission Communication “Stepping up Europe’s 2030 climate ambition - Investing in a climate-neutral future for the benefit of our people”. It should be noted that the modelling assigns tank to wheel emissions of zero to biofuels, electricity and e-fuels, to avoid double counting. These emissions are accounted in other sectors and reported in the Impact assessment accompanying the Commission Communication “Stepping up Europe’s 2030 climate ambition - Investing in a climate-neutral future for the benefit of our people”. Emissions from transport on a well to wheel basis are reported below. </w:t>
      </w:r>
    </w:p>
  </w:footnote>
  <w:footnote w:id="624">
    <w:p>
      <w:pPr>
        <w:pStyle w:val="FootnoteText"/>
        <w:tabs>
          <w:tab w:val="left" w:pos="709"/>
        </w:tabs>
        <w:snapToGrid w:val="0"/>
        <w:spacing w:after="0" w:line="240" w:lineRule="auto"/>
        <w:ind w:left="0" w:firstLine="0"/>
        <w:rPr>
          <w:sz w:val="16"/>
          <w:szCs w:val="16"/>
          <w:lang w:val="en-IE"/>
        </w:rPr>
      </w:pPr>
      <w:r>
        <w:rPr>
          <w:rStyle w:val="FootnoteReference"/>
          <w:sz w:val="16"/>
          <w:szCs w:val="16"/>
        </w:rPr>
        <w:footnoteRef/>
      </w:r>
      <w:r>
        <w:rPr>
          <w:sz w:val="16"/>
          <w:szCs w:val="16"/>
        </w:rPr>
        <w:t xml:space="preserve"> </w:t>
      </w:r>
      <w:r>
        <w:rPr>
          <w:rFonts w:eastAsia="TimesNewRoman"/>
          <w:sz w:val="16"/>
          <w:szCs w:val="16"/>
        </w:rPr>
        <w:t>Only EU emissions for the domestic production are covered by the quantified well to wheel emissions. Worldwide upstream emissions related to the sourcing of fossil fuels are not reflected in this modelling exercise. For biofuels, well to wheel CO</w:t>
      </w:r>
      <w:r>
        <w:rPr>
          <w:rFonts w:eastAsia="TimesNewRoman"/>
          <w:sz w:val="16"/>
          <w:szCs w:val="16"/>
          <w:vertAlign w:val="subscript"/>
        </w:rPr>
        <w:t>2</w:t>
      </w:r>
      <w:r>
        <w:rPr>
          <w:rFonts w:eastAsia="TimesNewRoman"/>
          <w:sz w:val="16"/>
          <w:szCs w:val="16"/>
        </w:rPr>
        <w:t xml:space="preserve"> emission factors reflect the energy use in the production process. </w:t>
      </w:r>
      <w:r>
        <w:rPr>
          <w:sz w:val="16"/>
          <w:szCs w:val="16"/>
        </w:rPr>
        <w:t>Indirect land-use change</w:t>
      </w:r>
      <w:r>
        <w:rPr>
          <w:rFonts w:eastAsia="TimesNewRoman"/>
          <w:sz w:val="16"/>
          <w:szCs w:val="16"/>
        </w:rPr>
        <w:t xml:space="preserve"> (ILUC) emissions are not included.</w:t>
      </w:r>
    </w:p>
  </w:footnote>
  <w:footnote w:id="625">
    <w:p>
      <w:pPr>
        <w:pStyle w:val="FootnoteText"/>
        <w:tabs>
          <w:tab w:val="left" w:pos="709"/>
        </w:tabs>
        <w:snapToGrid w:val="0"/>
        <w:spacing w:after="0" w:line="240" w:lineRule="auto"/>
        <w:ind w:left="0" w:firstLine="0"/>
        <w:rPr>
          <w:sz w:val="16"/>
          <w:szCs w:val="16"/>
          <w:lang w:val="en-IE"/>
        </w:rPr>
      </w:pPr>
      <w:r>
        <w:rPr>
          <w:rStyle w:val="FootnoteReference"/>
          <w:sz w:val="16"/>
          <w:szCs w:val="16"/>
        </w:rPr>
        <w:footnoteRef/>
      </w:r>
      <w:r>
        <w:rPr>
          <w:sz w:val="16"/>
          <w:szCs w:val="16"/>
        </w:rPr>
        <w:t xml:space="preserve"> </w:t>
      </w:r>
      <w:r>
        <w:rPr>
          <w:rFonts w:eastAsia="TimesNewRoman"/>
          <w:sz w:val="16"/>
          <w:szCs w:val="16"/>
        </w:rPr>
        <w:t>Only EU emissions for the domestic production are covered by the quantified well to wheel emissions. Worldwide upstream emissions related to the sourcing of fossil fuels are not reflected in this modelling exercise. For biofuels, well to wheel CO</w:t>
      </w:r>
      <w:r>
        <w:rPr>
          <w:rFonts w:eastAsia="TimesNewRoman"/>
          <w:sz w:val="16"/>
          <w:szCs w:val="16"/>
          <w:vertAlign w:val="subscript"/>
        </w:rPr>
        <w:t>2</w:t>
      </w:r>
      <w:r>
        <w:rPr>
          <w:rFonts w:eastAsia="TimesNewRoman"/>
          <w:sz w:val="16"/>
          <w:szCs w:val="16"/>
        </w:rPr>
        <w:t xml:space="preserve"> emission factors reflect the energy use in the production process. </w:t>
      </w:r>
      <w:r>
        <w:rPr>
          <w:sz w:val="16"/>
          <w:szCs w:val="16"/>
        </w:rPr>
        <w:t>Indirect land-use change</w:t>
      </w:r>
      <w:r>
        <w:rPr>
          <w:rFonts w:eastAsia="TimesNewRoman"/>
          <w:sz w:val="16"/>
          <w:szCs w:val="16"/>
        </w:rPr>
        <w:t xml:space="preserve"> (ILUC) emissions are not included.</w:t>
      </w:r>
    </w:p>
  </w:footnote>
  <w:footnote w:id="626">
    <w:p>
      <w:pPr>
        <w:pStyle w:val="FootnoteText"/>
        <w:tabs>
          <w:tab w:val="left" w:pos="709"/>
        </w:tabs>
        <w:snapToGrid w:val="0"/>
        <w:spacing w:after="0" w:line="240" w:lineRule="auto"/>
        <w:ind w:left="0" w:firstLine="0"/>
        <w:rPr>
          <w:sz w:val="16"/>
          <w:szCs w:val="16"/>
          <w:lang w:val="en-IE"/>
        </w:rPr>
      </w:pPr>
      <w:r>
        <w:rPr>
          <w:rStyle w:val="FootnoteReference"/>
          <w:sz w:val="16"/>
          <w:szCs w:val="16"/>
        </w:rPr>
        <w:footnoteRef/>
      </w:r>
      <w:r>
        <w:rPr>
          <w:sz w:val="16"/>
          <w:szCs w:val="16"/>
        </w:rPr>
        <w:t xml:space="preserve"> Including NOx, PM2.5 and SOx emissions; e</w:t>
      </w:r>
      <w:r>
        <w:rPr>
          <w:sz w:val="16"/>
          <w:szCs w:val="16"/>
          <w:lang w:val="en-IE"/>
        </w:rPr>
        <w:t xml:space="preserve">xcluding international maritime transport. </w:t>
      </w:r>
    </w:p>
  </w:footnote>
  <w:footnote w:id="627">
    <w:p>
      <w:pPr>
        <w:pStyle w:val="FootnoteText"/>
        <w:tabs>
          <w:tab w:val="left" w:pos="709"/>
        </w:tabs>
        <w:snapToGrid w:val="0"/>
        <w:spacing w:after="0" w:line="240" w:lineRule="auto"/>
        <w:rPr>
          <w:sz w:val="16"/>
          <w:szCs w:val="16"/>
          <w:lang w:val="fr-BE"/>
        </w:rPr>
      </w:pPr>
      <w:r>
        <w:rPr>
          <w:rStyle w:val="FootnoteReference"/>
          <w:sz w:val="16"/>
          <w:szCs w:val="16"/>
        </w:rPr>
        <w:footnoteRef/>
      </w:r>
      <w:r>
        <w:rPr>
          <w:sz w:val="16"/>
          <w:szCs w:val="16"/>
          <w:lang w:val="fr-BE"/>
        </w:rPr>
        <w:t xml:space="preserve"> Source : https://op.europa.eu/en/publication-detail/-/publication/9781f65f-8448-11ea-bf12-01aa75ed71a1</w:t>
      </w:r>
    </w:p>
  </w:footnote>
  <w:footnote w:id="628">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COMBI-Project (2015). Literature review on social welfare impacts of energy efficiency improvement actions, Deliverable 5.1, available at: http://combi-project.eu. The project receives funding from the EU's Horizon 2020 programme (No 649724).</w:t>
      </w:r>
    </w:p>
  </w:footnote>
  <w:footnote w:id="629">
    <w:p>
      <w:pPr>
        <w:pStyle w:val="FootnoteText"/>
        <w:tabs>
          <w:tab w:val="left" w:pos="709"/>
        </w:tabs>
        <w:snapToGrid w:val="0"/>
        <w:spacing w:after="0" w:line="240" w:lineRule="auto"/>
        <w:ind w:left="0" w:firstLine="0"/>
        <w:rPr>
          <w:sz w:val="16"/>
          <w:szCs w:val="16"/>
          <w:lang w:val="en-IE"/>
        </w:rPr>
      </w:pPr>
      <w:r>
        <w:rPr>
          <w:rStyle w:val="FootnoteReference"/>
          <w:sz w:val="16"/>
          <w:szCs w:val="16"/>
        </w:rPr>
        <w:footnoteRef/>
      </w:r>
      <w:r>
        <w:rPr>
          <w:sz w:val="16"/>
          <w:szCs w:val="16"/>
        </w:rPr>
        <w:t xml:space="preserve"> EC (2020), Impact assessment accompanying the Commission Communication “Stepping up Europe’s 2030 climate ambition - Investing in a climate-neutral future for the benefit of our people”, SWD(2020) 176 final. For transport the projections represent the entire cost of transport fleet purchased and alternative fuels infrastructure deployed unlike for other sectors, notably buildings where only energy-related costs are projected. </w:t>
      </w:r>
    </w:p>
  </w:footnote>
  <w:footnote w:id="630">
    <w:p>
      <w:pPr>
        <w:pStyle w:val="FootnoteText"/>
        <w:tabs>
          <w:tab w:val="left" w:pos="709"/>
        </w:tabs>
        <w:snapToGrid w:val="0"/>
        <w:spacing w:after="0" w:line="240" w:lineRule="auto"/>
        <w:ind w:left="0" w:firstLine="0"/>
        <w:rPr>
          <w:sz w:val="16"/>
          <w:szCs w:val="16"/>
          <w:lang w:val="en-US"/>
        </w:rPr>
      </w:pPr>
      <w:r>
        <w:rPr>
          <w:rStyle w:val="FootnoteReference"/>
          <w:sz w:val="16"/>
          <w:szCs w:val="16"/>
        </w:rPr>
        <w:footnoteRef/>
      </w:r>
      <w:r>
        <w:rPr>
          <w:sz w:val="16"/>
          <w:szCs w:val="16"/>
        </w:rPr>
        <w:t xml:space="preserve"> This does not include related investments for revamping of production lines, development of future-proof clean technologies, of new entrant technologies etc., which are usually accounted for in the manufacturing sector investments. </w:t>
      </w:r>
    </w:p>
  </w:footnote>
  <w:footnote w:id="631">
    <w:p>
      <w:pPr>
        <w:pStyle w:val="FootnoteText"/>
        <w:tabs>
          <w:tab w:val="left" w:pos="709"/>
        </w:tabs>
        <w:snapToGrid w:val="0"/>
        <w:spacing w:after="0" w:line="240" w:lineRule="auto"/>
        <w:ind w:left="0" w:firstLine="0"/>
        <w:rPr>
          <w:sz w:val="16"/>
          <w:szCs w:val="16"/>
          <w:lang w:val="en-IE"/>
        </w:rPr>
      </w:pPr>
      <w:r>
        <w:rPr>
          <w:rStyle w:val="FootnoteReference"/>
          <w:sz w:val="16"/>
          <w:szCs w:val="16"/>
        </w:rPr>
        <w:footnoteRef/>
      </w:r>
      <w:r>
        <w:rPr>
          <w:sz w:val="16"/>
          <w:szCs w:val="16"/>
        </w:rPr>
        <w:t xml:space="preserve"> This includes rapid transit systems, port and airports, multi-modal logistics, safety, traffic management.</w:t>
      </w:r>
    </w:p>
  </w:footnote>
  <w:footnote w:id="632">
    <w:p>
      <w:pPr>
        <w:pStyle w:val="FootnoteText"/>
        <w:tabs>
          <w:tab w:val="left" w:pos="709"/>
        </w:tabs>
        <w:snapToGrid w:val="0"/>
        <w:spacing w:after="0" w:line="240" w:lineRule="auto"/>
        <w:ind w:left="0" w:firstLine="0"/>
        <w:rPr>
          <w:sz w:val="16"/>
          <w:szCs w:val="16"/>
          <w:lang w:val="en-IE"/>
        </w:rPr>
      </w:pPr>
      <w:r>
        <w:rPr>
          <w:rStyle w:val="FootnoteReference"/>
          <w:sz w:val="16"/>
          <w:szCs w:val="16"/>
        </w:rPr>
        <w:footnoteRef/>
      </w:r>
      <w:r>
        <w:rPr>
          <w:sz w:val="16"/>
          <w:szCs w:val="16"/>
        </w:rPr>
        <w:t xml:space="preserve"> SWD(2020) 98 final. The estimates are based on TEN-T Work Plans, the European Investment Bank, and also use the assumption that the baseline investments needed in transport infrastructure is in the range of 1% of GDP. Given that EU Member States have faced a reduction in the fiscal space since the financial crisis of 2012, there is an accumulated backlog of transport investment in the past decade. These figures are based on the assumption that this investment gap needs to be covered in the future.</w:t>
      </w:r>
    </w:p>
  </w:footnote>
  <w:footnote w:id="633">
    <w:p>
      <w:pPr>
        <w:pStyle w:val="FootnoteText"/>
        <w:tabs>
          <w:tab w:val="left" w:pos="709"/>
        </w:tabs>
        <w:snapToGrid w:val="0"/>
        <w:spacing w:after="0" w:line="240" w:lineRule="auto"/>
        <w:rPr>
          <w:sz w:val="16"/>
          <w:szCs w:val="16"/>
          <w:lang w:val="en-IE"/>
        </w:rPr>
      </w:pPr>
      <w:r>
        <w:rPr>
          <w:rStyle w:val="FootnoteReference"/>
          <w:sz w:val="16"/>
          <w:szCs w:val="16"/>
        </w:rPr>
        <w:footnoteRef/>
      </w:r>
      <w:r>
        <w:rPr>
          <w:sz w:val="16"/>
          <w:szCs w:val="16"/>
        </w:rPr>
        <w:t xml:space="preserve"> Compared to the previous decade (2011-2020).</w:t>
      </w:r>
    </w:p>
  </w:footnote>
  <w:footnote w:id="634">
    <w:p>
      <w:pPr>
        <w:pStyle w:val="FootnoteText"/>
        <w:tabs>
          <w:tab w:val="left" w:pos="709"/>
        </w:tabs>
        <w:snapToGrid w:val="0"/>
        <w:spacing w:after="0" w:line="240" w:lineRule="auto"/>
        <w:ind w:left="0" w:firstLine="0"/>
        <w:rPr>
          <w:sz w:val="16"/>
          <w:szCs w:val="16"/>
        </w:rPr>
      </w:pPr>
      <w:r>
        <w:rPr>
          <w:rStyle w:val="FootnoteReference"/>
          <w:sz w:val="16"/>
          <w:szCs w:val="16"/>
        </w:rPr>
        <w:footnoteRef/>
      </w:r>
      <w:r>
        <w:rPr>
          <w:sz w:val="16"/>
          <w:szCs w:val="16"/>
        </w:rPr>
        <w:t xml:space="preserve"> For example transitioning from a job in a sector experiencing net losses in employment to a new job in another sector, or transitioning within sector but to a different job more aligned with the needs of the green economy.</w:t>
      </w:r>
    </w:p>
  </w:footnote>
  <w:footnote w:id="635">
    <w:p>
      <w:pPr>
        <w:pStyle w:val="FootnoteText"/>
        <w:tabs>
          <w:tab w:val="left" w:pos="709"/>
        </w:tabs>
        <w:spacing w:after="0" w:line="240" w:lineRule="auto"/>
        <w:rPr>
          <w:sz w:val="16"/>
          <w:szCs w:val="16"/>
          <w:lang w:val="en-IE"/>
        </w:rPr>
      </w:pPr>
      <w:r>
        <w:rPr>
          <w:rStyle w:val="FootnoteReference"/>
          <w:sz w:val="16"/>
          <w:szCs w:val="16"/>
        </w:rPr>
        <w:footnoteRef/>
      </w:r>
      <w:r>
        <w:rPr>
          <w:sz w:val="16"/>
          <w:szCs w:val="16"/>
        </w:rPr>
        <w:t xml:space="preserve"> https://ec.europa.eu/clima/sites/clima/files/docs/pages/com_2018_733_analysis_in_support_en_0.pdf </w:t>
      </w:r>
    </w:p>
  </w:footnote>
  <w:footnote w:id="636">
    <w:p>
      <w:pPr>
        <w:pStyle w:val="FootnoteText"/>
        <w:tabs>
          <w:tab w:val="left" w:pos="709"/>
        </w:tabs>
        <w:spacing w:after="0" w:line="240" w:lineRule="auto"/>
        <w:rPr>
          <w:sz w:val="16"/>
          <w:szCs w:val="16"/>
          <w:lang w:val="en-US"/>
        </w:rPr>
      </w:pPr>
      <w:r>
        <w:rPr>
          <w:rStyle w:val="FootnoteReference"/>
          <w:sz w:val="16"/>
          <w:szCs w:val="16"/>
        </w:rPr>
        <w:footnoteRef/>
      </w:r>
      <w:r>
        <w:rPr>
          <w:sz w:val="16"/>
          <w:szCs w:val="16"/>
          <w:lang w:val="en-US"/>
        </w:rPr>
        <w:t xml:space="preserve"> More information and model documentation: </w:t>
      </w:r>
      <w:hyperlink r:id="rId104" w:history="1">
        <w:r>
          <w:rPr>
            <w:rStyle w:val="Hyperlink"/>
            <w:szCs w:val="16"/>
            <w:lang w:val="en-US"/>
          </w:rPr>
          <w:t>https://e3modelling.com/modelling-tools/primes/</w:t>
        </w:r>
      </w:hyperlink>
      <w:r>
        <w:rPr>
          <w:sz w:val="16"/>
          <w:szCs w:val="16"/>
          <w:lang w:val="en-US"/>
        </w:rPr>
        <w:t xml:space="preserve"> </w:t>
      </w:r>
    </w:p>
  </w:footnote>
  <w:footnote w:id="637">
    <w:p>
      <w:pPr>
        <w:pStyle w:val="FootnoteText"/>
        <w:tabs>
          <w:tab w:val="left" w:pos="709"/>
        </w:tabs>
        <w:spacing w:after="0" w:line="240" w:lineRule="auto"/>
        <w:ind w:left="0" w:firstLine="0"/>
        <w:rPr>
          <w:sz w:val="16"/>
          <w:szCs w:val="16"/>
          <w:lang w:val="en-US"/>
        </w:rPr>
      </w:pPr>
      <w:r>
        <w:rPr>
          <w:rStyle w:val="FootnoteReference"/>
          <w:sz w:val="16"/>
          <w:szCs w:val="16"/>
          <w:lang w:val="en-US"/>
        </w:rPr>
        <w:footnoteRef/>
      </w:r>
      <w:r>
        <w:rPr>
          <w:sz w:val="16"/>
          <w:szCs w:val="16"/>
          <w:lang w:val="en-US"/>
        </w:rPr>
        <w:t xml:space="preserve"> E3Modelling (https://e3modelling.com/) is a private consulting, established as a spin-off inheriting staff, knowledge and software-modelling innovation of the laboratory E3MLab from the National Technical University of Athens (NTUA). </w:t>
      </w:r>
    </w:p>
  </w:footnote>
  <w:footnote w:id="638">
    <w:p>
      <w:pPr>
        <w:pStyle w:val="FootnoteText"/>
        <w:tabs>
          <w:tab w:val="left" w:pos="709"/>
        </w:tabs>
        <w:spacing w:after="0" w:line="240" w:lineRule="auto"/>
        <w:ind w:left="0" w:firstLine="0"/>
        <w:rPr>
          <w:sz w:val="16"/>
          <w:szCs w:val="16"/>
          <w:lang w:val="fr-FR"/>
        </w:rPr>
      </w:pPr>
      <w:r>
        <w:rPr>
          <w:rStyle w:val="FootnoteReference"/>
          <w:sz w:val="16"/>
          <w:szCs w:val="16"/>
        </w:rPr>
        <w:footnoteRef/>
      </w:r>
      <w:r>
        <w:rPr>
          <w:sz w:val="16"/>
          <w:szCs w:val="16"/>
          <w:lang w:val="fr-FR"/>
        </w:rPr>
        <w:t xml:space="preserve"> SEC(2011)1569 : https://ec.europa.eu/energy/sites/ener/files/documents/sec_2011_1569_2.pdf </w:t>
      </w:r>
    </w:p>
  </w:footnote>
  <w:footnote w:id="639">
    <w:p>
      <w:pPr>
        <w:pStyle w:val="FootnoteText"/>
        <w:tabs>
          <w:tab w:val="left" w:pos="709"/>
        </w:tabs>
        <w:spacing w:after="0" w:line="240" w:lineRule="auto"/>
        <w:rPr>
          <w:sz w:val="16"/>
          <w:szCs w:val="16"/>
          <w:lang w:val="fr-FR"/>
        </w:rPr>
      </w:pPr>
      <w:r>
        <w:rPr>
          <w:rStyle w:val="FootnoteReference"/>
          <w:sz w:val="16"/>
          <w:szCs w:val="16"/>
        </w:rPr>
        <w:footnoteRef/>
      </w:r>
      <w:r>
        <w:rPr>
          <w:sz w:val="16"/>
          <w:szCs w:val="16"/>
          <w:lang w:val="fr-FR"/>
        </w:rPr>
        <w:t xml:space="preserve"> https://www.odyssee-mure.eu/ </w:t>
      </w:r>
    </w:p>
  </w:footnote>
  <w:footnote w:id="640">
    <w:p>
      <w:pPr>
        <w:pStyle w:val="FootnoteText"/>
        <w:tabs>
          <w:tab w:val="left" w:pos="709"/>
        </w:tabs>
        <w:spacing w:after="0" w:line="240" w:lineRule="auto"/>
        <w:rPr>
          <w:sz w:val="16"/>
          <w:szCs w:val="16"/>
          <w:lang w:val="fr-FR"/>
        </w:rPr>
      </w:pPr>
      <w:r>
        <w:rPr>
          <w:rStyle w:val="FootnoteReference"/>
          <w:sz w:val="16"/>
          <w:szCs w:val="16"/>
        </w:rPr>
        <w:footnoteRef/>
      </w:r>
      <w:r>
        <w:rPr>
          <w:sz w:val="16"/>
          <w:szCs w:val="16"/>
          <w:lang w:val="fr-FR"/>
        </w:rPr>
        <w:t xml:space="preserve"> Source: https://www.eia.gov/outlooks/aeo/info_nems_archive.php </w:t>
      </w:r>
    </w:p>
  </w:footnote>
  <w:footnote w:id="641">
    <w:p>
      <w:pPr>
        <w:pStyle w:val="FootnoteText"/>
        <w:tabs>
          <w:tab w:val="left" w:pos="709"/>
        </w:tabs>
        <w:spacing w:after="0" w:line="240" w:lineRule="auto"/>
        <w:rPr>
          <w:sz w:val="16"/>
          <w:szCs w:val="16"/>
          <w:lang w:val="fr-FR"/>
        </w:rPr>
      </w:pPr>
      <w:r>
        <w:rPr>
          <w:rStyle w:val="FootnoteReference"/>
          <w:sz w:val="16"/>
          <w:szCs w:val="16"/>
        </w:rPr>
        <w:footnoteRef/>
      </w:r>
      <w:r>
        <w:rPr>
          <w:sz w:val="16"/>
          <w:szCs w:val="16"/>
          <w:lang w:val="fr-FR"/>
        </w:rPr>
        <w:t xml:space="preserve"> Source: https://eippcb.jrc.ec.europa.eu/reference/ </w:t>
      </w:r>
    </w:p>
  </w:footnote>
  <w:footnote w:id="642">
    <w:p>
      <w:pPr>
        <w:pStyle w:val="FootnoteText"/>
        <w:tabs>
          <w:tab w:val="left" w:pos="709"/>
        </w:tabs>
        <w:spacing w:after="0" w:line="240" w:lineRule="auto"/>
        <w:rPr>
          <w:sz w:val="16"/>
          <w:szCs w:val="16"/>
          <w:lang w:val="fr-FR"/>
        </w:rPr>
      </w:pPr>
      <w:r>
        <w:rPr>
          <w:rStyle w:val="FootnoteReference"/>
          <w:sz w:val="16"/>
          <w:szCs w:val="16"/>
        </w:rPr>
        <w:footnoteRef/>
      </w:r>
      <w:r>
        <w:rPr>
          <w:sz w:val="16"/>
          <w:szCs w:val="16"/>
          <w:lang w:val="fr-FR"/>
        </w:rPr>
        <w:t xml:space="preserve"> Source: https://data.jrc.ec.europa.eu/collection/id-00138  </w:t>
      </w:r>
    </w:p>
  </w:footnote>
  <w:footnote w:id="643">
    <w:p>
      <w:pPr>
        <w:pStyle w:val="FootnoteText"/>
        <w:tabs>
          <w:tab w:val="left" w:pos="709"/>
        </w:tabs>
        <w:spacing w:after="0" w:line="240" w:lineRule="auto"/>
        <w:rPr>
          <w:sz w:val="16"/>
          <w:szCs w:val="16"/>
          <w:lang w:val="fr-FR"/>
        </w:rPr>
      </w:pPr>
      <w:r>
        <w:rPr>
          <w:rStyle w:val="FootnoteReference"/>
          <w:sz w:val="16"/>
          <w:szCs w:val="16"/>
        </w:rPr>
        <w:footnoteRef/>
      </w:r>
      <w:r>
        <w:rPr>
          <w:sz w:val="16"/>
          <w:szCs w:val="16"/>
          <w:lang w:val="fr-FR"/>
        </w:rPr>
        <w:t xml:space="preserve"> Source: https://data.jrc.ec.europa.eu/dataset/jrc-emhires-wind-generation-time-series  </w:t>
      </w:r>
    </w:p>
  </w:footnote>
  <w:footnote w:id="644">
    <w:p>
      <w:pPr>
        <w:pStyle w:val="FootnoteText"/>
        <w:tabs>
          <w:tab w:val="left" w:pos="709"/>
        </w:tabs>
        <w:spacing w:after="0" w:line="240" w:lineRule="auto"/>
        <w:rPr>
          <w:sz w:val="16"/>
          <w:szCs w:val="16"/>
          <w:lang w:val="fr-FR"/>
        </w:rPr>
      </w:pPr>
      <w:r>
        <w:rPr>
          <w:rStyle w:val="FootnoteReference"/>
          <w:sz w:val="16"/>
          <w:szCs w:val="16"/>
        </w:rPr>
        <w:footnoteRef/>
      </w:r>
      <w:r>
        <w:rPr>
          <w:sz w:val="16"/>
          <w:szCs w:val="16"/>
          <w:lang w:val="fr-FR"/>
        </w:rPr>
        <w:t xml:space="preserve"> Source: https://www.renewables.ninja/  </w:t>
      </w:r>
    </w:p>
  </w:footnote>
  <w:footnote w:id="645">
    <w:p>
      <w:pPr>
        <w:pStyle w:val="FootnoteText"/>
        <w:tabs>
          <w:tab w:val="left" w:pos="709"/>
        </w:tabs>
        <w:spacing w:after="0" w:line="240" w:lineRule="auto"/>
        <w:rPr>
          <w:sz w:val="16"/>
          <w:szCs w:val="16"/>
          <w:lang w:val="fr-FR"/>
        </w:rPr>
      </w:pPr>
      <w:r>
        <w:rPr>
          <w:rStyle w:val="FootnoteReference"/>
          <w:sz w:val="16"/>
          <w:szCs w:val="16"/>
        </w:rPr>
        <w:footnoteRef/>
      </w:r>
      <w:r>
        <w:rPr>
          <w:sz w:val="16"/>
          <w:szCs w:val="16"/>
          <w:lang w:val="fr-FR"/>
        </w:rPr>
        <w:t xml:space="preserve"> Source: https://www.entranze.eu/  </w:t>
      </w:r>
    </w:p>
  </w:footnote>
  <w:footnote w:id="646">
    <w:p>
      <w:pPr>
        <w:pStyle w:val="FootnoteText"/>
        <w:tabs>
          <w:tab w:val="left" w:pos="709"/>
        </w:tabs>
        <w:spacing w:after="0" w:line="240" w:lineRule="auto"/>
        <w:rPr>
          <w:sz w:val="16"/>
          <w:szCs w:val="16"/>
          <w:lang w:val="fr-FR"/>
        </w:rPr>
      </w:pPr>
      <w:r>
        <w:rPr>
          <w:rStyle w:val="FootnoteReference"/>
          <w:sz w:val="16"/>
          <w:szCs w:val="16"/>
        </w:rPr>
        <w:footnoteRef/>
      </w:r>
      <w:r>
        <w:rPr>
          <w:sz w:val="16"/>
          <w:szCs w:val="16"/>
          <w:lang w:val="fr-FR"/>
        </w:rPr>
        <w:t xml:space="preserve">Source:  http://bpie.eu/  </w:t>
      </w:r>
    </w:p>
  </w:footnote>
  <w:footnote w:id="647">
    <w:p>
      <w:pPr>
        <w:pStyle w:val="FootnoteText"/>
        <w:tabs>
          <w:tab w:val="left" w:pos="709"/>
        </w:tabs>
        <w:spacing w:after="0" w:line="240" w:lineRule="auto"/>
        <w:rPr>
          <w:sz w:val="16"/>
          <w:szCs w:val="16"/>
          <w:lang w:val="fr-FR"/>
        </w:rPr>
      </w:pPr>
      <w:r>
        <w:rPr>
          <w:rStyle w:val="FootnoteReference"/>
          <w:sz w:val="16"/>
          <w:szCs w:val="16"/>
        </w:rPr>
        <w:footnoteRef/>
      </w:r>
      <w:r>
        <w:rPr>
          <w:sz w:val="16"/>
          <w:szCs w:val="16"/>
          <w:lang w:val="fr-FR"/>
        </w:rPr>
        <w:t xml:space="preserve"> Source: https://ec.europa.eu/jrc/en/potencia/jrc-idees  </w:t>
      </w:r>
    </w:p>
  </w:footnote>
  <w:footnote w:id="648">
    <w:p>
      <w:pPr>
        <w:pStyle w:val="FootnoteText"/>
        <w:tabs>
          <w:tab w:val="left" w:pos="709"/>
        </w:tabs>
        <w:spacing w:after="0" w:line="240" w:lineRule="auto"/>
        <w:rPr>
          <w:sz w:val="16"/>
          <w:szCs w:val="16"/>
          <w:lang w:val="fr-FR"/>
        </w:rPr>
      </w:pPr>
      <w:r>
        <w:rPr>
          <w:rStyle w:val="FootnoteReference"/>
          <w:sz w:val="16"/>
          <w:szCs w:val="16"/>
        </w:rPr>
        <w:footnoteRef/>
      </w:r>
      <w:r>
        <w:rPr>
          <w:sz w:val="16"/>
          <w:szCs w:val="16"/>
          <w:lang w:val="fr-FR"/>
        </w:rPr>
        <w:t xml:space="preserve"> Source: https://ec.europa.eu/energy/en/eubuildings </w:t>
      </w:r>
    </w:p>
  </w:footnote>
  <w:footnote w:id="649">
    <w:p>
      <w:pPr>
        <w:pStyle w:val="FootnoteText"/>
        <w:tabs>
          <w:tab w:val="left" w:pos="709"/>
        </w:tabs>
        <w:spacing w:after="0" w:line="240" w:lineRule="auto"/>
        <w:ind w:left="0" w:firstLine="0"/>
        <w:rPr>
          <w:sz w:val="16"/>
          <w:szCs w:val="16"/>
          <w:lang w:val="fr-FR"/>
        </w:rPr>
      </w:pPr>
      <w:r>
        <w:rPr>
          <w:rStyle w:val="FootnoteReference"/>
          <w:sz w:val="16"/>
          <w:szCs w:val="16"/>
        </w:rPr>
        <w:footnoteRef/>
      </w:r>
      <w:r>
        <w:rPr>
          <w:sz w:val="16"/>
          <w:szCs w:val="16"/>
          <w:lang w:val="fr-FR"/>
        </w:rPr>
        <w:t xml:space="preserve"> Source: https://www.tmleuven.be/en/navigation/TREMOVE   </w:t>
      </w:r>
    </w:p>
  </w:footnote>
  <w:footnote w:id="650">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Several model enhancements were made compared to the standard TREMOVE model, as for example: for the number of vintages (allowing representation of the choice of second-hand cars); for the technology categories which include vehicle types using electricity from the grid and fuel cells. The model also incorporates additional fuel types, such as biofuels (when they differ from standard fossil fuel technologies), LPG, LNG, hydrogen and e-fuels. In addition, representation of infrastructure for refuelling and recharging are among the model refinements, influencing fuel choices. A major model enhancement concerns the inclusion of heterogeneity in the distance of stylised trips; the model considers that the trip distances follow a distribution function with different distances and frequencies. The inclusion of heterogeneity was found to be of significant influence in the choice of vehicle-fuels especially for vehicles-fuels with range limitations.</w:t>
      </w:r>
    </w:p>
  </w:footnote>
  <w:footnote w:id="651">
    <w:p>
      <w:pPr>
        <w:pStyle w:val="FootnoteText"/>
        <w:tabs>
          <w:tab w:val="left" w:pos="709"/>
        </w:tabs>
        <w:spacing w:after="0" w:line="240" w:lineRule="auto"/>
        <w:ind w:left="0" w:firstLine="0"/>
        <w:rPr>
          <w:sz w:val="16"/>
          <w:szCs w:val="16"/>
          <w:lang w:val="fr-BE"/>
        </w:rPr>
      </w:pPr>
      <w:r>
        <w:rPr>
          <w:rStyle w:val="FootnoteReference"/>
          <w:sz w:val="16"/>
          <w:szCs w:val="16"/>
        </w:rPr>
        <w:footnoteRef/>
      </w:r>
      <w:r>
        <w:rPr>
          <w:sz w:val="16"/>
          <w:szCs w:val="16"/>
          <w:lang w:val="fr-BE"/>
        </w:rPr>
        <w:t xml:space="preserve"> Source: https://ec.europa.eu/transport/facts-fundings/statistics_en </w:t>
      </w:r>
    </w:p>
  </w:footnote>
  <w:footnote w:id="652">
    <w:p>
      <w:pPr>
        <w:pStyle w:val="FootnoteText"/>
        <w:tabs>
          <w:tab w:val="left" w:pos="709"/>
        </w:tabs>
        <w:spacing w:after="0" w:line="240" w:lineRule="auto"/>
        <w:rPr>
          <w:sz w:val="16"/>
          <w:szCs w:val="16"/>
          <w:lang w:val="fr-FR"/>
        </w:rPr>
      </w:pPr>
      <w:r>
        <w:rPr>
          <w:rStyle w:val="FootnoteReference"/>
          <w:sz w:val="16"/>
          <w:szCs w:val="16"/>
        </w:rPr>
        <w:footnoteRef/>
      </w:r>
      <w:r>
        <w:rPr>
          <w:sz w:val="16"/>
          <w:szCs w:val="16"/>
          <w:lang w:val="fr-FR"/>
        </w:rPr>
        <w:t xml:space="preserve"> Source: http://gains.iiasa.ac.at/models/ </w:t>
      </w:r>
    </w:p>
  </w:footnote>
  <w:footnote w:id="653">
    <w:p>
      <w:pPr>
        <w:pStyle w:val="FootnoteText"/>
        <w:tabs>
          <w:tab w:val="left" w:pos="709"/>
        </w:tabs>
        <w:spacing w:after="0" w:line="240" w:lineRule="auto"/>
        <w:rPr>
          <w:sz w:val="16"/>
          <w:szCs w:val="16"/>
          <w:lang w:val="fr-FR"/>
        </w:rPr>
      </w:pPr>
      <w:r>
        <w:rPr>
          <w:rStyle w:val="FootnoteReference"/>
          <w:sz w:val="16"/>
          <w:szCs w:val="16"/>
        </w:rPr>
        <w:footnoteRef/>
      </w:r>
      <w:r>
        <w:rPr>
          <w:sz w:val="16"/>
          <w:szCs w:val="16"/>
          <w:lang w:val="fr-FR"/>
        </w:rPr>
        <w:t xml:space="preserve"> Source: http://www.iiasa.ac.at/  </w:t>
      </w:r>
    </w:p>
  </w:footnote>
  <w:footnote w:id="654">
    <w:p>
      <w:pPr>
        <w:pStyle w:val="FootnoteText"/>
        <w:tabs>
          <w:tab w:val="left" w:pos="709"/>
        </w:tabs>
        <w:spacing w:after="0" w:line="240" w:lineRule="auto"/>
        <w:rPr>
          <w:sz w:val="16"/>
          <w:szCs w:val="16"/>
          <w:lang w:val="fr-FR"/>
        </w:rPr>
      </w:pPr>
      <w:r>
        <w:rPr>
          <w:rStyle w:val="FootnoteReference"/>
          <w:sz w:val="16"/>
          <w:szCs w:val="16"/>
        </w:rPr>
        <w:footnoteRef/>
      </w:r>
      <w:r>
        <w:rPr>
          <w:sz w:val="16"/>
          <w:szCs w:val="16"/>
          <w:lang w:val="fr-FR"/>
        </w:rPr>
        <w:t xml:space="preserve"> Source : http://www.iiasa.ac.at/  </w:t>
      </w:r>
    </w:p>
  </w:footnote>
  <w:footnote w:id="655">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See You, L., Wood, S. (2006). An Entropy Approach to Spatial Disaggregation of Agricultural Production, Agricultural Systems 90, 329–47 and http://mapspam.info/ .</w:t>
      </w:r>
    </w:p>
  </w:footnote>
  <w:footnote w:id="656">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lang w:val="es-ES"/>
        </w:rPr>
        <w:t xml:space="preserve"> Herrero, M., Havlík, P., et al. </w:t>
      </w:r>
      <w:r>
        <w:rPr>
          <w:sz w:val="16"/>
          <w:szCs w:val="16"/>
        </w:rPr>
        <w:t>(2013). Biomass Use, Production, Feed Efficiencies, and Greenhouse Gas Emissions from Global Livestock Systems, Proceedings of the National Academy of Sciences 110, 20888–93.</w:t>
      </w:r>
    </w:p>
  </w:footnote>
  <w:footnote w:id="657">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MCPFE (2015). Forest Europe, 2015: State of Europe's Forests 2015. Madrid, Ministerial Conference on the Protection of Forests in Europe: 314.</w:t>
      </w:r>
    </w:p>
  </w:footnote>
  <w:footnote w:id="658">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https://ec.europa.eu/jrc/en/poles  </w:t>
      </w:r>
    </w:p>
  </w:footnote>
  <w:footnote w:id="659">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https://ec.europa.eu/jrc/en/poles/publications </w:t>
      </w:r>
    </w:p>
  </w:footnote>
  <w:footnote w:id="660">
    <w:p>
      <w:pPr>
        <w:pStyle w:val="FootnoteText"/>
        <w:tabs>
          <w:tab w:val="left" w:pos="709"/>
        </w:tabs>
        <w:spacing w:after="0" w:line="240" w:lineRule="auto"/>
        <w:rPr>
          <w:sz w:val="16"/>
          <w:szCs w:val="16"/>
          <w:lang w:val="en-IE"/>
        </w:rPr>
      </w:pPr>
      <w:r>
        <w:rPr>
          <w:rStyle w:val="FootnoteReference"/>
          <w:sz w:val="16"/>
          <w:szCs w:val="16"/>
        </w:rPr>
        <w:footnoteRef/>
      </w:r>
      <w:r>
        <w:rPr>
          <w:sz w:val="16"/>
          <w:szCs w:val="16"/>
          <w:lang w:val="en-US"/>
        </w:rPr>
        <w:t xml:space="preserve"> For non-EU. </w:t>
      </w:r>
      <w:r>
        <w:rPr>
          <w:sz w:val="16"/>
          <w:szCs w:val="16"/>
        </w:rPr>
        <w:t xml:space="preserve">Sources for the </w:t>
      </w:r>
      <w:r>
        <w:rPr>
          <w:sz w:val="16"/>
          <w:szCs w:val="16"/>
          <w:lang w:val="en-IE"/>
        </w:rPr>
        <w:t>EU are consistent with those of the PRIMES energy model.</w:t>
      </w:r>
    </w:p>
  </w:footnote>
  <w:footnote w:id="661">
    <w:p>
      <w:pPr>
        <w:pStyle w:val="FootnoteText"/>
        <w:tabs>
          <w:tab w:val="left" w:pos="709"/>
        </w:tabs>
        <w:spacing w:after="0" w:line="240" w:lineRule="auto"/>
        <w:rPr>
          <w:sz w:val="16"/>
          <w:szCs w:val="16"/>
          <w:lang w:eastAsia="en-US"/>
        </w:rPr>
      </w:pPr>
      <w:r>
        <w:rPr>
          <w:rStyle w:val="FootnoteReference"/>
          <w:sz w:val="16"/>
          <w:szCs w:val="16"/>
        </w:rPr>
        <w:footnoteRef/>
      </w:r>
      <w:r>
        <w:rPr>
          <w:sz w:val="16"/>
          <w:szCs w:val="16"/>
        </w:rPr>
        <w:t xml:space="preserve"> https://ec.europa.eu/jrc/en/geco </w:t>
      </w:r>
    </w:p>
  </w:footnote>
  <w:footnote w:id="662">
    <w:p>
      <w:pPr>
        <w:pStyle w:val="FootnoteText"/>
        <w:tabs>
          <w:tab w:val="left" w:pos="709"/>
        </w:tabs>
        <w:spacing w:after="0" w:line="240" w:lineRule="auto"/>
        <w:rPr>
          <w:sz w:val="16"/>
          <w:szCs w:val="16"/>
          <w:lang w:val="fr-FR"/>
        </w:rPr>
      </w:pPr>
      <w:r>
        <w:rPr>
          <w:rStyle w:val="FootnoteReference"/>
          <w:sz w:val="16"/>
          <w:szCs w:val="16"/>
        </w:rPr>
        <w:footnoteRef/>
      </w:r>
      <w:r>
        <w:rPr>
          <w:sz w:val="16"/>
          <w:szCs w:val="16"/>
          <w:lang w:val="fr-FR"/>
        </w:rPr>
        <w:t xml:space="preserve"> Source: https://ec.europa.eu/jrc/en/gem-e3/model   </w:t>
      </w:r>
    </w:p>
  </w:footnote>
  <w:footnote w:id="663">
    <w:p>
      <w:pPr>
        <w:pStyle w:val="FootnoteText"/>
        <w:tabs>
          <w:tab w:val="left" w:pos="709"/>
        </w:tabs>
        <w:spacing w:after="0" w:line="240" w:lineRule="auto"/>
        <w:rPr>
          <w:sz w:val="16"/>
          <w:szCs w:val="16"/>
          <w:lang w:val="en-IE"/>
        </w:rPr>
      </w:pPr>
      <w:r>
        <w:rPr>
          <w:rStyle w:val="FootnoteReference"/>
          <w:sz w:val="16"/>
          <w:szCs w:val="16"/>
        </w:rPr>
        <w:footnoteRef/>
      </w:r>
      <w:r>
        <w:rPr>
          <w:sz w:val="16"/>
          <w:szCs w:val="16"/>
          <w:lang w:val="en-IE"/>
        </w:rPr>
        <w:t xml:space="preserve"> Source: https://e3modelling.com/  </w:t>
      </w:r>
    </w:p>
  </w:footnote>
  <w:footnote w:id="664">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The data sources of energy statistics are the same as in the PRIMES model.</w:t>
      </w:r>
    </w:p>
  </w:footnote>
  <w:footnote w:id="665">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https://ec.europa.eu/energy/data-analysis/energy-modelling/eu-reference-scenario-2016_en </w:t>
      </w:r>
    </w:p>
  </w:footnote>
  <w:footnote w:id="666">
    <w:p>
      <w:pPr>
        <w:pStyle w:val="FootnoteText"/>
        <w:tabs>
          <w:tab w:val="left" w:pos="709"/>
        </w:tabs>
        <w:spacing w:after="0" w:line="240" w:lineRule="auto"/>
        <w:jc w:val="left"/>
        <w:rPr>
          <w:sz w:val="16"/>
          <w:szCs w:val="16"/>
        </w:rPr>
      </w:pPr>
      <w:r>
        <w:rPr>
          <w:rStyle w:val="FootnoteReference"/>
          <w:sz w:val="16"/>
          <w:szCs w:val="16"/>
        </w:rPr>
        <w:footnoteRef/>
      </w:r>
      <w:r>
        <w:rPr>
          <w:sz w:val="16"/>
          <w:szCs w:val="16"/>
        </w:rPr>
        <w:t xml:space="preserve"> https://ec.europa.eu/eurostat/web/population-demography-migration-projections/population-projections-data </w:t>
      </w:r>
    </w:p>
  </w:footnote>
  <w:footnote w:id="667">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The 2018 Ageing Report: Economic and Budgetary Projections for the EU Member States (2016-2070): </w:t>
      </w:r>
      <w:hyperlink r:id="rId105" w:history="1">
        <w:r>
          <w:rPr>
            <w:rStyle w:val="Hyperlink"/>
            <w:szCs w:val="16"/>
          </w:rPr>
          <w:t>https://ec.europa.eu/info/publications/economy-finance/2018-ageing-report-economic-and-budgetary-projections-eu-member-states-2016-2070_en</w:t>
        </w:r>
      </w:hyperlink>
      <w:r>
        <w:rPr>
          <w:sz w:val="16"/>
          <w:szCs w:val="16"/>
        </w:rPr>
        <w:t xml:space="preserve">  </w:t>
      </w:r>
    </w:p>
  </w:footnote>
  <w:footnote w:id="668">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w:t>
      </w:r>
      <w:hyperlink r:id="rId106" w:history="1">
        <w:r>
          <w:rPr>
            <w:rStyle w:val="Hyperlink"/>
            <w:szCs w:val="16"/>
          </w:rPr>
          <w:t>https://ec.europa.eu/energy/data-analysis/energy-modelling/eu-reference-scenario-2016_en</w:t>
        </w:r>
      </w:hyperlink>
      <w:r>
        <w:rPr>
          <w:sz w:val="16"/>
          <w:szCs w:val="16"/>
        </w:rPr>
        <w:t xml:space="preserve"> </w:t>
      </w:r>
    </w:p>
  </w:footnote>
  <w:footnote w:id="669">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IEA, Global Energy Review 2020, June 2020</w:t>
      </w:r>
    </w:p>
  </w:footnote>
  <w:footnote w:id="670">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IEA, Oil Market Report, June 2020 and US EIA, July 2020.</w:t>
      </w:r>
    </w:p>
  </w:footnote>
  <w:footnote w:id="671">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JRC118275</w:t>
      </w:r>
    </w:p>
  </w:footnote>
  <w:footnote w:id="672">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The 2030 climate and energy framework did set three key targets for the year 2030: (a) at least 40% cuts in greenhouse gas emissions (from 1990 levels), (b) at least 27% share for renewable energy, and (c) at least 27% improvement in energy efficiency. They built on the 2020 climate and energy package.</w:t>
      </w:r>
    </w:p>
  </w:footnote>
  <w:footnote w:id="673">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Conclusions of the European Council of 23 and 24 October 2014.</w:t>
      </w:r>
    </w:p>
  </w:footnote>
  <w:footnote w:id="674">
    <w:p>
      <w:pPr>
        <w:pStyle w:val="FootnoteText"/>
        <w:tabs>
          <w:tab w:val="left" w:pos="709"/>
        </w:tabs>
        <w:spacing w:after="0" w:line="240" w:lineRule="auto"/>
        <w:ind w:left="0" w:firstLine="0"/>
        <w:rPr>
          <w:sz w:val="16"/>
          <w:szCs w:val="16"/>
          <w:lang w:val="fr-BE"/>
        </w:rPr>
      </w:pPr>
      <w:r>
        <w:rPr>
          <w:rStyle w:val="FootnoteReference"/>
          <w:sz w:val="16"/>
          <w:szCs w:val="16"/>
        </w:rPr>
        <w:footnoteRef/>
      </w:r>
      <w:r>
        <w:rPr>
          <w:sz w:val="16"/>
          <w:szCs w:val="16"/>
          <w:lang w:val="fr-BE"/>
        </w:rPr>
        <w:t xml:space="preserve"> Directive 2003/87/EC</w:t>
      </w:r>
    </w:p>
  </w:footnote>
  <w:footnote w:id="675">
    <w:p>
      <w:pPr>
        <w:pStyle w:val="FootnoteText"/>
        <w:tabs>
          <w:tab w:val="left" w:pos="709"/>
        </w:tabs>
        <w:spacing w:after="0" w:line="240" w:lineRule="auto"/>
        <w:ind w:left="0" w:firstLine="0"/>
        <w:rPr>
          <w:sz w:val="16"/>
          <w:szCs w:val="16"/>
          <w:lang w:val="fr-BE"/>
        </w:rPr>
      </w:pPr>
      <w:r>
        <w:rPr>
          <w:rStyle w:val="FootnoteReference"/>
          <w:sz w:val="16"/>
          <w:szCs w:val="16"/>
        </w:rPr>
        <w:footnoteRef/>
      </w:r>
      <w:r>
        <w:rPr>
          <w:sz w:val="16"/>
          <w:szCs w:val="16"/>
          <w:lang w:val="fr-BE"/>
        </w:rPr>
        <w:t xml:space="preserve"> Decision (EU) 2015/1814</w:t>
      </w:r>
    </w:p>
  </w:footnote>
  <w:footnote w:id="676">
    <w:p>
      <w:pPr>
        <w:pStyle w:val="FootnoteText"/>
        <w:tabs>
          <w:tab w:val="left" w:pos="709"/>
        </w:tabs>
        <w:spacing w:after="0" w:line="240" w:lineRule="auto"/>
        <w:ind w:left="0" w:firstLine="0"/>
        <w:rPr>
          <w:sz w:val="16"/>
          <w:szCs w:val="16"/>
          <w:lang w:val="fr-BE"/>
        </w:rPr>
      </w:pPr>
      <w:r>
        <w:rPr>
          <w:rStyle w:val="FootnoteReference"/>
          <w:sz w:val="16"/>
          <w:szCs w:val="16"/>
        </w:rPr>
        <w:footnoteRef/>
      </w:r>
      <w:r>
        <w:rPr>
          <w:sz w:val="16"/>
          <w:szCs w:val="16"/>
          <w:lang w:val="fr-BE"/>
        </w:rPr>
        <w:t xml:space="preserve"> Regulation (EU) 421/2014</w:t>
      </w:r>
    </w:p>
  </w:footnote>
  <w:footnote w:id="677">
    <w:p>
      <w:pPr>
        <w:pStyle w:val="FootnoteText"/>
        <w:tabs>
          <w:tab w:val="left" w:pos="709"/>
        </w:tabs>
        <w:spacing w:after="0" w:line="240" w:lineRule="auto"/>
        <w:ind w:left="0" w:firstLine="0"/>
        <w:rPr>
          <w:sz w:val="16"/>
          <w:szCs w:val="16"/>
          <w:lang w:val="fr-BE"/>
        </w:rPr>
      </w:pPr>
      <w:r>
        <w:rPr>
          <w:rStyle w:val="FootnoteReference"/>
          <w:sz w:val="16"/>
          <w:szCs w:val="16"/>
        </w:rPr>
        <w:footnoteRef/>
      </w:r>
      <w:r>
        <w:rPr>
          <w:sz w:val="16"/>
          <w:szCs w:val="16"/>
          <w:lang w:val="fr-BE"/>
        </w:rPr>
        <w:t xml:space="preserve"> Regulation (EU) 2017/2392</w:t>
      </w:r>
    </w:p>
  </w:footnote>
  <w:footnote w:id="678">
    <w:p>
      <w:pPr>
        <w:pStyle w:val="FootnoteText"/>
        <w:tabs>
          <w:tab w:val="left" w:pos="709"/>
        </w:tabs>
        <w:spacing w:after="0" w:line="240" w:lineRule="auto"/>
        <w:ind w:left="0" w:firstLine="0"/>
        <w:rPr>
          <w:sz w:val="16"/>
          <w:szCs w:val="16"/>
          <w:lang w:val="fr-BE"/>
        </w:rPr>
      </w:pPr>
      <w:r>
        <w:rPr>
          <w:rStyle w:val="FootnoteReference"/>
          <w:sz w:val="16"/>
          <w:szCs w:val="16"/>
        </w:rPr>
        <w:footnoteRef/>
      </w:r>
      <w:r>
        <w:rPr>
          <w:sz w:val="16"/>
          <w:szCs w:val="16"/>
          <w:lang w:val="fr-BE"/>
        </w:rPr>
        <w:t xml:space="preserve"> Regulation (EU) 2018/842</w:t>
      </w:r>
    </w:p>
  </w:footnote>
  <w:footnote w:id="679">
    <w:p>
      <w:pPr>
        <w:pStyle w:val="FootnoteText"/>
        <w:tabs>
          <w:tab w:val="left" w:pos="709"/>
        </w:tabs>
        <w:spacing w:after="0" w:line="240" w:lineRule="auto"/>
        <w:ind w:left="0" w:firstLine="0"/>
        <w:rPr>
          <w:sz w:val="16"/>
          <w:szCs w:val="16"/>
          <w:lang w:val="fr-BE"/>
        </w:rPr>
      </w:pPr>
      <w:r>
        <w:rPr>
          <w:rStyle w:val="FootnoteReference"/>
          <w:sz w:val="16"/>
          <w:szCs w:val="16"/>
        </w:rPr>
        <w:footnoteRef/>
      </w:r>
      <w:r>
        <w:rPr>
          <w:sz w:val="16"/>
          <w:szCs w:val="16"/>
          <w:lang w:val="fr-BE"/>
        </w:rPr>
        <w:t xml:space="preserve"> Regulation (EU) 2018/841</w:t>
      </w:r>
    </w:p>
  </w:footnote>
  <w:footnote w:id="680">
    <w:p>
      <w:pPr>
        <w:pStyle w:val="FootnoteText"/>
        <w:tabs>
          <w:tab w:val="left" w:pos="709"/>
        </w:tabs>
        <w:spacing w:after="0" w:line="240" w:lineRule="auto"/>
        <w:ind w:left="0" w:firstLine="0"/>
        <w:rPr>
          <w:sz w:val="16"/>
          <w:szCs w:val="16"/>
          <w:lang w:val="fr-BE"/>
        </w:rPr>
      </w:pPr>
      <w:r>
        <w:rPr>
          <w:rStyle w:val="FootnoteReference"/>
          <w:sz w:val="16"/>
          <w:szCs w:val="16"/>
        </w:rPr>
        <w:footnoteRef/>
      </w:r>
      <w:r>
        <w:rPr>
          <w:sz w:val="16"/>
          <w:szCs w:val="16"/>
          <w:lang w:val="fr-BE"/>
        </w:rPr>
        <w:t xml:space="preserve"> Regulations (EU) 2019/631</w:t>
      </w:r>
    </w:p>
  </w:footnote>
  <w:footnote w:id="681">
    <w:p>
      <w:pPr>
        <w:pStyle w:val="FootnoteText"/>
        <w:tabs>
          <w:tab w:val="left" w:pos="709"/>
        </w:tabs>
        <w:spacing w:after="0" w:line="240" w:lineRule="auto"/>
        <w:ind w:left="0" w:firstLine="0"/>
        <w:rPr>
          <w:sz w:val="16"/>
          <w:szCs w:val="16"/>
          <w:lang w:val="fr-BE"/>
        </w:rPr>
      </w:pPr>
      <w:r>
        <w:rPr>
          <w:rStyle w:val="FootnoteReference"/>
          <w:sz w:val="16"/>
          <w:szCs w:val="16"/>
        </w:rPr>
        <w:footnoteRef/>
      </w:r>
      <w:r>
        <w:rPr>
          <w:sz w:val="16"/>
          <w:szCs w:val="16"/>
          <w:lang w:val="fr-BE"/>
        </w:rPr>
        <w:t xml:space="preserve"> Regulation (EU) 2019/1242</w:t>
      </w:r>
    </w:p>
  </w:footnote>
  <w:footnote w:id="682">
    <w:p>
      <w:pPr>
        <w:pStyle w:val="FootnoteText"/>
        <w:tabs>
          <w:tab w:val="left" w:pos="709"/>
        </w:tabs>
        <w:spacing w:after="0" w:line="240" w:lineRule="auto"/>
        <w:ind w:left="0" w:firstLine="0"/>
        <w:rPr>
          <w:sz w:val="16"/>
          <w:szCs w:val="16"/>
          <w:lang w:val="fr-BE"/>
        </w:rPr>
      </w:pPr>
      <w:r>
        <w:rPr>
          <w:rStyle w:val="FootnoteReference"/>
          <w:sz w:val="16"/>
          <w:szCs w:val="16"/>
        </w:rPr>
        <w:footnoteRef/>
      </w:r>
      <w:r>
        <w:rPr>
          <w:sz w:val="16"/>
          <w:szCs w:val="16"/>
          <w:lang w:val="fr-BE"/>
        </w:rPr>
        <w:t xml:space="preserve"> Directive 2009/30/EC</w:t>
      </w:r>
    </w:p>
  </w:footnote>
  <w:footnote w:id="683">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Directive 2018/2001/EU</w:t>
      </w:r>
    </w:p>
  </w:footnote>
  <w:footnote w:id="684">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Amendment 2018/2002 of Directive 2012/27/EU</w:t>
      </w:r>
    </w:p>
  </w:footnote>
  <w:footnote w:id="685">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This takes into account the withdrawal of the United Kingdom and the Commission decision for an equivalent target after EU law no longer applies to the United Kingdom.</w:t>
      </w:r>
    </w:p>
  </w:footnote>
  <w:footnote w:id="686">
    <w:p>
      <w:pPr>
        <w:pStyle w:val="FootnoteText"/>
        <w:tabs>
          <w:tab w:val="left" w:pos="709"/>
        </w:tabs>
        <w:spacing w:after="0" w:line="240" w:lineRule="auto"/>
        <w:ind w:left="0" w:firstLine="0"/>
        <w:rPr>
          <w:sz w:val="16"/>
          <w:szCs w:val="16"/>
          <w:lang w:val="pt-BR"/>
        </w:rPr>
      </w:pPr>
      <w:r>
        <w:rPr>
          <w:rStyle w:val="FootnoteReference"/>
          <w:sz w:val="16"/>
          <w:szCs w:val="16"/>
        </w:rPr>
        <w:footnoteRef/>
      </w:r>
      <w:r>
        <w:rPr>
          <w:sz w:val="16"/>
          <w:szCs w:val="16"/>
          <w:lang w:val="pt-BR"/>
        </w:rPr>
        <w:t xml:space="preserve"> Directive 2010/31/EU and amendement 2018/844/EU</w:t>
      </w:r>
    </w:p>
  </w:footnote>
  <w:footnote w:id="687">
    <w:p>
      <w:pPr>
        <w:pStyle w:val="FootnoteText"/>
        <w:tabs>
          <w:tab w:val="left" w:pos="709"/>
        </w:tabs>
        <w:spacing w:after="0" w:line="240" w:lineRule="auto"/>
        <w:rPr>
          <w:sz w:val="16"/>
          <w:szCs w:val="16"/>
          <w:lang w:val="pt-PT"/>
        </w:rPr>
      </w:pPr>
      <w:r>
        <w:rPr>
          <w:rStyle w:val="FootnoteReference"/>
          <w:sz w:val="16"/>
          <w:szCs w:val="16"/>
        </w:rPr>
        <w:footnoteRef/>
      </w:r>
      <w:r>
        <w:rPr>
          <w:sz w:val="16"/>
          <w:szCs w:val="16"/>
          <w:lang w:val="pt-PT"/>
        </w:rPr>
        <w:t xml:space="preserve"> Regulation (EU) 2015/757</w:t>
      </w:r>
    </w:p>
  </w:footnote>
  <w:footnote w:id="688">
    <w:p>
      <w:pPr>
        <w:pStyle w:val="FootnoteText"/>
        <w:tabs>
          <w:tab w:val="left" w:pos="709"/>
        </w:tabs>
        <w:spacing w:after="0" w:line="240" w:lineRule="auto"/>
        <w:rPr>
          <w:sz w:val="16"/>
          <w:szCs w:val="16"/>
          <w:lang w:val="pt-BR"/>
        </w:rPr>
      </w:pPr>
      <w:r>
        <w:rPr>
          <w:rStyle w:val="FootnoteReference"/>
          <w:sz w:val="16"/>
          <w:szCs w:val="16"/>
        </w:rPr>
        <w:footnoteRef/>
      </w:r>
      <w:r>
        <w:rPr>
          <w:sz w:val="16"/>
          <w:szCs w:val="16"/>
          <w:lang w:val="pt-BR"/>
        </w:rPr>
        <w:t xml:space="preserve"> https://ec.europa.eu/commission/presscorner/detail/en/qanda_20_24  </w:t>
      </w:r>
    </w:p>
  </w:footnote>
  <w:footnote w:id="689">
    <w:p>
      <w:pPr>
        <w:pStyle w:val="FootnoteText"/>
        <w:tabs>
          <w:tab w:val="left" w:pos="709"/>
        </w:tabs>
        <w:spacing w:after="0" w:line="240" w:lineRule="auto"/>
        <w:rPr>
          <w:sz w:val="16"/>
          <w:szCs w:val="16"/>
          <w:lang w:val="pt-BR"/>
        </w:rPr>
      </w:pPr>
      <w:r>
        <w:rPr>
          <w:rStyle w:val="FootnoteReference"/>
          <w:sz w:val="16"/>
          <w:szCs w:val="16"/>
        </w:rPr>
        <w:footnoteRef/>
      </w:r>
      <w:r>
        <w:rPr>
          <w:sz w:val="16"/>
          <w:szCs w:val="16"/>
          <w:lang w:val="pt-BR"/>
        </w:rPr>
        <w:t xml:space="preserve"> COM(2020) 102 final, </w:t>
      </w:r>
    </w:p>
  </w:footnote>
  <w:footnote w:id="690">
    <w:p>
      <w:pPr>
        <w:pStyle w:val="FootnoteText"/>
        <w:tabs>
          <w:tab w:val="left" w:pos="709"/>
        </w:tabs>
        <w:spacing w:after="0" w:line="240" w:lineRule="auto"/>
        <w:rPr>
          <w:sz w:val="16"/>
          <w:szCs w:val="16"/>
          <w:lang w:val="pt-BR"/>
        </w:rPr>
      </w:pPr>
      <w:r>
        <w:rPr>
          <w:rStyle w:val="FootnoteReference"/>
          <w:sz w:val="16"/>
          <w:szCs w:val="16"/>
        </w:rPr>
        <w:footnoteRef/>
      </w:r>
      <w:r>
        <w:rPr>
          <w:sz w:val="16"/>
          <w:szCs w:val="16"/>
          <w:lang w:val="pt-BR"/>
        </w:rPr>
        <w:t xml:space="preserve"> COM(2020) 98 final</w:t>
      </w:r>
    </w:p>
  </w:footnote>
  <w:footnote w:id="691">
    <w:p>
      <w:pPr>
        <w:pStyle w:val="FootnoteText"/>
        <w:tabs>
          <w:tab w:val="left" w:pos="709"/>
        </w:tabs>
        <w:spacing w:after="0" w:line="240" w:lineRule="auto"/>
        <w:rPr>
          <w:sz w:val="16"/>
          <w:szCs w:val="16"/>
          <w:lang w:val="pt-BR"/>
        </w:rPr>
      </w:pPr>
      <w:r>
        <w:rPr>
          <w:rStyle w:val="FootnoteReference"/>
          <w:sz w:val="16"/>
          <w:szCs w:val="16"/>
        </w:rPr>
        <w:footnoteRef/>
      </w:r>
      <w:r>
        <w:rPr>
          <w:sz w:val="16"/>
          <w:szCs w:val="16"/>
          <w:lang w:val="pt-BR"/>
        </w:rPr>
        <w:t xml:space="preserve"> COM(2020) 381 final</w:t>
      </w:r>
    </w:p>
  </w:footnote>
  <w:footnote w:id="692">
    <w:p>
      <w:pPr>
        <w:pStyle w:val="FootnoteText"/>
        <w:tabs>
          <w:tab w:val="left" w:pos="709"/>
        </w:tabs>
        <w:spacing w:after="0" w:line="240" w:lineRule="auto"/>
        <w:rPr>
          <w:sz w:val="16"/>
          <w:szCs w:val="16"/>
          <w:lang w:val="pt-BR"/>
        </w:rPr>
      </w:pPr>
      <w:r>
        <w:rPr>
          <w:rStyle w:val="FootnoteReference"/>
          <w:sz w:val="16"/>
          <w:szCs w:val="16"/>
        </w:rPr>
        <w:footnoteRef/>
      </w:r>
      <w:r>
        <w:rPr>
          <w:sz w:val="16"/>
          <w:szCs w:val="16"/>
          <w:lang w:val="pt-BR"/>
        </w:rPr>
        <w:t xml:space="preserve"> COM(2020) 380 final</w:t>
      </w:r>
    </w:p>
  </w:footnote>
  <w:footnote w:id="693">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In May 2020, the Commission has proposed a powerful, modern and revamped long-term EU budget boosted by Next Generation EU - see COM(2020) 442 final</w:t>
      </w:r>
    </w:p>
  </w:footnote>
  <w:footnote w:id="694">
    <w:p>
      <w:pPr>
        <w:pStyle w:val="FootnoteText"/>
        <w:tabs>
          <w:tab w:val="left" w:pos="709"/>
        </w:tabs>
        <w:spacing w:after="0" w:line="240" w:lineRule="auto"/>
        <w:ind w:left="0" w:firstLine="0"/>
        <w:rPr>
          <w:sz w:val="16"/>
          <w:szCs w:val="16"/>
          <w:lang w:val="en-IE"/>
        </w:rPr>
      </w:pPr>
      <w:r>
        <w:rPr>
          <w:rStyle w:val="FootnoteReference"/>
          <w:sz w:val="16"/>
          <w:szCs w:val="16"/>
        </w:rPr>
        <w:footnoteRef/>
      </w:r>
      <w:r>
        <w:rPr>
          <w:sz w:val="16"/>
          <w:szCs w:val="16"/>
        </w:rPr>
        <w:t xml:space="preserve"> https://ec.europa.eu/info/horizon-europe-next-research-and-innovation-framework-programme_en   </w:t>
      </w:r>
    </w:p>
  </w:footnote>
  <w:footnote w:id="695">
    <w:p>
      <w:pPr>
        <w:pStyle w:val="FootnoteText"/>
        <w:tabs>
          <w:tab w:val="left" w:pos="709"/>
        </w:tabs>
        <w:spacing w:after="0" w:line="240" w:lineRule="auto"/>
        <w:ind w:left="0" w:firstLine="0"/>
        <w:rPr>
          <w:sz w:val="16"/>
          <w:szCs w:val="16"/>
        </w:rPr>
      </w:pPr>
      <w:r>
        <w:rPr>
          <w:rStyle w:val="FootnoteReference"/>
          <w:sz w:val="16"/>
          <w:szCs w:val="16"/>
        </w:rPr>
        <w:footnoteRef/>
      </w:r>
      <w:r>
        <w:rPr>
          <w:sz w:val="16"/>
          <w:szCs w:val="16"/>
        </w:rPr>
        <w:t xml:space="preserve"> https://ec.europa.eu/info/food-farming-fisheries/key-policies/common-agricultural-policy/future-cap_en </w:t>
      </w:r>
    </w:p>
  </w:footnote>
  <w:footnote w:id="696">
    <w:p>
      <w:pPr>
        <w:pStyle w:val="FootnoteText"/>
        <w:tabs>
          <w:tab w:val="left" w:pos="709"/>
        </w:tabs>
        <w:spacing w:after="0" w:line="240" w:lineRule="auto"/>
        <w:rPr>
          <w:sz w:val="16"/>
          <w:szCs w:val="16"/>
        </w:rPr>
      </w:pPr>
      <w:r>
        <w:rPr>
          <w:rStyle w:val="FootnoteReference"/>
          <w:sz w:val="16"/>
          <w:szCs w:val="16"/>
        </w:rPr>
        <w:footnoteRef/>
      </w:r>
      <w:r>
        <w:rPr>
          <w:sz w:val="16"/>
          <w:szCs w:val="16"/>
        </w:rPr>
        <w:t xml:space="preserve"> Mitigation potential based on the GAINS model marginal abatement cost curve but interpolated to fit PRIMES optimisation.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rPr>
      <mc:AlternateContent>
        <mc:Choice Requires="wps">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6852285" cy="761365"/>
              <wp:effectExtent l="0" t="2124075" r="0" b="2191385"/>
              <wp:wrapNone/>
              <wp:docPr id="107"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2285" cy="7613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6" o:spid="_x0000_s1026" type="#_x0000_t202" style="position:absolute;left:0;text-align:left;margin-left:0;margin-top:0;width:539.55pt;height:59.9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TEhwIAAP0EAAAOAAAAZHJzL2Uyb0RvYy54bWysVMuO0zAU3SPxD5b3nTxI0iaadDQPymaA&#10;kaZo1m7sNIb4ge02qRD/zrWTecEGIbpw7Zubc8+95zjnF6Po0ZEZy5WscXIWY8RkoyiX+xp/2W4W&#10;K4ysI5KSXklW4xOz+GL99s35oCuWqk71lBkEINJWg65x55yuosg2HRPEninNJDxslRHEwdHsI2rI&#10;AOiij9I4LqJBGaqNapi1EL2ZHuJ1wG9b1rjPbWuZQ32NgZsLqwnrzq/R+pxUe0N0x5uZBvkHFoJw&#10;CUWfoG6II+hg+B9QgjdGWdW6s0aJSLUtb1joAbpJ4t+6ue+IZqEXGI7VT2Oy/w+2+XS8M4hT0C5e&#10;YiSJAJEeYKaXxqHCj2fQtoKsew15brxSI6SGVq2+Vc03i6S67ojcs0tj1NAxQoFeAlBzODSxPWnA&#10;DdEtG917ykGJxMNHL/CnYtZX2g0fFYVXyMGpUG1sjUBG+ddWZex/IQwTRMAIpD09yQkFUAPBYpWn&#10;6SrHqIFnyyJ5V+ShIqk8mFdLG+s+MCWQ39TYgF0CKjneWufJPaf4dACG+Lyb5P1RJmkWX6XlYlOs&#10;lotsk+WLchmvFnFSXpVFnJXZzeanB02yquOUMnnLJXu0WpL9nZSz6SeTBLOhocZlnuaBr1U9pxve&#10;956bNfvddW/QkXjPT6OaenmVZtRBUoiTymv2ft47wvtpH71mHIYBA3j8D4MI4nm9JuXcuBsB0Su6&#10;U/QEMg5ws2psvx+IYWCJg7hWQAp80BolZpv5s6fhNdiOD8ToWQ4H5e76x5sVNPF5ezrblNCvACR6&#10;uLDQK8qDKaZO5+RZvwk1zEZfgqE2PIj7zHO2Idyx0N78PfCX+OU5ZD1/tda/AAAA//8DAFBLAwQU&#10;AAYACAAAACEAYAAWD9sAAAAGAQAADwAAAGRycy9kb3ducmV2LnhtbEyPQU/DMAyF70j8h8hI3Fha&#10;kICWphOi4rDjNsQ5a7y2W+KUJl07fj0eF7hYz3rWe5+L5eysOOEQOk8K0kUCAqn2pqNGwcf2/e4Z&#10;RIiajLaeUMEZAyzL66tC58ZPtMbTJjaCQyjkWkEbY59LGeoWnQ4L3yOxt/eD05HXoZFm0BOHOyvv&#10;k+RROt0RN7S6x7cW6+NmdArM9/7cP0zTdrVaV+OX7aoKPw9K3d7Mry8gIs7x7xgu+IwOJTPt/Egm&#10;CKuAH4m/8+IlT1kKYscqzTKQZSH/45c/AAAA//8DAFBLAQItABQABgAIAAAAIQC2gziS/gAAAOEB&#10;AAATAAAAAAAAAAAAAAAAAAAAAABbQ29udGVudF9UeXBlc10ueG1sUEsBAi0AFAAGAAgAAAAhADj9&#10;If/WAAAAlAEAAAsAAAAAAAAAAAAAAAAALwEAAF9yZWxzLy5yZWxzUEsBAi0AFAAGAAgAAAAhAKwa&#10;dMSHAgAA/QQAAA4AAAAAAAAAAAAAAAAALgIAAGRycy9lMm9Eb2MueG1sUEsBAi0AFAAGAAgAAAAh&#10;AGAAFg/bAAAABgEAAA8AAAAAAAAAAAAAAAAA4QQAAGRycy9kb3ducmV2LnhtbFBLBQYAAAAABAAE&#10;APMAAADpBQAAAAA=&#10;" o:allowincell="f" filled="f" stroked="f">
              <v:stroke joinstyle="round"/>
              <o:lock v:ext="edit" shapetype="t"/>
              <v:textbox style="mso-fit-shape-to-text:t">
                <w:txbxContent>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rPr>
      <mc:AlternateContent>
        <mc:Choice Requires="wps">
          <w:drawing>
            <wp:anchor distT="0" distB="0" distL="114300" distR="114300" simplePos="0" relativeHeight="251655168" behindDoc="1" locked="0" layoutInCell="0" allowOverlap="1">
              <wp:simplePos x="0" y="0"/>
              <wp:positionH relativeFrom="margin">
                <wp:align>center</wp:align>
              </wp:positionH>
              <wp:positionV relativeFrom="margin">
                <wp:align>center</wp:align>
              </wp:positionV>
              <wp:extent cx="6852285" cy="761365"/>
              <wp:effectExtent l="0" t="2124075" r="0" b="2191385"/>
              <wp:wrapNone/>
              <wp:docPr id="213588308"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2285" cy="7613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pPr>
                            <w:pStyle w:val="NormalWeb"/>
                            <w:spacing w:before="0" w:beforeAutospacing="0" w:after="0" w:afterAutospacing="0"/>
                            <w:jc w:val="center"/>
                          </w:pPr>
                          <w:r>
                            <w:rPr>
                              <w:color w:val="C0C0C0"/>
                              <w:sz w:val="2"/>
                              <w:szCs w:val="2"/>
                              <w14:textFill>
                                <w14:solidFill>
                                  <w14:srgbClr w14:val="C0C0C0">
                                    <w14:alpha w14:val="50000"/>
                                  </w14:srgbClr>
                                </w14:solidFill>
                              </w14:textFill>
                            </w:rPr>
                            <w:t>DRAFT CONFIDENTIAL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0;margin-top:0;width:539.55pt;height:59.9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64jwIAAAoFAAAOAAAAZHJzL2Uyb0RvYy54bWysVE2PmzAQvVfqf7B8z/IRYAEtWWU/0su2&#10;XWlT7dnBJrgF27WdQFT1v3ds2K/2UlXNwbGH4c2bec9cXI59h45MGy5FhaOzECMmakm52Ff4y3az&#10;yDEylghKOilYhU/M4MvV+3cXgypZLFvZUaYRgAhTDqrCrbWqDAJTt6wn5kwqJuBhI3VPLBz1PqCa&#10;DIDed0EchlkwSE2VljUzBqI300O88vhNw2r7uWkMs6irMHCzftV+3bk1WF2Qcq+Jank90yD/wKIn&#10;XEDRZ6gbYgk6aP4HVM9rLY1s7Fkt+0A2Da+Z7wG6icLfunloiWK+FxiOUc9jMv8Ptv50vNeI0wrH&#10;0TLN82UIggnSg1SPMNm1tihzQxqUKSH3QUG2Ha/kCGL7ho26k/U3g4S8bonYs7XWcmgZoUAyAqg5&#10;7FvZnhTg+uiWjfaWctAjcvDBK/ypmHGVdsNHSeEVcrDSVxsb3SMt3Wt5EbqfD8McETACgU/PokIB&#10;VEMwy9M4zlOManh2nkXLLPUVSenAnGZKG/uByR65TYU1mMajkuOdsY7cS4pLB2CIz7tJ5B9FFCfh&#10;VVwsNll+vkg2SboozsN8EUbFVZGFSZHcbH460CgpW04pE3dcsCfDRcnfCTpbf7KKtxwaKlykcer5&#10;GtlxuuFd57gZvd9ddxodiXP+NKqplzdpWh4EhTgpnWa3894S3k374C1jPwwYwNO/H4QXz+k1KWfH&#10;3egd5ZV1wu4kPYGaA1yzCpvvB6IZOOPQX0vgBnZotOxnt7mzY+Ok2I6PRKtZFQtV77una+alcXl7&#10;OruV0K8A1Hdwe6FllHpvTA3PybOME6ofkVqDrzbca/zCc3YjXDjf5fxxcDf69dlnvXzCVr8AAAD/&#10;/wMAUEsDBBQABgAIAAAAIQBgABYP2wAAAAYBAAAPAAAAZHJzL2Rvd25yZXYueG1sTI9BT8MwDIXv&#10;SPyHyEjcWFqQgJamE6LisOM2xDlrvLZb4pQmXTt+PR4XuFjPetZ7n4vl7Kw44RA6TwrSRQICqfam&#10;o0bBx/b97hlEiJqMtp5QwRkDLMvrq0Lnxk+0xtMmNoJDKORaQRtjn0sZ6hadDgvfI7G394PTkdeh&#10;kWbQE4c7K++T5FE63RE3tLrHtxbr42Z0Csz3/tw/TNN2tVpX45ftqgo/D0rd3syvLyAizvHvGC74&#10;jA4lM+38SCYIq4Afib/z4iVPWQpixyrNMpBlIf/jlz8AAAD//wMAUEsBAi0AFAAGAAgAAAAhALaD&#10;OJL+AAAA4QEAABMAAAAAAAAAAAAAAAAAAAAAAFtDb250ZW50X1R5cGVzXS54bWxQSwECLQAUAAYA&#10;CAAAACEAOP0h/9YAAACUAQAACwAAAAAAAAAAAAAAAAAvAQAAX3JlbHMvLnJlbHNQSwECLQAUAAYA&#10;CAAAACEAKQWOuI8CAAAKBQAADgAAAAAAAAAAAAAAAAAuAgAAZHJzL2Uyb0RvYy54bWxQSwECLQAU&#10;AAYACAAAACEAYAAWD9sAAAAGAQAADwAAAAAAAAAAAAAAAADpBAAAZHJzL2Rvd25yZXYueG1sUEsF&#10;BgAAAAAEAAQA8wAAAPEFAAAAAA==&#10;" o:allowincell="f" filled="f" stroked="f">
              <v:stroke joinstyle="round"/>
              <o:lock v:ext="edit" shapetype="t"/>
              <v:textbox style="mso-fit-shape-to-text:t">
                <w:txbxContent>
                  <w:p>
                    <w:pPr>
                      <w:pStyle w:val="NormalWeb"/>
                      <w:spacing w:before="0" w:beforeAutospacing="0" w:after="0" w:afterAutospacing="0"/>
                      <w:jc w:val="center"/>
                    </w:pPr>
                    <w:r>
                      <w:rPr>
                        <w:color w:val="C0C0C0"/>
                        <w:sz w:val="2"/>
                        <w:szCs w:val="2"/>
                        <w14:textFill>
                          <w14:solidFill>
                            <w14:srgbClr w14:val="C0C0C0">
                              <w14:alpha w14:val="50000"/>
                            </w14:srgbClr>
                          </w14:solidFill>
                        </w14:textFill>
                      </w:rPr>
                      <w:t>DRAFT CONFIDENTIAL</w:t>
                    </w:r>
                  </w:p>
                </w:txbxContent>
              </v:textbox>
              <w10:wrap anchorx="margin" anchory="margin"/>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r>
      <w:rPr>
        <w:noProof/>
      </w:rPr>
      <mc:AlternateContent>
        <mc:Choice Requires="wps">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852285" cy="761365"/>
              <wp:effectExtent l="0" t="2124075" r="0" b="2191385"/>
              <wp:wrapNone/>
              <wp:docPr id="21358830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2285" cy="7613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pPr>
                            <w:pStyle w:val="NormalWeb"/>
                            <w:spacing w:before="0" w:beforeAutospacing="0" w:after="0" w:afterAutospacing="0"/>
                            <w:jc w:val="center"/>
                          </w:pPr>
                          <w:r>
                            <w:rPr>
                              <w:color w:val="C0C0C0"/>
                              <w:sz w:val="2"/>
                              <w:szCs w:val="2"/>
                              <w14:textFill>
                                <w14:solidFill>
                                  <w14:srgbClr w14:val="C0C0C0">
                                    <w14:alpha w14:val="50000"/>
                                  </w14:srgbClr>
                                </w14:solidFill>
                              </w14:textFill>
                            </w:rPr>
                            <w:t>DRAFT CONFIDENTIAL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 o:spid="_x0000_s1028" type="#_x0000_t202" style="position:absolute;left:0;text-align:left;margin-left:0;margin-top:0;width:539.55pt;height:59.9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vLNkQIAAAoFAAAOAAAAZHJzL2Uyb0RvYy54bWysVMtu2zAQvBfoPxC8O3pEciQhcmAncS9p&#10;GyAucqZFymIrkSxJWzKK/nuXlOwk7aUo6gNNrlazsztDXd8MXYsOTBsuRYmjixAjJipJudiV+Mtm&#10;PcswMpYISlopWImPzOCbxft3170qWCwb2VKmEYAIU/SqxI21qggCUzWsI+ZCKibgYS11Rywc9S6g&#10;mvSA3rVBHIbzoJeaKi0rZgxE78aHeOHx65pV9nNdG2ZRW2LgZv2q/bp1a7C4JsVOE9XwaqJB/oFF&#10;R7iAomeoO2IJ2mv+B1THKy2NrO1FJbtA1jWvmO8BuonC37p5aohivhcYjlHnMZn/B1t9OjxqxGmJ&#10;4+gyzbLLMMdIkA6keobJLrVFiRtSr0wBuU8Ksu2wkgOI7Rs26kFW3wwS8rYhYseWWsu+YYQCyQig&#10;prBvZXNUgOujGzbYe8pBj8jBB6/wx2LGVdr2HyWFV8jeSl9tqHWHtHSvZXnofj4Mc0TACAQ+nkWF&#10;AqiC4DxL4zhLMarg2dU8upynviIpHJjTTGljPzDZIbcpsQbTeFRyeDDWkXtJcekADPFpN4r8I4/i&#10;JFzF+Ww9z65myTpJZ/lVmM3CKF/l8zDJk7v1TwcaJUXDKWXigQt2MlyU/J2gk/VHq3jLob7EeRqn&#10;nq+RLadr3raOm9G77W2r0YE454+jGnt5k6blXlCIk8Jpdj/tLeHtuA/eMvbDgAGc/v0gvHhOr1E5&#10;O2yH0VEn42wlPYKaPVyzEpvve6IZOGPf3UrgBnaotewmt7mzY+Ok2AzPRKtJFQtVH9vTNfPSuLwd&#10;ndxK6FcA6lq4vdAySr03xoan5EnGEdWPSC3BV2vuNXYGHHlOboQL57ucPg7uRr8++6yXT9jiFwAA&#10;AP//AwBQSwMEFAAGAAgAAAAhAGAAFg/bAAAABgEAAA8AAABkcnMvZG93bnJldi54bWxMj0FPwzAM&#10;he9I/IfISNxYWpCAlqYTouKw4zbEOWu8tlvilCZdO349Hhe4WM961nufi+XsrDjhEDpPCtJFAgKp&#10;9qajRsHH9v3uGUSImoy2nlDBGQMsy+urQufGT7TG0yY2gkMo5FpBG2OfSxnqFp0OC98jsbf3g9OR&#10;16GRZtAThzsr75PkUTrdETe0use3FuvjZnQKzPf+3D9M03a1Wlfjl+2qCj8PSt3ezK8vICLO8e8Y&#10;LviMDiUz7fxIJgirgB+Jv/PiJU9ZCmLHKs0ykGUh/+OXPwAAAP//AwBQSwECLQAUAAYACAAAACEA&#10;toM4kv4AAADhAQAAEwAAAAAAAAAAAAAAAAAAAAAAW0NvbnRlbnRfVHlwZXNdLnhtbFBLAQItABQA&#10;BgAIAAAAIQA4/SH/1gAAAJQBAAALAAAAAAAAAAAAAAAAAC8BAABfcmVscy8ucmVsc1BLAQItABQA&#10;BgAIAAAAIQA84vLNkQIAAAoFAAAOAAAAAAAAAAAAAAAAAC4CAABkcnMvZTJvRG9jLnhtbFBLAQIt&#10;ABQABgAIAAAAIQBgABYP2wAAAAYBAAAPAAAAAAAAAAAAAAAAAOsEAABkcnMvZG93bnJldi54bWxQ&#10;SwUGAAAAAAQABADzAAAA8wUAAAAA&#10;" o:allowincell="f" filled="f" stroked="f">
              <v:stroke joinstyle="round"/>
              <o:lock v:ext="edit" shapetype="t"/>
              <v:textbox style="mso-fit-shape-to-text:t">
                <w:txbxContent>
                  <w:p>
                    <w:pPr>
                      <w:pStyle w:val="NormalWeb"/>
                      <w:spacing w:before="0" w:beforeAutospacing="0" w:after="0" w:afterAutospacing="0"/>
                      <w:jc w:val="center"/>
                    </w:pPr>
                    <w:r>
                      <w:rPr>
                        <w:color w:val="C0C0C0"/>
                        <w:sz w:val="2"/>
                        <w:szCs w:val="2"/>
                        <w14:textFill>
                          <w14:solidFill>
                            <w14:srgbClr w14:val="C0C0C0">
                              <w14:alpha w14:val="50000"/>
                            </w14:srgbClr>
                          </w14:solidFill>
                        </w14:textFill>
                      </w:rPr>
                      <w:t>DRAFT CONFIDENTIAL</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D9CE5B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7562DC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1A0BE0C"/>
    <w:lvl w:ilvl="0">
      <w:start w:val="1"/>
      <w:numFmt w:val="decimal"/>
      <w:pStyle w:val="ListNumber3"/>
      <w:lvlText w:val="%1."/>
      <w:lvlJc w:val="left"/>
      <w:pPr>
        <w:tabs>
          <w:tab w:val="num" w:pos="926"/>
        </w:tabs>
        <w:ind w:left="926" w:hanging="360"/>
      </w:pPr>
    </w:lvl>
  </w:abstractNum>
  <w:abstractNum w:abstractNumId="3">
    <w:nsid w:val="FFFFFF7F"/>
    <w:multiLevelType w:val="singleLevel"/>
    <w:tmpl w:val="96CC830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7B2872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77A414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E50237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2461F0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E9F62342"/>
    <w:lvl w:ilvl="0">
      <w:start w:val="1"/>
      <w:numFmt w:val="decimal"/>
      <w:lvlText w:val="%1."/>
      <w:lvlJc w:val="left"/>
      <w:pPr>
        <w:tabs>
          <w:tab w:val="num" w:pos="360"/>
        </w:tabs>
        <w:ind w:left="360" w:hanging="360"/>
      </w:pPr>
    </w:lvl>
  </w:abstractNum>
  <w:abstractNum w:abstractNumId="9">
    <w:nsid w:val="FFFFFF89"/>
    <w:multiLevelType w:val="singleLevel"/>
    <w:tmpl w:val="6478EF0E"/>
    <w:lvl w:ilvl="0">
      <w:start w:val="1"/>
      <w:numFmt w:val="bullet"/>
      <w:lvlText w:val=""/>
      <w:lvlJc w:val="left"/>
      <w:pPr>
        <w:tabs>
          <w:tab w:val="num" w:pos="360"/>
        </w:tabs>
        <w:ind w:left="360" w:hanging="360"/>
      </w:pPr>
      <w:rPr>
        <w:rFonts w:ascii="Symbol" w:hAnsi="Symbol" w:hint="default"/>
      </w:rPr>
    </w:lvl>
  </w:abstractNum>
  <w:abstractNum w:abstractNumId="10">
    <w:nsid w:val="010A1D6C"/>
    <w:multiLevelType w:val="hybridMultilevel"/>
    <w:tmpl w:val="49245556"/>
    <w:lvl w:ilvl="0" w:tplc="325AECE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13B6144"/>
    <w:multiLevelType w:val="multilevel"/>
    <w:tmpl w:val="7B9C755C"/>
    <w:lvl w:ilvl="0">
      <w:start w:val="1"/>
      <w:numFmt w:val="bullet"/>
      <w:lvlText w:val=""/>
      <w:lvlJc w:val="left"/>
      <w:pPr>
        <w:ind w:left="952" w:hanging="476"/>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1428" w:hanging="47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ind w:left="1905" w:hanging="47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Roman"/>
      <w:lvlText w:val="%4."/>
      <w:lvlJc w:val="left"/>
      <w:pPr>
        <w:ind w:left="2381" w:hanging="47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Roman"/>
      <w:lvlText w:val="%5."/>
      <w:lvlJc w:val="left"/>
      <w:pPr>
        <w:ind w:left="2857" w:hanging="47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3333" w:hanging="47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lvlText w:val="%7."/>
      <w:lvlJc w:val="left"/>
      <w:pPr>
        <w:ind w:left="3809" w:hanging="47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Roman"/>
      <w:lvlText w:val="%8."/>
      <w:lvlJc w:val="left"/>
      <w:pPr>
        <w:ind w:left="4285" w:hanging="47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4761" w:hanging="47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033F39A1"/>
    <w:multiLevelType w:val="hybridMultilevel"/>
    <w:tmpl w:val="225EE5BC"/>
    <w:lvl w:ilvl="0" w:tplc="4D46F51E">
      <w:start w:val="204"/>
      <w:numFmt w:val="decimal"/>
      <w:lvlText w:val="%1."/>
      <w:lvlJc w:val="left"/>
      <w:pPr>
        <w:ind w:left="744" w:hanging="384"/>
      </w:pPr>
      <w:rPr>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04F01854"/>
    <w:multiLevelType w:val="hybridMultilevel"/>
    <w:tmpl w:val="06E24AF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4">
    <w:nsid w:val="06495604"/>
    <w:multiLevelType w:val="multilevel"/>
    <w:tmpl w:val="9F60CF46"/>
    <w:lvl w:ilvl="0">
      <w:start w:val="1"/>
      <w:numFmt w:val="decimal"/>
      <w:pStyle w:val="Point123"/>
      <w:lvlText w:val="%1."/>
      <w:lvlJc w:val="left"/>
      <w:pPr>
        <w:tabs>
          <w:tab w:val="num" w:pos="567"/>
        </w:tabs>
        <w:ind w:left="567" w:hanging="567"/>
      </w:p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15">
    <w:nsid w:val="07644604"/>
    <w:multiLevelType w:val="hybridMultilevel"/>
    <w:tmpl w:val="883CE626"/>
    <w:numStyleLink w:val="ImportedStyle1"/>
  </w:abstractNum>
  <w:abstractNum w:abstractNumId="16">
    <w:nsid w:val="076D1FC8"/>
    <w:multiLevelType w:val="multilevel"/>
    <w:tmpl w:val="E3BAEA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08B94EAE"/>
    <w:multiLevelType w:val="hybridMultilevel"/>
    <w:tmpl w:val="3702DA36"/>
    <w:lvl w:ilvl="0" w:tplc="2F2E78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0BEF7B35"/>
    <w:multiLevelType w:val="hybridMultilevel"/>
    <w:tmpl w:val="E5B4C99A"/>
    <w:lvl w:ilvl="0" w:tplc="904AF1B4">
      <w:start w:val="1"/>
      <w:numFmt w:val="decimal"/>
      <w:lvlText w:val="%1."/>
      <w:lvlJc w:val="left"/>
      <w:pPr>
        <w:ind w:left="928"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0D8E3348"/>
    <w:multiLevelType w:val="hybridMultilevel"/>
    <w:tmpl w:val="B15CB5C8"/>
    <w:lvl w:ilvl="0" w:tplc="4EBCDCD6">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EC26A6D"/>
    <w:multiLevelType w:val="hybridMultilevel"/>
    <w:tmpl w:val="B364B788"/>
    <w:lvl w:ilvl="0" w:tplc="0809000F">
      <w:start w:val="1"/>
      <w:numFmt w:val="decimal"/>
      <w:lvlText w:val="%1."/>
      <w:lvlJc w:val="left"/>
      <w:pPr>
        <w:ind w:left="644" w:hanging="360"/>
      </w:p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21">
    <w:nsid w:val="0F8B6F42"/>
    <w:multiLevelType w:val="hybridMultilevel"/>
    <w:tmpl w:val="E6F278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120B7201"/>
    <w:multiLevelType w:val="multilevel"/>
    <w:tmpl w:val="EC04E266"/>
    <w:name w:val="ListNumberNumbering"/>
    <w:lvl w:ilvl="0">
      <w:start w:val="1"/>
      <w:numFmt w:val="decimal"/>
      <w:pStyle w:val="ListNumber"/>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3">
    <w:nsid w:val="12993243"/>
    <w:multiLevelType w:val="hybridMultilevel"/>
    <w:tmpl w:val="9DDA339E"/>
    <w:lvl w:ilvl="0" w:tplc="6E343C32">
      <w:numFmt w:val="bullet"/>
      <w:lvlText w:val="-"/>
      <w:lvlJc w:val="left"/>
      <w:pPr>
        <w:ind w:left="720" w:hanging="360"/>
      </w:pPr>
      <w:rPr>
        <w:rFonts w:ascii="Calibri" w:eastAsia="Calibr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4">
    <w:nsid w:val="144C531B"/>
    <w:multiLevelType w:val="multilevel"/>
    <w:tmpl w:val="68505196"/>
    <w:lvl w:ilvl="0">
      <w:start w:val="1"/>
      <w:numFmt w:val="bullet"/>
      <w:lvlText w:val=""/>
      <w:lvlJc w:val="left"/>
      <w:pPr>
        <w:ind w:left="952" w:hanging="476"/>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1428" w:hanging="47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ind w:left="1905" w:hanging="47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Roman"/>
      <w:lvlText w:val="%4."/>
      <w:lvlJc w:val="left"/>
      <w:pPr>
        <w:ind w:left="2381" w:hanging="47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Roman"/>
      <w:lvlText w:val="%5."/>
      <w:lvlJc w:val="left"/>
      <w:pPr>
        <w:ind w:left="2857" w:hanging="47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3333" w:hanging="47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lvlText w:val="%7."/>
      <w:lvlJc w:val="left"/>
      <w:pPr>
        <w:ind w:left="3809" w:hanging="47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Roman"/>
      <w:lvlText w:val="%8."/>
      <w:lvlJc w:val="left"/>
      <w:pPr>
        <w:ind w:left="4285" w:hanging="47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4761" w:hanging="47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14996626"/>
    <w:multiLevelType w:val="hybridMultilevel"/>
    <w:tmpl w:val="167E1E8A"/>
    <w:lvl w:ilvl="0" w:tplc="1F961EDC">
      <w:start w:val="1"/>
      <w:numFmt w:val="bullet"/>
      <w:lvlText w:val=""/>
      <w:lvlJc w:val="left"/>
      <w:pPr>
        <w:tabs>
          <w:tab w:val="num" w:pos="284"/>
        </w:tabs>
        <w:ind w:left="284" w:hanging="284"/>
      </w:pPr>
      <w:rPr>
        <w:rFonts w:ascii="Symbol" w:hAnsi="Symbol"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171A0865"/>
    <w:multiLevelType w:val="multilevel"/>
    <w:tmpl w:val="5980D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72F0AC5"/>
    <w:multiLevelType w:val="multilevel"/>
    <w:tmpl w:val="0A1057EC"/>
    <w:name w:val="ListNumber2Numbering"/>
    <w:lvl w:ilvl="0">
      <w:start w:val="1"/>
      <w:numFmt w:val="decimal"/>
      <w:lvlText w:val="(%1)"/>
      <w:lvlJc w:val="left"/>
      <w:pPr>
        <w:tabs>
          <w:tab w:val="num" w:pos="1786"/>
        </w:tabs>
        <w:ind w:left="1786" w:hanging="709"/>
      </w:pPr>
    </w:lvl>
    <w:lvl w:ilvl="1">
      <w:start w:val="1"/>
      <w:numFmt w:val="lowerLetter"/>
      <w:lvlText w:val="(%2)"/>
      <w:lvlJc w:val="left"/>
      <w:pPr>
        <w:tabs>
          <w:tab w:val="num" w:pos="2494"/>
        </w:tabs>
        <w:ind w:left="2494" w:hanging="708"/>
      </w:pPr>
    </w:lvl>
    <w:lvl w:ilvl="2">
      <w:start w:val="1"/>
      <w:numFmt w:val="bullet"/>
      <w:lvlText w:val="–"/>
      <w:lvlJc w:val="left"/>
      <w:pPr>
        <w:tabs>
          <w:tab w:val="num" w:pos="3203"/>
        </w:tabs>
        <w:ind w:left="3203" w:hanging="697"/>
      </w:pPr>
      <w:rPr>
        <w:rFonts w:ascii="Times New Roman" w:hAnsi="Times New Roman"/>
      </w:rPr>
    </w:lvl>
    <w:lvl w:ilvl="3">
      <w:start w:val="1"/>
      <w:numFmt w:val="bullet"/>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8">
    <w:nsid w:val="17960954"/>
    <w:multiLevelType w:val="multilevel"/>
    <w:tmpl w:val="3BBAAAE0"/>
    <w:styleLink w:val="Headings"/>
    <w:lvl w:ilvl="0">
      <w:start w:val="1"/>
      <w:numFmt w:val="decimal"/>
      <w:lvlText w:val="%1."/>
      <w:lvlJc w:val="left"/>
      <w:pPr>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suff w:val="space"/>
      <w:lvlText w:val="%1.%2.%3.%4.%5"/>
      <w:lvlJc w:val="left"/>
      <w:pPr>
        <w:ind w:left="510" w:hanging="51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179B5C85"/>
    <w:multiLevelType w:val="hybridMultilevel"/>
    <w:tmpl w:val="5212E55C"/>
    <w:lvl w:ilvl="0" w:tplc="6A1E67A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181A4A2A"/>
    <w:multiLevelType w:val="multilevel"/>
    <w:tmpl w:val="BF64FF94"/>
    <w:lvl w:ilvl="0">
      <w:start w:val="1"/>
      <w:numFmt w:val="bullet"/>
      <w:lvlText w:val=""/>
      <w:lvlJc w:val="left"/>
      <w:pPr>
        <w:ind w:left="476" w:hanging="476"/>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952" w:hanging="47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ind w:left="1429" w:hanging="47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Roman"/>
      <w:lvlText w:val="%4."/>
      <w:lvlJc w:val="left"/>
      <w:pPr>
        <w:ind w:left="1905" w:hanging="47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Roman"/>
      <w:lvlText w:val="%5."/>
      <w:lvlJc w:val="left"/>
      <w:pPr>
        <w:ind w:left="2381" w:hanging="47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2857" w:hanging="47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lvlText w:val="%7."/>
      <w:lvlJc w:val="left"/>
      <w:pPr>
        <w:ind w:left="3333" w:hanging="47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Roman"/>
      <w:lvlText w:val="%8."/>
      <w:lvlJc w:val="left"/>
      <w:pPr>
        <w:ind w:left="3809" w:hanging="47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4285" w:hanging="47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nsid w:val="1A491DD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1B76292E"/>
    <w:multiLevelType w:val="multilevel"/>
    <w:tmpl w:val="73643D12"/>
    <w:lvl w:ilvl="0">
      <w:start w:val="1"/>
      <w:numFmt w:val="decimal"/>
      <w:lvlText w:val="%1."/>
      <w:lvlJc w:val="left"/>
      <w:pPr>
        <w:ind w:left="750" w:hanging="390"/>
      </w:pPr>
      <w:rPr>
        <w:rFonts w:hint="default"/>
      </w:rPr>
    </w:lvl>
    <w:lvl w:ilvl="1">
      <w:start w:val="1"/>
      <w:numFmt w:val="decimal"/>
      <w:isLgl/>
      <w:lvlText w:val="%1.%2."/>
      <w:lvlJc w:val="left"/>
      <w:pPr>
        <w:ind w:left="1290" w:hanging="930"/>
      </w:pPr>
      <w:rPr>
        <w:rFonts w:hint="default"/>
      </w:rPr>
    </w:lvl>
    <w:lvl w:ilvl="2">
      <w:start w:val="2"/>
      <w:numFmt w:val="decimal"/>
      <w:isLgl/>
      <w:lvlText w:val="%1.%2.%3."/>
      <w:lvlJc w:val="left"/>
      <w:pPr>
        <w:ind w:left="1290" w:hanging="930"/>
      </w:pPr>
      <w:rPr>
        <w:rFonts w:hint="default"/>
      </w:rPr>
    </w:lvl>
    <w:lvl w:ilvl="3">
      <w:start w:val="1"/>
      <w:numFmt w:val="decimal"/>
      <w:isLgl/>
      <w:lvlText w:val="%1.%2.%3.%4."/>
      <w:lvlJc w:val="left"/>
      <w:pPr>
        <w:ind w:left="1213" w:hanging="93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1C0C3252"/>
    <w:multiLevelType w:val="hybridMultilevel"/>
    <w:tmpl w:val="B8566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C4A7D85"/>
    <w:multiLevelType w:val="hybridMultilevel"/>
    <w:tmpl w:val="6D40A152"/>
    <w:lvl w:ilvl="0" w:tplc="69B83E4A">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nsid w:val="1CB73F89"/>
    <w:multiLevelType w:val="hybridMultilevel"/>
    <w:tmpl w:val="4CB64B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nsid w:val="1D0F7B5F"/>
    <w:multiLevelType w:val="hybridMultilevel"/>
    <w:tmpl w:val="80EE8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1D1B4587"/>
    <w:multiLevelType w:val="hybridMultilevel"/>
    <w:tmpl w:val="22CA0E26"/>
    <w:lvl w:ilvl="0" w:tplc="3BC697B8">
      <w:start w:val="1"/>
      <w:numFmt w:val="bullet"/>
      <w:lvlText w:val="−"/>
      <w:lvlJc w:val="left"/>
      <w:pPr>
        <w:ind w:left="836" w:hanging="360"/>
      </w:pPr>
      <w:rPr>
        <w:rFonts w:ascii="Arial" w:hAnsi="Arial" w:hint="default"/>
      </w:rPr>
    </w:lvl>
    <w:lvl w:ilvl="1" w:tplc="080C0003">
      <w:start w:val="1"/>
      <w:numFmt w:val="bullet"/>
      <w:lvlText w:val="o"/>
      <w:lvlJc w:val="left"/>
      <w:pPr>
        <w:ind w:left="1556" w:hanging="360"/>
      </w:pPr>
      <w:rPr>
        <w:rFonts w:ascii="Courier New" w:hAnsi="Courier New" w:cs="Courier New" w:hint="default"/>
      </w:rPr>
    </w:lvl>
    <w:lvl w:ilvl="2" w:tplc="080C0005" w:tentative="1">
      <w:start w:val="1"/>
      <w:numFmt w:val="bullet"/>
      <w:lvlText w:val=""/>
      <w:lvlJc w:val="left"/>
      <w:pPr>
        <w:ind w:left="2276" w:hanging="360"/>
      </w:pPr>
      <w:rPr>
        <w:rFonts w:ascii="Wingdings" w:hAnsi="Wingdings" w:hint="default"/>
      </w:rPr>
    </w:lvl>
    <w:lvl w:ilvl="3" w:tplc="080C0001" w:tentative="1">
      <w:start w:val="1"/>
      <w:numFmt w:val="bullet"/>
      <w:lvlText w:val=""/>
      <w:lvlJc w:val="left"/>
      <w:pPr>
        <w:ind w:left="2996" w:hanging="360"/>
      </w:pPr>
      <w:rPr>
        <w:rFonts w:ascii="Symbol" w:hAnsi="Symbol" w:hint="default"/>
      </w:rPr>
    </w:lvl>
    <w:lvl w:ilvl="4" w:tplc="080C0003" w:tentative="1">
      <w:start w:val="1"/>
      <w:numFmt w:val="bullet"/>
      <w:lvlText w:val="o"/>
      <w:lvlJc w:val="left"/>
      <w:pPr>
        <w:ind w:left="3716" w:hanging="360"/>
      </w:pPr>
      <w:rPr>
        <w:rFonts w:ascii="Courier New" w:hAnsi="Courier New" w:cs="Courier New" w:hint="default"/>
      </w:rPr>
    </w:lvl>
    <w:lvl w:ilvl="5" w:tplc="080C0005" w:tentative="1">
      <w:start w:val="1"/>
      <w:numFmt w:val="bullet"/>
      <w:lvlText w:val=""/>
      <w:lvlJc w:val="left"/>
      <w:pPr>
        <w:ind w:left="4436" w:hanging="360"/>
      </w:pPr>
      <w:rPr>
        <w:rFonts w:ascii="Wingdings" w:hAnsi="Wingdings" w:hint="default"/>
      </w:rPr>
    </w:lvl>
    <w:lvl w:ilvl="6" w:tplc="080C0001" w:tentative="1">
      <w:start w:val="1"/>
      <w:numFmt w:val="bullet"/>
      <w:lvlText w:val=""/>
      <w:lvlJc w:val="left"/>
      <w:pPr>
        <w:ind w:left="5156" w:hanging="360"/>
      </w:pPr>
      <w:rPr>
        <w:rFonts w:ascii="Symbol" w:hAnsi="Symbol" w:hint="default"/>
      </w:rPr>
    </w:lvl>
    <w:lvl w:ilvl="7" w:tplc="080C0003" w:tentative="1">
      <w:start w:val="1"/>
      <w:numFmt w:val="bullet"/>
      <w:lvlText w:val="o"/>
      <w:lvlJc w:val="left"/>
      <w:pPr>
        <w:ind w:left="5876" w:hanging="360"/>
      </w:pPr>
      <w:rPr>
        <w:rFonts w:ascii="Courier New" w:hAnsi="Courier New" w:cs="Courier New" w:hint="default"/>
      </w:rPr>
    </w:lvl>
    <w:lvl w:ilvl="8" w:tplc="080C0005" w:tentative="1">
      <w:start w:val="1"/>
      <w:numFmt w:val="bullet"/>
      <w:lvlText w:val=""/>
      <w:lvlJc w:val="left"/>
      <w:pPr>
        <w:ind w:left="6596" w:hanging="360"/>
      </w:pPr>
      <w:rPr>
        <w:rFonts w:ascii="Wingdings" w:hAnsi="Wingdings" w:hint="default"/>
      </w:rPr>
    </w:lvl>
  </w:abstractNum>
  <w:abstractNum w:abstractNumId="38">
    <w:nsid w:val="1F682223"/>
    <w:multiLevelType w:val="hybridMultilevel"/>
    <w:tmpl w:val="98C2C9E8"/>
    <w:lvl w:ilvl="0" w:tplc="848A3266">
      <w:start w:val="1"/>
      <w:numFmt w:val="decimal"/>
      <w:lvlText w:val="%1."/>
      <w:lvlJc w:val="left"/>
      <w:pPr>
        <w:ind w:left="360" w:hanging="360"/>
      </w:pPr>
      <w:rPr>
        <w:rFonts w:ascii="Times New Roman" w:hAnsi="Times New Roman" w:cs="Times New Roman" w:hint="default"/>
        <w:sz w:val="24"/>
        <w:szCs w:val="24"/>
      </w:rPr>
    </w:lvl>
    <w:lvl w:ilvl="1" w:tplc="BC42BB32">
      <w:start w:val="1"/>
      <w:numFmt w:val="lowerLetter"/>
      <w:lvlText w:val="%2."/>
      <w:lvlJc w:val="left"/>
      <w:pPr>
        <w:ind w:left="1440" w:hanging="360"/>
      </w:pPr>
      <w:rPr>
        <w:rFonts w:ascii="Times New Roman" w:hAnsi="Times New Roman" w:cs="Times New Roman" w:hint="default"/>
        <w:sz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1F801FB5"/>
    <w:multiLevelType w:val="hybridMultilevel"/>
    <w:tmpl w:val="47006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23C1ED0"/>
    <w:multiLevelType w:val="hybridMultilevel"/>
    <w:tmpl w:val="F6CA449A"/>
    <w:lvl w:ilvl="0" w:tplc="9892A78A">
      <w:start w:val="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nsid w:val="24201162"/>
    <w:multiLevelType w:val="hybridMultilevel"/>
    <w:tmpl w:val="21DEB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54032BF"/>
    <w:multiLevelType w:val="hybridMultilevel"/>
    <w:tmpl w:val="616E2D5A"/>
    <w:lvl w:ilvl="0" w:tplc="49D49C18">
      <w:start w:val="1"/>
      <w:numFmt w:val="decimal"/>
      <w:suff w:val="space"/>
      <w:lvlText w:val="1.%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3">
    <w:nsid w:val="254A3EE3"/>
    <w:multiLevelType w:val="hybridMultilevel"/>
    <w:tmpl w:val="B8A63EEA"/>
    <w:lvl w:ilvl="0" w:tplc="BD22487A">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25AA31B5"/>
    <w:multiLevelType w:val="hybridMultilevel"/>
    <w:tmpl w:val="C17EB8A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26333BEB"/>
    <w:multiLevelType w:val="hybridMultilevel"/>
    <w:tmpl w:val="7C96E6D8"/>
    <w:lvl w:ilvl="0" w:tplc="239A474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6">
    <w:nsid w:val="276D3D90"/>
    <w:multiLevelType w:val="hybridMultilevel"/>
    <w:tmpl w:val="FA82F434"/>
    <w:lvl w:ilvl="0" w:tplc="3A4CC298">
      <w:start w:val="1"/>
      <w:numFmt w:val="lowerRoman"/>
      <w:pStyle w:val="1ai"/>
      <w:lvlText w:val="%1."/>
      <w:lvlJc w:val="right"/>
      <w:pPr>
        <w:ind w:left="1979" w:hanging="360"/>
      </w:pPr>
    </w:lvl>
    <w:lvl w:ilvl="1" w:tplc="08090019" w:tentative="1">
      <w:start w:val="1"/>
      <w:numFmt w:val="lowerLetter"/>
      <w:lvlText w:val="%2."/>
      <w:lvlJc w:val="left"/>
      <w:pPr>
        <w:ind w:left="2699" w:hanging="360"/>
      </w:pPr>
    </w:lvl>
    <w:lvl w:ilvl="2" w:tplc="0809001B" w:tentative="1">
      <w:start w:val="1"/>
      <w:numFmt w:val="lowerRoman"/>
      <w:lvlText w:val="%3."/>
      <w:lvlJc w:val="right"/>
      <w:pPr>
        <w:ind w:left="3419" w:hanging="180"/>
      </w:pPr>
    </w:lvl>
    <w:lvl w:ilvl="3" w:tplc="0809000F" w:tentative="1">
      <w:start w:val="1"/>
      <w:numFmt w:val="decimal"/>
      <w:lvlText w:val="%4."/>
      <w:lvlJc w:val="left"/>
      <w:pPr>
        <w:ind w:left="4139" w:hanging="360"/>
      </w:pPr>
    </w:lvl>
    <w:lvl w:ilvl="4" w:tplc="08090019" w:tentative="1">
      <w:start w:val="1"/>
      <w:numFmt w:val="lowerLetter"/>
      <w:lvlText w:val="%5."/>
      <w:lvlJc w:val="left"/>
      <w:pPr>
        <w:ind w:left="4859" w:hanging="360"/>
      </w:pPr>
    </w:lvl>
    <w:lvl w:ilvl="5" w:tplc="0809001B" w:tentative="1">
      <w:start w:val="1"/>
      <w:numFmt w:val="lowerRoman"/>
      <w:lvlText w:val="%6."/>
      <w:lvlJc w:val="right"/>
      <w:pPr>
        <w:ind w:left="5579" w:hanging="180"/>
      </w:pPr>
    </w:lvl>
    <w:lvl w:ilvl="6" w:tplc="0809000F" w:tentative="1">
      <w:start w:val="1"/>
      <w:numFmt w:val="decimal"/>
      <w:lvlText w:val="%7."/>
      <w:lvlJc w:val="left"/>
      <w:pPr>
        <w:ind w:left="6299" w:hanging="360"/>
      </w:pPr>
    </w:lvl>
    <w:lvl w:ilvl="7" w:tplc="08090019" w:tentative="1">
      <w:start w:val="1"/>
      <w:numFmt w:val="lowerLetter"/>
      <w:lvlText w:val="%8."/>
      <w:lvlJc w:val="left"/>
      <w:pPr>
        <w:ind w:left="7019" w:hanging="360"/>
      </w:pPr>
    </w:lvl>
    <w:lvl w:ilvl="8" w:tplc="0809001B" w:tentative="1">
      <w:start w:val="1"/>
      <w:numFmt w:val="lowerRoman"/>
      <w:lvlText w:val="%9."/>
      <w:lvlJc w:val="right"/>
      <w:pPr>
        <w:ind w:left="7739" w:hanging="180"/>
      </w:pPr>
    </w:lvl>
  </w:abstractNum>
  <w:abstractNum w:abstractNumId="47">
    <w:nsid w:val="298C2448"/>
    <w:multiLevelType w:val="hybridMultilevel"/>
    <w:tmpl w:val="3604868A"/>
    <w:lvl w:ilvl="0" w:tplc="080C0001">
      <w:start w:val="1"/>
      <w:numFmt w:val="bullet"/>
      <w:lvlText w:val=""/>
      <w:lvlJc w:val="left"/>
      <w:pPr>
        <w:ind w:left="836" w:hanging="360"/>
      </w:pPr>
      <w:rPr>
        <w:rFonts w:ascii="Symbol" w:hAnsi="Symbol" w:hint="default"/>
      </w:rPr>
    </w:lvl>
    <w:lvl w:ilvl="1" w:tplc="080C0003">
      <w:start w:val="1"/>
      <w:numFmt w:val="bullet"/>
      <w:lvlText w:val="o"/>
      <w:lvlJc w:val="left"/>
      <w:pPr>
        <w:ind w:left="1556" w:hanging="360"/>
      </w:pPr>
      <w:rPr>
        <w:rFonts w:ascii="Courier New" w:hAnsi="Courier New" w:cs="Courier New" w:hint="default"/>
      </w:rPr>
    </w:lvl>
    <w:lvl w:ilvl="2" w:tplc="080C0005" w:tentative="1">
      <w:start w:val="1"/>
      <w:numFmt w:val="bullet"/>
      <w:lvlText w:val=""/>
      <w:lvlJc w:val="left"/>
      <w:pPr>
        <w:ind w:left="2276" w:hanging="360"/>
      </w:pPr>
      <w:rPr>
        <w:rFonts w:ascii="Wingdings" w:hAnsi="Wingdings" w:hint="default"/>
      </w:rPr>
    </w:lvl>
    <w:lvl w:ilvl="3" w:tplc="080C0001" w:tentative="1">
      <w:start w:val="1"/>
      <w:numFmt w:val="bullet"/>
      <w:lvlText w:val=""/>
      <w:lvlJc w:val="left"/>
      <w:pPr>
        <w:ind w:left="2996" w:hanging="360"/>
      </w:pPr>
      <w:rPr>
        <w:rFonts w:ascii="Symbol" w:hAnsi="Symbol" w:hint="default"/>
      </w:rPr>
    </w:lvl>
    <w:lvl w:ilvl="4" w:tplc="080C0003" w:tentative="1">
      <w:start w:val="1"/>
      <w:numFmt w:val="bullet"/>
      <w:lvlText w:val="o"/>
      <w:lvlJc w:val="left"/>
      <w:pPr>
        <w:ind w:left="3716" w:hanging="360"/>
      </w:pPr>
      <w:rPr>
        <w:rFonts w:ascii="Courier New" w:hAnsi="Courier New" w:cs="Courier New" w:hint="default"/>
      </w:rPr>
    </w:lvl>
    <w:lvl w:ilvl="5" w:tplc="080C0005" w:tentative="1">
      <w:start w:val="1"/>
      <w:numFmt w:val="bullet"/>
      <w:lvlText w:val=""/>
      <w:lvlJc w:val="left"/>
      <w:pPr>
        <w:ind w:left="4436" w:hanging="360"/>
      </w:pPr>
      <w:rPr>
        <w:rFonts w:ascii="Wingdings" w:hAnsi="Wingdings" w:hint="default"/>
      </w:rPr>
    </w:lvl>
    <w:lvl w:ilvl="6" w:tplc="080C0001" w:tentative="1">
      <w:start w:val="1"/>
      <w:numFmt w:val="bullet"/>
      <w:lvlText w:val=""/>
      <w:lvlJc w:val="left"/>
      <w:pPr>
        <w:ind w:left="5156" w:hanging="360"/>
      </w:pPr>
      <w:rPr>
        <w:rFonts w:ascii="Symbol" w:hAnsi="Symbol" w:hint="default"/>
      </w:rPr>
    </w:lvl>
    <w:lvl w:ilvl="7" w:tplc="080C0003" w:tentative="1">
      <w:start w:val="1"/>
      <w:numFmt w:val="bullet"/>
      <w:lvlText w:val="o"/>
      <w:lvlJc w:val="left"/>
      <w:pPr>
        <w:ind w:left="5876" w:hanging="360"/>
      </w:pPr>
      <w:rPr>
        <w:rFonts w:ascii="Courier New" w:hAnsi="Courier New" w:cs="Courier New" w:hint="default"/>
      </w:rPr>
    </w:lvl>
    <w:lvl w:ilvl="8" w:tplc="080C0005" w:tentative="1">
      <w:start w:val="1"/>
      <w:numFmt w:val="bullet"/>
      <w:lvlText w:val=""/>
      <w:lvlJc w:val="left"/>
      <w:pPr>
        <w:ind w:left="6596" w:hanging="360"/>
      </w:pPr>
      <w:rPr>
        <w:rFonts w:ascii="Wingdings" w:hAnsi="Wingdings" w:hint="default"/>
      </w:rPr>
    </w:lvl>
  </w:abstractNum>
  <w:abstractNum w:abstractNumId="48">
    <w:nsid w:val="2A360600"/>
    <w:multiLevelType w:val="hybridMultilevel"/>
    <w:tmpl w:val="476C6DD8"/>
    <w:lvl w:ilvl="0" w:tplc="3F68E1A0">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nsid w:val="2B1B748D"/>
    <w:multiLevelType w:val="hybridMultilevel"/>
    <w:tmpl w:val="251E74E4"/>
    <w:lvl w:ilvl="0" w:tplc="6A1E67A4">
      <w:numFmt w:val="bullet"/>
      <w:lvlText w:val="-"/>
      <w:lvlJc w:val="left"/>
      <w:pPr>
        <w:ind w:left="1080" w:hanging="360"/>
      </w:pPr>
      <w:rPr>
        <w:rFonts w:ascii="Calibri" w:eastAsiaTheme="minorHAnsi"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0">
    <w:nsid w:val="2D293CE3"/>
    <w:multiLevelType w:val="multilevel"/>
    <w:tmpl w:val="A50A03B4"/>
    <w:name w:val="LegalNumParNumbering"/>
    <w:lvl w:ilvl="0">
      <w:start w:val="1"/>
      <w:numFmt w:val="decimal"/>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start w:val="1"/>
      <w:numFmt w:val="decimal"/>
      <w:lvlText w:val="%4."/>
      <w:lvlJc w:val="left"/>
      <w:pPr>
        <w:tabs>
          <w:tab w:val="num" w:pos="1905"/>
        </w:tabs>
        <w:ind w:left="1905" w:hanging="476"/>
      </w:pPr>
      <w:rPr>
        <w:rFonts w:hint="default"/>
      </w:rPr>
    </w:lvl>
    <w:lvl w:ilvl="4">
      <w:start w:val="1"/>
      <w:numFmt w:val="lowerLetter"/>
      <w:lvlText w:val="%5."/>
      <w:lvlJc w:val="left"/>
      <w:pPr>
        <w:tabs>
          <w:tab w:val="num" w:pos="2381"/>
        </w:tabs>
        <w:ind w:left="2381" w:hanging="476"/>
      </w:pPr>
      <w:rPr>
        <w:rFonts w:hint="default"/>
      </w:rPr>
    </w:lvl>
    <w:lvl w:ilvl="5">
      <w:start w:val="1"/>
      <w:numFmt w:val="lowerRoman"/>
      <w:lvlText w:val="%6."/>
      <w:lvlJc w:val="left"/>
      <w:pPr>
        <w:tabs>
          <w:tab w:val="num" w:pos="2857"/>
        </w:tabs>
        <w:ind w:left="2857" w:hanging="476"/>
      </w:pPr>
      <w:rPr>
        <w:rFonts w:hint="default"/>
      </w:rPr>
    </w:lvl>
    <w:lvl w:ilvl="6">
      <w:start w:val="1"/>
      <w:numFmt w:val="decimal"/>
      <w:lvlText w:val="%7."/>
      <w:lvlJc w:val="left"/>
      <w:pPr>
        <w:tabs>
          <w:tab w:val="num" w:pos="3334"/>
        </w:tabs>
        <w:ind w:left="3334" w:hanging="477"/>
      </w:pPr>
      <w:rPr>
        <w:rFonts w:hint="default"/>
      </w:rPr>
    </w:lvl>
    <w:lvl w:ilvl="7">
      <w:start w:val="1"/>
      <w:numFmt w:val="lowerLetter"/>
      <w:lvlText w:val="%8."/>
      <w:lvlJc w:val="left"/>
      <w:pPr>
        <w:tabs>
          <w:tab w:val="num" w:pos="3810"/>
        </w:tabs>
        <w:ind w:left="3810" w:hanging="476"/>
      </w:pPr>
      <w:rPr>
        <w:rFonts w:hint="default"/>
      </w:rPr>
    </w:lvl>
    <w:lvl w:ilvl="8">
      <w:start w:val="1"/>
      <w:numFmt w:val="lowerRoman"/>
      <w:lvlText w:val="%9."/>
      <w:lvlJc w:val="left"/>
      <w:pPr>
        <w:tabs>
          <w:tab w:val="num" w:pos="4286"/>
        </w:tabs>
        <w:ind w:left="4286" w:hanging="476"/>
      </w:pPr>
      <w:rPr>
        <w:rFonts w:hint="default"/>
      </w:rPr>
    </w:lvl>
  </w:abstractNum>
  <w:abstractNum w:abstractNumId="51">
    <w:nsid w:val="2D2F0E89"/>
    <w:multiLevelType w:val="hybridMultilevel"/>
    <w:tmpl w:val="A0C08F0A"/>
    <w:lvl w:ilvl="0" w:tplc="78F49CB2">
      <w:start w:val="3"/>
      <w:numFmt w:val="bullet"/>
      <w:lvlText w:val="•"/>
      <w:lvlJc w:val="left"/>
      <w:pPr>
        <w:ind w:left="720" w:hanging="720"/>
      </w:pPr>
      <w:rPr>
        <w:rFonts w:ascii="Calibri" w:eastAsiaTheme="minorEastAsia"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2E355F45"/>
    <w:multiLevelType w:val="hybridMultilevel"/>
    <w:tmpl w:val="619E5304"/>
    <w:lvl w:ilvl="0" w:tplc="8152C7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FC2730E"/>
    <w:multiLevelType w:val="multilevel"/>
    <w:tmpl w:val="6358A2DC"/>
    <w:lvl w:ilvl="0">
      <w:start w:val="1"/>
      <w:numFmt w:val="decimal"/>
      <w:lvlText w:val="%1)"/>
      <w:lvlJc w:val="left"/>
      <w:pPr>
        <w:ind w:left="952" w:hanging="476"/>
      </w:pPr>
      <w:rPr>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1428" w:hanging="47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ind w:left="1905" w:hanging="47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Roman"/>
      <w:lvlText w:val="%4."/>
      <w:lvlJc w:val="left"/>
      <w:pPr>
        <w:ind w:left="2381" w:hanging="47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Roman"/>
      <w:lvlText w:val="%5."/>
      <w:lvlJc w:val="left"/>
      <w:pPr>
        <w:ind w:left="2857" w:hanging="47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3333" w:hanging="47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lvlText w:val="%7."/>
      <w:lvlJc w:val="left"/>
      <w:pPr>
        <w:ind w:left="3809" w:hanging="47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Roman"/>
      <w:lvlText w:val="%8."/>
      <w:lvlJc w:val="left"/>
      <w:pPr>
        <w:ind w:left="4285" w:hanging="47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4761" w:hanging="47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nsid w:val="31E56BF6"/>
    <w:multiLevelType w:val="hybridMultilevel"/>
    <w:tmpl w:val="1962359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5">
    <w:nsid w:val="32AA4FA7"/>
    <w:multiLevelType w:val="hybridMultilevel"/>
    <w:tmpl w:val="07D255FE"/>
    <w:lvl w:ilvl="0" w:tplc="08090001">
      <w:start w:val="1"/>
      <w:numFmt w:val="bullet"/>
      <w:lvlText w:val=""/>
      <w:lvlJc w:val="left"/>
      <w:pPr>
        <w:ind w:left="928" w:hanging="360"/>
      </w:pPr>
      <w:rPr>
        <w:rFonts w:ascii="Symbol" w:hAnsi="Symbol"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32AA68C0"/>
    <w:multiLevelType w:val="multilevel"/>
    <w:tmpl w:val="2C52C1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nsid w:val="35997261"/>
    <w:multiLevelType w:val="hybridMultilevel"/>
    <w:tmpl w:val="931C04C4"/>
    <w:lvl w:ilvl="0" w:tplc="14DC812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nsid w:val="36465611"/>
    <w:multiLevelType w:val="hybridMultilevel"/>
    <w:tmpl w:val="13424084"/>
    <w:styleLink w:val="ImportedStyle3"/>
    <w:lvl w:ilvl="0" w:tplc="FFFFFFFF">
      <w:start w:val="1"/>
      <w:numFmt w:val="decimal"/>
      <w:lvlText w:val="%1."/>
      <w:lvlJc w:val="left"/>
      <w:pPr>
        <w:ind w:left="476" w:hanging="476"/>
      </w:pPr>
      <w:rPr>
        <w:caps w:val="0"/>
        <w:smallCaps w:val="0"/>
        <w:strike w:val="0"/>
        <w:dstrike w:val="0"/>
        <w:outline w:val="0"/>
        <w:emboss w:val="0"/>
        <w:imprint w:val="0"/>
        <w:spacing w:val="0"/>
        <w:w w:val="100"/>
        <w:kern w:val="0"/>
        <w:position w:val="0"/>
        <w:highlight w:val="none"/>
        <w:vertAlign w:val="baseline"/>
      </w:rPr>
    </w:lvl>
    <w:lvl w:ilvl="1" w:tplc="4164FD38">
      <w:start w:val="1"/>
      <w:numFmt w:val="lowerLetter"/>
      <w:lvlText w:val="%2."/>
      <w:lvlJc w:val="left"/>
      <w:pPr>
        <w:ind w:left="952" w:hanging="476"/>
      </w:pPr>
      <w:rPr>
        <w:rFonts w:hAnsi="Arial Unicode MS"/>
        <w:caps w:val="0"/>
        <w:smallCaps w:val="0"/>
        <w:strike w:val="0"/>
        <w:dstrike w:val="0"/>
        <w:outline w:val="0"/>
        <w:emboss w:val="0"/>
        <w:imprint w:val="0"/>
        <w:spacing w:val="0"/>
        <w:w w:val="100"/>
        <w:kern w:val="0"/>
        <w:position w:val="0"/>
        <w:highlight w:val="none"/>
        <w:vertAlign w:val="baseline"/>
      </w:rPr>
    </w:lvl>
    <w:lvl w:ilvl="2" w:tplc="E1C24D20">
      <w:start w:val="1"/>
      <w:numFmt w:val="lowerRoman"/>
      <w:lvlText w:val="%3."/>
      <w:lvlJc w:val="left"/>
      <w:pPr>
        <w:ind w:left="1429" w:hanging="477"/>
      </w:pPr>
      <w:rPr>
        <w:rFonts w:hAnsi="Arial Unicode MS"/>
        <w:caps w:val="0"/>
        <w:smallCaps w:val="0"/>
        <w:strike w:val="0"/>
        <w:dstrike w:val="0"/>
        <w:outline w:val="0"/>
        <w:emboss w:val="0"/>
        <w:imprint w:val="0"/>
        <w:spacing w:val="0"/>
        <w:w w:val="100"/>
        <w:kern w:val="0"/>
        <w:position w:val="0"/>
        <w:highlight w:val="none"/>
        <w:vertAlign w:val="baseline"/>
      </w:rPr>
    </w:lvl>
    <w:lvl w:ilvl="3" w:tplc="40CE7170">
      <w:start w:val="1"/>
      <w:numFmt w:val="lowerRoman"/>
      <w:lvlText w:val="%4."/>
      <w:lvlJc w:val="left"/>
      <w:pPr>
        <w:ind w:left="1905" w:hanging="477"/>
      </w:pPr>
      <w:rPr>
        <w:rFonts w:hAnsi="Arial Unicode MS"/>
        <w:caps w:val="0"/>
        <w:smallCaps w:val="0"/>
        <w:strike w:val="0"/>
        <w:dstrike w:val="0"/>
        <w:outline w:val="0"/>
        <w:emboss w:val="0"/>
        <w:imprint w:val="0"/>
        <w:spacing w:val="0"/>
        <w:w w:val="100"/>
        <w:kern w:val="0"/>
        <w:position w:val="0"/>
        <w:highlight w:val="none"/>
        <w:vertAlign w:val="baseline"/>
      </w:rPr>
    </w:lvl>
    <w:lvl w:ilvl="4" w:tplc="6F080E6E">
      <w:start w:val="1"/>
      <w:numFmt w:val="lowerRoman"/>
      <w:lvlText w:val="%5."/>
      <w:lvlJc w:val="left"/>
      <w:pPr>
        <w:ind w:left="2381" w:hanging="477"/>
      </w:pPr>
      <w:rPr>
        <w:rFonts w:hAnsi="Arial Unicode MS"/>
        <w:caps w:val="0"/>
        <w:smallCaps w:val="0"/>
        <w:strike w:val="0"/>
        <w:dstrike w:val="0"/>
        <w:outline w:val="0"/>
        <w:emboss w:val="0"/>
        <w:imprint w:val="0"/>
        <w:spacing w:val="0"/>
        <w:w w:val="100"/>
        <w:kern w:val="0"/>
        <w:position w:val="0"/>
        <w:highlight w:val="none"/>
        <w:vertAlign w:val="baseline"/>
      </w:rPr>
    </w:lvl>
    <w:lvl w:ilvl="5" w:tplc="FD02BC16">
      <w:start w:val="1"/>
      <w:numFmt w:val="lowerRoman"/>
      <w:lvlText w:val="%6."/>
      <w:lvlJc w:val="left"/>
      <w:pPr>
        <w:ind w:left="2857" w:hanging="477"/>
      </w:pPr>
      <w:rPr>
        <w:rFonts w:hAnsi="Arial Unicode MS"/>
        <w:caps w:val="0"/>
        <w:smallCaps w:val="0"/>
        <w:strike w:val="0"/>
        <w:dstrike w:val="0"/>
        <w:outline w:val="0"/>
        <w:emboss w:val="0"/>
        <w:imprint w:val="0"/>
        <w:spacing w:val="0"/>
        <w:w w:val="100"/>
        <w:kern w:val="0"/>
        <w:position w:val="0"/>
        <w:highlight w:val="none"/>
        <w:vertAlign w:val="baseline"/>
      </w:rPr>
    </w:lvl>
    <w:lvl w:ilvl="6" w:tplc="06A43650">
      <w:start w:val="1"/>
      <w:numFmt w:val="lowerRoman"/>
      <w:lvlText w:val="%7."/>
      <w:lvlJc w:val="left"/>
      <w:pPr>
        <w:ind w:left="3333" w:hanging="477"/>
      </w:pPr>
      <w:rPr>
        <w:rFonts w:hAnsi="Arial Unicode MS"/>
        <w:caps w:val="0"/>
        <w:smallCaps w:val="0"/>
        <w:strike w:val="0"/>
        <w:dstrike w:val="0"/>
        <w:outline w:val="0"/>
        <w:emboss w:val="0"/>
        <w:imprint w:val="0"/>
        <w:spacing w:val="0"/>
        <w:w w:val="100"/>
        <w:kern w:val="0"/>
        <w:position w:val="0"/>
        <w:highlight w:val="none"/>
        <w:vertAlign w:val="baseline"/>
      </w:rPr>
    </w:lvl>
    <w:lvl w:ilvl="7" w:tplc="1A06CB38">
      <w:start w:val="1"/>
      <w:numFmt w:val="lowerRoman"/>
      <w:lvlText w:val="%8."/>
      <w:lvlJc w:val="left"/>
      <w:pPr>
        <w:ind w:left="3809" w:hanging="477"/>
      </w:pPr>
      <w:rPr>
        <w:rFonts w:hAnsi="Arial Unicode MS"/>
        <w:caps w:val="0"/>
        <w:smallCaps w:val="0"/>
        <w:strike w:val="0"/>
        <w:dstrike w:val="0"/>
        <w:outline w:val="0"/>
        <w:emboss w:val="0"/>
        <w:imprint w:val="0"/>
        <w:spacing w:val="0"/>
        <w:w w:val="100"/>
        <w:kern w:val="0"/>
        <w:position w:val="0"/>
        <w:highlight w:val="none"/>
        <w:vertAlign w:val="baseline"/>
      </w:rPr>
    </w:lvl>
    <w:lvl w:ilvl="8" w:tplc="A24A5D80">
      <w:start w:val="1"/>
      <w:numFmt w:val="lowerRoman"/>
      <w:lvlText w:val="%9."/>
      <w:lvlJc w:val="left"/>
      <w:pPr>
        <w:ind w:left="4285" w:hanging="47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nsid w:val="368A1BEF"/>
    <w:multiLevelType w:val="hybridMultilevel"/>
    <w:tmpl w:val="9D985318"/>
    <w:lvl w:ilvl="0" w:tplc="08090001">
      <w:start w:val="1"/>
      <w:numFmt w:val="bullet"/>
      <w:lvlText w:val=""/>
      <w:lvlJc w:val="left"/>
      <w:pPr>
        <w:ind w:left="928" w:hanging="360"/>
      </w:pPr>
      <w:rPr>
        <w:rFonts w:ascii="Symbol" w:hAnsi="Symbol"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37810D04"/>
    <w:multiLevelType w:val="hybridMultilevel"/>
    <w:tmpl w:val="6ABE91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382513C2"/>
    <w:multiLevelType w:val="multilevel"/>
    <w:tmpl w:val="F2B239B2"/>
    <w:numStyleLink w:val="OpsommingtekenCEDelft"/>
  </w:abstractNum>
  <w:abstractNum w:abstractNumId="62">
    <w:nsid w:val="38850920"/>
    <w:multiLevelType w:val="multilevel"/>
    <w:tmpl w:val="3EF6ED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nsid w:val="3B1C4E28"/>
    <w:multiLevelType w:val="hybridMultilevel"/>
    <w:tmpl w:val="2A10181A"/>
    <w:lvl w:ilvl="0" w:tplc="BD22487A">
      <w:start w:val="1"/>
      <w:numFmt w:val="bullet"/>
      <w:lvlText w:val="-"/>
      <w:lvlJc w:val="left"/>
      <w:pPr>
        <w:ind w:left="778" w:hanging="360"/>
      </w:pPr>
      <w:rPr>
        <w:rFonts w:ascii="Calibri" w:eastAsiaTheme="minorHAnsi" w:hAnsi="Calibri" w:cs="Calibri"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4">
    <w:nsid w:val="40942837"/>
    <w:multiLevelType w:val="hybridMultilevel"/>
    <w:tmpl w:val="13A4DE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426E4342"/>
    <w:multiLevelType w:val="multilevel"/>
    <w:tmpl w:val="0C6035AC"/>
    <w:lvl w:ilvl="0">
      <w:start w:val="1"/>
      <w:numFmt w:val="bullet"/>
      <w:lvlText w:val=""/>
      <w:lvlJc w:val="left"/>
      <w:pPr>
        <w:ind w:left="952" w:hanging="476"/>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1428" w:hanging="47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ind w:left="1905" w:hanging="47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Roman"/>
      <w:lvlText w:val="%4."/>
      <w:lvlJc w:val="left"/>
      <w:pPr>
        <w:ind w:left="2381" w:hanging="47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Roman"/>
      <w:lvlText w:val="%5."/>
      <w:lvlJc w:val="left"/>
      <w:pPr>
        <w:ind w:left="2857" w:hanging="47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3333" w:hanging="47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lvlText w:val="%7."/>
      <w:lvlJc w:val="left"/>
      <w:pPr>
        <w:ind w:left="3809" w:hanging="47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Roman"/>
      <w:lvlText w:val="%8."/>
      <w:lvlJc w:val="left"/>
      <w:pPr>
        <w:ind w:left="4285" w:hanging="47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4761" w:hanging="47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nsid w:val="42766066"/>
    <w:multiLevelType w:val="multilevel"/>
    <w:tmpl w:val="EF506AC8"/>
    <w:lvl w:ilvl="0">
      <w:numFmt w:val="bullet"/>
      <w:lvlText w:val="-"/>
      <w:lvlJc w:val="left"/>
      <w:pPr>
        <w:ind w:left="952" w:hanging="476"/>
      </w:pPr>
      <w:rPr>
        <w:rFonts w:ascii="Calibri" w:eastAsiaTheme="minorHAnsi" w:hAnsi="Calibri" w:cs="Calibri" w:hint="default"/>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1428" w:hanging="47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ind w:left="1905" w:hanging="47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Roman"/>
      <w:lvlText w:val="%4."/>
      <w:lvlJc w:val="left"/>
      <w:pPr>
        <w:ind w:left="2381" w:hanging="47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Roman"/>
      <w:lvlText w:val="%5."/>
      <w:lvlJc w:val="left"/>
      <w:pPr>
        <w:ind w:left="2857" w:hanging="47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3333" w:hanging="47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lvlText w:val="%7."/>
      <w:lvlJc w:val="left"/>
      <w:pPr>
        <w:ind w:left="3809" w:hanging="47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Roman"/>
      <w:lvlText w:val="%8."/>
      <w:lvlJc w:val="left"/>
      <w:pPr>
        <w:ind w:left="4285" w:hanging="47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4761" w:hanging="47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nsid w:val="4489796F"/>
    <w:multiLevelType w:val="hybridMultilevel"/>
    <w:tmpl w:val="EFB69936"/>
    <w:lvl w:ilvl="0" w:tplc="08090001">
      <w:start w:val="1"/>
      <w:numFmt w:val="bullet"/>
      <w:lvlText w:val=""/>
      <w:lvlJc w:val="left"/>
      <w:pPr>
        <w:ind w:left="720" w:hanging="360"/>
      </w:pPr>
      <w:rPr>
        <w:rFonts w:ascii="Symbol" w:hAnsi="Symbol" w:hint="default"/>
      </w:rPr>
    </w:lvl>
    <w:lvl w:ilvl="1" w:tplc="53DEE806">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487A2FF1"/>
    <w:multiLevelType w:val="hybridMultilevel"/>
    <w:tmpl w:val="DA86E2D4"/>
    <w:lvl w:ilvl="0" w:tplc="080C000B">
      <w:start w:val="1"/>
      <w:numFmt w:val="bullet"/>
      <w:lvlText w:val=""/>
      <w:lvlJc w:val="left"/>
      <w:pPr>
        <w:ind w:left="1068" w:hanging="360"/>
      </w:pPr>
      <w:rPr>
        <w:rFonts w:ascii="Wingdings" w:hAnsi="Wingdings" w:hint="default"/>
      </w:rPr>
    </w:lvl>
    <w:lvl w:ilvl="1" w:tplc="080C0001">
      <w:start w:val="1"/>
      <w:numFmt w:val="bullet"/>
      <w:lvlText w:val=""/>
      <w:lvlJc w:val="left"/>
      <w:pPr>
        <w:ind w:left="1788" w:hanging="360"/>
      </w:pPr>
      <w:rPr>
        <w:rFonts w:ascii="Symbol" w:hAnsi="Symbol" w:hint="default"/>
      </w:rPr>
    </w:lvl>
    <w:lvl w:ilvl="2" w:tplc="08090005">
      <w:start w:val="1"/>
      <w:numFmt w:val="bullet"/>
      <w:lvlText w:val=""/>
      <w:lvlJc w:val="left"/>
      <w:pPr>
        <w:ind w:left="2508" w:hanging="360"/>
      </w:pPr>
      <w:rPr>
        <w:rFonts w:ascii="Wingdings" w:hAnsi="Wingdings" w:hint="default"/>
      </w:rPr>
    </w:lvl>
    <w:lvl w:ilvl="3" w:tplc="08090001">
      <w:start w:val="1"/>
      <w:numFmt w:val="bullet"/>
      <w:lvlText w:val=""/>
      <w:lvlJc w:val="left"/>
      <w:pPr>
        <w:ind w:left="3228" w:hanging="360"/>
      </w:pPr>
      <w:rPr>
        <w:rFonts w:ascii="Symbol" w:hAnsi="Symbol" w:hint="default"/>
      </w:rPr>
    </w:lvl>
    <w:lvl w:ilvl="4" w:tplc="08090003">
      <w:start w:val="1"/>
      <w:numFmt w:val="bullet"/>
      <w:lvlText w:val="o"/>
      <w:lvlJc w:val="left"/>
      <w:pPr>
        <w:ind w:left="3948" w:hanging="360"/>
      </w:pPr>
      <w:rPr>
        <w:rFonts w:ascii="Courier New" w:hAnsi="Courier New" w:cs="Times New Roman" w:hint="default"/>
      </w:rPr>
    </w:lvl>
    <w:lvl w:ilvl="5" w:tplc="08090005">
      <w:start w:val="1"/>
      <w:numFmt w:val="bullet"/>
      <w:lvlText w:val=""/>
      <w:lvlJc w:val="left"/>
      <w:pPr>
        <w:ind w:left="4668" w:hanging="360"/>
      </w:pPr>
      <w:rPr>
        <w:rFonts w:ascii="Wingdings" w:hAnsi="Wingdings" w:hint="default"/>
      </w:rPr>
    </w:lvl>
    <w:lvl w:ilvl="6" w:tplc="08090001">
      <w:start w:val="1"/>
      <w:numFmt w:val="bullet"/>
      <w:lvlText w:val=""/>
      <w:lvlJc w:val="left"/>
      <w:pPr>
        <w:ind w:left="5388" w:hanging="360"/>
      </w:pPr>
      <w:rPr>
        <w:rFonts w:ascii="Symbol" w:hAnsi="Symbol" w:hint="default"/>
      </w:rPr>
    </w:lvl>
    <w:lvl w:ilvl="7" w:tplc="08090003">
      <w:start w:val="1"/>
      <w:numFmt w:val="bullet"/>
      <w:lvlText w:val="o"/>
      <w:lvlJc w:val="left"/>
      <w:pPr>
        <w:ind w:left="6108" w:hanging="360"/>
      </w:pPr>
      <w:rPr>
        <w:rFonts w:ascii="Courier New" w:hAnsi="Courier New" w:cs="Times New Roman" w:hint="default"/>
      </w:rPr>
    </w:lvl>
    <w:lvl w:ilvl="8" w:tplc="08090005">
      <w:start w:val="1"/>
      <w:numFmt w:val="bullet"/>
      <w:lvlText w:val=""/>
      <w:lvlJc w:val="left"/>
      <w:pPr>
        <w:ind w:left="6828" w:hanging="360"/>
      </w:pPr>
      <w:rPr>
        <w:rFonts w:ascii="Wingdings" w:hAnsi="Wingdings" w:hint="default"/>
      </w:rPr>
    </w:lvl>
  </w:abstractNum>
  <w:abstractNum w:abstractNumId="69">
    <w:nsid w:val="4E1A982C"/>
    <w:multiLevelType w:val="multilevel"/>
    <w:tmpl w:val="1E0E7530"/>
    <w:name w:val="ListBulletNumbering"/>
    <w:lvl w:ilvl="0">
      <w:start w:val="1"/>
      <w:numFmt w:val="bullet"/>
      <w:pStyle w:val="ListBullet"/>
      <w:lvlText w:val=""/>
      <w:lvlJc w:val="left"/>
      <w:pPr>
        <w:tabs>
          <w:tab w:val="num" w:pos="454"/>
        </w:tabs>
        <w:ind w:left="454" w:hanging="454"/>
      </w:pPr>
      <w:rPr>
        <w:rFonts w:ascii="Symbol" w:hAnsi="Symbol"/>
      </w:rPr>
    </w:lvl>
    <w:lvl w:ilvl="1">
      <w:start w:val="1"/>
      <w:numFmt w:val="bullet"/>
      <w:lvlText w:val=""/>
      <w:lvlJc w:val="left"/>
      <w:pPr>
        <w:tabs>
          <w:tab w:val="num" w:pos="907"/>
        </w:tabs>
        <w:ind w:left="907" w:hanging="453"/>
      </w:pPr>
      <w:rPr>
        <w:rFonts w:ascii="Symbol" w:hAnsi="Symbol"/>
      </w:rPr>
    </w:lvl>
    <w:lvl w:ilvl="2">
      <w:start w:val="1"/>
      <w:numFmt w:val="bullet"/>
      <w:lvlText w:val=""/>
      <w:lvlJc w:val="left"/>
      <w:pPr>
        <w:tabs>
          <w:tab w:val="num" w:pos="1361"/>
        </w:tabs>
        <w:ind w:left="1361" w:hanging="454"/>
      </w:pPr>
      <w:rPr>
        <w:rFonts w:ascii="Symbol" w:hAnsi="Symbol"/>
      </w:rPr>
    </w:lvl>
    <w:lvl w:ilvl="3">
      <w:start w:val="1"/>
      <w:numFmt w:val="bullet"/>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0">
    <w:nsid w:val="4F7030E0"/>
    <w:multiLevelType w:val="hybridMultilevel"/>
    <w:tmpl w:val="842E6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5072619B"/>
    <w:multiLevelType w:val="multilevel"/>
    <w:tmpl w:val="70CE16C6"/>
    <w:name w:val="ListDashNumbering"/>
    <w:lvl w:ilvl="0">
      <w:start w:val="1"/>
      <w:numFmt w:val="bullet"/>
      <w:pStyle w:val="ListDash"/>
      <w:lvlText w:val="–"/>
      <w:lvlJc w:val="left"/>
      <w:pPr>
        <w:tabs>
          <w:tab w:val="num" w:pos="454"/>
        </w:tabs>
        <w:ind w:left="454" w:hanging="454"/>
      </w:pPr>
      <w:rPr>
        <w:rFonts w:ascii="Times New Roman" w:hAnsi="Times New Roman"/>
      </w:rPr>
    </w:lvl>
    <w:lvl w:ilvl="1">
      <w:start w:val="1"/>
      <w:numFmt w:val="bullet"/>
      <w:pStyle w:val="ListDashLevel2"/>
      <w:lvlText w:val="–"/>
      <w:lvlJc w:val="left"/>
      <w:pPr>
        <w:tabs>
          <w:tab w:val="num" w:pos="907"/>
        </w:tabs>
        <w:ind w:left="907" w:hanging="453"/>
      </w:pPr>
      <w:rPr>
        <w:rFonts w:ascii="Times New Roman" w:hAnsi="Times New Roman"/>
      </w:rPr>
    </w:lvl>
    <w:lvl w:ilvl="2">
      <w:start w:val="1"/>
      <w:numFmt w:val="bullet"/>
      <w:pStyle w:val="ListDashLevel3"/>
      <w:lvlText w:val="–"/>
      <w:lvlJc w:val="left"/>
      <w:pPr>
        <w:tabs>
          <w:tab w:val="num" w:pos="1361"/>
        </w:tabs>
        <w:ind w:left="1361" w:hanging="454"/>
      </w:pPr>
      <w:rPr>
        <w:rFonts w:ascii="Times New Roman" w:hAnsi="Times New Roman"/>
      </w:rPr>
    </w:lvl>
    <w:lvl w:ilvl="3">
      <w:start w:val="1"/>
      <w:numFmt w:val="bullet"/>
      <w:pStyle w:val="ListDashLevel4"/>
      <w:lvlText w:val="–"/>
      <w:lvlJc w:val="left"/>
      <w:pPr>
        <w:tabs>
          <w:tab w:val="num" w:pos="1814"/>
        </w:tabs>
        <w:ind w:left="1814" w:hanging="45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2">
    <w:nsid w:val="507A1DD9"/>
    <w:multiLevelType w:val="hybridMultilevel"/>
    <w:tmpl w:val="9CB8E34A"/>
    <w:lvl w:ilvl="0" w:tplc="808CFDF4">
      <w:start w:val="1"/>
      <w:numFmt w:val="bullet"/>
      <w:pStyle w:val="Textbox"/>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36782C1A">
      <w:start w:val="1"/>
      <w:numFmt w:val="bullet"/>
      <w:pStyle w:val="Textbox"/>
      <w:lvlText w:val=""/>
      <w:lvlJc w:val="left"/>
      <w:pPr>
        <w:ind w:left="3600" w:hanging="360"/>
      </w:pPr>
      <w:rPr>
        <w:rFonts w:ascii="Symbol" w:hAnsi="Symbol"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51A27BB1"/>
    <w:multiLevelType w:val="hybridMultilevel"/>
    <w:tmpl w:val="B83ED5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4C94628E">
      <w:numFmt w:val="bullet"/>
      <w:lvlText w:val="•"/>
      <w:lvlJc w:val="left"/>
      <w:pPr>
        <w:ind w:left="2160" w:hanging="720"/>
      </w:pPr>
      <w:rPr>
        <w:rFonts w:ascii="Times New Roman" w:eastAsia="Times New Roman" w:hAnsi="Times New Roman" w:cs="Times New Rom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nsid w:val="52A125AE"/>
    <w:multiLevelType w:val="hybridMultilevel"/>
    <w:tmpl w:val="E5B4C99A"/>
    <w:lvl w:ilvl="0" w:tplc="904AF1B4">
      <w:start w:val="1"/>
      <w:numFmt w:val="decimal"/>
      <w:lvlText w:val="%1."/>
      <w:lvlJc w:val="left"/>
      <w:pPr>
        <w:ind w:left="928"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52C22A4F"/>
    <w:multiLevelType w:val="multilevel"/>
    <w:tmpl w:val="68505196"/>
    <w:lvl w:ilvl="0">
      <w:start w:val="1"/>
      <w:numFmt w:val="bullet"/>
      <w:lvlText w:val=""/>
      <w:lvlJc w:val="left"/>
      <w:pPr>
        <w:ind w:left="952" w:hanging="476"/>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1428" w:hanging="47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ind w:left="1905" w:hanging="47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Roman"/>
      <w:lvlText w:val="%4."/>
      <w:lvlJc w:val="left"/>
      <w:pPr>
        <w:ind w:left="2381" w:hanging="47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Roman"/>
      <w:lvlText w:val="%5."/>
      <w:lvlJc w:val="left"/>
      <w:pPr>
        <w:ind w:left="2857" w:hanging="47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3333" w:hanging="47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lvlText w:val="%7."/>
      <w:lvlJc w:val="left"/>
      <w:pPr>
        <w:ind w:left="3809" w:hanging="47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Roman"/>
      <w:lvlText w:val="%8."/>
      <w:lvlJc w:val="left"/>
      <w:pPr>
        <w:ind w:left="4285" w:hanging="47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4761" w:hanging="47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nsid w:val="548070D2"/>
    <w:multiLevelType w:val="multilevel"/>
    <w:tmpl w:val="E3E441BE"/>
    <w:lvl w:ilvl="0">
      <w:numFmt w:val="bullet"/>
      <w:lvlText w:val="-"/>
      <w:lvlJc w:val="left"/>
      <w:pPr>
        <w:ind w:left="952" w:hanging="476"/>
      </w:pPr>
      <w:rPr>
        <w:rFonts w:ascii="Calibri" w:eastAsiaTheme="minorHAnsi" w:hAnsi="Calibri" w:cs="Calibri" w:hint="default"/>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1428" w:hanging="47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ind w:left="1905" w:hanging="47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Roman"/>
      <w:lvlText w:val="%4."/>
      <w:lvlJc w:val="left"/>
      <w:pPr>
        <w:ind w:left="2381" w:hanging="47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Roman"/>
      <w:lvlText w:val="%5."/>
      <w:lvlJc w:val="left"/>
      <w:pPr>
        <w:ind w:left="2857" w:hanging="47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3333" w:hanging="47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lvlText w:val="%7."/>
      <w:lvlJc w:val="left"/>
      <w:pPr>
        <w:ind w:left="3809" w:hanging="47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Roman"/>
      <w:lvlText w:val="%8."/>
      <w:lvlJc w:val="left"/>
      <w:pPr>
        <w:ind w:left="4285" w:hanging="47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4761" w:hanging="47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nsid w:val="54FC010E"/>
    <w:multiLevelType w:val="hybridMultilevel"/>
    <w:tmpl w:val="4ADAF4C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8">
    <w:nsid w:val="594615C0"/>
    <w:multiLevelType w:val="hybridMultilevel"/>
    <w:tmpl w:val="8D441172"/>
    <w:lvl w:ilvl="0" w:tplc="BBE26DE6">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9">
    <w:nsid w:val="5AE25DA2"/>
    <w:multiLevelType w:val="multilevel"/>
    <w:tmpl w:val="243A241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0">
    <w:nsid w:val="5EB62EF6"/>
    <w:multiLevelType w:val="hybridMultilevel"/>
    <w:tmpl w:val="4B30F6E4"/>
    <w:lvl w:ilvl="0" w:tplc="3CEEFC76">
      <w:start w:val="1"/>
      <w:numFmt w:val="bullet"/>
      <w:pStyle w:val="BulletText"/>
      <w:lvlText w:val=""/>
      <w:lvlJc w:val="left"/>
      <w:pPr>
        <w:ind w:left="720" w:hanging="360"/>
      </w:pPr>
      <w:rPr>
        <w:rFonts w:ascii="Symbol" w:hAnsi="Symbol" w:hint="default"/>
        <w:b/>
        <w:i w:val="0"/>
        <w:color w:val="567F68"/>
        <w:sz w:val="24"/>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1">
    <w:nsid w:val="5FA93126"/>
    <w:multiLevelType w:val="hybridMultilevel"/>
    <w:tmpl w:val="D1B45C8A"/>
    <w:lvl w:ilvl="0" w:tplc="A3184BF4">
      <w:start w:val="1"/>
      <w:numFmt w:val="bullet"/>
      <w:pStyle w:val="BulletBox"/>
      <w:lvlText w:val=""/>
      <w:lvlJc w:val="left"/>
      <w:pPr>
        <w:ind w:left="720" w:hanging="360"/>
      </w:pPr>
      <w:rPr>
        <w:rFonts w:ascii="Symbol" w:hAnsi="Symbol" w:hint="default"/>
        <w:b/>
        <w:i w:val="0"/>
        <w:color w:val="E7E6E6" w:themeColor="background2"/>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2">
    <w:nsid w:val="5FD370DF"/>
    <w:multiLevelType w:val="multilevel"/>
    <w:tmpl w:val="7B9C755C"/>
    <w:lvl w:ilvl="0">
      <w:start w:val="1"/>
      <w:numFmt w:val="bullet"/>
      <w:lvlText w:val=""/>
      <w:lvlJc w:val="left"/>
      <w:pPr>
        <w:ind w:left="476" w:hanging="476"/>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952" w:hanging="47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ind w:left="1429" w:hanging="47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Roman"/>
      <w:lvlText w:val="%4."/>
      <w:lvlJc w:val="left"/>
      <w:pPr>
        <w:ind w:left="1905" w:hanging="47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Roman"/>
      <w:lvlText w:val="%5."/>
      <w:lvlJc w:val="left"/>
      <w:pPr>
        <w:ind w:left="2381" w:hanging="47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2857" w:hanging="47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lvlText w:val="%7."/>
      <w:lvlJc w:val="left"/>
      <w:pPr>
        <w:ind w:left="3333" w:hanging="47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Roman"/>
      <w:lvlText w:val="%8."/>
      <w:lvlJc w:val="left"/>
      <w:pPr>
        <w:ind w:left="3809" w:hanging="47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4285" w:hanging="47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nsid w:val="63F335A0"/>
    <w:multiLevelType w:val="multilevel"/>
    <w:tmpl w:val="F2B239B2"/>
    <w:styleLink w:val="OpsommingtekenCEDelft"/>
    <w:lvl w:ilvl="0">
      <w:start w:val="1"/>
      <w:numFmt w:val="none"/>
      <w:pStyle w:val="Opsommingteken1eniveauCEDelft"/>
      <w:lvlText w:val="—"/>
      <w:lvlJc w:val="left"/>
      <w:pPr>
        <w:ind w:left="340" w:hanging="340"/>
      </w:pPr>
      <w:rPr>
        <w:rFonts w:ascii="Trebuchet MS" w:hAnsi="Trebuchet MS" w:hint="default"/>
      </w:rPr>
    </w:lvl>
    <w:lvl w:ilvl="1">
      <w:start w:val="1"/>
      <w:numFmt w:val="bullet"/>
      <w:pStyle w:val="Opsommingteken2eniveauCEDelft"/>
      <w:lvlText w:val="•"/>
      <w:lvlJc w:val="left"/>
      <w:pPr>
        <w:ind w:left="680" w:hanging="340"/>
      </w:pPr>
      <w:rPr>
        <w:rFonts w:ascii="Trebuchet MS" w:hAnsi="Trebuchet MS" w:hint="default"/>
        <w:color w:val="auto"/>
      </w:rPr>
    </w:lvl>
    <w:lvl w:ilvl="2">
      <w:start w:val="1"/>
      <w:numFmt w:val="bullet"/>
      <w:pStyle w:val="Opsommingteken3eniveauCEDelft"/>
      <w:lvlText w:val="◦"/>
      <w:lvlJc w:val="left"/>
      <w:pPr>
        <w:ind w:left="1020" w:hanging="340"/>
      </w:pPr>
      <w:rPr>
        <w:rFonts w:ascii="Trebuchet MS" w:hAnsi="Trebuchet MS" w:hint="default"/>
      </w:rPr>
    </w:lvl>
    <w:lvl w:ilvl="3">
      <w:start w:val="1"/>
      <w:numFmt w:val="bullet"/>
      <w:lvlText w:val="»"/>
      <w:lvlJc w:val="left"/>
      <w:pPr>
        <w:ind w:left="1361" w:hanging="341"/>
      </w:pPr>
      <w:rPr>
        <w:rFonts w:hint="default"/>
      </w:rPr>
    </w:lvl>
    <w:lvl w:ilvl="4">
      <w:start w:val="1"/>
      <w:numFmt w:val="bullet"/>
      <w:lvlText w:val="-"/>
      <w:lvlJc w:val="left"/>
      <w:pPr>
        <w:ind w:left="1701" w:hanging="340"/>
      </w:pPr>
      <w:rPr>
        <w:rFonts w:hint="default"/>
      </w:rPr>
    </w:lvl>
    <w:lvl w:ilvl="5">
      <w:start w:val="1"/>
      <w:numFmt w:val="bullet"/>
      <w:lvlText w:val="-"/>
      <w:lvlJc w:val="left"/>
      <w:pPr>
        <w:ind w:left="2041" w:hanging="340"/>
      </w:pPr>
      <w:rPr>
        <w:rFonts w:hint="default"/>
        <w:color w:val="000000" w:themeColor="text1"/>
      </w:rPr>
    </w:lvl>
    <w:lvl w:ilvl="6">
      <w:start w:val="1"/>
      <w:numFmt w:val="bullet"/>
      <w:lvlText w:val="-"/>
      <w:lvlJc w:val="left"/>
      <w:pPr>
        <w:ind w:left="2381" w:hanging="340"/>
      </w:pPr>
      <w:rPr>
        <w:rFonts w:hint="default"/>
        <w:color w:val="000000" w:themeColor="text1"/>
      </w:rPr>
    </w:lvl>
    <w:lvl w:ilvl="7">
      <w:start w:val="1"/>
      <w:numFmt w:val="bullet"/>
      <w:lvlText w:val="-"/>
      <w:lvlJc w:val="left"/>
      <w:pPr>
        <w:ind w:left="2721" w:hanging="340"/>
      </w:pPr>
      <w:rPr>
        <w:rFonts w:hint="default"/>
        <w:color w:val="000000" w:themeColor="text1"/>
      </w:rPr>
    </w:lvl>
    <w:lvl w:ilvl="8">
      <w:start w:val="1"/>
      <w:numFmt w:val="bullet"/>
      <w:lvlText w:val="-"/>
      <w:lvlJc w:val="left"/>
      <w:pPr>
        <w:ind w:left="3061" w:hanging="340"/>
      </w:pPr>
      <w:rPr>
        <w:rFonts w:hint="default"/>
        <w:color w:val="000000" w:themeColor="text1"/>
      </w:rPr>
    </w:lvl>
  </w:abstractNum>
  <w:abstractNum w:abstractNumId="84">
    <w:nsid w:val="662B5C67"/>
    <w:multiLevelType w:val="singleLevel"/>
    <w:tmpl w:val="40D2097A"/>
    <w:lvl w:ilvl="0">
      <w:start w:val="1"/>
      <w:numFmt w:val="bullet"/>
      <w:lvlText w:val="–"/>
      <w:lvlJc w:val="left"/>
      <w:pPr>
        <w:tabs>
          <w:tab w:val="num" w:pos="283"/>
        </w:tabs>
        <w:ind w:left="283" w:hanging="283"/>
      </w:pPr>
      <w:rPr>
        <w:rFonts w:ascii="Times New Roman" w:hAnsi="Times New Roman"/>
      </w:rPr>
    </w:lvl>
  </w:abstractNum>
  <w:abstractNum w:abstractNumId="85">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86">
    <w:nsid w:val="68666753"/>
    <w:multiLevelType w:val="multilevel"/>
    <w:tmpl w:val="3B7C8DF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7">
    <w:nsid w:val="68A97AFE"/>
    <w:multiLevelType w:val="multilevel"/>
    <w:tmpl w:val="48CE5E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nsid w:val="6A1865B1"/>
    <w:multiLevelType w:val="multilevel"/>
    <w:tmpl w:val="F588E7D4"/>
    <w:lvl w:ilvl="0">
      <w:start w:val="1"/>
      <w:numFmt w:val="bullet"/>
      <w:lvlText w:val=""/>
      <w:lvlJc w:val="left"/>
      <w:pPr>
        <w:ind w:left="476" w:hanging="476"/>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952" w:hanging="47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ind w:left="1429" w:hanging="47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Roman"/>
      <w:lvlText w:val="%4."/>
      <w:lvlJc w:val="left"/>
      <w:pPr>
        <w:ind w:left="1905" w:hanging="47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Roman"/>
      <w:lvlText w:val="%5."/>
      <w:lvlJc w:val="left"/>
      <w:pPr>
        <w:ind w:left="2381" w:hanging="47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2857" w:hanging="47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lvlText w:val="%7."/>
      <w:lvlJc w:val="left"/>
      <w:pPr>
        <w:ind w:left="3333" w:hanging="47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Roman"/>
      <w:lvlText w:val="%8."/>
      <w:lvlJc w:val="left"/>
      <w:pPr>
        <w:ind w:left="3809" w:hanging="47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4285" w:hanging="47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nsid w:val="6B556679"/>
    <w:multiLevelType w:val="multilevel"/>
    <w:tmpl w:val="CC0437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0">
    <w:nsid w:val="6CBE12CD"/>
    <w:multiLevelType w:val="multilevel"/>
    <w:tmpl w:val="13424084"/>
    <w:numStyleLink w:val="ImportedStyle3"/>
  </w:abstractNum>
  <w:abstractNum w:abstractNumId="91">
    <w:nsid w:val="6D1B0159"/>
    <w:multiLevelType w:val="multilevel"/>
    <w:tmpl w:val="AF4EC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nsid w:val="6FDD4112"/>
    <w:multiLevelType w:val="hybridMultilevel"/>
    <w:tmpl w:val="5310E14C"/>
    <w:lvl w:ilvl="0" w:tplc="D3889B74">
      <w:start w:val="1"/>
      <w:numFmt w:val="decimal"/>
      <w:lvlText w:val="%1."/>
      <w:lvlJc w:val="left"/>
      <w:pPr>
        <w:ind w:left="836" w:hanging="360"/>
      </w:pPr>
      <w:rPr>
        <w:rFonts w:hint="default"/>
      </w:rPr>
    </w:lvl>
    <w:lvl w:ilvl="1" w:tplc="08090019" w:tentative="1">
      <w:start w:val="1"/>
      <w:numFmt w:val="lowerLetter"/>
      <w:lvlText w:val="%2."/>
      <w:lvlJc w:val="left"/>
      <w:pPr>
        <w:ind w:left="1556" w:hanging="360"/>
      </w:pPr>
    </w:lvl>
    <w:lvl w:ilvl="2" w:tplc="0809001B">
      <w:start w:val="1"/>
      <w:numFmt w:val="lowerRoman"/>
      <w:lvlText w:val="%3."/>
      <w:lvlJc w:val="right"/>
      <w:pPr>
        <w:ind w:left="2276" w:hanging="180"/>
      </w:pPr>
    </w:lvl>
    <w:lvl w:ilvl="3" w:tplc="0809000F" w:tentative="1">
      <w:start w:val="1"/>
      <w:numFmt w:val="decimal"/>
      <w:lvlText w:val="%4."/>
      <w:lvlJc w:val="left"/>
      <w:pPr>
        <w:ind w:left="2996" w:hanging="360"/>
      </w:pPr>
    </w:lvl>
    <w:lvl w:ilvl="4" w:tplc="08090019" w:tentative="1">
      <w:start w:val="1"/>
      <w:numFmt w:val="lowerLetter"/>
      <w:lvlText w:val="%5."/>
      <w:lvlJc w:val="left"/>
      <w:pPr>
        <w:ind w:left="3716" w:hanging="360"/>
      </w:pPr>
    </w:lvl>
    <w:lvl w:ilvl="5" w:tplc="0809001B" w:tentative="1">
      <w:start w:val="1"/>
      <w:numFmt w:val="lowerRoman"/>
      <w:lvlText w:val="%6."/>
      <w:lvlJc w:val="right"/>
      <w:pPr>
        <w:ind w:left="4436" w:hanging="180"/>
      </w:pPr>
    </w:lvl>
    <w:lvl w:ilvl="6" w:tplc="0809000F" w:tentative="1">
      <w:start w:val="1"/>
      <w:numFmt w:val="decimal"/>
      <w:lvlText w:val="%7."/>
      <w:lvlJc w:val="left"/>
      <w:pPr>
        <w:ind w:left="5156" w:hanging="360"/>
      </w:pPr>
    </w:lvl>
    <w:lvl w:ilvl="7" w:tplc="08090019" w:tentative="1">
      <w:start w:val="1"/>
      <w:numFmt w:val="lowerLetter"/>
      <w:lvlText w:val="%8."/>
      <w:lvlJc w:val="left"/>
      <w:pPr>
        <w:ind w:left="5876" w:hanging="360"/>
      </w:pPr>
    </w:lvl>
    <w:lvl w:ilvl="8" w:tplc="0809001B" w:tentative="1">
      <w:start w:val="1"/>
      <w:numFmt w:val="lowerRoman"/>
      <w:lvlText w:val="%9."/>
      <w:lvlJc w:val="right"/>
      <w:pPr>
        <w:ind w:left="6596" w:hanging="180"/>
      </w:pPr>
    </w:lvl>
  </w:abstractNum>
  <w:abstractNum w:abstractNumId="93">
    <w:nsid w:val="703A26E5"/>
    <w:multiLevelType w:val="multilevel"/>
    <w:tmpl w:val="B7EED430"/>
    <w:lvl w:ilvl="0">
      <w:start w:val="1"/>
      <w:numFmt w:val="bullet"/>
      <w:lvlText w:val=""/>
      <w:lvlJc w:val="left"/>
      <w:pPr>
        <w:ind w:left="476" w:hanging="476"/>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start w:val="1"/>
      <w:numFmt w:val="bullet"/>
      <w:lvlText w:val="o"/>
      <w:lvlJc w:val="left"/>
      <w:pPr>
        <w:ind w:left="952" w:hanging="476"/>
      </w:pPr>
      <w:rPr>
        <w:rFonts w:ascii="Courier New" w:hAnsi="Courier New" w:cs="Courier New" w:hint="default"/>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ind w:left="1429" w:hanging="47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Roman"/>
      <w:lvlText w:val="%4."/>
      <w:lvlJc w:val="left"/>
      <w:pPr>
        <w:ind w:left="1905" w:hanging="47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Roman"/>
      <w:lvlText w:val="%5."/>
      <w:lvlJc w:val="left"/>
      <w:pPr>
        <w:ind w:left="2381" w:hanging="47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2857" w:hanging="47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lvlText w:val="%7."/>
      <w:lvlJc w:val="left"/>
      <w:pPr>
        <w:ind w:left="3333" w:hanging="47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Roman"/>
      <w:lvlText w:val="%8."/>
      <w:lvlJc w:val="left"/>
      <w:pPr>
        <w:ind w:left="3809" w:hanging="47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4285" w:hanging="47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4">
    <w:nsid w:val="75A91D69"/>
    <w:multiLevelType w:val="hybridMultilevel"/>
    <w:tmpl w:val="F8C8CD22"/>
    <w:lvl w:ilvl="0" w:tplc="69B83E4A">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5">
    <w:nsid w:val="76237045"/>
    <w:multiLevelType w:val="hybridMultilevel"/>
    <w:tmpl w:val="CF0C8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765A3704"/>
    <w:multiLevelType w:val="hybridMultilevel"/>
    <w:tmpl w:val="F2FA2C34"/>
    <w:lvl w:ilvl="0" w:tplc="6BD894A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7">
    <w:nsid w:val="772D3CB5"/>
    <w:multiLevelType w:val="multilevel"/>
    <w:tmpl w:val="0809001D"/>
    <w:lvl w:ilvl="0">
      <w:start w:val="1"/>
      <w:numFmt w:val="decimal"/>
      <w:lvlText w:val="%1)"/>
      <w:lvlJc w:val="left"/>
      <w:pPr>
        <w:ind w:left="836" w:hanging="360"/>
      </w:pPr>
    </w:lvl>
    <w:lvl w:ilvl="1">
      <w:start w:val="1"/>
      <w:numFmt w:val="lowerLetter"/>
      <w:lvlText w:val="%2)"/>
      <w:lvlJc w:val="left"/>
      <w:pPr>
        <w:ind w:left="1196" w:hanging="360"/>
      </w:pPr>
    </w:lvl>
    <w:lvl w:ilvl="2">
      <w:start w:val="1"/>
      <w:numFmt w:val="lowerRoman"/>
      <w:lvlText w:val="%3)"/>
      <w:lvlJc w:val="left"/>
      <w:pPr>
        <w:ind w:left="1556" w:hanging="360"/>
      </w:pPr>
    </w:lvl>
    <w:lvl w:ilvl="3">
      <w:start w:val="1"/>
      <w:numFmt w:val="decimal"/>
      <w:lvlText w:val="(%4)"/>
      <w:lvlJc w:val="left"/>
      <w:pPr>
        <w:ind w:left="1916" w:hanging="360"/>
      </w:pPr>
    </w:lvl>
    <w:lvl w:ilvl="4">
      <w:start w:val="1"/>
      <w:numFmt w:val="lowerLetter"/>
      <w:lvlText w:val="(%5)"/>
      <w:lvlJc w:val="left"/>
      <w:pPr>
        <w:ind w:left="2276" w:hanging="360"/>
      </w:pPr>
    </w:lvl>
    <w:lvl w:ilvl="5">
      <w:start w:val="1"/>
      <w:numFmt w:val="lowerRoman"/>
      <w:lvlText w:val="(%6)"/>
      <w:lvlJc w:val="left"/>
      <w:pPr>
        <w:ind w:left="2636" w:hanging="360"/>
      </w:pPr>
    </w:lvl>
    <w:lvl w:ilvl="6">
      <w:start w:val="1"/>
      <w:numFmt w:val="decimal"/>
      <w:lvlText w:val="%7."/>
      <w:lvlJc w:val="left"/>
      <w:pPr>
        <w:ind w:left="2996" w:hanging="360"/>
      </w:pPr>
    </w:lvl>
    <w:lvl w:ilvl="7">
      <w:start w:val="1"/>
      <w:numFmt w:val="lowerLetter"/>
      <w:lvlText w:val="%8."/>
      <w:lvlJc w:val="left"/>
      <w:pPr>
        <w:ind w:left="3356" w:hanging="360"/>
      </w:pPr>
    </w:lvl>
    <w:lvl w:ilvl="8">
      <w:start w:val="1"/>
      <w:numFmt w:val="lowerRoman"/>
      <w:lvlText w:val="%9."/>
      <w:lvlJc w:val="left"/>
      <w:pPr>
        <w:ind w:left="3716" w:hanging="360"/>
      </w:pPr>
    </w:lvl>
  </w:abstractNum>
  <w:abstractNum w:abstractNumId="98">
    <w:nsid w:val="78A102C5"/>
    <w:multiLevelType w:val="hybridMultilevel"/>
    <w:tmpl w:val="B7DAA2D6"/>
    <w:lvl w:ilvl="0" w:tplc="6A1E67A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79783548"/>
    <w:multiLevelType w:val="hybridMultilevel"/>
    <w:tmpl w:val="82F0CD16"/>
    <w:lvl w:ilvl="0" w:tplc="BC2A3D02">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0">
    <w:nsid w:val="7C44001B"/>
    <w:multiLevelType w:val="hybridMultilevel"/>
    <w:tmpl w:val="97E84B5C"/>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1">
    <w:nsid w:val="7C65145E"/>
    <w:multiLevelType w:val="multilevel"/>
    <w:tmpl w:val="8F2271EE"/>
    <w:name w:val="EurolookHeading"/>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2014"/>
        </w:tabs>
        <w:ind w:left="2014" w:hanging="595"/>
      </w:pPr>
      <w:rPr>
        <w:rFonts w:hint="default"/>
      </w:rPr>
    </w:lvl>
    <w:lvl w:ilvl="2">
      <w:start w:val="1"/>
      <w:numFmt w:val="decimal"/>
      <w:lvlText w:val="%1.%2.%3."/>
      <w:lvlJc w:val="left"/>
      <w:pPr>
        <w:tabs>
          <w:tab w:val="num" w:pos="737"/>
        </w:tabs>
        <w:ind w:left="737" w:hanging="737"/>
      </w:pPr>
      <w:rPr>
        <w:rFonts w:hint="default"/>
        <w:u w:val="none"/>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1049"/>
        </w:tabs>
        <w:ind w:left="1049" w:hanging="1049"/>
      </w:pPr>
      <w:rPr>
        <w:rFonts w:hint="default"/>
      </w:rPr>
    </w:lvl>
    <w:lvl w:ilvl="5">
      <w:start w:val="1"/>
      <w:numFmt w:val="decimal"/>
      <w:suff w:val="space"/>
      <w:lvlText w:val="%1.%2.%3.%4.%5.%6."/>
      <w:lvlJc w:val="left"/>
      <w:pPr>
        <w:ind w:firstLine="0"/>
      </w:pPr>
      <w:rPr>
        <w:rFonts w:hint="default"/>
      </w:rPr>
    </w:lvl>
    <w:lvl w:ilvl="6">
      <w:start w:val="1"/>
      <w:numFmt w:val="decimal"/>
      <w:suff w:val="space"/>
      <w:lvlText w:val="%1.%2.%3.%4.%5.%6.%7."/>
      <w:lvlJc w:val="left"/>
      <w:pPr>
        <w:ind w:firstLine="0"/>
      </w:pPr>
      <w:rPr>
        <w:rFonts w:hint="default"/>
      </w:rPr>
    </w:lvl>
    <w:lvl w:ilvl="7">
      <w:start w:val="1"/>
      <w:numFmt w:val="decimal"/>
      <w:suff w:val="space"/>
      <w:lvlText w:val="%1.%2.%3.%4.%5.%6.%7.%8."/>
      <w:lvlJc w:val="left"/>
      <w:pPr>
        <w:ind w:firstLine="0"/>
      </w:pPr>
      <w:rPr>
        <w:rFonts w:hint="default"/>
      </w:rPr>
    </w:lvl>
    <w:lvl w:ilvl="8">
      <w:start w:val="1"/>
      <w:numFmt w:val="decimal"/>
      <w:suff w:val="space"/>
      <w:lvlText w:val="%1.%2.%3.%4.%5.%6.%7.%8.%9."/>
      <w:lvlJc w:val="left"/>
      <w:pPr>
        <w:ind w:firstLine="0"/>
      </w:pPr>
      <w:rPr>
        <w:rFonts w:hint="default"/>
      </w:rPr>
    </w:lvl>
  </w:abstractNum>
  <w:abstractNum w:abstractNumId="102">
    <w:nsid w:val="7C651460"/>
    <w:multiLevelType w:val="singleLevel"/>
    <w:tmpl w:val="08090013"/>
    <w:lvl w:ilvl="0">
      <w:start w:val="1"/>
      <w:numFmt w:val="upperRoman"/>
      <w:lvlText w:val="%1."/>
      <w:lvlJc w:val="right"/>
      <w:pPr>
        <w:ind w:left="360" w:hanging="360"/>
      </w:pPr>
      <w:rPr>
        <w:rFonts w:hint="default"/>
      </w:rPr>
    </w:lvl>
  </w:abstractNum>
  <w:abstractNum w:abstractNumId="103">
    <w:nsid w:val="7D0044E8"/>
    <w:multiLevelType w:val="hybridMultilevel"/>
    <w:tmpl w:val="883CE626"/>
    <w:styleLink w:val="ImportedStyle1"/>
    <w:lvl w:ilvl="0" w:tplc="FB28BA6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9ECFC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EE48D5E">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EAA8AE7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E2026C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12A3844">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1C04345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2401F3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C92AE68">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4">
    <w:nsid w:val="7DDC28D7"/>
    <w:multiLevelType w:val="hybridMultilevel"/>
    <w:tmpl w:val="E22437F8"/>
    <w:lvl w:ilvl="0" w:tplc="B3400AC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02"/>
  </w:num>
  <w:num w:numId="2">
    <w:abstractNumId w:val="50"/>
  </w:num>
  <w:num w:numId="3">
    <w:abstractNumId w:val="71"/>
  </w:num>
  <w:num w:numId="4">
    <w:abstractNumId w:val="22"/>
  </w:num>
  <w:num w:numId="5">
    <w:abstractNumId w:val="69"/>
  </w:num>
  <w:num w:numId="6">
    <w:abstractNumId w:val="67"/>
  </w:num>
  <w:num w:numId="7">
    <w:abstractNumId w:val="41"/>
  </w:num>
  <w:num w:numId="8">
    <w:abstractNumId w:val="39"/>
  </w:num>
  <w:num w:numId="9">
    <w:abstractNumId w:val="58"/>
  </w:num>
  <w:num w:numId="10">
    <w:abstractNumId w:val="90"/>
    <w:lvlOverride w:ilvl="0">
      <w:lvl w:ilvl="0">
        <w:start w:val="1"/>
        <w:numFmt w:val="decimal"/>
        <w:lvlText w:val="%1."/>
        <w:lvlJc w:val="left"/>
        <w:pPr>
          <w:ind w:left="476" w:hanging="476"/>
        </w:pPr>
        <w:rPr>
          <w:rFonts w:hAnsi="Arial Unicode MS"/>
          <w:b w:val="0"/>
          <w:i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lvlText w:val="%2."/>
        <w:lvlJc w:val="left"/>
        <w:pPr>
          <w:ind w:left="952" w:hanging="4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lvlText w:val="%3."/>
        <w:lvlJc w:val="left"/>
        <w:pPr>
          <w:ind w:left="1429"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Roman"/>
        <w:lvlText w:val="%4."/>
        <w:lvlJc w:val="left"/>
        <w:pPr>
          <w:ind w:left="1905"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Roman"/>
        <w:lvlText w:val="%5."/>
        <w:lvlJc w:val="left"/>
        <w:pPr>
          <w:ind w:left="2381"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lvlText w:val="%6."/>
        <w:lvlJc w:val="left"/>
        <w:pPr>
          <w:ind w:left="2857"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lowerRoman"/>
        <w:lvlText w:val="%7."/>
        <w:lvlJc w:val="left"/>
        <w:pPr>
          <w:ind w:left="3333"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Roman"/>
        <w:lvlText w:val="%8."/>
        <w:lvlJc w:val="left"/>
        <w:pPr>
          <w:ind w:left="3809"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ind w:left="4285" w:hanging="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9"/>
  </w:num>
  <w:num w:numId="13">
    <w:abstractNumId w:val="92"/>
  </w:num>
  <w:num w:numId="14">
    <w:abstractNumId w:val="32"/>
  </w:num>
  <w:num w:numId="15">
    <w:abstractNumId w:val="3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0"/>
  </w:num>
  <w:num w:numId="18">
    <w:abstractNumId w:val="59"/>
  </w:num>
  <w:num w:numId="19">
    <w:abstractNumId w:val="55"/>
  </w:num>
  <w:num w:numId="20">
    <w:abstractNumId w:val="46"/>
  </w:num>
  <w:num w:numId="21">
    <w:abstractNumId w:val="81"/>
  </w:num>
  <w:num w:numId="22">
    <w:abstractNumId w:val="72"/>
  </w:num>
  <w:num w:numId="23">
    <w:abstractNumId w:val="28"/>
  </w:num>
  <w:num w:numId="24">
    <w:abstractNumId w:val="11"/>
  </w:num>
  <w:num w:numId="25">
    <w:abstractNumId w:val="3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2"/>
  </w:num>
  <w:num w:numId="27">
    <w:abstractNumId w:val="19"/>
  </w:num>
  <w:num w:numId="28">
    <w:abstractNumId w:val="96"/>
  </w:num>
  <w:num w:numId="29">
    <w:abstractNumId w:val="32"/>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5"/>
  </w:num>
  <w:num w:numId="31">
    <w:abstractNumId w:val="97"/>
  </w:num>
  <w:num w:numId="32">
    <w:abstractNumId w:val="24"/>
  </w:num>
  <w:num w:numId="33">
    <w:abstractNumId w:val="30"/>
  </w:num>
  <w:num w:numId="34">
    <w:abstractNumId w:val="61"/>
    <w:lvlOverride w:ilvl="0">
      <w:lvl w:ilvl="0">
        <w:start w:val="1"/>
        <w:numFmt w:val="none"/>
        <w:lvlText w:val="—"/>
        <w:lvlJc w:val="left"/>
        <w:pPr>
          <w:ind w:left="340" w:hanging="340"/>
        </w:pPr>
        <w:rPr>
          <w:rFonts w:ascii="Trebuchet MS" w:hAnsi="Trebuchet MS" w:hint="default"/>
          <w:b w:val="0"/>
        </w:rPr>
      </w:lvl>
    </w:lvlOverride>
  </w:num>
  <w:num w:numId="35">
    <w:abstractNumId w:val="83"/>
  </w:num>
  <w:num w:numId="36">
    <w:abstractNumId w:val="93"/>
  </w:num>
  <w:num w:numId="37">
    <w:abstractNumId w:val="32"/>
  </w:num>
  <w:num w:numId="38">
    <w:abstractNumId w:val="32"/>
  </w:num>
  <w:num w:numId="39">
    <w:abstractNumId w:val="13"/>
  </w:num>
  <w:num w:numId="40">
    <w:abstractNumId w:val="32"/>
  </w:num>
  <w:num w:numId="41">
    <w:abstractNumId w:val="32"/>
  </w:num>
  <w:num w:numId="42">
    <w:abstractNumId w:val="32"/>
  </w:num>
  <w:num w:numId="43">
    <w:abstractNumId w:val="32"/>
  </w:num>
  <w:num w:numId="44">
    <w:abstractNumId w:val="32"/>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num>
  <w:num w:numId="46">
    <w:abstractNumId w:val="33"/>
  </w:num>
  <w:num w:numId="47">
    <w:abstractNumId w:val="32"/>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num>
  <w:num w:numId="49">
    <w:abstractNumId w:val="18"/>
  </w:num>
  <w:num w:numId="50">
    <w:abstractNumId w:val="7"/>
  </w:num>
  <w:num w:numId="51">
    <w:abstractNumId w:val="84"/>
  </w:num>
  <w:num w:numId="52">
    <w:abstractNumId w:val="85"/>
  </w:num>
  <w:num w:numId="53">
    <w:abstractNumId w:val="70"/>
  </w:num>
  <w:num w:numId="54">
    <w:abstractNumId w:val="68"/>
  </w:num>
  <w:num w:numId="55">
    <w:abstractNumId w:val="100"/>
    <w:lvlOverride w:ilvl="0">
      <w:startOverride w:val="1"/>
    </w:lvlOverride>
    <w:lvlOverride w:ilvl="1"/>
    <w:lvlOverride w:ilvl="2"/>
    <w:lvlOverride w:ilvl="3"/>
    <w:lvlOverride w:ilvl="4"/>
    <w:lvlOverride w:ilvl="5"/>
    <w:lvlOverride w:ilvl="6"/>
    <w:lvlOverride w:ilvl="7"/>
    <w:lvlOverride w:ilvl="8"/>
  </w:num>
  <w:num w:numId="56">
    <w:abstractNumId w:val="54"/>
  </w:num>
  <w:num w:numId="57">
    <w:abstractNumId w:val="90"/>
    <w:lvlOverride w:ilvl="0">
      <w:lvl w:ilvl="0">
        <w:start w:val="1"/>
        <w:numFmt w:val="decimal"/>
        <w:lvlText w:val="%1."/>
        <w:lvlJc w:val="left"/>
        <w:pPr>
          <w:ind w:left="476" w:hanging="476"/>
        </w:pPr>
        <w:rPr>
          <w:rFonts w:hAnsi="Arial Unicode MS"/>
          <w:b w:val="0"/>
          <w:i w:val="0"/>
          <w:caps w:val="0"/>
          <w:smallCaps w:val="0"/>
          <w:strike w:val="0"/>
          <w:dstrike w:val="0"/>
          <w:outline w:val="0"/>
          <w:emboss w:val="0"/>
          <w:imprint w:val="0"/>
          <w:spacing w:val="0"/>
          <w:w w:val="100"/>
          <w:kern w:val="0"/>
          <w:position w:val="0"/>
          <w:highlight w:val="none"/>
          <w:vertAlign w:val="baseline"/>
        </w:rPr>
      </w:lvl>
    </w:lvlOverride>
  </w:num>
  <w:num w:numId="58">
    <w:abstractNumId w:val="5"/>
  </w:num>
  <w:num w:numId="59">
    <w:abstractNumId w:val="4"/>
  </w:num>
  <w:num w:numId="60">
    <w:abstractNumId w:val="3"/>
  </w:num>
  <w:num w:numId="61">
    <w:abstractNumId w:val="1"/>
  </w:num>
  <w:num w:numId="62">
    <w:abstractNumId w:val="0"/>
  </w:num>
  <w:num w:numId="63">
    <w:abstractNumId w:val="2"/>
  </w:num>
  <w:num w:numId="64">
    <w:abstractNumId w:val="6"/>
  </w:num>
  <w:num w:numId="65">
    <w:abstractNumId w:val="74"/>
  </w:num>
  <w:num w:numId="66">
    <w:abstractNumId w:val="60"/>
  </w:num>
  <w:num w:numId="67">
    <w:abstractNumId w:val="90"/>
  </w:num>
  <w:num w:numId="68">
    <w:abstractNumId w:val="66"/>
  </w:num>
  <w:num w:numId="69">
    <w:abstractNumId w:val="17"/>
  </w:num>
  <w:num w:numId="70">
    <w:abstractNumId w:val="76"/>
  </w:num>
  <w:num w:numId="71">
    <w:abstractNumId w:val="27"/>
  </w:num>
  <w:num w:numId="72">
    <w:abstractNumId w:val="99"/>
  </w:num>
  <w:num w:numId="73">
    <w:abstractNumId w:val="48"/>
  </w:num>
  <w:num w:numId="74">
    <w:abstractNumId w:val="31"/>
  </w:num>
  <w:num w:numId="75">
    <w:abstractNumId w:val="62"/>
  </w:num>
  <w:num w:numId="76">
    <w:abstractNumId w:val="16"/>
  </w:num>
  <w:num w:numId="77">
    <w:abstractNumId w:val="87"/>
  </w:num>
  <w:num w:numId="78">
    <w:abstractNumId w:val="87"/>
  </w:num>
  <w:num w:numId="79">
    <w:abstractNumId w:val="87"/>
  </w:num>
  <w:num w:numId="80">
    <w:abstractNumId w:val="87"/>
  </w:num>
  <w:num w:numId="81">
    <w:abstractNumId w:val="88"/>
  </w:num>
  <w:num w:numId="82">
    <w:abstractNumId w:val="56"/>
  </w:num>
  <w:num w:numId="83">
    <w:abstractNumId w:val="79"/>
  </w:num>
  <w:num w:numId="84">
    <w:abstractNumId w:val="104"/>
  </w:num>
  <w:num w:numId="85">
    <w:abstractNumId w:val="95"/>
  </w:num>
  <w:num w:numId="86">
    <w:abstractNumId w:val="89"/>
  </w:num>
  <w:num w:numId="87">
    <w:abstractNumId w:val="42"/>
  </w:num>
  <w:num w:numId="88">
    <w:abstractNumId w:val="86"/>
  </w:num>
  <w:num w:numId="89">
    <w:abstractNumId w:val="90"/>
    <w:lvlOverride w:ilvl="0">
      <w:lvl w:ilvl="0">
        <w:start w:val="1"/>
        <w:numFmt w:val="decimal"/>
        <w:lvlText w:val="%1."/>
        <w:lvlJc w:val="left"/>
        <w:pPr>
          <w:ind w:left="476" w:hanging="476"/>
        </w:pPr>
        <w:rPr>
          <w:b w:val="0"/>
          <w:i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lvlText w:val="%2."/>
        <w:lvlJc w:val="left"/>
        <w:pPr>
          <w:ind w:left="952" w:hanging="4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lvlText w:val="%3."/>
        <w:lvlJc w:val="left"/>
        <w:pPr>
          <w:ind w:left="1429"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Roman"/>
        <w:lvlText w:val="%4."/>
        <w:lvlJc w:val="left"/>
        <w:pPr>
          <w:ind w:left="1905"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Roman"/>
        <w:lvlText w:val="%5."/>
        <w:lvlJc w:val="left"/>
        <w:pPr>
          <w:ind w:left="2381"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lvlText w:val="%6."/>
        <w:lvlJc w:val="left"/>
        <w:pPr>
          <w:ind w:left="2857"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lowerRoman"/>
        <w:lvlText w:val="%7."/>
        <w:lvlJc w:val="left"/>
        <w:pPr>
          <w:ind w:left="3333"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Roman"/>
        <w:lvlText w:val="%8."/>
        <w:lvlJc w:val="left"/>
        <w:pPr>
          <w:ind w:left="3809"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ind w:left="4285" w:hanging="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0">
    <w:abstractNumId w:val="90"/>
    <w:lvlOverride w:ilvl="0">
      <w:lvl w:ilvl="0">
        <w:start w:val="1"/>
        <w:numFmt w:val="decimal"/>
        <w:lvlText w:val="%1."/>
        <w:lvlJc w:val="left"/>
        <w:pPr>
          <w:ind w:left="476" w:hanging="476"/>
        </w:pPr>
        <w:rPr>
          <w:b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start w:val="1"/>
        <w:numFmt w:val="lowerLetter"/>
        <w:lvlText w:val="%2."/>
        <w:lvlJc w:val="left"/>
        <w:pPr>
          <w:ind w:left="952" w:hanging="4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lvlText w:val="%3."/>
        <w:lvlJc w:val="left"/>
        <w:pPr>
          <w:ind w:left="1429"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Roman"/>
        <w:lvlText w:val="%4."/>
        <w:lvlJc w:val="left"/>
        <w:pPr>
          <w:ind w:left="1905"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Roman"/>
        <w:lvlText w:val="%5."/>
        <w:lvlJc w:val="left"/>
        <w:pPr>
          <w:ind w:left="2381"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lvlText w:val="%6."/>
        <w:lvlJc w:val="left"/>
        <w:pPr>
          <w:ind w:left="2857"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lowerRoman"/>
        <w:lvlText w:val="%7."/>
        <w:lvlJc w:val="left"/>
        <w:pPr>
          <w:ind w:left="3333"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Roman"/>
        <w:lvlText w:val="%8."/>
        <w:lvlJc w:val="left"/>
        <w:pPr>
          <w:ind w:left="3809"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ind w:left="4285" w:hanging="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1">
    <w:abstractNumId w:val="29"/>
  </w:num>
  <w:num w:numId="92">
    <w:abstractNumId w:val="98"/>
  </w:num>
  <w:num w:numId="93">
    <w:abstractNumId w:val="91"/>
  </w:num>
  <w:num w:numId="94">
    <w:abstractNumId w:val="65"/>
  </w:num>
  <w:num w:numId="95">
    <w:abstractNumId w:val="90"/>
    <w:lvlOverride w:ilvl="0">
      <w:lvl w:ilvl="0">
        <w:start w:val="1"/>
        <w:numFmt w:val="decimal"/>
        <w:lvlText w:val="%1."/>
        <w:lvlJc w:val="left"/>
        <w:pPr>
          <w:ind w:left="476" w:hanging="476"/>
        </w:pPr>
        <w:rPr>
          <w:rFonts w:hAnsi="Arial Unicode MS"/>
          <w:b w:val="0"/>
          <w:i w:val="0"/>
          <w:caps w:val="0"/>
          <w:smallCaps w:val="0"/>
          <w:strike w:val="0"/>
          <w:dstrike w:val="0"/>
          <w:outline w:val="0"/>
          <w:emboss w:val="0"/>
          <w:imprint w:val="0"/>
          <w:spacing w:val="0"/>
          <w:w w:val="100"/>
          <w:kern w:val="0"/>
          <w:position w:val="0"/>
          <w:highlight w:val="none"/>
          <w:vertAlign w:val="baseline"/>
          <w:lang w:val="en-IE"/>
        </w:rPr>
      </w:lvl>
    </w:lvlOverride>
    <w:lvlOverride w:ilvl="1">
      <w:lvl w:ilvl="1">
        <w:start w:val="1"/>
        <w:numFmt w:val="lowerLetter"/>
        <w:lvlText w:val="%2."/>
        <w:lvlJc w:val="left"/>
        <w:pPr>
          <w:ind w:left="952" w:hanging="4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lvlText w:val="%3."/>
        <w:lvlJc w:val="left"/>
        <w:pPr>
          <w:ind w:left="1429"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Roman"/>
        <w:lvlText w:val="%4."/>
        <w:lvlJc w:val="left"/>
        <w:pPr>
          <w:ind w:left="1905"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Roman"/>
        <w:lvlText w:val="%5."/>
        <w:lvlJc w:val="left"/>
        <w:pPr>
          <w:ind w:left="2381"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lvlText w:val="%6."/>
        <w:lvlJc w:val="left"/>
        <w:pPr>
          <w:ind w:left="2857"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lowerRoman"/>
        <w:lvlText w:val="%7."/>
        <w:lvlJc w:val="left"/>
        <w:pPr>
          <w:ind w:left="3333"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Roman"/>
        <w:lvlText w:val="%8."/>
        <w:lvlJc w:val="left"/>
        <w:pPr>
          <w:ind w:left="3809"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ind w:left="4285" w:hanging="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6">
    <w:abstractNumId w:val="47"/>
  </w:num>
  <w:num w:numId="97">
    <w:abstractNumId w:val="37"/>
  </w:num>
  <w:num w:numId="9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0"/>
    <w:lvlOverride w:ilvl="0">
      <w:startOverride w:val="1"/>
      <w:lvl w:ilvl="0">
        <w:start w:val="1"/>
        <w:numFmt w:val="decimal"/>
        <w:lvlText w:val="%1."/>
        <w:lvlJc w:val="left"/>
        <w:pPr>
          <w:ind w:left="476" w:hanging="476"/>
        </w:pPr>
        <w:rPr>
          <w:rFonts w:hAnsi="Arial Unicode MS"/>
          <w:b w:val="0"/>
          <w:i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
  </w:num>
  <w:num w:numId="104">
    <w:abstractNumId w:val="69"/>
  </w:num>
  <w:num w:numId="105">
    <w:abstractNumId w:val="8"/>
  </w:num>
  <w:num w:numId="106">
    <w:abstractNumId w:val="22"/>
    <w:lvlOverride w:ilvl="0">
      <w:startOverride w:val="1"/>
    </w:lvlOverride>
    <w:lvlOverride w:ilvl="1">
      <w:startOverride w:val="1"/>
    </w:lvlOverride>
    <w:lvlOverride w:ilvl="2"/>
    <w:lvlOverride w:ilvl="3"/>
    <w:lvlOverride w:ilvl="4"/>
    <w:lvlOverride w:ilvl="5"/>
    <w:lvlOverride w:ilvl="6"/>
    <w:lvlOverride w:ilvl="7"/>
    <w:lvlOverride w:ilvl="8"/>
  </w:num>
  <w:num w:numId="107">
    <w:abstractNumId w:val="7"/>
  </w:num>
  <w:num w:numId="108">
    <w:abstractNumId w:val="6"/>
  </w:num>
  <w:num w:numId="109">
    <w:abstractNumId w:val="5"/>
  </w:num>
  <w:num w:numId="110">
    <w:abstractNumId w:val="4"/>
  </w:num>
  <w:num w:numId="111">
    <w:abstractNumId w:val="3"/>
    <w:lvlOverride w:ilvl="0">
      <w:startOverride w:val="1"/>
    </w:lvlOverride>
  </w:num>
  <w:num w:numId="112">
    <w:abstractNumId w:val="2"/>
    <w:lvlOverride w:ilvl="0">
      <w:startOverride w:val="1"/>
    </w:lvlOverride>
  </w:num>
  <w:num w:numId="113">
    <w:abstractNumId w:val="1"/>
    <w:lvlOverride w:ilvl="0">
      <w:startOverride w:val="1"/>
    </w:lvlOverride>
  </w:num>
  <w:num w:numId="114">
    <w:abstractNumId w:val="0"/>
    <w:lvlOverride w:ilvl="0">
      <w:startOverride w:val="1"/>
    </w:lvlOverride>
  </w:num>
  <w:num w:numId="11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2"/>
    <w:lvlOverride w:ilvl="0">
      <w:startOverride w:val="1"/>
    </w:lvlOverride>
  </w:num>
  <w:num w:numId="117">
    <w:abstractNumId w:val="71"/>
  </w:num>
  <w:num w:numId="118">
    <w:abstractNumId w:val="14"/>
  </w:num>
  <w:num w:numId="119">
    <w:abstractNumId w:val="80"/>
  </w:num>
  <w:num w:numId="1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1"/>
  </w:num>
  <w:num w:numId="122">
    <w:abstractNumId w:val="72"/>
  </w:num>
  <w:num w:numId="123">
    <w:abstractNumId w:val="83"/>
    <w:lvlOverride w:ilvl="0">
      <w:startOverride w:val="1"/>
    </w:lvlOverride>
    <w:lvlOverride w:ilvl="1"/>
    <w:lvlOverride w:ilvl="2"/>
    <w:lvlOverride w:ilvl="3"/>
    <w:lvlOverride w:ilvl="4"/>
    <w:lvlOverride w:ilvl="5"/>
    <w:lvlOverride w:ilvl="6"/>
    <w:lvlOverride w:ilvl="7"/>
    <w:lvlOverride w:ilvl="8"/>
  </w:num>
  <w:num w:numId="124">
    <w:abstractNumId w:val="85"/>
  </w:num>
  <w:num w:numId="125">
    <w:abstractNumId w:val="29"/>
  </w:num>
  <w:num w:numId="1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8"/>
  </w:num>
  <w:num w:numId="130">
    <w:abstractNumId w:val="53"/>
  </w:num>
  <w:num w:numId="131">
    <w:abstractNumId w:val="20"/>
    <w:lvlOverride w:ilvl="0">
      <w:startOverride w:val="1"/>
    </w:lvlOverride>
    <w:lvlOverride w:ilvl="1"/>
    <w:lvlOverride w:ilvl="2"/>
    <w:lvlOverride w:ilvl="3"/>
    <w:lvlOverride w:ilvl="4"/>
    <w:lvlOverride w:ilvl="5"/>
    <w:lvlOverride w:ilvl="6"/>
    <w:lvlOverride w:ilvl="7"/>
    <w:lvlOverride w:ilvl="8"/>
  </w:num>
  <w:num w:numId="132">
    <w:abstractNumId w:val="26"/>
  </w:num>
  <w:num w:numId="133">
    <w:abstractNumId w:val="10"/>
  </w:num>
  <w:num w:numId="134">
    <w:abstractNumId w:val="52"/>
  </w:num>
  <w:num w:numId="135">
    <w:abstractNumId w:val="23"/>
  </w:num>
  <w:num w:numId="136">
    <w:abstractNumId w:val="57"/>
  </w:num>
  <w:num w:numId="137">
    <w:abstractNumId w:val="90"/>
    <w:lvlOverride w:ilvl="0">
      <w:lvl w:ilvl="0">
        <w:start w:val="1"/>
        <w:numFmt w:val="decimal"/>
        <w:lvlText w:val="%1."/>
        <w:lvlJc w:val="left"/>
        <w:pPr>
          <w:ind w:left="476" w:hanging="476"/>
        </w:pPr>
        <w:rPr>
          <w:b w:val="0"/>
          <w:i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start w:val="1"/>
        <w:numFmt w:val="lowerLetter"/>
        <w:lvlText w:val="%2."/>
        <w:lvlJc w:val="left"/>
        <w:pPr>
          <w:ind w:left="952" w:hanging="4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lvlText w:val="%3."/>
        <w:lvlJc w:val="left"/>
        <w:pPr>
          <w:ind w:left="1429"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Roman"/>
        <w:lvlText w:val="%4."/>
        <w:lvlJc w:val="left"/>
        <w:pPr>
          <w:ind w:left="1905"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Roman"/>
        <w:lvlText w:val="%5."/>
        <w:lvlJc w:val="left"/>
        <w:pPr>
          <w:ind w:left="2381"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lvlText w:val="%6."/>
        <w:lvlJc w:val="left"/>
        <w:pPr>
          <w:ind w:left="2857"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lowerRoman"/>
        <w:lvlText w:val="%7."/>
        <w:lvlJc w:val="left"/>
        <w:pPr>
          <w:ind w:left="3333"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Roman"/>
        <w:lvlText w:val="%8."/>
        <w:lvlJc w:val="left"/>
        <w:pPr>
          <w:ind w:left="3809"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ind w:left="4285" w:hanging="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8">
    <w:abstractNumId w:val="25"/>
  </w:num>
  <w:num w:numId="139">
    <w:abstractNumId w:val="45"/>
  </w:num>
  <w:num w:numId="140">
    <w:abstractNumId w:val="90"/>
    <w:lvlOverride w:ilvl="0">
      <w:lvl w:ilvl="0">
        <w:start w:val="1"/>
        <w:numFmt w:val="decimal"/>
        <w:lvlText w:val="%1."/>
        <w:lvlJc w:val="left"/>
        <w:pPr>
          <w:ind w:left="901" w:hanging="476"/>
        </w:pPr>
        <w:rPr>
          <w:b w:val="0"/>
          <w:i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lvlText w:val="%2."/>
        <w:lvlJc w:val="left"/>
        <w:pPr>
          <w:ind w:left="952" w:hanging="4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lvlText w:val="%3."/>
        <w:lvlJc w:val="left"/>
        <w:pPr>
          <w:ind w:left="1429"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Roman"/>
        <w:lvlText w:val="%4."/>
        <w:lvlJc w:val="left"/>
        <w:pPr>
          <w:ind w:left="1905"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Roman"/>
        <w:lvlText w:val="%5."/>
        <w:lvlJc w:val="left"/>
        <w:pPr>
          <w:ind w:left="2381"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lvlText w:val="%6."/>
        <w:lvlJc w:val="left"/>
        <w:pPr>
          <w:ind w:left="2857"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lowerRoman"/>
        <w:lvlText w:val="%7."/>
        <w:lvlJc w:val="left"/>
        <w:pPr>
          <w:ind w:left="3333"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Roman"/>
        <w:lvlText w:val="%8."/>
        <w:lvlJc w:val="left"/>
        <w:pPr>
          <w:ind w:left="3809" w:hanging="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ind w:left="4285" w:hanging="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1">
    <w:abstractNumId w:val="78"/>
  </w:num>
  <w:num w:numId="142">
    <w:abstractNumId w:val="40"/>
  </w:num>
  <w:num w:numId="143">
    <w:abstractNumId w:val="94"/>
  </w:num>
  <w:num w:numId="144">
    <w:abstractNumId w:val="34"/>
  </w:num>
  <w:num w:numId="145">
    <w:abstractNumId w:val="77"/>
  </w:num>
  <w:num w:numId="146">
    <w:abstractNumId w:val="86"/>
  </w:num>
  <w:num w:numId="147">
    <w:abstractNumId w:val="36"/>
  </w:num>
  <w:num w:numId="148">
    <w:abstractNumId w:val="103"/>
  </w:num>
  <w:num w:numId="149">
    <w:abstractNumId w:val="15"/>
  </w:num>
  <w:num w:numId="150">
    <w:abstractNumId w:val="51"/>
  </w:num>
  <w:num w:numId="151">
    <w:abstractNumId w:val="86"/>
  </w:num>
  <w:num w:numId="152">
    <w:abstractNumId w:val="86"/>
  </w:num>
  <w:num w:numId="153">
    <w:abstractNumId w:val="43"/>
  </w:num>
  <w:num w:numId="154">
    <w:abstractNumId w:val="21"/>
  </w:num>
  <w:num w:numId="155">
    <w:abstractNumId w:val="73"/>
  </w:num>
  <w:num w:numId="156">
    <w:abstractNumId w:val="63"/>
  </w:num>
  <w:num w:numId="157">
    <w:abstractNumId w:val="64"/>
  </w:num>
  <w:num w:numId="158">
    <w:abstractNumId w:val="35"/>
  </w:num>
  <w:num w:numId="159">
    <w:abstractNumId w:val="12"/>
    <w:lvlOverride w:ilvl="0">
      <w:startOverride w:val="20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0"/>
  <w:activeWritingStyle w:appName="MSWord" w:lang="pt-PT" w:vendorID="64" w:dllVersion="6" w:nlCheck="1" w:checkStyle="0"/>
  <w:activeWritingStyle w:appName="MSWord" w:lang="de-DE" w:vendorID="64" w:dllVersion="6" w:nlCheck="1" w:checkStyle="0"/>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it-IT" w:vendorID="64" w:dllVersion="131078" w:nlCheck="1" w:checkStyle="0"/>
  <w:activeWritingStyle w:appName="MSWord" w:lang="pt-PT" w:vendorID="64" w:dllVersion="131078" w:nlCheck="1" w:checkStyle="0"/>
  <w:activeWritingStyle w:appName="MSWord" w:lang="de-DE" w:vendorID="64" w:dllVersion="131078" w:nlCheck="1" w:checkStyle="0"/>
  <w:activeWritingStyle w:appName="MSWord" w:lang="es-ES" w:vendorID="64" w:dllVersion="131078" w:nlCheck="1" w:checkStyle="0"/>
  <w:activeWritingStyle w:appName="MSWord" w:lang="fr-FR" w:vendorID="64" w:dllVersion="131078" w:nlCheck="1" w:checkStyle="0"/>
  <w:activeWritingStyle w:appName="MSWord" w:lang="fr-BE" w:vendorID="64" w:dllVersion="131078" w:nlCheck="1" w:checkStyle="0"/>
  <w:activeWritingStyle w:appName="MSWord" w:lang="en-IE" w:vendorID="64" w:dllVersion="131078" w:nlCheck="1" w:checkStyle="1"/>
  <w:activeWritingStyle w:appName="MSWord" w:lang="da-DK" w:vendorID="64" w:dllVersion="131078" w:nlCheck="1" w:checkStyle="0"/>
  <w:activeWritingStyle w:appName="MSWord" w:lang="nl-NL" w:vendorID="64" w:dllVersion="131078" w:nlCheck="1" w:checkStyle="0"/>
  <w:activeWritingStyle w:appName="MSWord" w:lang="es-ES_tradnl" w:vendorID="64" w:dllVersion="131078" w:nlCheck="1" w:checkStyle="0"/>
  <w:activeWritingStyle w:appName="MSWord" w:lang="nl-BE"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352975FA-BACF-4EEF-9172-47BD1E4CC56B"/>
    <w:docVar w:name="LW_COVERPAGE_TYPE" w:val="1"/>
    <w:docVar w:name="LW_CROSSREFERENCE" w:val="{COM(2020) 789 final}"/>
    <w:docVar w:name="LW_DocType" w:val="EUROLOOK"/>
    <w:docVar w:name="LW_EMISSION" w:val="9.12.2020"/>
    <w:docVar w:name="LW_EMISSION_ISODATE" w:val="2020-12-09"/>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Sustainable and Smart Mobility Strategy \u8211? putting European transport on track for the future"/>
    <w:docVar w:name="LW_PART_NBR" w:val="1"/>
    <w:docVar w:name="LW_PART_NBR_TOTAL" w:val="1"/>
    <w:docVar w:name="LW_REF.INST.NEW" w:val="SWD"/>
    <w:docVar w:name="LW_REF.INST.NEW_ADOPTED" w:val="final"/>
    <w:docVar w:name="LW_REF.INST.NEW_TEXT" w:val="(2020) 33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COMMUNICATION FROM THE COMMISSION TO THE EUROPEAN_x000b_PARLIAMENT, THE COUNCIL, THE EUROPEAN ECONOMIC AND SOCIAL_x000b_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en-GB" w:eastAsia="en-GB" w:bidi="ar-SA"/>
      </w:rPr>
    </w:rPrDefault>
    <w:pPrDefault/>
  </w:docDefaults>
  <w:latentStyles w:defLockedState="1" w:defUIPriority="0" w:defSemiHidden="1" w:defUnhideWhenUsed="1" w:defQFormat="0" w:count="267">
    <w:lsdException w:name="Normal" w:semiHidden="0" w:uiPriority="90" w:unhideWhenUsed="0" w:qFormat="1"/>
    <w:lsdException w:name="heading 1" w:semiHidden="0" w:uiPriority="90" w:unhideWhenUsed="0" w:qFormat="1"/>
    <w:lsdException w:name="heading 2" w:semiHidden="0" w:uiPriority="90" w:unhideWhenUsed="0" w:qFormat="1"/>
    <w:lsdException w:name="heading 3" w:semiHidden="0" w:uiPriority="90" w:unhideWhenUsed="0" w:qFormat="1"/>
    <w:lsdException w:name="heading 4" w:semiHidden="0" w:uiPriority="90" w:unhideWhenUsed="0" w:qFormat="1"/>
    <w:lsdException w:name="heading 5" w:unhideWhenUsed="0" w:qFormat="1"/>
    <w:lsdException w:name="heading 6"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semiHidden="0" w:uiPriority="99"/>
    <w:lsdException w:name="footer" w:semiHidden="0" w:uiPriority="99"/>
    <w:lsdException w:name="caption" w:semiHidden="0" w:uiPriority="35" w:qFormat="1"/>
    <w:lsdException w:name="table of figures" w:uiPriority="99"/>
    <w:lsdException w:name="footnote reference" w:uiPriority="99" w:qFormat="1"/>
    <w:lsdException w:name="annotation reference" w:uiPriority="99"/>
    <w:lsdException w:name="endnote reference" w:uiPriority="99"/>
    <w:lsdException w:name="endnote text" w:uiPriority="99"/>
    <w:lsdException w:name="macro" w:uiPriority="90" w:qFormat="1"/>
    <w:lsdException w:name="List Bullet" w:semiHidden="0" w:uiPriority="99"/>
    <w:lsdException w:name="List Number" w:semiHidden="0" w:uiPriority="99" w:unhideWhenUsed="0"/>
    <w:lsdException w:name="List 4" w:unhideWhenUsed="0"/>
    <w:lsdException w:name="List 5" w:unhideWhenUsed="0"/>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99" w:unhideWhenUsed="0" w:qFormat="1"/>
    <w:lsdException w:name="Default Paragraph Font" w:uiPriority="1"/>
    <w:lsdException w:name="Subtitle" w:unhideWhenUsed="0" w:qFormat="1"/>
    <w:lsdException w:name="Salutation" w:unhideWhenUsed="0"/>
    <w:lsdException w:name="Date" w:semiHidden="0" w:uiPriority="99" w:unhideWhenUsed="0"/>
    <w:lsdException w:name="Body Text First Indent"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uiPriority w:val="90"/>
    <w:qFormat/>
    <w:pPr>
      <w:spacing w:after="120" w:line="264" w:lineRule="auto"/>
      <w:jc w:val="both"/>
    </w:pPr>
    <w:rPr>
      <w:sz w:val="22"/>
    </w:rPr>
  </w:style>
  <w:style w:type="paragraph" w:styleId="Heading1">
    <w:name w:val="heading 1"/>
    <w:basedOn w:val="Normal"/>
    <w:next w:val="Normal"/>
    <w:link w:val="Heading1Char"/>
    <w:autoRedefine/>
    <w:uiPriority w:val="90"/>
    <w:qFormat/>
    <w:pPr>
      <w:keepNext/>
      <w:numPr>
        <w:numId w:val="88"/>
      </w:numPr>
      <w:tabs>
        <w:tab w:val="left" w:pos="510"/>
      </w:tabs>
      <w:spacing w:before="480" w:after="360"/>
      <w:outlineLvl w:val="0"/>
    </w:pPr>
    <w:rPr>
      <w:b/>
      <w:smallCaps/>
      <w:sz w:val="26"/>
    </w:rPr>
  </w:style>
  <w:style w:type="paragraph" w:styleId="Heading2">
    <w:name w:val="heading 2"/>
    <w:basedOn w:val="Heading3"/>
    <w:next w:val="Normal"/>
    <w:link w:val="Heading2Char"/>
    <w:autoRedefine/>
    <w:uiPriority w:val="90"/>
    <w:qFormat/>
    <w:pPr>
      <w:numPr>
        <w:ilvl w:val="1"/>
      </w:numPr>
      <w:tabs>
        <w:tab w:val="left" w:pos="1134"/>
      </w:tabs>
      <w:spacing w:before="420"/>
      <w:outlineLvl w:val="1"/>
    </w:pPr>
    <w:rPr>
      <w:u w:val="single"/>
    </w:rPr>
  </w:style>
  <w:style w:type="paragraph" w:styleId="Heading3">
    <w:name w:val="heading 3"/>
    <w:basedOn w:val="Normal"/>
    <w:next w:val="Normal"/>
    <w:link w:val="Heading3Char"/>
    <w:autoRedefine/>
    <w:uiPriority w:val="90"/>
    <w:qFormat/>
    <w:pPr>
      <w:keepNext/>
      <w:numPr>
        <w:ilvl w:val="2"/>
        <w:numId w:val="88"/>
      </w:numPr>
      <w:tabs>
        <w:tab w:val="left" w:pos="1560"/>
      </w:tabs>
      <w:spacing w:before="360"/>
      <w:outlineLvl w:val="2"/>
    </w:pPr>
    <w:rPr>
      <w:b/>
      <w:sz w:val="24"/>
      <w:szCs w:val="24"/>
      <w:lang w:eastAsia="en-US"/>
    </w:rPr>
  </w:style>
  <w:style w:type="paragraph" w:styleId="Heading4">
    <w:name w:val="heading 4"/>
    <w:basedOn w:val="Heading3"/>
    <w:next w:val="Normal"/>
    <w:link w:val="Heading4Char"/>
    <w:uiPriority w:val="90"/>
    <w:qFormat/>
    <w:pPr>
      <w:numPr>
        <w:ilvl w:val="3"/>
      </w:numPr>
      <w:outlineLvl w:val="3"/>
    </w:pPr>
    <w:rPr>
      <w:i/>
    </w:rPr>
  </w:style>
  <w:style w:type="paragraph" w:styleId="Heading5">
    <w:name w:val="heading 5"/>
    <w:basedOn w:val="Normal"/>
    <w:next w:val="Normal"/>
    <w:link w:val="Heading5Char"/>
    <w:qFormat/>
    <w:pPr>
      <w:keepNext/>
      <w:numPr>
        <w:ilvl w:val="4"/>
        <w:numId w:val="88"/>
      </w:numPr>
      <w:outlineLvl w:val="4"/>
    </w:pPr>
    <w:rPr>
      <w:u w:val="single"/>
    </w:rPr>
  </w:style>
  <w:style w:type="paragraph" w:styleId="Heading6">
    <w:name w:val="heading 6"/>
    <w:basedOn w:val="Normal"/>
    <w:next w:val="Normal"/>
    <w:link w:val="Heading6Char"/>
    <w:semiHidden/>
    <w:qFormat/>
    <w:pPr>
      <w:keepNext/>
      <w:numPr>
        <w:ilvl w:val="5"/>
        <w:numId w:val="88"/>
      </w:numPr>
      <w:outlineLvl w:val="5"/>
    </w:pPr>
  </w:style>
  <w:style w:type="paragraph" w:styleId="Heading7">
    <w:name w:val="heading 7"/>
    <w:basedOn w:val="Normal"/>
    <w:next w:val="Normal"/>
    <w:link w:val="Heading7Char"/>
    <w:uiPriority w:val="99"/>
    <w:semiHidden/>
    <w:qFormat/>
    <w:pPr>
      <w:keepNext/>
      <w:numPr>
        <w:ilvl w:val="6"/>
        <w:numId w:val="88"/>
      </w:numPr>
      <w:outlineLvl w:val="6"/>
    </w:pPr>
  </w:style>
  <w:style w:type="paragraph" w:styleId="Heading8">
    <w:name w:val="heading 8"/>
    <w:basedOn w:val="Normal"/>
    <w:next w:val="Normal"/>
    <w:link w:val="Heading8Char"/>
    <w:uiPriority w:val="99"/>
    <w:semiHidden/>
    <w:qFormat/>
    <w:pPr>
      <w:keepNext/>
      <w:numPr>
        <w:ilvl w:val="7"/>
        <w:numId w:val="88"/>
      </w:numPr>
      <w:outlineLvl w:val="7"/>
    </w:pPr>
  </w:style>
  <w:style w:type="paragraph" w:styleId="Heading9">
    <w:name w:val="heading 9"/>
    <w:basedOn w:val="Normal"/>
    <w:next w:val="Normal"/>
    <w:link w:val="Heading9Char"/>
    <w:uiPriority w:val="99"/>
    <w:semiHidden/>
    <w:qFormat/>
    <w:pPr>
      <w:keepNext/>
      <w:numPr>
        <w:ilvl w:val="8"/>
        <w:numId w:val="8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CrossReference">
    <w:name w:val="Cross Reference"/>
    <w:basedOn w:val="DefaultParagraphFont"/>
    <w:uiPriority w:val="99"/>
    <w:rPr>
      <w:i/>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FigureSource">
    <w:name w:val="Figure Source"/>
    <w:basedOn w:val="Normal"/>
    <w:next w:val="Normal"/>
    <w:uiPriority w:val="7"/>
    <w:pPr>
      <w:spacing w:after="240" w:line="240" w:lineRule="auto"/>
    </w:pPr>
    <w:rPr>
      <w:sz w:val="18"/>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line="240" w:lineRule="auto"/>
    </w:pPr>
  </w:style>
  <w:style w:type="paragraph" w:customStyle="1" w:styleId="FigureTitle">
    <w:name w:val="Figure Title"/>
    <w:basedOn w:val="Normal"/>
    <w:next w:val="FigureBody"/>
    <w:uiPriority w:val="6"/>
    <w:pPr>
      <w:keepNext/>
      <w:spacing w:before="120"/>
    </w:pPr>
    <w:rPr>
      <w:b/>
      <w:i/>
    </w:rPr>
  </w:style>
  <w:style w:type="paragraph" w:customStyle="1" w:styleId="HistoryTable">
    <w:name w:val="HistoryTable"/>
    <w:basedOn w:val="Normal"/>
    <w:uiPriority w:val="99"/>
    <w:pPr>
      <w:spacing w:before="60" w:after="60"/>
    </w:pPr>
    <w:rPr>
      <w:sz w:val="20"/>
    </w:rPr>
  </w:style>
  <w:style w:type="paragraph" w:customStyle="1" w:styleId="HistTableHeading">
    <w:name w:val="HistTableHeading"/>
    <w:basedOn w:val="Normal"/>
    <w:next w:val="HistoryTable"/>
    <w:uiPriority w:val="99"/>
    <w:pPr>
      <w:jc w:val="center"/>
    </w:pPr>
    <w:rPr>
      <w:rFonts w:ascii="Times New Roman Bold" w:hAnsi="Times New Roman Bold"/>
      <w:b/>
      <w:sz w:val="32"/>
    </w:rPr>
  </w:style>
  <w:style w:type="paragraph" w:customStyle="1" w:styleId="TableText">
    <w:name w:val="Table Text"/>
    <w:basedOn w:val="Normal"/>
    <w:uiPriority w:val="90"/>
    <w:qFormat/>
    <w:pPr>
      <w:spacing w:before="60" w:after="60"/>
    </w:pPr>
    <w:rPr>
      <w:b/>
    </w:rPr>
  </w:style>
  <w:style w:type="paragraph" w:customStyle="1" w:styleId="LegalNumPar3">
    <w:name w:val="LegalNumPar3"/>
    <w:basedOn w:val="Normal"/>
    <w:uiPriority w:val="99"/>
    <w:pPr>
      <w:numPr>
        <w:ilvl w:val="2"/>
        <w:numId w:val="2"/>
      </w:numPr>
      <w:tabs>
        <w:tab w:val="clear" w:pos="1429"/>
      </w:tabs>
      <w:spacing w:line="360" w:lineRule="auto"/>
    </w:pPr>
    <w:rPr>
      <w:sz w:val="24"/>
    </w:rPr>
  </w:style>
  <w:style w:type="paragraph" w:customStyle="1" w:styleId="LegalNumPar2">
    <w:name w:val="LegalNumPar2"/>
    <w:basedOn w:val="Normal"/>
    <w:uiPriority w:val="99"/>
    <w:pPr>
      <w:numPr>
        <w:ilvl w:val="1"/>
        <w:numId w:val="2"/>
      </w:numPr>
      <w:tabs>
        <w:tab w:val="clear" w:pos="952"/>
      </w:tabs>
      <w:spacing w:line="360" w:lineRule="auto"/>
    </w:pPr>
    <w:rPr>
      <w:sz w:val="24"/>
    </w:rPr>
  </w:style>
  <w:style w:type="paragraph" w:customStyle="1" w:styleId="LegalNumPar">
    <w:name w:val="LegalNumPar"/>
    <w:basedOn w:val="Normal"/>
    <w:link w:val="LegalNumParChar"/>
    <w:qFormat/>
    <w:pPr>
      <w:spacing w:line="360" w:lineRule="auto"/>
    </w:pPr>
    <w:rPr>
      <w:sz w:val="24"/>
    </w:rPr>
  </w:style>
  <w:style w:type="paragraph" w:customStyle="1" w:styleId="MarkingLong">
    <w:name w:val="MarkingLong"/>
    <w:basedOn w:val="Marking"/>
    <w:uiPriority w:val="99"/>
    <w:pPr>
      <w:ind w:left="0"/>
      <w:jc w:val="right"/>
    </w:pPr>
  </w:style>
  <w:style w:type="paragraph" w:customStyle="1" w:styleId="Marking">
    <w:name w:val="Marking"/>
    <w:basedOn w:val="Normal"/>
    <w:uiPriority w:val="99"/>
    <w:pPr>
      <w:spacing w:line="276" w:lineRule="auto"/>
      <w:ind w:left="5102" w:right="-567"/>
      <w:contextualSpacing/>
      <w:jc w:val="left"/>
    </w:pPr>
    <w:rPr>
      <w:sz w:val="28"/>
    </w:rPr>
  </w:style>
  <w:style w:type="paragraph" w:customStyle="1" w:styleId="SectionTitle">
    <w:name w:val="SectionTitle"/>
    <w:basedOn w:val="Normal"/>
    <w:next w:val="Heading1"/>
    <w:uiPriority w:val="90"/>
    <w:qFormat/>
    <w:pPr>
      <w:keepNext/>
      <w:spacing w:before="720" w:after="360"/>
      <w:contextualSpacing/>
      <w:jc w:val="center"/>
      <w:outlineLvl w:val="0"/>
    </w:pPr>
    <w:rPr>
      <w:rFonts w:ascii="Times New Roman Bold" w:hAnsi="Times New Roman Bold"/>
      <w:b/>
      <w:smallCaps/>
      <w:sz w:val="32"/>
    </w:rPr>
  </w:style>
  <w:style w:type="paragraph" w:customStyle="1" w:styleId="ChapterTitle">
    <w:name w:val="ChapterTitle"/>
    <w:basedOn w:val="Normal"/>
    <w:next w:val="SectionTitle"/>
    <w:uiPriority w:val="90"/>
    <w:qFormat/>
    <w:pPr>
      <w:keepNext/>
      <w:spacing w:before="720" w:after="360"/>
      <w:jc w:val="center"/>
      <w:outlineLvl w:val="0"/>
    </w:pPr>
    <w:rPr>
      <w:b/>
      <w:sz w:val="36"/>
    </w:rPr>
  </w:style>
  <w:style w:type="paragraph" w:customStyle="1" w:styleId="PartTitle">
    <w:name w:val="PartTitle"/>
    <w:basedOn w:val="Normal"/>
    <w:next w:val="ChapterTitle"/>
    <w:uiPriority w:val="90"/>
    <w:qFormat/>
    <w:pPr>
      <w:keepNext/>
      <w:pageBreakBefore/>
      <w:spacing w:before="720" w:after="360"/>
      <w:jc w:val="center"/>
      <w:outlineLvl w:val="0"/>
    </w:pPr>
    <w:rPr>
      <w:b/>
      <w:sz w:val="40"/>
    </w:rPr>
  </w:style>
  <w:style w:type="paragraph" w:customStyle="1" w:styleId="AnnexTitle">
    <w:name w:val="AnnexTitle"/>
    <w:basedOn w:val="Normal"/>
    <w:next w:val="Normal"/>
    <w:uiPriority w:val="90"/>
    <w:qFormat/>
    <w:pPr>
      <w:pageBreakBefore/>
      <w:spacing w:before="240" w:after="360"/>
      <w:outlineLvl w:val="0"/>
    </w:pPr>
    <w:rPr>
      <w:b/>
      <w:sz w:val="36"/>
    </w:rPr>
  </w:style>
  <w:style w:type="paragraph" w:customStyle="1" w:styleId="FITTable">
    <w:name w:val="FIT Table"/>
    <w:basedOn w:val="Normal"/>
    <w:uiPriority w:val="99"/>
    <w:pPr>
      <w:spacing w:before="60" w:after="60"/>
    </w:pPr>
  </w:style>
  <w:style w:type="paragraph" w:customStyle="1" w:styleId="ListNumberLevel4">
    <w:name w:val="List Number (Level 4)"/>
    <w:basedOn w:val="Normal"/>
    <w:uiPriority w:val="99"/>
    <w:pPr>
      <w:numPr>
        <w:ilvl w:val="3"/>
        <w:numId w:val="4"/>
      </w:numPr>
      <w:ind w:left="1815" w:hanging="454"/>
      <w:contextualSpacing/>
    </w:pPr>
  </w:style>
  <w:style w:type="paragraph" w:customStyle="1" w:styleId="ListNumberLevel3">
    <w:name w:val="List Number (Level 3)"/>
    <w:basedOn w:val="Normal"/>
    <w:uiPriority w:val="99"/>
    <w:pPr>
      <w:numPr>
        <w:ilvl w:val="2"/>
        <w:numId w:val="4"/>
      </w:numPr>
      <w:contextualSpacing/>
    </w:pPr>
  </w:style>
  <w:style w:type="paragraph" w:customStyle="1" w:styleId="ListNumberLevel2">
    <w:name w:val="List Number (Level 2)"/>
    <w:basedOn w:val="Normal"/>
    <w:uiPriority w:val="99"/>
    <w:pPr>
      <w:numPr>
        <w:ilvl w:val="1"/>
        <w:numId w:val="4"/>
      </w:numPr>
      <w:ind w:left="908" w:hanging="454"/>
      <w:contextualSpacing/>
    </w:pPr>
  </w:style>
  <w:style w:type="paragraph" w:styleId="ListNumber">
    <w:name w:val="List Number"/>
    <w:basedOn w:val="Normal"/>
    <w:uiPriority w:val="99"/>
    <w:pPr>
      <w:numPr>
        <w:numId w:val="4"/>
      </w:numPr>
      <w:contextualSpacing/>
    </w:pPr>
  </w:style>
  <w:style w:type="paragraph" w:customStyle="1" w:styleId="ListDashLevel4">
    <w:name w:val="List Dash (Level 4)"/>
    <w:basedOn w:val="Normal"/>
    <w:uiPriority w:val="99"/>
    <w:pPr>
      <w:numPr>
        <w:ilvl w:val="3"/>
        <w:numId w:val="3"/>
      </w:numPr>
      <w:contextualSpacing/>
    </w:pPr>
  </w:style>
  <w:style w:type="paragraph" w:customStyle="1" w:styleId="ListDashLevel3">
    <w:name w:val="List Dash (Level 3)"/>
    <w:basedOn w:val="Normal"/>
    <w:uiPriority w:val="99"/>
    <w:pPr>
      <w:numPr>
        <w:ilvl w:val="2"/>
        <w:numId w:val="3"/>
      </w:numPr>
      <w:contextualSpacing/>
    </w:pPr>
  </w:style>
  <w:style w:type="paragraph" w:customStyle="1" w:styleId="ListDashLevel2">
    <w:name w:val="List Dash (Level 2)"/>
    <w:basedOn w:val="Normal"/>
    <w:uiPriority w:val="99"/>
    <w:pPr>
      <w:numPr>
        <w:ilvl w:val="1"/>
        <w:numId w:val="3"/>
      </w:numPr>
      <w:contextualSpacing/>
    </w:pPr>
  </w:style>
  <w:style w:type="paragraph" w:customStyle="1" w:styleId="ListDash">
    <w:name w:val="List Dash"/>
    <w:basedOn w:val="Normal"/>
    <w:uiPriority w:val="99"/>
    <w:pPr>
      <w:numPr>
        <w:numId w:val="3"/>
      </w:numPr>
      <w:contextualSpacing/>
    </w:pPr>
  </w:style>
  <w:style w:type="paragraph" w:customStyle="1" w:styleId="ListBulletLevel4">
    <w:name w:val="List Bullet (Level 4)"/>
    <w:basedOn w:val="Normal"/>
    <w:uiPriority w:val="99"/>
    <w:pPr>
      <w:tabs>
        <w:tab w:val="num" w:pos="454"/>
      </w:tabs>
      <w:ind w:left="454" w:hanging="454"/>
      <w:contextualSpacing/>
    </w:pPr>
  </w:style>
  <w:style w:type="paragraph" w:customStyle="1" w:styleId="ListBulletLevel3">
    <w:name w:val="List Bullet (Level 3)"/>
    <w:basedOn w:val="Normal"/>
    <w:uiPriority w:val="99"/>
    <w:pPr>
      <w:tabs>
        <w:tab w:val="num" w:pos="454"/>
      </w:tabs>
      <w:ind w:left="454" w:hanging="454"/>
      <w:contextualSpacing/>
    </w:pPr>
  </w:style>
  <w:style w:type="paragraph" w:customStyle="1" w:styleId="ListBulletLevel2">
    <w:name w:val="List Bullet (Level 2)"/>
    <w:basedOn w:val="Normal"/>
    <w:uiPriority w:val="99"/>
    <w:pPr>
      <w:tabs>
        <w:tab w:val="num" w:pos="454"/>
      </w:tabs>
      <w:ind w:left="454" w:hanging="454"/>
      <w:contextualSpacing/>
    </w:pPr>
  </w:style>
  <w:style w:type="paragraph" w:styleId="ListBullet">
    <w:name w:val="List Bullet"/>
    <w:basedOn w:val="Normal"/>
    <w:uiPriority w:val="99"/>
    <w:pPr>
      <w:numPr>
        <w:numId w:val="5"/>
      </w:numPr>
      <w:contextualSpacing/>
    </w:pPr>
  </w:style>
  <w:style w:type="paragraph" w:styleId="TOC9">
    <w:name w:val="toc 9"/>
    <w:basedOn w:val="Normal"/>
    <w:next w:val="Normal"/>
    <w:uiPriority w:val="39"/>
    <w:pPr>
      <w:spacing w:after="0"/>
      <w:ind w:left="1760"/>
      <w:jc w:val="left"/>
    </w:pPr>
    <w:rPr>
      <w:rFonts w:asciiTheme="minorHAnsi" w:hAnsiTheme="minorHAnsi" w:cstheme="minorHAnsi"/>
      <w:sz w:val="20"/>
    </w:rPr>
  </w:style>
  <w:style w:type="paragraph" w:styleId="TOC8">
    <w:name w:val="toc 8"/>
    <w:basedOn w:val="Normal"/>
    <w:next w:val="Normal"/>
    <w:uiPriority w:val="39"/>
    <w:pPr>
      <w:spacing w:after="0"/>
      <w:ind w:left="1540"/>
      <w:jc w:val="left"/>
    </w:pPr>
    <w:rPr>
      <w:rFonts w:asciiTheme="minorHAnsi" w:hAnsiTheme="minorHAnsi" w:cstheme="minorHAnsi"/>
      <w:sz w:val="20"/>
    </w:rPr>
  </w:style>
  <w:style w:type="paragraph" w:styleId="TOC7">
    <w:name w:val="toc 7"/>
    <w:basedOn w:val="Normal"/>
    <w:next w:val="Normal"/>
    <w:uiPriority w:val="39"/>
    <w:pPr>
      <w:spacing w:after="0"/>
      <w:ind w:left="1320"/>
      <w:jc w:val="left"/>
    </w:pPr>
    <w:rPr>
      <w:rFonts w:asciiTheme="minorHAnsi" w:hAnsiTheme="minorHAnsi" w:cstheme="minorHAnsi"/>
      <w:sz w:val="20"/>
    </w:rPr>
  </w:style>
  <w:style w:type="paragraph" w:styleId="TOC6">
    <w:name w:val="toc 6"/>
    <w:basedOn w:val="Normal"/>
    <w:next w:val="Normal"/>
    <w:uiPriority w:val="39"/>
    <w:pPr>
      <w:spacing w:after="0"/>
      <w:ind w:left="1100"/>
      <w:jc w:val="left"/>
    </w:pPr>
    <w:rPr>
      <w:rFonts w:asciiTheme="minorHAnsi" w:hAnsiTheme="minorHAnsi" w:cstheme="minorHAnsi"/>
      <w:sz w:val="20"/>
    </w:rPr>
  </w:style>
  <w:style w:type="paragraph" w:styleId="TOC5">
    <w:name w:val="toc 5"/>
    <w:basedOn w:val="Normal"/>
    <w:next w:val="Normal"/>
    <w:uiPriority w:val="39"/>
    <w:pPr>
      <w:spacing w:after="0"/>
      <w:ind w:left="880"/>
      <w:jc w:val="left"/>
    </w:pPr>
    <w:rPr>
      <w:rFonts w:asciiTheme="minorHAnsi" w:hAnsiTheme="minorHAnsi" w:cstheme="minorHAnsi"/>
      <w:sz w:val="20"/>
    </w:rPr>
  </w:style>
  <w:style w:type="paragraph" w:styleId="TOC4">
    <w:name w:val="toc 4"/>
    <w:basedOn w:val="Normal"/>
    <w:next w:val="Normal"/>
    <w:uiPriority w:val="39"/>
    <w:pPr>
      <w:spacing w:after="0"/>
      <w:ind w:left="660"/>
      <w:jc w:val="left"/>
    </w:pPr>
    <w:rPr>
      <w:rFonts w:asciiTheme="minorHAnsi" w:hAnsiTheme="minorHAnsi" w:cstheme="minorHAnsi"/>
      <w:sz w:val="20"/>
    </w:rPr>
  </w:style>
  <w:style w:type="paragraph" w:styleId="TOC3">
    <w:name w:val="toc 3"/>
    <w:basedOn w:val="Normal"/>
    <w:next w:val="Normal"/>
    <w:uiPriority w:val="39"/>
    <w:pPr>
      <w:spacing w:after="0"/>
      <w:ind w:left="440"/>
      <w:jc w:val="left"/>
    </w:pPr>
    <w:rPr>
      <w:rFonts w:asciiTheme="minorHAnsi" w:hAnsiTheme="minorHAnsi" w:cstheme="minorHAnsi"/>
      <w:sz w:val="20"/>
    </w:rPr>
  </w:style>
  <w:style w:type="paragraph" w:styleId="TOC2">
    <w:name w:val="toc 2"/>
    <w:basedOn w:val="Normal"/>
    <w:next w:val="Normal"/>
    <w:uiPriority w:val="39"/>
    <w:pPr>
      <w:spacing w:before="120" w:after="0"/>
      <w:ind w:left="220"/>
      <w:jc w:val="left"/>
    </w:pPr>
    <w:rPr>
      <w:rFonts w:asciiTheme="minorHAnsi" w:hAnsiTheme="minorHAnsi" w:cstheme="minorHAnsi"/>
      <w:b/>
      <w:bCs/>
      <w:szCs w:val="22"/>
    </w:rPr>
  </w:style>
  <w:style w:type="paragraph" w:styleId="TOC1">
    <w:name w:val="toc 1"/>
    <w:basedOn w:val="Normal"/>
    <w:next w:val="Normal"/>
    <w:uiPriority w:val="39"/>
    <w:pPr>
      <w:spacing w:before="120" w:after="0"/>
      <w:jc w:val="left"/>
    </w:pPr>
    <w:rPr>
      <w:rFonts w:cstheme="minorHAnsi"/>
      <w:b/>
      <w:bCs/>
      <w:i/>
      <w:iCs/>
      <w:sz w:val="20"/>
      <w:szCs w:val="24"/>
    </w:rPr>
  </w:style>
  <w:style w:type="paragraph" w:styleId="TOCHeading">
    <w:name w:val="TOC Heading"/>
    <w:basedOn w:val="Normal"/>
    <w:next w:val="Normal"/>
    <w:uiPriority w:val="39"/>
    <w:qFormat/>
    <w:pPr>
      <w:jc w:val="center"/>
    </w:pPr>
    <w:rPr>
      <w:rFonts w:ascii="Times New Roman Bold" w:hAnsi="Times New Roman Bold"/>
      <w:b/>
      <w:sz w:val="32"/>
    </w:rPr>
  </w:style>
  <w:style w:type="paragraph" w:customStyle="1" w:styleId="YReferences">
    <w:name w:val="YReferences"/>
    <w:basedOn w:val="Normal"/>
    <w:next w:val="Normal"/>
    <w:uiPriority w:val="99"/>
    <w:pPr>
      <w:spacing w:after="480"/>
      <w:ind w:left="1531" w:hanging="1531"/>
    </w:pPr>
  </w:style>
  <w:style w:type="paragraph" w:customStyle="1" w:styleId="SubTitle2">
    <w:name w:val="SubTitle 2"/>
    <w:basedOn w:val="Normal"/>
    <w:uiPriority w:val="99"/>
    <w:pPr>
      <w:spacing w:after="280"/>
      <w:jc w:val="center"/>
    </w:pPr>
    <w:rPr>
      <w:b/>
      <w:sz w:val="32"/>
    </w:rPr>
  </w:style>
  <w:style w:type="paragraph" w:customStyle="1" w:styleId="SubTitle1">
    <w:name w:val="SubTitle 1"/>
    <w:basedOn w:val="Normal"/>
    <w:next w:val="Normal"/>
    <w:uiPriority w:val="99"/>
    <w:pPr>
      <w:spacing w:before="360" w:after="2000"/>
      <w:jc w:val="center"/>
    </w:pPr>
    <w:rPr>
      <w:b/>
      <w:sz w:val="40"/>
    </w:rPr>
  </w:style>
  <w:style w:type="paragraph" w:styleId="Title">
    <w:name w:val="Title"/>
    <w:basedOn w:val="Normal"/>
    <w:next w:val="SubTitle1"/>
    <w:link w:val="TitleChar"/>
    <w:uiPriority w:val="99"/>
    <w:qFormat/>
    <w:pPr>
      <w:spacing w:before="3200" w:after="480"/>
      <w:jc w:val="center"/>
    </w:pPr>
    <w:rPr>
      <w:b/>
      <w:kern w:val="28"/>
      <w:sz w:val="48"/>
    </w:rPr>
  </w:style>
  <w:style w:type="paragraph" w:customStyle="1" w:styleId="NumPar4">
    <w:name w:val="NumPar 4"/>
    <w:basedOn w:val="Heading4"/>
    <w:uiPriority w:val="90"/>
    <w:qFormat/>
    <w:pPr>
      <w:keepNext w:val="0"/>
      <w:tabs>
        <w:tab w:val="left" w:pos="737"/>
      </w:tabs>
      <w:spacing w:before="0"/>
      <w:ind w:left="0" w:firstLine="0"/>
      <w:outlineLvl w:val="9"/>
    </w:pPr>
  </w:style>
  <w:style w:type="paragraph" w:customStyle="1" w:styleId="NumPar3">
    <w:name w:val="NumPar 3"/>
    <w:basedOn w:val="Heading3"/>
    <w:uiPriority w:val="90"/>
    <w:qFormat/>
    <w:pPr>
      <w:keepNext w:val="0"/>
      <w:tabs>
        <w:tab w:val="left" w:pos="567"/>
      </w:tabs>
      <w:spacing w:before="0"/>
      <w:outlineLvl w:val="9"/>
    </w:pPr>
    <w:rPr>
      <w:b w:val="0"/>
      <w:sz w:val="22"/>
    </w:rPr>
  </w:style>
  <w:style w:type="paragraph" w:customStyle="1" w:styleId="NumPar2">
    <w:name w:val="NumPar 2"/>
    <w:basedOn w:val="Heading2"/>
    <w:uiPriority w:val="90"/>
    <w:qFormat/>
    <w:pPr>
      <w:keepNext w:val="0"/>
      <w:tabs>
        <w:tab w:val="left" w:pos="397"/>
      </w:tabs>
      <w:spacing w:before="0"/>
      <w:ind w:left="0" w:firstLine="0"/>
      <w:outlineLvl w:val="9"/>
    </w:pPr>
    <w:rPr>
      <w:b w:val="0"/>
      <w:sz w:val="22"/>
    </w:rPr>
  </w:style>
  <w:style w:type="paragraph" w:customStyle="1" w:styleId="NumPar1">
    <w:name w:val="NumPar 1"/>
    <w:basedOn w:val="Heading1"/>
    <w:uiPriority w:val="90"/>
    <w:qFormat/>
    <w:pPr>
      <w:keepNext w:val="0"/>
      <w:tabs>
        <w:tab w:val="clear" w:pos="510"/>
        <w:tab w:val="left" w:pos="227"/>
      </w:tabs>
      <w:spacing w:before="0"/>
      <w:ind w:left="0" w:firstLine="0"/>
      <w:outlineLvl w:val="9"/>
    </w:pPr>
    <w:rPr>
      <w:b w:val="0"/>
      <w:smallCaps w:val="0"/>
      <w:sz w:val="22"/>
    </w:rPr>
  </w:style>
  <w:style w:type="paragraph" w:styleId="FootnoteText">
    <w:name w:val="footnote text"/>
    <w:aliases w:val="fn,Fußnote,Fotnotstext1,Footnote text,Footnote Text Char2,Footnote Text Char1 Char,Footnote Text Char Char Char,Footnote Text Char Char1,Footnote Text Char1 Char1,Footnote Text Char Char Char1,Footnote Text Char Char,9 pt,ft,Plonk,Geneva 9"/>
    <w:basedOn w:val="Normal"/>
    <w:link w:val="FootnoteTextChar"/>
    <w:qFormat/>
    <w:pPr>
      <w:ind w:left="357" w:hanging="357"/>
    </w:pPr>
    <w:rPr>
      <w:sz w:val="20"/>
    </w:rPr>
  </w:style>
  <w:style w:type="paragraph" w:customStyle="1" w:styleId="FooterLine">
    <w:name w:val="Footer Line"/>
    <w:basedOn w:val="Footer"/>
    <w:next w:val="Footer"/>
    <w:uiPriority w:val="99"/>
    <w:pPr>
      <w:pBdr>
        <w:top w:val="single" w:sz="4" w:space="1" w:color="auto"/>
      </w:pBdr>
      <w:tabs>
        <w:tab w:val="right" w:pos="8646"/>
      </w:tabs>
      <w:spacing w:before="120"/>
      <w:ind w:right="0"/>
    </w:pPr>
  </w:style>
  <w:style w:type="paragraph" w:styleId="EndnoteText">
    <w:name w:val="endnote text"/>
    <w:basedOn w:val="Normal"/>
    <w:link w:val="EndnoteTextChar"/>
    <w:uiPriority w:val="99"/>
    <w:semiHidden/>
    <w:rPr>
      <w:sz w:val="20"/>
    </w:rPr>
  </w:style>
  <w:style w:type="paragraph" w:customStyle="1" w:styleId="References">
    <w:name w:val="References"/>
    <w:basedOn w:val="ListNumber"/>
    <w:uiPriority w:val="99"/>
    <w:pPr>
      <w:tabs>
        <w:tab w:val="num" w:pos="397"/>
        <w:tab w:val="num" w:pos="709"/>
      </w:tabs>
      <w:ind w:left="709" w:hanging="709"/>
    </w:pPr>
  </w:style>
  <w:style w:type="paragraph" w:styleId="Date">
    <w:name w:val="Date"/>
    <w:basedOn w:val="Normal"/>
    <w:next w:val="References"/>
    <w:link w:val="DateChar"/>
    <w:uiPriority w:val="99"/>
    <w:pPr>
      <w:spacing w:after="0"/>
      <w:ind w:left="5102" w:right="-567"/>
    </w:pPr>
  </w:style>
  <w:style w:type="paragraph" w:customStyle="1" w:styleId="Enclosures">
    <w:name w:val="Enclosures"/>
    <w:basedOn w:val="Normal"/>
    <w:next w:val="Normal"/>
    <w:uiPriority w:val="99"/>
    <w:pPr>
      <w:keepNext/>
      <w:keepLines/>
      <w:tabs>
        <w:tab w:val="left" w:pos="5641"/>
      </w:tabs>
      <w:spacing w:before="480" w:after="0"/>
      <w:ind w:left="1794" w:hanging="1794"/>
    </w:pPr>
  </w:style>
  <w:style w:type="paragraph" w:customStyle="1" w:styleId="Contact">
    <w:name w:val="Contact"/>
    <w:basedOn w:val="Normal"/>
    <w:uiPriority w:val="99"/>
    <w:pPr>
      <w:spacing w:before="480" w:after="0"/>
      <w:ind w:left="567" w:hanging="567"/>
      <w:jc w:val="left"/>
    </w:p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Table legend,figures"/>
    <w:basedOn w:val="Normal"/>
    <w:next w:val="Normal"/>
    <w:link w:val="CaptionChar"/>
    <w:uiPriority w:val="35"/>
    <w:qFormat/>
    <w:pPr>
      <w:spacing w:before="120"/>
    </w:pPr>
    <w:rPr>
      <w:b/>
      <w:i/>
    </w:rPr>
  </w:style>
  <w:style w:type="paragraph" w:customStyle="1" w:styleId="ZDGName">
    <w:name w:val="Z_DGName"/>
    <w:basedOn w:val="Normal"/>
    <w:uiPriority w:val="99"/>
    <w:semiHidden/>
    <w:pPr>
      <w:widowControl w:val="0"/>
      <w:spacing w:after="0" w:line="240" w:lineRule="auto"/>
      <w:ind w:right="85"/>
      <w:jc w:val="left"/>
    </w:pPr>
    <w:rPr>
      <w:sz w:val="16"/>
    </w:rPr>
  </w:style>
  <w:style w:type="paragraph" w:customStyle="1" w:styleId="ZCom">
    <w:name w:val="Z_Com"/>
    <w:basedOn w:val="Normal"/>
    <w:next w:val="Normal"/>
    <w:uiPriority w:val="99"/>
    <w:semiHidden/>
    <w:pPr>
      <w:widowControl w:val="0"/>
      <w:spacing w:before="90" w:after="0" w:line="240" w:lineRule="auto"/>
      <w:ind w:right="85"/>
    </w:pPr>
    <w:rPr>
      <w:sz w:val="24"/>
    </w:rPr>
  </w:style>
  <w:style w:type="paragraph" w:customStyle="1" w:styleId="ZFlag">
    <w:name w:val="Z_Flag"/>
    <w:basedOn w:val="Normal"/>
    <w:next w:val="Normal"/>
    <w:uiPriority w:val="99"/>
    <w:semiHidden/>
    <w:pPr>
      <w:widowControl w:val="0"/>
      <w:spacing w:after="0"/>
      <w:ind w:right="85"/>
    </w:pPr>
  </w:style>
  <w:style w:type="paragraph" w:customStyle="1" w:styleId="GlossaryHeading">
    <w:name w:val="GlossaryHeading"/>
    <w:basedOn w:val="Normal"/>
    <w:uiPriority w:val="99"/>
    <w:pPr>
      <w:spacing w:after="480"/>
      <w:jc w:val="center"/>
      <w:outlineLvl w:val="0"/>
    </w:pPr>
    <w:rPr>
      <w:rFonts w:ascii="Times New Roman Bold" w:hAnsi="Times New Roman Bold"/>
      <w:b/>
      <w:sz w:val="32"/>
    </w:rPr>
  </w:style>
  <w:style w:type="paragraph" w:customStyle="1" w:styleId="Glossary">
    <w:name w:val="Glossary"/>
    <w:basedOn w:val="Normal"/>
    <w:uiPriority w:val="90"/>
    <w:qFormat/>
    <w:pPr>
      <w:tabs>
        <w:tab w:val="left" w:pos="2835"/>
      </w:tabs>
      <w:ind w:left="2835" w:hanging="2835"/>
      <w:jc w:val="left"/>
    </w:pPr>
  </w:style>
  <w:style w:type="paragraph" w:customStyle="1" w:styleId="Citation">
    <w:name w:val="Citation"/>
    <w:basedOn w:val="Normal"/>
    <w:link w:val="CitationChar"/>
    <w:uiPriority w:val="90"/>
    <w:qFormat/>
    <w:pPr>
      <w:ind w:left="454" w:right="454"/>
    </w:pPr>
    <w:rPr>
      <w:i/>
    </w:rPr>
  </w:style>
  <w:style w:type="character" w:customStyle="1" w:styleId="CitationChar">
    <w:name w:val="Citation Char"/>
    <w:link w:val="Citation"/>
    <w:uiPriority w:val="90"/>
    <w:qFormat/>
    <w:rPr>
      <w:i/>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0"/>
    </w:rPr>
  </w:style>
  <w:style w:type="character" w:customStyle="1" w:styleId="MacroTextChar">
    <w:name w:val="Macro Text Char"/>
    <w:basedOn w:val="DefaultParagraphFont"/>
    <w:link w:val="MacroText"/>
    <w:uiPriority w:val="90"/>
    <w:qFormat/>
    <w:rPr>
      <w:rFonts w:ascii="Courier New" w:hAnsi="Courier New"/>
      <w:sz w:val="20"/>
    </w:rPr>
  </w:style>
  <w:style w:type="paragraph" w:styleId="Header">
    <w:name w:val="header"/>
    <w:basedOn w:val="Normal"/>
    <w:link w:val="HeaderChar"/>
    <w:uiPriority w:val="99"/>
    <w:pPr>
      <w:tabs>
        <w:tab w:val="center" w:pos="4150"/>
        <w:tab w:val="right" w:pos="8306"/>
      </w:tabs>
    </w:pPr>
  </w:style>
  <w:style w:type="character" w:customStyle="1" w:styleId="HeaderChar">
    <w:name w:val="Header Char"/>
    <w:basedOn w:val="DefaultParagraphFont"/>
    <w:link w:val="Header"/>
    <w:uiPriority w:val="99"/>
    <w:rPr>
      <w:sz w:val="24"/>
    </w:rPr>
  </w:style>
  <w:style w:type="paragraph" w:styleId="Footer">
    <w:name w:val="footer"/>
    <w:basedOn w:val="Normal"/>
    <w:link w:val="FooterChar"/>
    <w:uiPriority w:val="99"/>
    <w:pPr>
      <w:spacing w:after="0" w:line="240" w:lineRule="auto"/>
      <w:ind w:right="-567"/>
    </w:pPr>
    <w:rPr>
      <w:sz w:val="16"/>
    </w:rPr>
  </w:style>
  <w:style w:type="character" w:customStyle="1" w:styleId="FooterChar">
    <w:name w:val="Footer Char"/>
    <w:link w:val="Footer"/>
    <w:uiPriority w:val="99"/>
    <w:rPr>
      <w:sz w:val="16"/>
    </w:rPr>
  </w:style>
  <w:style w:type="table" w:styleId="TableGrid">
    <w:name w:val="Table Grid"/>
    <w:aliases w:val="Document Table,CV1,Table Format 1,HTG,Tabela Renova,TabelEcorys,Deloitte,Simple table,simple table"/>
    <w:basedOn w:val="TableNormal"/>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istory">
    <w:name w:val="Table History"/>
    <w:basedOn w:val="TableNormal"/>
    <w:uiPriority w:val="99"/>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table" w:customStyle="1" w:styleId="PropertiesTable">
    <w:name w:val="Properties Table"/>
    <w:basedOn w:val="TableNormal"/>
    <w:uiPriority w:val="99"/>
    <w:pPr>
      <w:spacing w:after="120" w:line="264" w:lineRule="auto"/>
    </w:pPr>
    <w:tblPr>
      <w:tblInd w:w="1984" w:type="dxa"/>
    </w:tblPr>
  </w:style>
  <w:style w:type="character" w:styleId="FootnoteReference">
    <w:name w:val="footnote reference"/>
    <w:aliases w:val="Footnote,Footnote symbol,Times 10 Point,Exposant 3 Point,SUPERS,-E Fußnotenzeichen,number,Footnote reference number,note TESI,EN Footnote Reference,Footnote Reference/,Footnote Reference Number,Footnote Refernece,BVI fnr,stylish,E..."/>
    <w:link w:val="FootnotesymbolCarZchn"/>
    <w:uiPriority w:val="99"/>
    <w:qFormat/>
    <w:locked/>
    <w:rPr>
      <w:vertAlign w:val="superscript"/>
    </w:rPr>
  </w:style>
  <w:style w:type="paragraph" w:customStyle="1" w:styleId="Footnote1">
    <w:name w:val="Footnote 1"/>
    <w:basedOn w:val="FootnoteText"/>
    <w:link w:val="Footnote1Char"/>
    <w:qFormat/>
    <w:pPr>
      <w:spacing w:after="0" w:line="240" w:lineRule="auto"/>
      <w:ind w:left="0" w:firstLine="0"/>
      <w:jc w:val="left"/>
    </w:pPr>
    <w:rPr>
      <w:rFonts w:ascii="Arial" w:hAnsi="Arial" w:cs="Arial"/>
      <w:lang w:eastAsia="en-US"/>
    </w:rPr>
  </w:style>
  <w:style w:type="character" w:customStyle="1" w:styleId="Footnote1Char">
    <w:name w:val="Footnote 1 Char"/>
    <w:link w:val="Footnote1"/>
    <w:rPr>
      <w:rFonts w:ascii="Arial" w:hAnsi="Arial" w:cs="Arial"/>
      <w:sz w:val="20"/>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pPr>
    <w:rPr>
      <w:sz w:val="24"/>
      <w:vertAlign w:val="superscript"/>
    </w:rPr>
  </w:style>
  <w:style w:type="character" w:styleId="Hyperlink">
    <w:name w:val="Hyperlink"/>
    <w:uiPriority w:val="99"/>
    <w:locked/>
    <w:rPr>
      <w:rFonts w:ascii="Times New Roman" w:hAnsi="Times New Roman" w:cs="Times New Roman"/>
      <w:b w:val="0"/>
      <w:color w:val="auto"/>
      <w:sz w:val="16"/>
      <w:u w:val="single"/>
      <w:effect w:val="none"/>
    </w:rPr>
  </w:style>
  <w:style w:type="character" w:customStyle="1" w:styleId="FootnoteTextChar">
    <w:name w:val="Footnote Text Char"/>
    <w:aliases w:val="fn Char,Fußnote Char,Fotnotstext1 Char,Footnote text Char,Footnote Text Char2 Char,Footnote Text Char1 Char Char,Footnote Text Char Char Char Char,Footnote Text Char Char1 Char,Footnote Text Char1 Char1 Char,9 pt Char,ft Char"/>
    <w:link w:val="FootnoteText"/>
    <w:qFormat/>
    <w:rPr>
      <w:sz w:val="20"/>
    </w:rPr>
  </w:style>
  <w:style w:type="paragraph" w:styleId="BalloonText">
    <w:name w:val="Balloon Text"/>
    <w:basedOn w:val="Normal"/>
    <w:link w:val="BalloonTextChar"/>
    <w:uiPriority w:val="99"/>
    <w:semiHidden/>
    <w:unhideWhenUsed/>
    <w:lock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CommentReference">
    <w:name w:val="annotation reference"/>
    <w:basedOn w:val="DefaultParagraphFont"/>
    <w:uiPriority w:val="99"/>
    <w:locked/>
    <w:rPr>
      <w:sz w:val="16"/>
      <w:szCs w:val="16"/>
    </w:rPr>
  </w:style>
  <w:style w:type="paragraph" w:styleId="CommentText">
    <w:name w:val="annotation text"/>
    <w:basedOn w:val="Normal"/>
    <w:link w:val="CommentTextChar"/>
    <w:uiPriority w:val="99"/>
    <w:locked/>
    <w:pPr>
      <w:spacing w:line="240" w:lineRule="auto"/>
    </w:pPr>
    <w:rPr>
      <w:sz w:val="20"/>
    </w:rPr>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uiPriority w:val="99"/>
    <w:semiHidden/>
    <w:unhideWhenUsed/>
    <w:locked/>
    <w:rPr>
      <w:b/>
      <w:bCs/>
    </w:rPr>
  </w:style>
  <w:style w:type="character" w:customStyle="1" w:styleId="CommentSubjectChar">
    <w:name w:val="Comment Subject Char"/>
    <w:basedOn w:val="CommentTextChar"/>
    <w:link w:val="CommentSubject"/>
    <w:uiPriority w:val="99"/>
    <w:semiHidden/>
    <w:rPr>
      <w:b/>
      <w:bCs/>
      <w:sz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uiPriority w:val="99"/>
    <w:pPr>
      <w:spacing w:after="160" w:line="240" w:lineRule="exact"/>
      <w:jc w:val="left"/>
    </w:pPr>
    <w:rPr>
      <w:rFonts w:asciiTheme="minorHAnsi" w:eastAsiaTheme="minorEastAsia" w:hAnsiTheme="minorHAnsi" w:cstheme="minorBidi"/>
      <w:szCs w:val="22"/>
      <w:vertAlign w:val="superscript"/>
      <w:lang w:eastAsia="en-US"/>
    </w:rPr>
  </w:style>
  <w:style w:type="paragraph" w:customStyle="1" w:styleId="Default">
    <w:name w:val="Default"/>
    <w:pPr>
      <w:autoSpaceDE w:val="0"/>
      <w:autoSpaceDN w:val="0"/>
      <w:adjustRightInd w:val="0"/>
    </w:pPr>
    <w:rPr>
      <w:rFonts w:ascii="Verdana" w:hAnsi="Verdana" w:cs="Verdana"/>
      <w:color w:val="000000"/>
      <w:szCs w:val="24"/>
    </w:rPr>
  </w:style>
  <w:style w:type="paragraph" w:styleId="ListParagraph">
    <w:name w:val="List Paragraph"/>
    <w:aliases w:val="List1,FooterText,Paragraphe de liste1,List Paragraph (bulleted list),Bullet 1 List,Dot pt,F5 List Paragraph,List Paragraph1,No Spacing1,List Paragraph Char Char Char,Indicator Text,Colorful List - Accent 11,Numbered Para 1,Bullet 1,List11"/>
    <w:basedOn w:val="Normal"/>
    <w:link w:val="ListParagraphChar"/>
    <w:uiPriority w:val="34"/>
    <w:qFormat/>
    <w:locked/>
    <w:pPr>
      <w:ind w:left="720"/>
      <w:contextualSpacing/>
    </w:pPr>
  </w:style>
  <w:style w:type="paragraph" w:styleId="TableofFigures">
    <w:name w:val="table of figures"/>
    <w:basedOn w:val="Normal"/>
    <w:next w:val="Normal"/>
    <w:uiPriority w:val="99"/>
    <w:locked/>
    <w:pPr>
      <w:spacing w:after="0"/>
    </w:pPr>
    <w:rPr>
      <w:sz w:val="20"/>
    </w:rPr>
  </w:style>
  <w:style w:type="paragraph" w:styleId="Revision">
    <w:name w:val="Revision"/>
    <w:hidden/>
    <w:uiPriority w:val="99"/>
    <w:semiHidden/>
    <w:locked/>
    <w:rPr>
      <w:sz w:val="22"/>
    </w:rPr>
  </w:style>
  <w:style w:type="paragraph" w:customStyle="1" w:styleId="Briefingtext">
    <w:name w:val="Briefing text"/>
    <w:basedOn w:val="Normal"/>
    <w:link w:val="BriefingtextChar"/>
    <w:qFormat/>
    <w:pPr>
      <w:spacing w:after="240" w:line="240" w:lineRule="auto"/>
    </w:pPr>
    <w:rPr>
      <w:rFonts w:ascii="Arial" w:hAnsi="Arial" w:cs="Arial"/>
      <w:szCs w:val="24"/>
      <w:lang w:eastAsia="en-US"/>
    </w:rPr>
  </w:style>
  <w:style w:type="character" w:customStyle="1" w:styleId="BriefingtextChar">
    <w:name w:val="Briefing text Char"/>
    <w:link w:val="Briefingtext"/>
    <w:rPr>
      <w:rFonts w:ascii="Arial" w:hAnsi="Arial" w:cs="Arial"/>
      <w:sz w:val="22"/>
      <w:szCs w:val="24"/>
      <w:lang w:eastAsia="en-US"/>
    </w:rPr>
  </w:style>
  <w:style w:type="paragraph" w:styleId="NormalWeb">
    <w:name w:val="Normal (Web)"/>
    <w:basedOn w:val="Normal"/>
    <w:uiPriority w:val="99"/>
    <w:unhideWhenUsed/>
    <w:locked/>
    <w:pPr>
      <w:spacing w:before="100" w:beforeAutospacing="1" w:after="100" w:afterAutospacing="1" w:line="240" w:lineRule="auto"/>
      <w:jc w:val="left"/>
    </w:pPr>
    <w:rPr>
      <w:sz w:val="24"/>
      <w:szCs w:val="24"/>
    </w:rPr>
  </w:style>
  <w:style w:type="character" w:styleId="FollowedHyperlink">
    <w:name w:val="FollowedHyperlink"/>
    <w:basedOn w:val="DefaultParagraphFont"/>
    <w:semiHidden/>
    <w:unhideWhenUsed/>
    <w:locked/>
    <w:rPr>
      <w:color w:val="954F72" w:themeColor="followedHyperlink"/>
      <w:u w:val="single"/>
    </w:rPr>
  </w:style>
  <w:style w:type="paragraph" w:styleId="NoSpacing">
    <w:name w:val="No Spacing"/>
    <w:basedOn w:val="Normal"/>
    <w:link w:val="NoSpacingChar"/>
    <w:uiPriority w:val="1"/>
    <w:qFormat/>
    <w:locked/>
    <w:pPr>
      <w:spacing w:before="240" w:after="240" w:line="240" w:lineRule="auto"/>
    </w:pPr>
    <w:rPr>
      <w:rFonts w:eastAsia="Arial Unicode MS"/>
      <w:sz w:val="24"/>
      <w:szCs w:val="24"/>
      <w:bdr w:val="nil"/>
      <w:lang w:eastAsia="en-US"/>
    </w:rPr>
  </w:style>
  <w:style w:type="numbering" w:customStyle="1" w:styleId="ImportedStyle3">
    <w:name w:val="Imported Style 3"/>
    <w:pPr>
      <w:numPr>
        <w:numId w:val="9"/>
      </w:numPr>
    </w:pPr>
  </w:style>
  <w:style w:type="character" w:customStyle="1" w:styleId="ListParagraphChar">
    <w:name w:val="List Paragraph Char"/>
    <w:aliases w:val="List1 Char,FooterText Char,Paragraphe de liste1 Char,List Paragraph (bulleted list) Char,Bullet 1 List Char,Dot pt Char,F5 List Paragraph Char,List Paragraph1 Char,No Spacing1 Char,List Paragraph Char Char Char Char,Bullet 1 Char"/>
    <w:basedOn w:val="DefaultParagraphFont"/>
    <w:link w:val="ListParagraph"/>
    <w:uiPriority w:val="34"/>
    <w:qFormat/>
    <w:locked/>
    <w:rPr>
      <w:sz w:val="22"/>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uiPriority w:val="99"/>
    <w:pPr>
      <w:spacing w:after="0" w:line="240" w:lineRule="auto"/>
    </w:pPr>
    <w:rPr>
      <w:rFonts w:eastAsiaTheme="minorHAnsi"/>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line="240" w:lineRule="auto"/>
    </w:pPr>
    <w:rPr>
      <w:sz w:val="24"/>
    </w:r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line="240" w:lineRule="auto"/>
      <w:jc w:val="right"/>
    </w:pPr>
    <w:rPr>
      <w:sz w:val="28"/>
    </w:rPr>
  </w:style>
  <w:style w:type="character" w:customStyle="1" w:styleId="HeaderSensitivityRightChar">
    <w:name w:val="Header Sensitivity Right Char"/>
    <w:basedOn w:val="DefaultParagraphFont"/>
    <w:link w:val="HeaderSensitivityRight"/>
    <w:rPr>
      <w:sz w:val="28"/>
    </w:rPr>
  </w:style>
  <w:style w:type="paragraph" w:customStyle="1" w:styleId="Typedudocument">
    <w:name w:val="Type du document"/>
    <w:basedOn w:val="Normal"/>
    <w:next w:val="Normal"/>
    <w:uiPriority w:val="99"/>
    <w:pPr>
      <w:spacing w:before="360" w:after="0" w:line="240" w:lineRule="auto"/>
      <w:jc w:val="center"/>
    </w:pPr>
    <w:rPr>
      <w:rFonts w:eastAsiaTheme="minorHAnsi"/>
      <w:b/>
      <w:sz w:val="24"/>
      <w:szCs w:val="22"/>
      <w:lang w:eastAsia="en-US"/>
    </w:rPr>
  </w:style>
  <w:style w:type="paragraph" w:customStyle="1" w:styleId="Titreobjet">
    <w:name w:val="Titre objet"/>
    <w:basedOn w:val="Normal"/>
    <w:next w:val="Normal"/>
    <w:uiPriority w:val="99"/>
    <w:pPr>
      <w:spacing w:before="360" w:after="360" w:line="240" w:lineRule="auto"/>
      <w:jc w:val="center"/>
    </w:pPr>
    <w:rPr>
      <w:rFonts w:eastAsiaTheme="minorHAnsi"/>
      <w:b/>
      <w:sz w:val="24"/>
      <w:szCs w:val="22"/>
      <w:lang w:eastAsia="en-US"/>
    </w:rPr>
  </w:style>
  <w:style w:type="paragraph" w:customStyle="1" w:styleId="s8">
    <w:name w:val="s8"/>
    <w:basedOn w:val="Normal"/>
    <w:uiPriority w:val="99"/>
    <w:pPr>
      <w:spacing w:before="100" w:beforeAutospacing="1" w:after="100" w:afterAutospacing="1" w:line="240" w:lineRule="auto"/>
      <w:jc w:val="left"/>
    </w:pPr>
    <w:rPr>
      <w:rFonts w:eastAsiaTheme="minorHAnsi"/>
      <w:sz w:val="24"/>
      <w:szCs w:val="24"/>
    </w:rPr>
  </w:style>
  <w:style w:type="paragraph" w:customStyle="1" w:styleId="Pointabc">
    <w:name w:val="Point abc"/>
    <w:basedOn w:val="Normal"/>
    <w:uiPriority w:val="99"/>
    <w:pPr>
      <w:numPr>
        <w:ilvl w:val="1"/>
        <w:numId w:val="11"/>
      </w:numPr>
      <w:spacing w:before="120" w:line="360" w:lineRule="auto"/>
      <w:jc w:val="left"/>
    </w:pPr>
    <w:rPr>
      <w:rFonts w:eastAsiaTheme="minorHAnsi"/>
      <w:sz w:val="24"/>
      <w:szCs w:val="22"/>
      <w:lang w:eastAsia="en-US"/>
    </w:rPr>
  </w:style>
  <w:style w:type="paragraph" w:customStyle="1" w:styleId="Pointabc1">
    <w:name w:val="Point abc (1)"/>
    <w:basedOn w:val="Normal"/>
    <w:uiPriority w:val="99"/>
    <w:pPr>
      <w:numPr>
        <w:ilvl w:val="3"/>
        <w:numId w:val="11"/>
      </w:numPr>
      <w:spacing w:before="120" w:line="360" w:lineRule="auto"/>
      <w:jc w:val="left"/>
    </w:pPr>
    <w:rPr>
      <w:rFonts w:eastAsiaTheme="minorHAnsi"/>
      <w:sz w:val="24"/>
      <w:szCs w:val="22"/>
      <w:lang w:eastAsia="en-US"/>
    </w:rPr>
  </w:style>
  <w:style w:type="paragraph" w:customStyle="1" w:styleId="Pointabc2">
    <w:name w:val="Point abc (2)"/>
    <w:basedOn w:val="Normal"/>
    <w:uiPriority w:val="99"/>
    <w:pPr>
      <w:numPr>
        <w:ilvl w:val="5"/>
        <w:numId w:val="11"/>
      </w:numPr>
      <w:spacing w:before="120" w:line="360" w:lineRule="auto"/>
      <w:jc w:val="left"/>
    </w:pPr>
    <w:rPr>
      <w:rFonts w:eastAsiaTheme="minorHAnsi"/>
      <w:sz w:val="24"/>
      <w:szCs w:val="22"/>
      <w:lang w:eastAsia="en-US"/>
    </w:rPr>
  </w:style>
  <w:style w:type="paragraph" w:customStyle="1" w:styleId="Pointabc3">
    <w:name w:val="Point abc (3)"/>
    <w:basedOn w:val="Normal"/>
    <w:uiPriority w:val="99"/>
    <w:pPr>
      <w:numPr>
        <w:ilvl w:val="7"/>
        <w:numId w:val="11"/>
      </w:numPr>
      <w:spacing w:before="120" w:line="360" w:lineRule="auto"/>
      <w:jc w:val="left"/>
    </w:pPr>
    <w:rPr>
      <w:rFonts w:eastAsiaTheme="minorHAnsi"/>
      <w:sz w:val="24"/>
      <w:szCs w:val="22"/>
      <w:lang w:eastAsia="en-US"/>
    </w:rPr>
  </w:style>
  <w:style w:type="paragraph" w:customStyle="1" w:styleId="Pointabc4">
    <w:name w:val="Point abc (4)"/>
    <w:basedOn w:val="Normal"/>
    <w:uiPriority w:val="99"/>
    <w:pPr>
      <w:numPr>
        <w:ilvl w:val="8"/>
        <w:numId w:val="11"/>
      </w:numPr>
      <w:spacing w:before="120" w:line="360" w:lineRule="auto"/>
      <w:jc w:val="left"/>
    </w:pPr>
    <w:rPr>
      <w:rFonts w:eastAsiaTheme="minorHAnsi"/>
      <w:sz w:val="24"/>
      <w:szCs w:val="22"/>
      <w:lang w:eastAsia="en-US"/>
    </w:rPr>
  </w:style>
  <w:style w:type="paragraph" w:customStyle="1" w:styleId="Point123">
    <w:name w:val="Point 123"/>
    <w:basedOn w:val="Normal"/>
    <w:uiPriority w:val="99"/>
    <w:pPr>
      <w:numPr>
        <w:numId w:val="11"/>
      </w:numPr>
      <w:spacing w:before="120" w:line="360" w:lineRule="auto"/>
      <w:jc w:val="left"/>
    </w:pPr>
    <w:rPr>
      <w:rFonts w:eastAsiaTheme="minorHAnsi"/>
      <w:sz w:val="24"/>
      <w:szCs w:val="22"/>
      <w:lang w:eastAsia="en-US"/>
    </w:rPr>
  </w:style>
  <w:style w:type="paragraph" w:customStyle="1" w:styleId="Point1231">
    <w:name w:val="Point 123 (1)"/>
    <w:basedOn w:val="Normal"/>
    <w:uiPriority w:val="99"/>
    <w:pPr>
      <w:numPr>
        <w:ilvl w:val="2"/>
        <w:numId w:val="11"/>
      </w:numPr>
      <w:spacing w:before="120" w:line="360" w:lineRule="auto"/>
      <w:jc w:val="left"/>
    </w:pPr>
    <w:rPr>
      <w:rFonts w:eastAsiaTheme="minorHAnsi"/>
      <w:sz w:val="24"/>
      <w:szCs w:val="22"/>
      <w:lang w:eastAsia="en-US"/>
    </w:rPr>
  </w:style>
  <w:style w:type="paragraph" w:customStyle="1" w:styleId="Point1232">
    <w:name w:val="Point 123 (2)"/>
    <w:basedOn w:val="Normal"/>
    <w:uiPriority w:val="99"/>
    <w:pPr>
      <w:numPr>
        <w:ilvl w:val="4"/>
        <w:numId w:val="11"/>
      </w:numPr>
      <w:spacing w:before="120" w:line="360" w:lineRule="auto"/>
      <w:jc w:val="left"/>
    </w:pPr>
    <w:rPr>
      <w:rFonts w:eastAsiaTheme="minorHAnsi"/>
      <w:sz w:val="24"/>
      <w:szCs w:val="22"/>
      <w:lang w:eastAsia="en-US"/>
    </w:rPr>
  </w:style>
  <w:style w:type="paragraph" w:customStyle="1" w:styleId="Point1233">
    <w:name w:val="Point 123 (3)"/>
    <w:basedOn w:val="Normal"/>
    <w:uiPriority w:val="99"/>
    <w:pPr>
      <w:numPr>
        <w:ilvl w:val="6"/>
        <w:numId w:val="11"/>
      </w:numPr>
      <w:spacing w:before="120" w:line="360" w:lineRule="auto"/>
      <w:jc w:val="left"/>
    </w:pPr>
    <w:rPr>
      <w:rFonts w:eastAsiaTheme="minorHAnsi"/>
      <w:sz w:val="24"/>
      <w:szCs w:val="22"/>
      <w:lang w:eastAsia="en-US"/>
    </w:rPr>
  </w:style>
  <w:style w:type="paragraph" w:customStyle="1" w:styleId="Nota">
    <w:name w:val="Nota"/>
    <w:aliases w:val="Char1,(NECG) Footnote Reference,fr,Appel note de bas de p,o,Style 6,Signature Ch, Char1"/>
    <w:basedOn w:val="Normal"/>
    <w:uiPriority w:val="99"/>
    <w:pPr>
      <w:spacing w:after="160" w:line="240" w:lineRule="exact"/>
    </w:pPr>
    <w:rPr>
      <w:rFonts w:asciiTheme="minorHAnsi" w:eastAsiaTheme="minorHAnsi" w:hAnsiTheme="minorHAnsi" w:cstheme="minorBidi"/>
      <w:szCs w:val="22"/>
      <w:vertAlign w:val="superscript"/>
      <w:lang w:val="fr-BE" w:eastAsia="en-US"/>
    </w:rPr>
  </w:style>
  <w:style w:type="paragraph" w:customStyle="1" w:styleId="Body">
    <w:name w:val="Body"/>
    <w:basedOn w:val="Normal"/>
    <w:link w:val="BodyChar"/>
    <w:qFormat/>
    <w:pPr>
      <w:spacing w:before="120" w:line="240" w:lineRule="auto"/>
    </w:pPr>
    <w:rPr>
      <w:rFonts w:ascii="EC Square Sans Pro" w:hAnsi="EC Square Sans Pro"/>
      <w:sz w:val="24"/>
      <w:szCs w:val="24"/>
      <w:lang w:eastAsia="en-US"/>
    </w:rPr>
  </w:style>
  <w:style w:type="character" w:customStyle="1" w:styleId="BodyChar">
    <w:name w:val="Body Char"/>
    <w:link w:val="Body"/>
    <w:rPr>
      <w:rFonts w:ascii="EC Square Sans Pro" w:hAnsi="EC Square Sans Pro"/>
      <w:szCs w:val="24"/>
      <w:lang w:eastAsia="en-US"/>
    </w:rPr>
  </w:style>
  <w:style w:type="paragraph" w:customStyle="1" w:styleId="BulletText">
    <w:name w:val="Bullet Text"/>
    <w:basedOn w:val="Normal"/>
    <w:link w:val="BulletTextChar"/>
    <w:qFormat/>
    <w:pPr>
      <w:numPr>
        <w:numId w:val="17"/>
      </w:numPr>
      <w:spacing w:line="240" w:lineRule="auto"/>
    </w:pPr>
    <w:rPr>
      <w:rFonts w:asciiTheme="majorHAnsi" w:hAnsiTheme="majorHAnsi" w:cs="Arial"/>
      <w:sz w:val="24"/>
      <w:szCs w:val="24"/>
      <w:lang w:eastAsia="en-US"/>
    </w:rPr>
  </w:style>
  <w:style w:type="character" w:customStyle="1" w:styleId="Heading1Char">
    <w:name w:val="Heading 1 Char"/>
    <w:basedOn w:val="DefaultParagraphFont"/>
    <w:link w:val="Heading1"/>
    <w:uiPriority w:val="90"/>
    <w:rPr>
      <w:b/>
      <w:smallCaps/>
      <w:sz w:val="26"/>
    </w:rPr>
  </w:style>
  <w:style w:type="character" w:customStyle="1" w:styleId="Heading2Char">
    <w:name w:val="Heading 2 Char"/>
    <w:basedOn w:val="DefaultParagraphFont"/>
    <w:link w:val="Heading2"/>
    <w:uiPriority w:val="90"/>
    <w:rPr>
      <w:b/>
      <w:szCs w:val="24"/>
      <w:u w:val="single"/>
      <w:lang w:eastAsia="en-US"/>
    </w:rPr>
  </w:style>
  <w:style w:type="character" w:customStyle="1" w:styleId="Heading3Char">
    <w:name w:val="Heading 3 Char"/>
    <w:basedOn w:val="DefaultParagraphFont"/>
    <w:link w:val="Heading3"/>
    <w:uiPriority w:val="90"/>
    <w:rPr>
      <w:b/>
      <w:szCs w:val="24"/>
      <w:lang w:eastAsia="en-US"/>
    </w:rPr>
  </w:style>
  <w:style w:type="character" w:customStyle="1" w:styleId="Heading4Char">
    <w:name w:val="Heading 4 Char"/>
    <w:basedOn w:val="DefaultParagraphFont"/>
    <w:link w:val="Heading4"/>
    <w:uiPriority w:val="90"/>
    <w:rPr>
      <w:b/>
      <w:i/>
      <w:szCs w:val="24"/>
      <w:lang w:eastAsia="en-US"/>
    </w:rPr>
  </w:style>
  <w:style w:type="character" w:styleId="Strong">
    <w:name w:val="Strong"/>
    <w:basedOn w:val="DefaultParagraphFont"/>
    <w:uiPriority w:val="22"/>
    <w:qFormat/>
    <w:locked/>
    <w:rPr>
      <w:b/>
      <w:bCs/>
    </w:rPr>
  </w:style>
  <w:style w:type="character" w:customStyle="1" w:styleId="BulletTextChar">
    <w:name w:val="Bullet Text Char"/>
    <w:basedOn w:val="DefaultParagraphFont"/>
    <w:link w:val="BulletText"/>
    <w:rPr>
      <w:rFonts w:asciiTheme="majorHAnsi" w:hAnsiTheme="majorHAnsi" w:cs="Arial"/>
      <w:szCs w:val="24"/>
      <w:lang w:eastAsia="en-US"/>
    </w:rPr>
  </w:style>
  <w:style w:type="paragraph" w:customStyle="1" w:styleId="tablesubtitle">
    <w:name w:val="table subtitle"/>
    <w:basedOn w:val="Normal"/>
    <w:link w:val="tablesubtitleChar"/>
    <w:pPr>
      <w:autoSpaceDE w:val="0"/>
      <w:autoSpaceDN w:val="0"/>
      <w:adjustRightInd w:val="0"/>
      <w:spacing w:after="240" w:line="240" w:lineRule="auto"/>
    </w:pPr>
    <w:rPr>
      <w:rFonts w:ascii="EC Square Sans Pro" w:eastAsia="Calibri" w:hAnsi="EC Square Sans Pro" w:cs="Arial"/>
      <w:b/>
      <w:bCs/>
      <w:color w:val="FFFFFF" w:themeColor="background1"/>
      <w:sz w:val="20"/>
      <w:lang w:val="en-IE" w:eastAsia="zh-CN"/>
    </w:rPr>
  </w:style>
  <w:style w:type="character" w:customStyle="1" w:styleId="tablesubtitleChar">
    <w:name w:val="table subtitle Char"/>
    <w:basedOn w:val="DefaultParagraphFont"/>
    <w:link w:val="tablesubtitle"/>
    <w:rPr>
      <w:rFonts w:ascii="EC Square Sans Pro" w:eastAsia="Calibri" w:hAnsi="EC Square Sans Pro" w:cs="Arial"/>
      <w:b/>
      <w:bCs/>
      <w:color w:val="FFFFFF" w:themeColor="background1"/>
      <w:sz w:val="20"/>
      <w:lang w:val="en-IE" w:eastAsia="zh-CN"/>
    </w:rPr>
  </w:style>
  <w:style w:type="paragraph" w:customStyle="1" w:styleId="1ai">
    <w:name w:val="1.a.i."/>
    <w:basedOn w:val="Normal"/>
    <w:uiPriority w:val="99"/>
    <w:qFormat/>
    <w:pPr>
      <w:keepNext/>
      <w:numPr>
        <w:numId w:val="20"/>
      </w:numPr>
      <w:spacing w:before="120" w:line="240" w:lineRule="auto"/>
      <w:ind w:left="1440" w:hanging="181"/>
      <w:outlineLvl w:val="2"/>
    </w:pPr>
    <w:rPr>
      <w:rFonts w:ascii="EC Square Sans Pro" w:hAnsi="EC Square Sans Pro"/>
      <w:b/>
      <w:color w:val="325BAA"/>
      <w:sz w:val="24"/>
      <w:szCs w:val="24"/>
      <w:lang w:eastAsia="en-US"/>
    </w:rPr>
  </w:style>
  <w:style w:type="paragraph" w:customStyle="1" w:styleId="BulletBox">
    <w:name w:val="Bullet Box"/>
    <w:basedOn w:val="Body"/>
    <w:link w:val="BulletBoxChar"/>
    <w:qFormat/>
    <w:pPr>
      <w:framePr w:hSpace="180" w:wrap="around" w:vAnchor="text" w:hAnchor="margin" w:xAlign="right" w:y="546"/>
      <w:numPr>
        <w:numId w:val="21"/>
      </w:numPr>
      <w:spacing w:before="0" w:after="60"/>
      <w:ind w:left="341" w:hanging="284"/>
      <w:suppressOverlap/>
    </w:pPr>
    <w:rPr>
      <w:sz w:val="20"/>
    </w:rPr>
  </w:style>
  <w:style w:type="character" w:customStyle="1" w:styleId="BulletBoxChar">
    <w:name w:val="Bullet Box Char"/>
    <w:basedOn w:val="BodyChar"/>
    <w:link w:val="BulletBox"/>
    <w:rPr>
      <w:rFonts w:ascii="EC Square Sans Pro" w:hAnsi="EC Square Sans Pro"/>
      <w:sz w:val="20"/>
      <w:szCs w:val="24"/>
      <w:lang w:eastAsia="en-US"/>
    </w:rPr>
  </w:style>
  <w:style w:type="paragraph" w:customStyle="1" w:styleId="aSubheadingI">
    <w:name w:val="a. Subheading I"/>
    <w:basedOn w:val="Normal"/>
    <w:link w:val="aSubheadingIChar"/>
    <w:qFormat/>
    <w:pPr>
      <w:keepNext/>
      <w:spacing w:line="240" w:lineRule="auto"/>
    </w:pPr>
    <w:rPr>
      <w:rFonts w:ascii="EC Square Sans Pro" w:hAnsi="EC Square Sans Pro"/>
      <w:b/>
      <w:color w:val="325BAA"/>
      <w:sz w:val="24"/>
      <w:szCs w:val="24"/>
      <w:lang w:eastAsia="en-US"/>
    </w:rPr>
  </w:style>
  <w:style w:type="character" w:customStyle="1" w:styleId="aSubheadingIChar">
    <w:name w:val="a. Subheading I Char"/>
    <w:basedOn w:val="DefaultParagraphFont"/>
    <w:link w:val="aSubheadingI"/>
    <w:rPr>
      <w:rFonts w:ascii="EC Square Sans Pro" w:hAnsi="EC Square Sans Pro"/>
      <w:b/>
      <w:color w:val="325BAA"/>
      <w:szCs w:val="24"/>
      <w:lang w:eastAsia="en-US"/>
    </w:rPr>
  </w:style>
  <w:style w:type="paragraph" w:customStyle="1" w:styleId="BoxHeading">
    <w:name w:val="Box Heading"/>
    <w:basedOn w:val="Normal"/>
    <w:link w:val="BoxHeadingChar"/>
    <w:qFormat/>
    <w:pPr>
      <w:framePr w:hSpace="180" w:wrap="around" w:vAnchor="text" w:hAnchor="margin" w:xAlign="right" w:y="515"/>
      <w:spacing w:after="60" w:line="240" w:lineRule="auto"/>
      <w:suppressOverlap/>
    </w:pPr>
    <w:rPr>
      <w:rFonts w:ascii="EC Square Sans Pro" w:eastAsia="SimSun" w:hAnsi="EC Square Sans Pro"/>
      <w:b/>
      <w:bCs/>
      <w:color w:val="034EA2"/>
      <w:kern w:val="24"/>
      <w:szCs w:val="22"/>
      <w:lang w:val="en-US" w:eastAsia="fr-BE"/>
    </w:rPr>
  </w:style>
  <w:style w:type="character" w:customStyle="1" w:styleId="BoxHeadingChar">
    <w:name w:val="Box Heading Char"/>
    <w:basedOn w:val="DefaultParagraphFont"/>
    <w:link w:val="BoxHeading"/>
    <w:rPr>
      <w:rFonts w:ascii="EC Square Sans Pro" w:eastAsia="SimSun" w:hAnsi="EC Square Sans Pro"/>
      <w:b/>
      <w:bCs/>
      <w:color w:val="034EA2"/>
      <w:kern w:val="24"/>
      <w:sz w:val="22"/>
      <w:szCs w:val="22"/>
      <w:lang w:val="en-US" w:eastAsia="fr-BE"/>
    </w:rPr>
  </w:style>
  <w:style w:type="paragraph" w:customStyle="1" w:styleId="BULLETNEW">
    <w:name w:val="BULLET NEW"/>
    <w:basedOn w:val="BulletText"/>
    <w:link w:val="BULLETNEWChar"/>
    <w:qFormat/>
    <w:pPr>
      <w:numPr>
        <w:numId w:val="0"/>
      </w:numPr>
      <w:ind w:left="720" w:hanging="360"/>
    </w:pPr>
  </w:style>
  <w:style w:type="paragraph" w:customStyle="1" w:styleId="footnote">
    <w:name w:val="footnote"/>
    <w:basedOn w:val="FootnoteText"/>
    <w:link w:val="footnoteChar"/>
    <w:qFormat/>
    <w:pPr>
      <w:spacing w:after="0" w:line="240" w:lineRule="auto"/>
      <w:ind w:left="0" w:firstLine="0"/>
    </w:pPr>
    <w:rPr>
      <w:sz w:val="16"/>
      <w:szCs w:val="16"/>
    </w:rPr>
  </w:style>
  <w:style w:type="character" w:customStyle="1" w:styleId="footnoteChar">
    <w:name w:val="footnote Char"/>
    <w:link w:val="footnote"/>
    <w:rPr>
      <w:sz w:val="16"/>
      <w:szCs w:val="16"/>
    </w:rPr>
  </w:style>
  <w:style w:type="character" w:customStyle="1" w:styleId="BULLETNEWChar">
    <w:name w:val="BULLET NEW Char"/>
    <w:basedOn w:val="BulletTextChar"/>
    <w:link w:val="BULLETNEW"/>
    <w:rPr>
      <w:rFonts w:asciiTheme="majorHAnsi" w:hAnsiTheme="majorHAnsi" w:cs="Arial"/>
      <w:szCs w:val="24"/>
      <w:lang w:eastAsia="en-US"/>
    </w:rPr>
  </w:style>
  <w:style w:type="table" w:customStyle="1" w:styleId="TableGridLight1">
    <w:name w:val="Table Grid Light1"/>
    <w:basedOn w:val="TableNormal"/>
    <w:uiPriority w:val="40"/>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t6">
    <w:name w:val="a__t6"/>
    <w:basedOn w:val="DefaultParagraphFont"/>
  </w:style>
  <w:style w:type="character" w:customStyle="1" w:styleId="Heading5Char">
    <w:name w:val="Heading 5 Char"/>
    <w:basedOn w:val="DefaultParagraphFont"/>
    <w:link w:val="Heading5"/>
    <w:rPr>
      <w:sz w:val="22"/>
      <w:u w:val="single"/>
    </w:rPr>
  </w:style>
  <w:style w:type="paragraph" w:customStyle="1" w:styleId="Textbox">
    <w:name w:val="Text box"/>
    <w:basedOn w:val="Heading6"/>
    <w:next w:val="Heading6"/>
    <w:link w:val="TextboxChar"/>
    <w:qFormat/>
    <w:pPr>
      <w:keepLines/>
      <w:numPr>
        <w:ilvl w:val="4"/>
        <w:numId w:val="22"/>
      </w:numPr>
      <w:pBdr>
        <w:top w:val="single" w:sz="4" w:space="1" w:color="auto"/>
        <w:left w:val="single" w:sz="4" w:space="4" w:color="auto"/>
        <w:bottom w:val="single" w:sz="4" w:space="1" w:color="auto"/>
        <w:right w:val="single" w:sz="4" w:space="4" w:color="auto"/>
      </w:pBdr>
      <w:spacing w:before="40" w:after="0" w:line="276" w:lineRule="auto"/>
      <w:ind w:left="851" w:hanging="709"/>
    </w:pPr>
    <w:rPr>
      <w:rFonts w:eastAsiaTheme="majorEastAsia"/>
      <w:i/>
      <w:sz w:val="24"/>
      <w:szCs w:val="22"/>
      <w:lang w:eastAsia="ja-JP"/>
    </w:rPr>
  </w:style>
  <w:style w:type="character" w:customStyle="1" w:styleId="TextboxChar">
    <w:name w:val="Text box Char"/>
    <w:basedOn w:val="DefaultParagraphFont"/>
    <w:link w:val="Textbox"/>
    <w:rPr>
      <w:rFonts w:eastAsiaTheme="majorEastAsia"/>
      <w:i/>
      <w:szCs w:val="22"/>
      <w:lang w:eastAsia="ja-JP"/>
    </w:rPr>
  </w:style>
  <w:style w:type="character" w:customStyle="1" w:styleId="Heading6Char">
    <w:name w:val="Heading 6 Char"/>
    <w:basedOn w:val="DefaultParagraphFont"/>
    <w:link w:val="Heading6"/>
    <w:semiHidden/>
    <w:rPr>
      <w:sz w:val="22"/>
    </w:rPr>
  </w:style>
  <w:style w:type="numbering" w:customStyle="1" w:styleId="Headings">
    <w:name w:val="Headings"/>
    <w:uiPriority w:val="99"/>
    <w:pPr>
      <w:numPr>
        <w:numId w:val="23"/>
      </w:numPr>
    </w:pPr>
  </w:style>
  <w:style w:type="paragraph" w:customStyle="1" w:styleId="BasistekstCEDelft">
    <w:name w:val="Basistekst CE Delft"/>
    <w:basedOn w:val="Normal"/>
    <w:uiPriority w:val="99"/>
    <w:qFormat/>
    <w:pPr>
      <w:spacing w:after="0" w:line="240" w:lineRule="atLeast"/>
      <w:jc w:val="left"/>
    </w:pPr>
    <w:rPr>
      <w:rFonts w:ascii="Trebuchet MS" w:hAnsi="Trebuchet MS" w:cs="Maiandra GD"/>
      <w:color w:val="000000" w:themeColor="text1"/>
      <w:sz w:val="20"/>
      <w:szCs w:val="18"/>
      <w:lang w:eastAsia="nl-NL"/>
    </w:rPr>
  </w:style>
  <w:style w:type="paragraph" w:customStyle="1" w:styleId="Text">
    <w:name w:val="Text"/>
    <w:uiPriority w:val="9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eastAsia="en-IE"/>
    </w:rPr>
  </w:style>
  <w:style w:type="character" w:customStyle="1" w:styleId="NoSpacingChar">
    <w:name w:val="No Spacing Char"/>
    <w:basedOn w:val="DefaultParagraphFont"/>
    <w:link w:val="NoSpacing"/>
    <w:uiPriority w:val="1"/>
    <w:rPr>
      <w:rFonts w:eastAsia="Arial Unicode MS"/>
      <w:szCs w:val="24"/>
      <w:bdr w:val="nil"/>
      <w:lang w:eastAsia="en-US"/>
    </w:rPr>
  </w:style>
  <w:style w:type="character" w:customStyle="1" w:styleId="italic">
    <w:name w:val="italic"/>
    <w:basedOn w:val="DefaultParagraphFont"/>
  </w:style>
  <w:style w:type="paragraph" w:customStyle="1" w:styleId="ESch">
    <w:name w:val="ES_ch"/>
    <w:basedOn w:val="Normal"/>
    <w:uiPriority w:val="99"/>
    <w:qFormat/>
    <w:pPr>
      <w:autoSpaceDE w:val="0"/>
      <w:autoSpaceDN w:val="0"/>
      <w:spacing w:after="0" w:line="240" w:lineRule="atLeast"/>
      <w:ind w:left="567" w:hanging="567"/>
    </w:pPr>
    <w:rPr>
      <w:rFonts w:ascii="Arial" w:hAnsi="Arial"/>
      <w:sz w:val="20"/>
      <w:szCs w:val="24"/>
      <w:lang w:val="fr-FR" w:eastAsia="fr-FR"/>
    </w:rPr>
  </w:style>
  <w:style w:type="paragraph" w:customStyle="1" w:styleId="s6">
    <w:name w:val="s6"/>
    <w:basedOn w:val="Normal"/>
    <w:uiPriority w:val="99"/>
    <w:pPr>
      <w:spacing w:before="100" w:beforeAutospacing="1" w:after="100" w:afterAutospacing="1" w:line="240" w:lineRule="auto"/>
      <w:jc w:val="left"/>
    </w:pPr>
    <w:rPr>
      <w:rFonts w:eastAsiaTheme="minorHAnsi"/>
      <w:sz w:val="24"/>
      <w:szCs w:val="24"/>
    </w:rPr>
  </w:style>
  <w:style w:type="character" w:customStyle="1" w:styleId="s7">
    <w:name w:val="s7"/>
    <w:basedOn w:val="DefaultParagraphFont"/>
  </w:style>
  <w:style w:type="paragraph" w:customStyle="1" w:styleId="Disclaimer">
    <w:name w:val="Disclaimer"/>
    <w:basedOn w:val="Normal"/>
    <w:uiPriority w:val="99"/>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line="240" w:lineRule="auto"/>
    </w:pPr>
    <w:rPr>
      <w:rFonts w:eastAsiaTheme="minorHAnsi"/>
      <w:sz w:val="24"/>
      <w:szCs w:val="22"/>
      <w:lang w:eastAsia="en-US"/>
    </w:rPr>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 w:type="paragraph" w:styleId="PlainText">
    <w:name w:val="Plain Text"/>
    <w:basedOn w:val="Normal"/>
    <w:link w:val="PlainTextChar"/>
    <w:uiPriority w:val="99"/>
    <w:locked/>
    <w:pPr>
      <w:spacing w:after="240" w:line="240" w:lineRule="auto"/>
    </w:pPr>
    <w:rPr>
      <w:rFonts w:ascii="Courier New" w:hAnsi="Courier New"/>
      <w:sz w:val="20"/>
      <w:lang w:eastAsia="en-US"/>
    </w:rPr>
  </w:style>
  <w:style w:type="character" w:customStyle="1" w:styleId="PlainTextChar">
    <w:name w:val="Plain Text Char"/>
    <w:basedOn w:val="DefaultParagraphFont"/>
    <w:link w:val="PlainText"/>
    <w:uiPriority w:val="99"/>
    <w:rPr>
      <w:rFonts w:ascii="Courier New" w:hAnsi="Courier New"/>
      <w:sz w:val="20"/>
      <w:lang w:eastAsia="en-US"/>
    </w:rPr>
  </w:style>
  <w:style w:type="paragraph" w:customStyle="1" w:styleId="Legalnum">
    <w:name w:val="Legal num"/>
    <w:basedOn w:val="Heading3"/>
    <w:uiPriority w:val="99"/>
    <w:pPr>
      <w:tabs>
        <w:tab w:val="clear" w:pos="1560"/>
        <w:tab w:val="left" w:pos="1276"/>
      </w:tabs>
      <w:ind w:firstLine="0"/>
    </w:pPr>
  </w:style>
  <w:style w:type="paragraph" w:customStyle="1" w:styleId="Text2">
    <w:name w:val="Text 2"/>
    <w:basedOn w:val="Normal"/>
    <w:uiPriority w:val="99"/>
    <w:pPr>
      <w:tabs>
        <w:tab w:val="left" w:pos="2160"/>
      </w:tabs>
      <w:spacing w:after="240" w:line="240" w:lineRule="auto"/>
      <w:ind w:left="1077"/>
    </w:pPr>
    <w:rPr>
      <w:sz w:val="24"/>
      <w:lang w:eastAsia="en-US"/>
    </w:rPr>
  </w:style>
  <w:style w:type="paragraph" w:customStyle="1" w:styleId="BodyA">
    <w:name w:val="Body A"/>
    <w:uiPriority w:val="9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fr-FR" w:eastAsia="fr-BE"/>
    </w:rPr>
  </w:style>
  <w:style w:type="character" w:customStyle="1" w:styleId="None">
    <w:name w:val="None"/>
  </w:style>
  <w:style w:type="paragraph" w:customStyle="1" w:styleId="Opsommingteken1eniveauCEDelft">
    <w:name w:val="Opsomming teken 1e niveau CE Delft"/>
    <w:basedOn w:val="Normal"/>
    <w:uiPriority w:val="4"/>
    <w:pPr>
      <w:numPr>
        <w:numId w:val="35"/>
      </w:numPr>
      <w:spacing w:after="0" w:line="240" w:lineRule="atLeast"/>
      <w:jc w:val="left"/>
    </w:pPr>
    <w:rPr>
      <w:rFonts w:ascii="Trebuchet MS" w:hAnsi="Trebuchet MS" w:cs="Maiandra GD"/>
      <w:color w:val="000000" w:themeColor="text1"/>
      <w:sz w:val="20"/>
      <w:szCs w:val="18"/>
      <w:lang w:eastAsia="nl-NL"/>
    </w:rPr>
  </w:style>
  <w:style w:type="paragraph" w:customStyle="1" w:styleId="Opsommingteken2eniveauCEDelft">
    <w:name w:val="Opsomming teken 2e niveau CE Delft"/>
    <w:basedOn w:val="Normal"/>
    <w:uiPriority w:val="4"/>
    <w:pPr>
      <w:numPr>
        <w:ilvl w:val="1"/>
        <w:numId w:val="35"/>
      </w:numPr>
      <w:spacing w:after="0" w:line="240" w:lineRule="atLeast"/>
      <w:jc w:val="left"/>
    </w:pPr>
    <w:rPr>
      <w:rFonts w:ascii="Trebuchet MS" w:hAnsi="Trebuchet MS" w:cs="Maiandra GD"/>
      <w:color w:val="000000" w:themeColor="text1"/>
      <w:sz w:val="20"/>
      <w:szCs w:val="18"/>
      <w:lang w:eastAsia="nl-NL"/>
    </w:rPr>
  </w:style>
  <w:style w:type="paragraph" w:customStyle="1" w:styleId="Opsommingteken3eniveauCEDelft">
    <w:name w:val="Opsomming teken 3e niveau CE Delft"/>
    <w:basedOn w:val="Normal"/>
    <w:uiPriority w:val="4"/>
    <w:pPr>
      <w:numPr>
        <w:ilvl w:val="2"/>
        <w:numId w:val="35"/>
      </w:numPr>
      <w:spacing w:after="0" w:line="240" w:lineRule="atLeast"/>
      <w:jc w:val="left"/>
    </w:pPr>
    <w:rPr>
      <w:rFonts w:ascii="Trebuchet MS" w:hAnsi="Trebuchet MS" w:cs="Maiandra GD"/>
      <w:color w:val="000000" w:themeColor="text1"/>
      <w:sz w:val="20"/>
      <w:szCs w:val="18"/>
      <w:lang w:eastAsia="nl-NL"/>
    </w:rPr>
  </w:style>
  <w:style w:type="numbering" w:customStyle="1" w:styleId="OpsommingtekenCEDelft">
    <w:name w:val="Opsomming teken CE Delft"/>
    <w:uiPriority w:val="4"/>
    <w:pPr>
      <w:numPr>
        <w:numId w:val="35"/>
      </w:numPr>
    </w:pPr>
  </w:style>
  <w:style w:type="paragraph" w:customStyle="1" w:styleId="astandard3520normal">
    <w:name w:val="a_standard__35__20_normal"/>
    <w:basedOn w:val="Normal"/>
    <w:uiPriority w:val="99"/>
    <w:pPr>
      <w:spacing w:before="100" w:beforeAutospacing="1" w:after="100" w:afterAutospacing="1" w:line="240" w:lineRule="auto"/>
      <w:jc w:val="left"/>
    </w:pPr>
    <w:rPr>
      <w:sz w:val="24"/>
      <w:szCs w:val="24"/>
      <w:lang w:eastAsia="ja-JP"/>
    </w:rPr>
  </w:style>
  <w:style w:type="character" w:customStyle="1" w:styleId="at1">
    <w:name w:val="a__t1"/>
    <w:basedOn w:val="DefaultParagraphFont"/>
  </w:style>
  <w:style w:type="paragraph" w:customStyle="1" w:styleId="atiret201p9">
    <w:name w:val="a_tiret_20_1_p9"/>
    <w:basedOn w:val="Normal"/>
    <w:uiPriority w:val="99"/>
    <w:pPr>
      <w:spacing w:before="100" w:beforeAutospacing="1" w:after="100" w:afterAutospacing="1" w:line="240" w:lineRule="auto"/>
      <w:jc w:val="left"/>
    </w:pPr>
    <w:rPr>
      <w:sz w:val="24"/>
      <w:szCs w:val="24"/>
      <w:lang w:eastAsia="ja-JP"/>
    </w:rPr>
  </w:style>
  <w:style w:type="paragraph" w:customStyle="1" w:styleId="a3520normalp3">
    <w:name w:val="a__35__20_normal_p3"/>
    <w:basedOn w:val="Normal"/>
    <w:uiPriority w:val="99"/>
    <w:pPr>
      <w:spacing w:before="100" w:beforeAutospacing="1" w:after="100" w:afterAutospacing="1" w:line="240" w:lineRule="auto"/>
      <w:jc w:val="left"/>
    </w:pPr>
    <w:rPr>
      <w:sz w:val="24"/>
      <w:szCs w:val="24"/>
      <w:lang w:eastAsia="ja-JP"/>
    </w:rPr>
  </w:style>
  <w:style w:type="paragraph" w:customStyle="1" w:styleId="a3520normalp5">
    <w:name w:val="a__35__20_normal_p5"/>
    <w:basedOn w:val="Normal"/>
    <w:uiPriority w:val="99"/>
    <w:pPr>
      <w:spacing w:before="100" w:beforeAutospacing="1" w:after="100" w:afterAutospacing="1" w:line="240" w:lineRule="auto"/>
      <w:jc w:val="left"/>
    </w:pPr>
    <w:rPr>
      <w:sz w:val="24"/>
      <w:szCs w:val="24"/>
      <w:lang w:eastAsia="ja-JP"/>
    </w:rPr>
  </w:style>
  <w:style w:type="paragraph" w:customStyle="1" w:styleId="figure-title">
    <w:name w:val="figure-title"/>
    <w:basedOn w:val="Normal"/>
    <w:uiPriority w:val="99"/>
    <w:pPr>
      <w:spacing w:before="100" w:beforeAutospacing="1" w:after="100" w:afterAutospacing="1" w:line="240" w:lineRule="auto"/>
      <w:jc w:val="left"/>
    </w:pPr>
    <w:rPr>
      <w:sz w:val="24"/>
      <w:szCs w:val="24"/>
      <w:lang w:eastAsia="ja-JP"/>
    </w:rPr>
  </w:style>
  <w:style w:type="paragraph" w:customStyle="1" w:styleId="callout">
    <w:name w:val="callout"/>
    <w:basedOn w:val="Normal"/>
    <w:uiPriority w:val="99"/>
    <w:pPr>
      <w:spacing w:before="100" w:beforeAutospacing="1" w:after="100" w:afterAutospacing="1" w:line="240" w:lineRule="auto"/>
      <w:jc w:val="left"/>
    </w:pPr>
    <w:rPr>
      <w:sz w:val="24"/>
      <w:szCs w:val="24"/>
      <w:lang w:eastAsia="ja-JP"/>
    </w:rPr>
  </w:style>
  <w:style w:type="character" w:customStyle="1" w:styleId="LegalNumParChar">
    <w:name w:val="LegalNumPar Char"/>
    <w:basedOn w:val="DefaultParagraphFont"/>
    <w:link w:val="LegalNumPar"/>
  </w:style>
  <w:style w:type="paragraph" w:customStyle="1" w:styleId="NormalCentered">
    <w:name w:val="Normal Centered"/>
    <w:basedOn w:val="Normal"/>
    <w:uiPriority w:val="99"/>
    <w:pPr>
      <w:spacing w:before="200" w:line="360" w:lineRule="auto"/>
      <w:jc w:val="center"/>
    </w:pPr>
    <w:rPr>
      <w:rFonts w:eastAsiaTheme="minorHAnsi"/>
      <w:sz w:val="24"/>
      <w:szCs w:val="22"/>
      <w:lang w:eastAsia="en-US"/>
    </w:rPr>
  </w:style>
  <w:style w:type="paragraph" w:customStyle="1" w:styleId="Briefingheading1">
    <w:name w:val="Briefing heading 1"/>
    <w:basedOn w:val="Normal"/>
    <w:next w:val="Normal"/>
    <w:uiPriority w:val="99"/>
    <w:pPr>
      <w:keepNext/>
      <w:spacing w:before="240" w:after="240" w:line="240" w:lineRule="auto"/>
    </w:pPr>
    <w:rPr>
      <w:rFonts w:ascii="Arial" w:hAnsi="Arial" w:cs="Arial"/>
      <w:b/>
      <w:sz w:val="24"/>
      <w:szCs w:val="24"/>
      <w:u w:val="single"/>
      <w:lang w:eastAsia="en-US"/>
    </w:rPr>
  </w:style>
  <w:style w:type="character" w:customStyle="1" w:styleId="CaptionChar">
    <w:name w:val="Caption Char"/>
    <w:aliases w:val="Tasks Char,Beschriftung Char2 Char,Beschriftung Char1 Char1 Char,Beschriftung Char Char Char1 Char,Beschriftung Char1 Char Char Char,Beschriftung Char Char Char Char Char,Beschriftung Char Char1 Char Char,Beschriftung Char Char2 Char"/>
    <w:link w:val="Caption"/>
    <w:uiPriority w:val="35"/>
    <w:locked/>
    <w:rPr>
      <w:b/>
      <w:i/>
      <w:sz w:val="22"/>
    </w:rPr>
  </w:style>
  <w:style w:type="character" w:styleId="EndnoteReference">
    <w:name w:val="endnote reference"/>
    <w:basedOn w:val="DefaultParagraphFont"/>
    <w:uiPriority w:val="99"/>
    <w:semiHidden/>
    <w:unhideWhenUsed/>
    <w:locked/>
    <w:rPr>
      <w:vertAlign w:val="superscript"/>
    </w:rPr>
  </w:style>
  <w:style w:type="character" w:customStyle="1" w:styleId="EndnoteTextChar">
    <w:name w:val="Endnote Text Char"/>
    <w:basedOn w:val="DefaultParagraphFont"/>
    <w:link w:val="EndnoteText"/>
    <w:uiPriority w:val="99"/>
    <w:semiHidden/>
    <w:rPr>
      <w:sz w:val="20"/>
    </w:r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uiPriority w:val="99"/>
    <w:pPr>
      <w:spacing w:after="160" w:line="240" w:lineRule="exact"/>
      <w:jc w:val="left"/>
    </w:pPr>
    <w:rPr>
      <w:rFonts w:eastAsiaTheme="minorHAnsi" w:cstheme="minorBidi"/>
      <w:sz w:val="16"/>
      <w:szCs w:val="22"/>
      <w:vertAlign w:val="superscript"/>
      <w:lang w:eastAsia="en-US"/>
    </w:rPr>
  </w:style>
  <w:style w:type="paragraph" w:customStyle="1" w:styleId="denotaalpie">
    <w:name w:val="de nota al pie"/>
    <w:aliases w:val="F"/>
    <w:basedOn w:val="Normal"/>
    <w:uiPriority w:val="99"/>
    <w:pPr>
      <w:spacing w:after="160" w:line="240" w:lineRule="exact"/>
      <w:jc w:val="left"/>
    </w:pPr>
    <w:rPr>
      <w:sz w:val="20"/>
      <w:vertAlign w:val="superscript"/>
    </w:rPr>
  </w:style>
  <w:style w:type="paragraph" w:styleId="ListBullet2">
    <w:name w:val="List Bullet 2"/>
    <w:basedOn w:val="Normal"/>
    <w:uiPriority w:val="99"/>
    <w:semiHidden/>
    <w:unhideWhenUsed/>
    <w:locked/>
    <w:pPr>
      <w:numPr>
        <w:numId w:val="50"/>
      </w:numPr>
      <w:contextualSpacing/>
    </w:pPr>
  </w:style>
  <w:style w:type="paragraph" w:customStyle="1" w:styleId="ListDash1">
    <w:name w:val="List Dash 1"/>
    <w:basedOn w:val="Normal"/>
    <w:uiPriority w:val="99"/>
    <w:pPr>
      <w:numPr>
        <w:numId w:val="52"/>
      </w:numPr>
      <w:spacing w:after="240" w:line="240" w:lineRule="auto"/>
    </w:pPr>
    <w:rPr>
      <w:sz w:val="24"/>
      <w:lang w:eastAsia="en-US"/>
    </w:rPr>
  </w:style>
  <w:style w:type="paragraph" w:customStyle="1" w:styleId="Standard">
    <w:name w:val="Standard"/>
    <w:uiPriority w:val="99"/>
    <w:pPr>
      <w:suppressAutoHyphens/>
      <w:autoSpaceDN w:val="0"/>
      <w:spacing w:after="240"/>
      <w:jc w:val="both"/>
      <w:textAlignment w:val="baseline"/>
    </w:pPr>
    <w:rPr>
      <w:kern w:val="3"/>
      <w:lang w:eastAsia="en-US"/>
    </w:rPr>
  </w:style>
  <w:style w:type="paragraph" w:styleId="ListBullet4">
    <w:name w:val="List Bullet 4"/>
    <w:basedOn w:val="Normal"/>
    <w:uiPriority w:val="99"/>
    <w:semiHidden/>
    <w:unhideWhenUsed/>
    <w:locked/>
    <w:pPr>
      <w:numPr>
        <w:numId w:val="58"/>
      </w:numPr>
      <w:contextualSpacing/>
    </w:pPr>
  </w:style>
  <w:style w:type="paragraph" w:styleId="ListBullet5">
    <w:name w:val="List Bullet 5"/>
    <w:basedOn w:val="Normal"/>
    <w:uiPriority w:val="99"/>
    <w:semiHidden/>
    <w:unhideWhenUsed/>
    <w:locked/>
    <w:pPr>
      <w:numPr>
        <w:numId w:val="59"/>
      </w:numPr>
      <w:contextualSpacing/>
    </w:pPr>
  </w:style>
  <w:style w:type="paragraph" w:styleId="ListNumber2">
    <w:name w:val="List Number 2"/>
    <w:basedOn w:val="Normal"/>
    <w:uiPriority w:val="99"/>
    <w:unhideWhenUsed/>
    <w:locked/>
    <w:pPr>
      <w:numPr>
        <w:numId w:val="60"/>
      </w:numPr>
      <w:contextualSpacing/>
    </w:pPr>
  </w:style>
  <w:style w:type="paragraph" w:styleId="ListNumber4">
    <w:name w:val="List Number 4"/>
    <w:basedOn w:val="Normal"/>
    <w:uiPriority w:val="99"/>
    <w:semiHidden/>
    <w:unhideWhenUsed/>
    <w:locked/>
    <w:pPr>
      <w:numPr>
        <w:numId w:val="61"/>
      </w:numPr>
      <w:contextualSpacing/>
    </w:pPr>
  </w:style>
  <w:style w:type="paragraph" w:styleId="ListNumber5">
    <w:name w:val="List Number 5"/>
    <w:basedOn w:val="Normal"/>
    <w:uiPriority w:val="99"/>
    <w:semiHidden/>
    <w:unhideWhenUsed/>
    <w:locked/>
    <w:pPr>
      <w:numPr>
        <w:numId w:val="62"/>
      </w:numPr>
      <w:contextualSpacing/>
    </w:pPr>
  </w:style>
  <w:style w:type="paragraph" w:styleId="ListNumber3">
    <w:name w:val="List Number 3"/>
    <w:basedOn w:val="Normal"/>
    <w:uiPriority w:val="99"/>
    <w:semiHidden/>
    <w:unhideWhenUsed/>
    <w:locked/>
    <w:pPr>
      <w:numPr>
        <w:numId w:val="63"/>
      </w:numPr>
      <w:contextualSpacing/>
    </w:pPr>
  </w:style>
  <w:style w:type="paragraph" w:styleId="ListBullet3">
    <w:name w:val="List Bullet 3"/>
    <w:basedOn w:val="Normal"/>
    <w:uiPriority w:val="99"/>
    <w:semiHidden/>
    <w:unhideWhenUsed/>
    <w:locked/>
    <w:pPr>
      <w:numPr>
        <w:numId w:val="64"/>
      </w:numPr>
      <w:contextualSpacing/>
    </w:pPr>
  </w:style>
  <w:style w:type="character" w:customStyle="1" w:styleId="Hyperlink1">
    <w:name w:val="Hyperlink.1"/>
    <w:basedOn w:val="DefaultParagraphFont"/>
  </w:style>
  <w:style w:type="numbering" w:customStyle="1" w:styleId="ImportedStyle31">
    <w:name w:val="Imported Style 31"/>
  </w:style>
  <w:style w:type="numbering" w:customStyle="1" w:styleId="ImportedStyle32">
    <w:name w:val="Imported Style 32"/>
  </w:style>
  <w:style w:type="numbering" w:customStyle="1" w:styleId="ImportedStyle33">
    <w:name w:val="Imported Style 33"/>
  </w:style>
  <w:style w:type="paragraph" w:customStyle="1" w:styleId="ListNumber2Level4">
    <w:name w:val="List Number 2 (Level 4)"/>
    <w:basedOn w:val="Text2"/>
    <w:uiPriority w:val="99"/>
    <w:semiHidden/>
    <w:unhideWhenUsed/>
    <w:pPr>
      <w:tabs>
        <w:tab w:val="clear" w:pos="2160"/>
        <w:tab w:val="num" w:pos="3912"/>
      </w:tabs>
      <w:ind w:left="3912" w:hanging="709"/>
    </w:pPr>
    <w:rPr>
      <w:lang w:eastAsia="en-GB"/>
    </w:rPr>
  </w:style>
  <w:style w:type="paragraph" w:customStyle="1" w:styleId="ListNumber2Level3">
    <w:name w:val="List Number 2 (Level 3)"/>
    <w:basedOn w:val="Text2"/>
    <w:uiPriority w:val="99"/>
    <w:semiHidden/>
    <w:unhideWhenUsed/>
    <w:pPr>
      <w:tabs>
        <w:tab w:val="clear" w:pos="2160"/>
        <w:tab w:val="num" w:pos="3203"/>
      </w:tabs>
      <w:ind w:left="3203" w:hanging="697"/>
    </w:pPr>
    <w:rPr>
      <w:lang w:eastAsia="en-GB"/>
    </w:rPr>
  </w:style>
  <w:style w:type="paragraph" w:customStyle="1" w:styleId="ListNumber2Level2">
    <w:name w:val="List Number 2 (Level 2)"/>
    <w:basedOn w:val="Text2"/>
    <w:uiPriority w:val="99"/>
    <w:pPr>
      <w:tabs>
        <w:tab w:val="clear" w:pos="2160"/>
        <w:tab w:val="num" w:pos="2494"/>
      </w:tabs>
      <w:ind w:left="2494" w:hanging="708"/>
    </w:pPr>
    <w:rPr>
      <w:lang w:eastAsia="en-GB"/>
    </w:rPr>
  </w:style>
  <w:style w:type="paragraph" w:customStyle="1" w:styleId="Text1">
    <w:name w:val="Text 1"/>
    <w:basedOn w:val="Normal"/>
    <w:uiPriority w:val="90"/>
    <w:qFormat/>
    <w:pPr>
      <w:spacing w:after="240" w:line="240" w:lineRule="auto"/>
      <w:ind w:left="482"/>
    </w:pPr>
    <w:rPr>
      <w:sz w:val="24"/>
    </w:rPr>
  </w:style>
  <w:style w:type="paragraph" w:customStyle="1" w:styleId="SWD">
    <w:name w:val="SWD"/>
    <w:basedOn w:val="Heading1"/>
    <w:link w:val="SWDChar"/>
    <w:uiPriority w:val="90"/>
    <w:qFormat/>
  </w:style>
  <w:style w:type="character" w:customStyle="1" w:styleId="SWDChar">
    <w:name w:val="SWD Char"/>
    <w:basedOn w:val="Heading1Char"/>
    <w:link w:val="SWD"/>
    <w:uiPriority w:val="90"/>
    <w:rPr>
      <w:b/>
      <w:smallCaps/>
      <w:sz w:val="26"/>
    </w:rPr>
  </w:style>
  <w:style w:type="numbering" w:customStyle="1" w:styleId="ImportedStyle34">
    <w:name w:val="Imported Style 34"/>
  </w:style>
  <w:style w:type="numbering" w:customStyle="1" w:styleId="ImportedStyle35">
    <w:name w:val="Imported Style 35"/>
  </w:style>
  <w:style w:type="numbering" w:customStyle="1" w:styleId="ImportedStyle36">
    <w:name w:val="Imported Style 36"/>
  </w:style>
  <w:style w:type="character" w:customStyle="1" w:styleId="Heading7Char">
    <w:name w:val="Heading 7 Char"/>
    <w:basedOn w:val="DefaultParagraphFont"/>
    <w:link w:val="Heading7"/>
    <w:uiPriority w:val="99"/>
    <w:semiHidden/>
    <w:rPr>
      <w:sz w:val="22"/>
    </w:rPr>
  </w:style>
  <w:style w:type="character" w:customStyle="1" w:styleId="Heading8Char">
    <w:name w:val="Heading 8 Char"/>
    <w:basedOn w:val="DefaultParagraphFont"/>
    <w:link w:val="Heading8"/>
    <w:uiPriority w:val="99"/>
    <w:semiHidden/>
    <w:rPr>
      <w:sz w:val="22"/>
    </w:rPr>
  </w:style>
  <w:style w:type="character" w:customStyle="1" w:styleId="Heading9Char">
    <w:name w:val="Heading 9 Char"/>
    <w:basedOn w:val="DefaultParagraphFont"/>
    <w:link w:val="Heading9"/>
    <w:uiPriority w:val="99"/>
    <w:semiHidden/>
    <w:rPr>
      <w:sz w:val="22"/>
    </w:rPr>
  </w:style>
  <w:style w:type="paragraph" w:customStyle="1" w:styleId="msonormal0">
    <w:name w:val="msonormal"/>
    <w:basedOn w:val="Normal"/>
    <w:uiPriority w:val="99"/>
    <w:pPr>
      <w:spacing w:before="100" w:beforeAutospacing="1" w:after="100" w:afterAutospacing="1" w:line="240" w:lineRule="auto"/>
      <w:jc w:val="left"/>
    </w:pPr>
    <w:rPr>
      <w:sz w:val="24"/>
      <w:szCs w:val="24"/>
    </w:rPr>
  </w:style>
  <w:style w:type="character" w:customStyle="1" w:styleId="FootnoteTextChar1">
    <w:name w:val="Footnote Text Char1"/>
    <w:aliases w:val="fn Char1,Fußnote Char1,Fotnotstext1 Char1,Footnote text Char1,Footnote Text Char2 Char1,Footnote Text Char1 Char Char1,Footnote Text Char Char Char Char1,Footnote Text Char Char1 Char1,Footnote Text Char1 Char1 Char1,9 pt Char1"/>
    <w:basedOn w:val="DefaultParagraphFont"/>
    <w:uiPriority w:val="99"/>
    <w:semiHidden/>
    <w:rPr>
      <w:sz w:val="20"/>
    </w:rPr>
  </w:style>
  <w:style w:type="character" w:customStyle="1" w:styleId="TitleChar">
    <w:name w:val="Title Char"/>
    <w:basedOn w:val="DefaultParagraphFont"/>
    <w:link w:val="Title"/>
    <w:uiPriority w:val="99"/>
    <w:rPr>
      <w:b/>
      <w:kern w:val="28"/>
      <w:sz w:val="48"/>
    </w:rPr>
  </w:style>
  <w:style w:type="character" w:customStyle="1" w:styleId="DateChar">
    <w:name w:val="Date Char"/>
    <w:basedOn w:val="DefaultParagraphFont"/>
    <w:link w:val="Date"/>
    <w:uiPriority w:val="99"/>
    <w:rPr>
      <w:sz w:val="22"/>
    </w:rPr>
  </w:style>
  <w:style w:type="character" w:styleId="Emphasis">
    <w:name w:val="Emphasis"/>
    <w:basedOn w:val="DefaultParagraphFont"/>
    <w:uiPriority w:val="20"/>
    <w:qFormat/>
    <w:locked/>
    <w:rPr>
      <w:i/>
      <w:iCs/>
    </w:rPr>
  </w:style>
  <w:style w:type="paragraph" w:customStyle="1" w:styleId="Briefinglist1">
    <w:name w:val="Briefing list 1"/>
    <w:basedOn w:val="Normal"/>
    <w:link w:val="Briefinglist1Char"/>
    <w:qFormat/>
    <w:pPr>
      <w:keepLines/>
      <w:tabs>
        <w:tab w:val="num" w:pos="284"/>
      </w:tabs>
      <w:spacing w:line="240" w:lineRule="auto"/>
      <w:ind w:left="284" w:hanging="284"/>
    </w:pPr>
    <w:rPr>
      <w:rFonts w:ascii="Arial" w:hAnsi="Arial" w:cs="Arial"/>
      <w:szCs w:val="24"/>
      <w:lang w:eastAsia="en-US"/>
    </w:rPr>
  </w:style>
  <w:style w:type="character" w:customStyle="1" w:styleId="Briefinglist1Char">
    <w:name w:val="Briefing list 1 Char"/>
    <w:basedOn w:val="BriefingtextChar"/>
    <w:link w:val="Briefinglist1"/>
    <w:rPr>
      <w:rFonts w:ascii="Arial" w:hAnsi="Arial" w:cs="Arial"/>
      <w:sz w:val="22"/>
      <w:szCs w:val="24"/>
      <w:lang w:eastAsia="en-US"/>
    </w:rPr>
  </w:style>
  <w:style w:type="character" w:customStyle="1" w:styleId="css-901oao">
    <w:name w:val="css-901oao"/>
    <w:basedOn w:val="DefaultParagraphFont"/>
  </w:style>
  <w:style w:type="paragraph" w:customStyle="1" w:styleId="ftrefCharCharCharCharCharCharCharCharChar">
    <w:name w:val="ftref Char Char Char Char Char Char Char Char Char"/>
    <w:aliases w:val="Footnote Char Char Char Char Char Char Char Char Char,BVI fnr Char Char Char Char Char Char Char Char Char,BVI fnr Char Char Char Char Char Char Char Char Char Char"/>
    <w:basedOn w:val="Normal"/>
    <w:next w:val="Normal"/>
    <w:pPr>
      <w:spacing w:before="120" w:after="160" w:line="240" w:lineRule="exact"/>
      <w:jc w:val="left"/>
    </w:pPr>
    <w:rPr>
      <w:rFonts w:asciiTheme="minorHAnsi" w:eastAsiaTheme="minorHAnsi" w:hAnsiTheme="minorHAnsi" w:cstheme="minorBidi"/>
      <w:szCs w:val="22"/>
      <w:vertAlign w:val="superscript"/>
      <w:lang w:eastAsia="en-US"/>
    </w:rPr>
  </w:style>
  <w:style w:type="paragraph" w:customStyle="1" w:styleId="Citation1">
    <w:name w:val="Citation1"/>
    <w:basedOn w:val="Normal"/>
    <w:uiPriority w:val="90"/>
    <w:qFormat/>
    <w:pPr>
      <w:ind w:left="454" w:right="454"/>
    </w:pPr>
    <w:rPr>
      <w:i/>
    </w:rPr>
  </w:style>
  <w:style w:type="paragraph" w:customStyle="1" w:styleId="Normal1">
    <w:name w:val="Normal1"/>
    <w:basedOn w:val="Normal"/>
    <w:pPr>
      <w:spacing w:before="100" w:beforeAutospacing="1" w:after="100" w:afterAutospacing="1" w:line="240" w:lineRule="auto"/>
      <w:jc w:val="left"/>
    </w:pPr>
    <w:rPr>
      <w:rFonts w:eastAsiaTheme="minorHAnsi"/>
      <w:sz w:val="24"/>
      <w:szCs w:val="24"/>
    </w:rPr>
  </w:style>
  <w:style w:type="character" w:customStyle="1" w:styleId="GuidanceChar">
    <w:name w:val="Guidance Char"/>
    <w:basedOn w:val="DefaultParagraphFont"/>
    <w:link w:val="Guidance"/>
    <w:locked/>
    <w:rPr>
      <w:rFonts w:ascii="Arial" w:hAnsi="Arial" w:cs="Arial"/>
      <w:i/>
      <w:iCs/>
      <w:color w:val="7F7F7F"/>
      <w:lang w:eastAsia="zh-CN"/>
    </w:rPr>
  </w:style>
  <w:style w:type="paragraph" w:customStyle="1" w:styleId="Guidance">
    <w:name w:val="Guidance"/>
    <w:basedOn w:val="Normal"/>
    <w:link w:val="GuidanceChar"/>
    <w:pPr>
      <w:spacing w:line="240" w:lineRule="atLeast"/>
      <w:ind w:left="720"/>
      <w:jc w:val="left"/>
    </w:pPr>
    <w:rPr>
      <w:rFonts w:ascii="Arial" w:hAnsi="Arial" w:cs="Arial"/>
      <w:i/>
      <w:iCs/>
      <w:color w:val="7F7F7F"/>
      <w:sz w:val="24"/>
      <w:lang w:eastAsia="zh-CN"/>
    </w:rPr>
  </w:style>
  <w:style w:type="character" w:customStyle="1" w:styleId="super">
    <w:name w:val="super"/>
    <w:basedOn w:val="DefaultParagraphFont"/>
  </w:style>
  <w:style w:type="table" w:customStyle="1" w:styleId="Oeko3">
    <w:name w:val="Oeko_3"/>
    <w:basedOn w:val="TableNormal"/>
    <w:uiPriority w:val="99"/>
    <w:pPr>
      <w:spacing w:before="40" w:after="40"/>
      <w:jc w:val="both"/>
    </w:pPr>
    <w:rPr>
      <w:rFonts w:ascii="Arial" w:eastAsiaTheme="minorHAnsi" w:hAnsi="Arial" w:cs="Arial"/>
      <w:sz w:val="20"/>
      <w:szCs w:val="22"/>
      <w:lang w:val="de-DE" w:eastAsia="en-US"/>
    </w:rPr>
    <w:tblPr>
      <w:tblBorders>
        <w:top w:val="single" w:sz="4" w:space="0" w:color="A5A5A5" w:themeColor="accent3"/>
        <w:bottom w:val="single" w:sz="4" w:space="0" w:color="A5A5A5" w:themeColor="accent3"/>
        <w:insideH w:val="single" w:sz="4" w:space="0" w:color="A5A5A5" w:themeColor="accent3"/>
      </w:tblBorders>
      <w:tblCellMar>
        <w:left w:w="0" w:type="dxa"/>
        <w:right w:w="85" w:type="dxa"/>
      </w:tblCellMar>
    </w:tblPr>
  </w:style>
  <w:style w:type="numbering" w:customStyle="1" w:styleId="ImportedStyle1">
    <w:name w:val="Imported Style 1"/>
    <w:pPr>
      <w:numPr>
        <w:numId w:val="148"/>
      </w:numPr>
    </w:pPr>
  </w:style>
  <w:style w:type="paragraph" w:customStyle="1" w:styleId="Source">
    <w:name w:val="Source"/>
    <w:basedOn w:val="Normal"/>
    <w:link w:val="SourceChar"/>
    <w:qFormat/>
    <w:pPr>
      <w:jc w:val="right"/>
    </w:pPr>
    <w:rPr>
      <w:rFonts w:asciiTheme="minorHAnsi" w:hAnsiTheme="minorHAnsi" w:cstheme="minorHAnsi"/>
      <w:i/>
      <w:noProof/>
      <w:color w:val="000000" w:themeColor="text1"/>
      <w:sz w:val="20"/>
      <w:szCs w:val="18"/>
      <w:lang w:val="fr-BE"/>
    </w:rPr>
  </w:style>
  <w:style w:type="character" w:customStyle="1" w:styleId="SourceChar">
    <w:name w:val="Source Char"/>
    <w:basedOn w:val="DefaultParagraphFont"/>
    <w:link w:val="Source"/>
    <w:rPr>
      <w:rFonts w:asciiTheme="minorHAnsi" w:hAnsiTheme="minorHAnsi" w:cstheme="minorHAnsi"/>
      <w:i/>
      <w:noProof/>
      <w:color w:val="000000" w:themeColor="text1"/>
      <w:sz w:val="20"/>
      <w:szCs w:val="18"/>
      <w:lang w:val="fr-BE"/>
    </w:rPr>
  </w:style>
  <w:style w:type="paragraph" w:customStyle="1" w:styleId="TextNormal">
    <w:name w:val="Text_Normal"/>
    <w:basedOn w:val="Normal"/>
    <w:pPr>
      <w:spacing w:line="240" w:lineRule="auto"/>
      <w:jc w:val="left"/>
    </w:pPr>
    <w:rPr>
      <w:rFonts w:ascii="Verdana" w:eastAsiaTheme="minorHAnsi" w:hAnsi="Verdana"/>
      <w:color w:val="EEECE1"/>
      <w:sz w:val="20"/>
      <w:lang w:eastAsia="en-US"/>
    </w:rPr>
  </w:style>
  <w:style w:type="paragraph" w:styleId="Subtitle">
    <w:name w:val="Subtitle"/>
    <w:basedOn w:val="Normal"/>
    <w:next w:val="Normal"/>
    <w:link w:val="SubtitleChar"/>
    <w:autoRedefine/>
    <w:qFormat/>
    <w:locked/>
    <w:pPr>
      <w:numPr>
        <w:ilvl w:val="1"/>
      </w:numPr>
      <w:spacing w:before="120" w:line="240" w:lineRule="auto"/>
      <w:jc w:val="right"/>
    </w:pPr>
    <w:rPr>
      <w:rFonts w:eastAsia="+mn-ea" w:cstheme="majorBidi"/>
      <w:i/>
      <w:iCs/>
      <w:spacing w:val="15"/>
      <w:sz w:val="20"/>
    </w:rPr>
  </w:style>
  <w:style w:type="character" w:customStyle="1" w:styleId="SubtitleChar">
    <w:name w:val="Subtitle Char"/>
    <w:basedOn w:val="DefaultParagraphFont"/>
    <w:link w:val="Subtitle"/>
    <w:rPr>
      <w:rFonts w:eastAsia="+mn-ea" w:cstheme="majorBidi"/>
      <w:i/>
      <w:iCs/>
      <w:spacing w:val="15"/>
      <w:sz w:val="20"/>
    </w:rPr>
  </w:style>
  <w:style w:type="character" w:styleId="SubtleEmphasis">
    <w:name w:val="Subtle Emphasis"/>
    <w:basedOn w:val="DefaultParagraphFont"/>
    <w:uiPriority w:val="19"/>
    <w:qFormat/>
    <w:locked/>
    <w:rPr>
      <w:i/>
      <w:iCs/>
      <w:sz w:val="20"/>
      <w:lang w:val="fr-BE"/>
    </w:rPr>
  </w:style>
  <w:style w:type="paragraph" w:customStyle="1" w:styleId="SourceNote">
    <w:name w:val="Source &amp; Note"/>
    <w:basedOn w:val="Caption"/>
    <w:link w:val="SourceNoteChar"/>
    <w:qFormat/>
    <w:pPr>
      <w:spacing w:before="0" w:line="240" w:lineRule="auto"/>
      <w:jc w:val="right"/>
    </w:pPr>
    <w:rPr>
      <w:rFonts w:asciiTheme="minorHAnsi" w:hAnsiTheme="minorHAnsi" w:cstheme="minorHAnsi"/>
      <w:b w:val="0"/>
      <w:noProof/>
      <w:color w:val="000000" w:themeColor="text1"/>
      <w:sz w:val="20"/>
      <w:szCs w:val="18"/>
      <w:lang w:val="fr-BE"/>
    </w:rPr>
  </w:style>
  <w:style w:type="character" w:customStyle="1" w:styleId="SourceNoteChar">
    <w:name w:val="Source &amp; Note Char"/>
    <w:basedOn w:val="DefaultParagraphFont"/>
    <w:link w:val="SourceNote"/>
    <w:rPr>
      <w:rFonts w:asciiTheme="minorHAnsi" w:hAnsiTheme="minorHAnsi" w:cstheme="minorHAnsi"/>
      <w:i/>
      <w:noProof/>
      <w:color w:val="000000" w:themeColor="text1"/>
      <w:sz w:val="20"/>
      <w:szCs w:val="18"/>
      <w:lang w:val="fr-BE"/>
    </w:rPr>
  </w:style>
  <w:style w:type="paragraph" w:customStyle="1" w:styleId="Notes">
    <w:name w:val="Notes"/>
    <w:basedOn w:val="Caption"/>
    <w:link w:val="NotesChar"/>
    <w:qFormat/>
    <w:pPr>
      <w:keepNext/>
      <w:spacing w:before="0" w:after="0"/>
    </w:pPr>
    <w:rPr>
      <w:rFonts w:asciiTheme="minorHAnsi" w:hAnsiTheme="minorHAnsi" w:cstheme="minorHAnsi"/>
      <w:b w:val="0"/>
      <w:iCs/>
      <w:noProof/>
      <w:color w:val="000000" w:themeColor="text1"/>
      <w:sz w:val="20"/>
      <w:lang w:val="en-US"/>
    </w:rPr>
  </w:style>
  <w:style w:type="character" w:customStyle="1" w:styleId="NotesChar">
    <w:name w:val="Notes Char"/>
    <w:basedOn w:val="DefaultParagraphFont"/>
    <w:link w:val="Notes"/>
    <w:rPr>
      <w:rFonts w:asciiTheme="minorHAnsi" w:hAnsiTheme="minorHAnsi" w:cstheme="minorHAnsi"/>
      <w:i/>
      <w:iCs/>
      <w:noProof/>
      <w:color w:val="000000" w:themeColor="text1"/>
      <w:sz w:val="20"/>
      <w:lang w:val="en-US"/>
    </w:rPr>
  </w:style>
  <w:style w:type="paragraph" w:customStyle="1" w:styleId="Accompagnant">
    <w:name w:val="Accompagnant"/>
    <w:basedOn w:val="Normal"/>
    <w:next w:val="Normal"/>
    <w:pPr>
      <w:spacing w:after="240" w:line="240" w:lineRule="auto"/>
      <w:jc w:val="center"/>
    </w:pPr>
    <w:rPr>
      <w:rFonts w:eastAsiaTheme="minorHAnsi"/>
      <w:b/>
      <w:i/>
      <w:sz w:val="24"/>
      <w:szCs w:val="22"/>
      <w:lang w:eastAsia="en-US"/>
    </w:rPr>
  </w:style>
  <w:style w:type="paragraph" w:customStyle="1" w:styleId="Typeacteprincipal">
    <w:name w:val="Type acte principal"/>
    <w:basedOn w:val="Normal"/>
    <w:next w:val="Normal"/>
    <w:pPr>
      <w:spacing w:after="240" w:line="240" w:lineRule="auto"/>
      <w:jc w:val="center"/>
    </w:pPr>
    <w:rPr>
      <w:rFonts w:eastAsiaTheme="minorHAnsi"/>
      <w:b/>
      <w:sz w:val="24"/>
      <w:szCs w:val="22"/>
      <w:lang w:eastAsia="en-US"/>
    </w:rPr>
  </w:style>
  <w:style w:type="paragraph" w:customStyle="1" w:styleId="Objetacteprincipal">
    <w:name w:val="Objet acte principal"/>
    <w:basedOn w:val="Normal"/>
    <w:next w:val="Normal"/>
    <w:pPr>
      <w:spacing w:after="360" w:line="240" w:lineRule="auto"/>
      <w:jc w:val="center"/>
    </w:pPr>
    <w:rPr>
      <w:rFonts w:eastAsiaTheme="minorHAnsi"/>
      <w:b/>
      <w:sz w:val="24"/>
      <w:szCs w:val="22"/>
      <w:lang w:eastAsia="en-US"/>
    </w:rPr>
  </w:style>
  <w:style w:type="character" w:customStyle="1" w:styleId="acopre">
    <w:name w:val="acopre"/>
    <w:basedOn w:val="DefaultParagraphFont"/>
  </w:style>
  <w:style w:type="paragraph" w:customStyle="1" w:styleId="Citation10">
    <w:name w:val="Citation10"/>
    <w:basedOn w:val="Normal"/>
    <w:uiPriority w:val="90"/>
    <w:qFormat/>
    <w:pPr>
      <w:ind w:left="454" w:right="454"/>
    </w:pPr>
    <w:rPr>
      <w:i/>
    </w:rPr>
  </w:style>
  <w:style w:type="paragraph" w:customStyle="1" w:styleId="Citation100">
    <w:name w:val="Citation100"/>
    <w:basedOn w:val="Normal"/>
    <w:uiPriority w:val="90"/>
    <w:qFormat/>
    <w:pPr>
      <w:ind w:left="454" w:right="454"/>
    </w:pPr>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en-GB" w:eastAsia="en-GB" w:bidi="ar-SA"/>
      </w:rPr>
    </w:rPrDefault>
    <w:pPrDefault/>
  </w:docDefaults>
  <w:latentStyles w:defLockedState="1" w:defUIPriority="0" w:defSemiHidden="1" w:defUnhideWhenUsed="1" w:defQFormat="0" w:count="267">
    <w:lsdException w:name="Normal" w:semiHidden="0" w:uiPriority="90" w:unhideWhenUsed="0" w:qFormat="1"/>
    <w:lsdException w:name="heading 1" w:semiHidden="0" w:uiPriority="90" w:unhideWhenUsed="0" w:qFormat="1"/>
    <w:lsdException w:name="heading 2" w:semiHidden="0" w:uiPriority="90" w:unhideWhenUsed="0" w:qFormat="1"/>
    <w:lsdException w:name="heading 3" w:semiHidden="0" w:uiPriority="90" w:unhideWhenUsed="0" w:qFormat="1"/>
    <w:lsdException w:name="heading 4" w:semiHidden="0" w:uiPriority="90" w:unhideWhenUsed="0" w:qFormat="1"/>
    <w:lsdException w:name="heading 5" w:unhideWhenUsed="0" w:qFormat="1"/>
    <w:lsdException w:name="heading 6"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semiHidden="0" w:uiPriority="99"/>
    <w:lsdException w:name="footer" w:semiHidden="0" w:uiPriority="99"/>
    <w:lsdException w:name="caption" w:semiHidden="0" w:uiPriority="35" w:qFormat="1"/>
    <w:lsdException w:name="table of figures" w:uiPriority="99"/>
    <w:lsdException w:name="footnote reference" w:uiPriority="99" w:qFormat="1"/>
    <w:lsdException w:name="annotation reference" w:uiPriority="99"/>
    <w:lsdException w:name="endnote reference" w:uiPriority="99"/>
    <w:lsdException w:name="endnote text" w:uiPriority="99"/>
    <w:lsdException w:name="macro" w:uiPriority="90" w:qFormat="1"/>
    <w:lsdException w:name="List Bullet" w:semiHidden="0" w:uiPriority="99"/>
    <w:lsdException w:name="List Number" w:semiHidden="0" w:uiPriority="99" w:unhideWhenUsed="0"/>
    <w:lsdException w:name="List 4" w:unhideWhenUsed="0"/>
    <w:lsdException w:name="List 5" w:unhideWhenUsed="0"/>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iPriority="99" w:unhideWhenUsed="0" w:qFormat="1"/>
    <w:lsdException w:name="Default Paragraph Font" w:uiPriority="1"/>
    <w:lsdException w:name="Subtitle" w:unhideWhenUsed="0" w:qFormat="1"/>
    <w:lsdException w:name="Salutation" w:unhideWhenUsed="0"/>
    <w:lsdException w:name="Date" w:semiHidden="0" w:uiPriority="99" w:unhideWhenUsed="0"/>
    <w:lsdException w:name="Body Text First Indent"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uiPriority w:val="90"/>
    <w:qFormat/>
    <w:pPr>
      <w:spacing w:after="120" w:line="264" w:lineRule="auto"/>
      <w:jc w:val="both"/>
    </w:pPr>
    <w:rPr>
      <w:sz w:val="22"/>
    </w:rPr>
  </w:style>
  <w:style w:type="paragraph" w:styleId="Heading1">
    <w:name w:val="heading 1"/>
    <w:basedOn w:val="Normal"/>
    <w:next w:val="Normal"/>
    <w:link w:val="Heading1Char"/>
    <w:autoRedefine/>
    <w:uiPriority w:val="90"/>
    <w:qFormat/>
    <w:pPr>
      <w:keepNext/>
      <w:numPr>
        <w:numId w:val="88"/>
      </w:numPr>
      <w:tabs>
        <w:tab w:val="left" w:pos="510"/>
      </w:tabs>
      <w:spacing w:before="480" w:after="360"/>
      <w:outlineLvl w:val="0"/>
    </w:pPr>
    <w:rPr>
      <w:b/>
      <w:smallCaps/>
      <w:sz w:val="26"/>
    </w:rPr>
  </w:style>
  <w:style w:type="paragraph" w:styleId="Heading2">
    <w:name w:val="heading 2"/>
    <w:basedOn w:val="Heading3"/>
    <w:next w:val="Normal"/>
    <w:link w:val="Heading2Char"/>
    <w:autoRedefine/>
    <w:uiPriority w:val="90"/>
    <w:qFormat/>
    <w:pPr>
      <w:numPr>
        <w:ilvl w:val="1"/>
      </w:numPr>
      <w:tabs>
        <w:tab w:val="left" w:pos="1134"/>
      </w:tabs>
      <w:spacing w:before="420"/>
      <w:outlineLvl w:val="1"/>
    </w:pPr>
    <w:rPr>
      <w:u w:val="single"/>
    </w:rPr>
  </w:style>
  <w:style w:type="paragraph" w:styleId="Heading3">
    <w:name w:val="heading 3"/>
    <w:basedOn w:val="Normal"/>
    <w:next w:val="Normal"/>
    <w:link w:val="Heading3Char"/>
    <w:autoRedefine/>
    <w:uiPriority w:val="90"/>
    <w:qFormat/>
    <w:pPr>
      <w:keepNext/>
      <w:numPr>
        <w:ilvl w:val="2"/>
        <w:numId w:val="88"/>
      </w:numPr>
      <w:tabs>
        <w:tab w:val="left" w:pos="1560"/>
      </w:tabs>
      <w:spacing w:before="360"/>
      <w:outlineLvl w:val="2"/>
    </w:pPr>
    <w:rPr>
      <w:b/>
      <w:sz w:val="24"/>
      <w:szCs w:val="24"/>
      <w:lang w:eastAsia="en-US"/>
    </w:rPr>
  </w:style>
  <w:style w:type="paragraph" w:styleId="Heading4">
    <w:name w:val="heading 4"/>
    <w:basedOn w:val="Heading3"/>
    <w:next w:val="Normal"/>
    <w:link w:val="Heading4Char"/>
    <w:uiPriority w:val="90"/>
    <w:qFormat/>
    <w:pPr>
      <w:numPr>
        <w:ilvl w:val="3"/>
      </w:numPr>
      <w:outlineLvl w:val="3"/>
    </w:pPr>
    <w:rPr>
      <w:i/>
    </w:rPr>
  </w:style>
  <w:style w:type="paragraph" w:styleId="Heading5">
    <w:name w:val="heading 5"/>
    <w:basedOn w:val="Normal"/>
    <w:next w:val="Normal"/>
    <w:link w:val="Heading5Char"/>
    <w:qFormat/>
    <w:pPr>
      <w:keepNext/>
      <w:numPr>
        <w:ilvl w:val="4"/>
        <w:numId w:val="88"/>
      </w:numPr>
      <w:outlineLvl w:val="4"/>
    </w:pPr>
    <w:rPr>
      <w:u w:val="single"/>
    </w:rPr>
  </w:style>
  <w:style w:type="paragraph" w:styleId="Heading6">
    <w:name w:val="heading 6"/>
    <w:basedOn w:val="Normal"/>
    <w:next w:val="Normal"/>
    <w:link w:val="Heading6Char"/>
    <w:semiHidden/>
    <w:qFormat/>
    <w:pPr>
      <w:keepNext/>
      <w:numPr>
        <w:ilvl w:val="5"/>
        <w:numId w:val="88"/>
      </w:numPr>
      <w:outlineLvl w:val="5"/>
    </w:pPr>
  </w:style>
  <w:style w:type="paragraph" w:styleId="Heading7">
    <w:name w:val="heading 7"/>
    <w:basedOn w:val="Normal"/>
    <w:next w:val="Normal"/>
    <w:link w:val="Heading7Char"/>
    <w:uiPriority w:val="99"/>
    <w:semiHidden/>
    <w:qFormat/>
    <w:pPr>
      <w:keepNext/>
      <w:numPr>
        <w:ilvl w:val="6"/>
        <w:numId w:val="88"/>
      </w:numPr>
      <w:outlineLvl w:val="6"/>
    </w:pPr>
  </w:style>
  <w:style w:type="paragraph" w:styleId="Heading8">
    <w:name w:val="heading 8"/>
    <w:basedOn w:val="Normal"/>
    <w:next w:val="Normal"/>
    <w:link w:val="Heading8Char"/>
    <w:uiPriority w:val="99"/>
    <w:semiHidden/>
    <w:qFormat/>
    <w:pPr>
      <w:keepNext/>
      <w:numPr>
        <w:ilvl w:val="7"/>
        <w:numId w:val="88"/>
      </w:numPr>
      <w:outlineLvl w:val="7"/>
    </w:pPr>
  </w:style>
  <w:style w:type="paragraph" w:styleId="Heading9">
    <w:name w:val="heading 9"/>
    <w:basedOn w:val="Normal"/>
    <w:next w:val="Normal"/>
    <w:link w:val="Heading9Char"/>
    <w:uiPriority w:val="99"/>
    <w:semiHidden/>
    <w:qFormat/>
    <w:pPr>
      <w:keepNext/>
      <w:numPr>
        <w:ilvl w:val="8"/>
        <w:numId w:val="8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CrossReference">
    <w:name w:val="Cross Reference"/>
    <w:basedOn w:val="DefaultParagraphFont"/>
    <w:uiPriority w:val="99"/>
    <w:rPr>
      <w:i/>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FigureSource">
    <w:name w:val="Figure Source"/>
    <w:basedOn w:val="Normal"/>
    <w:next w:val="Normal"/>
    <w:uiPriority w:val="7"/>
    <w:pPr>
      <w:spacing w:after="240" w:line="240" w:lineRule="auto"/>
    </w:pPr>
    <w:rPr>
      <w:sz w:val="18"/>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line="240" w:lineRule="auto"/>
    </w:pPr>
  </w:style>
  <w:style w:type="paragraph" w:customStyle="1" w:styleId="FigureTitle">
    <w:name w:val="Figure Title"/>
    <w:basedOn w:val="Normal"/>
    <w:next w:val="FigureBody"/>
    <w:uiPriority w:val="6"/>
    <w:pPr>
      <w:keepNext/>
      <w:spacing w:before="120"/>
    </w:pPr>
    <w:rPr>
      <w:b/>
      <w:i/>
    </w:rPr>
  </w:style>
  <w:style w:type="paragraph" w:customStyle="1" w:styleId="HistoryTable">
    <w:name w:val="HistoryTable"/>
    <w:basedOn w:val="Normal"/>
    <w:uiPriority w:val="99"/>
    <w:pPr>
      <w:spacing w:before="60" w:after="60"/>
    </w:pPr>
    <w:rPr>
      <w:sz w:val="20"/>
    </w:rPr>
  </w:style>
  <w:style w:type="paragraph" w:customStyle="1" w:styleId="HistTableHeading">
    <w:name w:val="HistTableHeading"/>
    <w:basedOn w:val="Normal"/>
    <w:next w:val="HistoryTable"/>
    <w:uiPriority w:val="99"/>
    <w:pPr>
      <w:jc w:val="center"/>
    </w:pPr>
    <w:rPr>
      <w:rFonts w:ascii="Times New Roman Bold" w:hAnsi="Times New Roman Bold"/>
      <w:b/>
      <w:sz w:val="32"/>
    </w:rPr>
  </w:style>
  <w:style w:type="paragraph" w:customStyle="1" w:styleId="TableText">
    <w:name w:val="Table Text"/>
    <w:basedOn w:val="Normal"/>
    <w:uiPriority w:val="90"/>
    <w:qFormat/>
    <w:pPr>
      <w:spacing w:before="60" w:after="60"/>
    </w:pPr>
    <w:rPr>
      <w:b/>
    </w:rPr>
  </w:style>
  <w:style w:type="paragraph" w:customStyle="1" w:styleId="LegalNumPar3">
    <w:name w:val="LegalNumPar3"/>
    <w:basedOn w:val="Normal"/>
    <w:uiPriority w:val="99"/>
    <w:pPr>
      <w:numPr>
        <w:ilvl w:val="2"/>
        <w:numId w:val="2"/>
      </w:numPr>
      <w:tabs>
        <w:tab w:val="clear" w:pos="1429"/>
      </w:tabs>
      <w:spacing w:line="360" w:lineRule="auto"/>
    </w:pPr>
    <w:rPr>
      <w:sz w:val="24"/>
    </w:rPr>
  </w:style>
  <w:style w:type="paragraph" w:customStyle="1" w:styleId="LegalNumPar2">
    <w:name w:val="LegalNumPar2"/>
    <w:basedOn w:val="Normal"/>
    <w:uiPriority w:val="99"/>
    <w:pPr>
      <w:numPr>
        <w:ilvl w:val="1"/>
        <w:numId w:val="2"/>
      </w:numPr>
      <w:tabs>
        <w:tab w:val="clear" w:pos="952"/>
      </w:tabs>
      <w:spacing w:line="360" w:lineRule="auto"/>
    </w:pPr>
    <w:rPr>
      <w:sz w:val="24"/>
    </w:rPr>
  </w:style>
  <w:style w:type="paragraph" w:customStyle="1" w:styleId="LegalNumPar">
    <w:name w:val="LegalNumPar"/>
    <w:basedOn w:val="Normal"/>
    <w:link w:val="LegalNumParChar"/>
    <w:qFormat/>
    <w:pPr>
      <w:spacing w:line="360" w:lineRule="auto"/>
    </w:pPr>
    <w:rPr>
      <w:sz w:val="24"/>
    </w:rPr>
  </w:style>
  <w:style w:type="paragraph" w:customStyle="1" w:styleId="MarkingLong">
    <w:name w:val="MarkingLong"/>
    <w:basedOn w:val="Marking"/>
    <w:uiPriority w:val="99"/>
    <w:pPr>
      <w:ind w:left="0"/>
      <w:jc w:val="right"/>
    </w:pPr>
  </w:style>
  <w:style w:type="paragraph" w:customStyle="1" w:styleId="Marking">
    <w:name w:val="Marking"/>
    <w:basedOn w:val="Normal"/>
    <w:uiPriority w:val="99"/>
    <w:pPr>
      <w:spacing w:line="276" w:lineRule="auto"/>
      <w:ind w:left="5102" w:right="-567"/>
      <w:contextualSpacing/>
      <w:jc w:val="left"/>
    </w:pPr>
    <w:rPr>
      <w:sz w:val="28"/>
    </w:rPr>
  </w:style>
  <w:style w:type="paragraph" w:customStyle="1" w:styleId="SectionTitle">
    <w:name w:val="SectionTitle"/>
    <w:basedOn w:val="Normal"/>
    <w:next w:val="Heading1"/>
    <w:uiPriority w:val="90"/>
    <w:qFormat/>
    <w:pPr>
      <w:keepNext/>
      <w:spacing w:before="720" w:after="360"/>
      <w:contextualSpacing/>
      <w:jc w:val="center"/>
      <w:outlineLvl w:val="0"/>
    </w:pPr>
    <w:rPr>
      <w:rFonts w:ascii="Times New Roman Bold" w:hAnsi="Times New Roman Bold"/>
      <w:b/>
      <w:smallCaps/>
      <w:sz w:val="32"/>
    </w:rPr>
  </w:style>
  <w:style w:type="paragraph" w:customStyle="1" w:styleId="ChapterTitle">
    <w:name w:val="ChapterTitle"/>
    <w:basedOn w:val="Normal"/>
    <w:next w:val="SectionTitle"/>
    <w:uiPriority w:val="90"/>
    <w:qFormat/>
    <w:pPr>
      <w:keepNext/>
      <w:spacing w:before="720" w:after="360"/>
      <w:jc w:val="center"/>
      <w:outlineLvl w:val="0"/>
    </w:pPr>
    <w:rPr>
      <w:b/>
      <w:sz w:val="36"/>
    </w:rPr>
  </w:style>
  <w:style w:type="paragraph" w:customStyle="1" w:styleId="PartTitle">
    <w:name w:val="PartTitle"/>
    <w:basedOn w:val="Normal"/>
    <w:next w:val="ChapterTitle"/>
    <w:uiPriority w:val="90"/>
    <w:qFormat/>
    <w:pPr>
      <w:keepNext/>
      <w:pageBreakBefore/>
      <w:spacing w:before="720" w:after="360"/>
      <w:jc w:val="center"/>
      <w:outlineLvl w:val="0"/>
    </w:pPr>
    <w:rPr>
      <w:b/>
      <w:sz w:val="40"/>
    </w:rPr>
  </w:style>
  <w:style w:type="paragraph" w:customStyle="1" w:styleId="AnnexTitle">
    <w:name w:val="AnnexTitle"/>
    <w:basedOn w:val="Normal"/>
    <w:next w:val="Normal"/>
    <w:uiPriority w:val="90"/>
    <w:qFormat/>
    <w:pPr>
      <w:pageBreakBefore/>
      <w:spacing w:before="240" w:after="360"/>
      <w:outlineLvl w:val="0"/>
    </w:pPr>
    <w:rPr>
      <w:b/>
      <w:sz w:val="36"/>
    </w:rPr>
  </w:style>
  <w:style w:type="paragraph" w:customStyle="1" w:styleId="FITTable">
    <w:name w:val="FIT Table"/>
    <w:basedOn w:val="Normal"/>
    <w:uiPriority w:val="99"/>
    <w:pPr>
      <w:spacing w:before="60" w:after="60"/>
    </w:pPr>
  </w:style>
  <w:style w:type="paragraph" w:customStyle="1" w:styleId="ListNumberLevel4">
    <w:name w:val="List Number (Level 4)"/>
    <w:basedOn w:val="Normal"/>
    <w:uiPriority w:val="99"/>
    <w:pPr>
      <w:numPr>
        <w:ilvl w:val="3"/>
        <w:numId w:val="4"/>
      </w:numPr>
      <w:ind w:left="1815" w:hanging="454"/>
      <w:contextualSpacing/>
    </w:pPr>
  </w:style>
  <w:style w:type="paragraph" w:customStyle="1" w:styleId="ListNumberLevel3">
    <w:name w:val="List Number (Level 3)"/>
    <w:basedOn w:val="Normal"/>
    <w:uiPriority w:val="99"/>
    <w:pPr>
      <w:numPr>
        <w:ilvl w:val="2"/>
        <w:numId w:val="4"/>
      </w:numPr>
      <w:contextualSpacing/>
    </w:pPr>
  </w:style>
  <w:style w:type="paragraph" w:customStyle="1" w:styleId="ListNumberLevel2">
    <w:name w:val="List Number (Level 2)"/>
    <w:basedOn w:val="Normal"/>
    <w:uiPriority w:val="99"/>
    <w:pPr>
      <w:numPr>
        <w:ilvl w:val="1"/>
        <w:numId w:val="4"/>
      </w:numPr>
      <w:ind w:left="908" w:hanging="454"/>
      <w:contextualSpacing/>
    </w:pPr>
  </w:style>
  <w:style w:type="paragraph" w:styleId="ListNumber">
    <w:name w:val="List Number"/>
    <w:basedOn w:val="Normal"/>
    <w:uiPriority w:val="99"/>
    <w:pPr>
      <w:numPr>
        <w:numId w:val="4"/>
      </w:numPr>
      <w:contextualSpacing/>
    </w:pPr>
  </w:style>
  <w:style w:type="paragraph" w:customStyle="1" w:styleId="ListDashLevel4">
    <w:name w:val="List Dash (Level 4)"/>
    <w:basedOn w:val="Normal"/>
    <w:uiPriority w:val="99"/>
    <w:pPr>
      <w:numPr>
        <w:ilvl w:val="3"/>
        <w:numId w:val="3"/>
      </w:numPr>
      <w:contextualSpacing/>
    </w:pPr>
  </w:style>
  <w:style w:type="paragraph" w:customStyle="1" w:styleId="ListDashLevel3">
    <w:name w:val="List Dash (Level 3)"/>
    <w:basedOn w:val="Normal"/>
    <w:uiPriority w:val="99"/>
    <w:pPr>
      <w:numPr>
        <w:ilvl w:val="2"/>
        <w:numId w:val="3"/>
      </w:numPr>
      <w:contextualSpacing/>
    </w:pPr>
  </w:style>
  <w:style w:type="paragraph" w:customStyle="1" w:styleId="ListDashLevel2">
    <w:name w:val="List Dash (Level 2)"/>
    <w:basedOn w:val="Normal"/>
    <w:uiPriority w:val="99"/>
    <w:pPr>
      <w:numPr>
        <w:ilvl w:val="1"/>
        <w:numId w:val="3"/>
      </w:numPr>
      <w:contextualSpacing/>
    </w:pPr>
  </w:style>
  <w:style w:type="paragraph" w:customStyle="1" w:styleId="ListDash">
    <w:name w:val="List Dash"/>
    <w:basedOn w:val="Normal"/>
    <w:uiPriority w:val="99"/>
    <w:pPr>
      <w:numPr>
        <w:numId w:val="3"/>
      </w:numPr>
      <w:contextualSpacing/>
    </w:pPr>
  </w:style>
  <w:style w:type="paragraph" w:customStyle="1" w:styleId="ListBulletLevel4">
    <w:name w:val="List Bullet (Level 4)"/>
    <w:basedOn w:val="Normal"/>
    <w:uiPriority w:val="99"/>
    <w:pPr>
      <w:tabs>
        <w:tab w:val="num" w:pos="454"/>
      </w:tabs>
      <w:ind w:left="454" w:hanging="454"/>
      <w:contextualSpacing/>
    </w:pPr>
  </w:style>
  <w:style w:type="paragraph" w:customStyle="1" w:styleId="ListBulletLevel3">
    <w:name w:val="List Bullet (Level 3)"/>
    <w:basedOn w:val="Normal"/>
    <w:uiPriority w:val="99"/>
    <w:pPr>
      <w:tabs>
        <w:tab w:val="num" w:pos="454"/>
      </w:tabs>
      <w:ind w:left="454" w:hanging="454"/>
      <w:contextualSpacing/>
    </w:pPr>
  </w:style>
  <w:style w:type="paragraph" w:customStyle="1" w:styleId="ListBulletLevel2">
    <w:name w:val="List Bullet (Level 2)"/>
    <w:basedOn w:val="Normal"/>
    <w:uiPriority w:val="99"/>
    <w:pPr>
      <w:tabs>
        <w:tab w:val="num" w:pos="454"/>
      </w:tabs>
      <w:ind w:left="454" w:hanging="454"/>
      <w:contextualSpacing/>
    </w:pPr>
  </w:style>
  <w:style w:type="paragraph" w:styleId="ListBullet">
    <w:name w:val="List Bullet"/>
    <w:basedOn w:val="Normal"/>
    <w:uiPriority w:val="99"/>
    <w:pPr>
      <w:numPr>
        <w:numId w:val="5"/>
      </w:numPr>
      <w:contextualSpacing/>
    </w:pPr>
  </w:style>
  <w:style w:type="paragraph" w:styleId="TOC9">
    <w:name w:val="toc 9"/>
    <w:basedOn w:val="Normal"/>
    <w:next w:val="Normal"/>
    <w:uiPriority w:val="39"/>
    <w:pPr>
      <w:spacing w:after="0"/>
      <w:ind w:left="1760"/>
      <w:jc w:val="left"/>
    </w:pPr>
    <w:rPr>
      <w:rFonts w:asciiTheme="minorHAnsi" w:hAnsiTheme="minorHAnsi" w:cstheme="minorHAnsi"/>
      <w:sz w:val="20"/>
    </w:rPr>
  </w:style>
  <w:style w:type="paragraph" w:styleId="TOC8">
    <w:name w:val="toc 8"/>
    <w:basedOn w:val="Normal"/>
    <w:next w:val="Normal"/>
    <w:uiPriority w:val="39"/>
    <w:pPr>
      <w:spacing w:after="0"/>
      <w:ind w:left="1540"/>
      <w:jc w:val="left"/>
    </w:pPr>
    <w:rPr>
      <w:rFonts w:asciiTheme="minorHAnsi" w:hAnsiTheme="minorHAnsi" w:cstheme="minorHAnsi"/>
      <w:sz w:val="20"/>
    </w:rPr>
  </w:style>
  <w:style w:type="paragraph" w:styleId="TOC7">
    <w:name w:val="toc 7"/>
    <w:basedOn w:val="Normal"/>
    <w:next w:val="Normal"/>
    <w:uiPriority w:val="39"/>
    <w:pPr>
      <w:spacing w:after="0"/>
      <w:ind w:left="1320"/>
      <w:jc w:val="left"/>
    </w:pPr>
    <w:rPr>
      <w:rFonts w:asciiTheme="minorHAnsi" w:hAnsiTheme="minorHAnsi" w:cstheme="minorHAnsi"/>
      <w:sz w:val="20"/>
    </w:rPr>
  </w:style>
  <w:style w:type="paragraph" w:styleId="TOC6">
    <w:name w:val="toc 6"/>
    <w:basedOn w:val="Normal"/>
    <w:next w:val="Normal"/>
    <w:uiPriority w:val="39"/>
    <w:pPr>
      <w:spacing w:after="0"/>
      <w:ind w:left="1100"/>
      <w:jc w:val="left"/>
    </w:pPr>
    <w:rPr>
      <w:rFonts w:asciiTheme="minorHAnsi" w:hAnsiTheme="minorHAnsi" w:cstheme="minorHAnsi"/>
      <w:sz w:val="20"/>
    </w:rPr>
  </w:style>
  <w:style w:type="paragraph" w:styleId="TOC5">
    <w:name w:val="toc 5"/>
    <w:basedOn w:val="Normal"/>
    <w:next w:val="Normal"/>
    <w:uiPriority w:val="39"/>
    <w:pPr>
      <w:spacing w:after="0"/>
      <w:ind w:left="880"/>
      <w:jc w:val="left"/>
    </w:pPr>
    <w:rPr>
      <w:rFonts w:asciiTheme="minorHAnsi" w:hAnsiTheme="minorHAnsi" w:cstheme="minorHAnsi"/>
      <w:sz w:val="20"/>
    </w:rPr>
  </w:style>
  <w:style w:type="paragraph" w:styleId="TOC4">
    <w:name w:val="toc 4"/>
    <w:basedOn w:val="Normal"/>
    <w:next w:val="Normal"/>
    <w:uiPriority w:val="39"/>
    <w:pPr>
      <w:spacing w:after="0"/>
      <w:ind w:left="660"/>
      <w:jc w:val="left"/>
    </w:pPr>
    <w:rPr>
      <w:rFonts w:asciiTheme="minorHAnsi" w:hAnsiTheme="minorHAnsi" w:cstheme="minorHAnsi"/>
      <w:sz w:val="20"/>
    </w:rPr>
  </w:style>
  <w:style w:type="paragraph" w:styleId="TOC3">
    <w:name w:val="toc 3"/>
    <w:basedOn w:val="Normal"/>
    <w:next w:val="Normal"/>
    <w:uiPriority w:val="39"/>
    <w:pPr>
      <w:spacing w:after="0"/>
      <w:ind w:left="440"/>
      <w:jc w:val="left"/>
    </w:pPr>
    <w:rPr>
      <w:rFonts w:asciiTheme="minorHAnsi" w:hAnsiTheme="minorHAnsi" w:cstheme="minorHAnsi"/>
      <w:sz w:val="20"/>
    </w:rPr>
  </w:style>
  <w:style w:type="paragraph" w:styleId="TOC2">
    <w:name w:val="toc 2"/>
    <w:basedOn w:val="Normal"/>
    <w:next w:val="Normal"/>
    <w:uiPriority w:val="39"/>
    <w:pPr>
      <w:spacing w:before="120" w:after="0"/>
      <w:ind w:left="220"/>
      <w:jc w:val="left"/>
    </w:pPr>
    <w:rPr>
      <w:rFonts w:asciiTheme="minorHAnsi" w:hAnsiTheme="minorHAnsi" w:cstheme="minorHAnsi"/>
      <w:b/>
      <w:bCs/>
      <w:szCs w:val="22"/>
    </w:rPr>
  </w:style>
  <w:style w:type="paragraph" w:styleId="TOC1">
    <w:name w:val="toc 1"/>
    <w:basedOn w:val="Normal"/>
    <w:next w:val="Normal"/>
    <w:uiPriority w:val="39"/>
    <w:pPr>
      <w:spacing w:before="120" w:after="0"/>
      <w:jc w:val="left"/>
    </w:pPr>
    <w:rPr>
      <w:rFonts w:cstheme="minorHAnsi"/>
      <w:b/>
      <w:bCs/>
      <w:i/>
      <w:iCs/>
      <w:sz w:val="20"/>
      <w:szCs w:val="24"/>
    </w:rPr>
  </w:style>
  <w:style w:type="paragraph" w:styleId="TOCHeading">
    <w:name w:val="TOC Heading"/>
    <w:basedOn w:val="Normal"/>
    <w:next w:val="Normal"/>
    <w:uiPriority w:val="39"/>
    <w:qFormat/>
    <w:pPr>
      <w:jc w:val="center"/>
    </w:pPr>
    <w:rPr>
      <w:rFonts w:ascii="Times New Roman Bold" w:hAnsi="Times New Roman Bold"/>
      <w:b/>
      <w:sz w:val="32"/>
    </w:rPr>
  </w:style>
  <w:style w:type="paragraph" w:customStyle="1" w:styleId="YReferences">
    <w:name w:val="YReferences"/>
    <w:basedOn w:val="Normal"/>
    <w:next w:val="Normal"/>
    <w:uiPriority w:val="99"/>
    <w:pPr>
      <w:spacing w:after="480"/>
      <w:ind w:left="1531" w:hanging="1531"/>
    </w:pPr>
  </w:style>
  <w:style w:type="paragraph" w:customStyle="1" w:styleId="SubTitle2">
    <w:name w:val="SubTitle 2"/>
    <w:basedOn w:val="Normal"/>
    <w:uiPriority w:val="99"/>
    <w:pPr>
      <w:spacing w:after="280"/>
      <w:jc w:val="center"/>
    </w:pPr>
    <w:rPr>
      <w:b/>
      <w:sz w:val="32"/>
    </w:rPr>
  </w:style>
  <w:style w:type="paragraph" w:customStyle="1" w:styleId="SubTitle1">
    <w:name w:val="SubTitle 1"/>
    <w:basedOn w:val="Normal"/>
    <w:next w:val="Normal"/>
    <w:uiPriority w:val="99"/>
    <w:pPr>
      <w:spacing w:before="360" w:after="2000"/>
      <w:jc w:val="center"/>
    </w:pPr>
    <w:rPr>
      <w:b/>
      <w:sz w:val="40"/>
    </w:rPr>
  </w:style>
  <w:style w:type="paragraph" w:styleId="Title">
    <w:name w:val="Title"/>
    <w:basedOn w:val="Normal"/>
    <w:next w:val="SubTitle1"/>
    <w:link w:val="TitleChar"/>
    <w:uiPriority w:val="99"/>
    <w:qFormat/>
    <w:pPr>
      <w:spacing w:before="3200" w:after="480"/>
      <w:jc w:val="center"/>
    </w:pPr>
    <w:rPr>
      <w:b/>
      <w:kern w:val="28"/>
      <w:sz w:val="48"/>
    </w:rPr>
  </w:style>
  <w:style w:type="paragraph" w:customStyle="1" w:styleId="NumPar4">
    <w:name w:val="NumPar 4"/>
    <w:basedOn w:val="Heading4"/>
    <w:uiPriority w:val="90"/>
    <w:qFormat/>
    <w:pPr>
      <w:keepNext w:val="0"/>
      <w:tabs>
        <w:tab w:val="left" w:pos="737"/>
      </w:tabs>
      <w:spacing w:before="0"/>
      <w:ind w:left="0" w:firstLine="0"/>
      <w:outlineLvl w:val="9"/>
    </w:pPr>
  </w:style>
  <w:style w:type="paragraph" w:customStyle="1" w:styleId="NumPar3">
    <w:name w:val="NumPar 3"/>
    <w:basedOn w:val="Heading3"/>
    <w:uiPriority w:val="90"/>
    <w:qFormat/>
    <w:pPr>
      <w:keepNext w:val="0"/>
      <w:tabs>
        <w:tab w:val="left" w:pos="567"/>
      </w:tabs>
      <w:spacing w:before="0"/>
      <w:outlineLvl w:val="9"/>
    </w:pPr>
    <w:rPr>
      <w:b w:val="0"/>
      <w:sz w:val="22"/>
    </w:rPr>
  </w:style>
  <w:style w:type="paragraph" w:customStyle="1" w:styleId="NumPar2">
    <w:name w:val="NumPar 2"/>
    <w:basedOn w:val="Heading2"/>
    <w:uiPriority w:val="90"/>
    <w:qFormat/>
    <w:pPr>
      <w:keepNext w:val="0"/>
      <w:tabs>
        <w:tab w:val="left" w:pos="397"/>
      </w:tabs>
      <w:spacing w:before="0"/>
      <w:ind w:left="0" w:firstLine="0"/>
      <w:outlineLvl w:val="9"/>
    </w:pPr>
    <w:rPr>
      <w:b w:val="0"/>
      <w:sz w:val="22"/>
    </w:rPr>
  </w:style>
  <w:style w:type="paragraph" w:customStyle="1" w:styleId="NumPar1">
    <w:name w:val="NumPar 1"/>
    <w:basedOn w:val="Heading1"/>
    <w:uiPriority w:val="90"/>
    <w:qFormat/>
    <w:pPr>
      <w:keepNext w:val="0"/>
      <w:tabs>
        <w:tab w:val="clear" w:pos="510"/>
        <w:tab w:val="left" w:pos="227"/>
      </w:tabs>
      <w:spacing w:before="0"/>
      <w:ind w:left="0" w:firstLine="0"/>
      <w:outlineLvl w:val="9"/>
    </w:pPr>
    <w:rPr>
      <w:b w:val="0"/>
      <w:smallCaps w:val="0"/>
      <w:sz w:val="22"/>
    </w:rPr>
  </w:style>
  <w:style w:type="paragraph" w:styleId="FootnoteText">
    <w:name w:val="footnote text"/>
    <w:aliases w:val="fn,Fußnote,Fotnotstext1,Footnote text,Footnote Text Char2,Footnote Text Char1 Char,Footnote Text Char Char Char,Footnote Text Char Char1,Footnote Text Char1 Char1,Footnote Text Char Char Char1,Footnote Text Char Char,9 pt,ft,Plonk,Geneva 9"/>
    <w:basedOn w:val="Normal"/>
    <w:link w:val="FootnoteTextChar"/>
    <w:qFormat/>
    <w:pPr>
      <w:ind w:left="357" w:hanging="357"/>
    </w:pPr>
    <w:rPr>
      <w:sz w:val="20"/>
    </w:rPr>
  </w:style>
  <w:style w:type="paragraph" w:customStyle="1" w:styleId="FooterLine">
    <w:name w:val="Footer Line"/>
    <w:basedOn w:val="Footer"/>
    <w:next w:val="Footer"/>
    <w:uiPriority w:val="99"/>
    <w:pPr>
      <w:pBdr>
        <w:top w:val="single" w:sz="4" w:space="1" w:color="auto"/>
      </w:pBdr>
      <w:tabs>
        <w:tab w:val="right" w:pos="8646"/>
      </w:tabs>
      <w:spacing w:before="120"/>
      <w:ind w:right="0"/>
    </w:pPr>
  </w:style>
  <w:style w:type="paragraph" w:styleId="EndnoteText">
    <w:name w:val="endnote text"/>
    <w:basedOn w:val="Normal"/>
    <w:link w:val="EndnoteTextChar"/>
    <w:uiPriority w:val="99"/>
    <w:semiHidden/>
    <w:rPr>
      <w:sz w:val="20"/>
    </w:rPr>
  </w:style>
  <w:style w:type="paragraph" w:customStyle="1" w:styleId="References">
    <w:name w:val="References"/>
    <w:basedOn w:val="ListNumber"/>
    <w:uiPriority w:val="99"/>
    <w:pPr>
      <w:tabs>
        <w:tab w:val="num" w:pos="397"/>
        <w:tab w:val="num" w:pos="709"/>
      </w:tabs>
      <w:ind w:left="709" w:hanging="709"/>
    </w:pPr>
  </w:style>
  <w:style w:type="paragraph" w:styleId="Date">
    <w:name w:val="Date"/>
    <w:basedOn w:val="Normal"/>
    <w:next w:val="References"/>
    <w:link w:val="DateChar"/>
    <w:uiPriority w:val="99"/>
    <w:pPr>
      <w:spacing w:after="0"/>
      <w:ind w:left="5102" w:right="-567"/>
    </w:pPr>
  </w:style>
  <w:style w:type="paragraph" w:customStyle="1" w:styleId="Enclosures">
    <w:name w:val="Enclosures"/>
    <w:basedOn w:val="Normal"/>
    <w:next w:val="Normal"/>
    <w:uiPriority w:val="99"/>
    <w:pPr>
      <w:keepNext/>
      <w:keepLines/>
      <w:tabs>
        <w:tab w:val="left" w:pos="5641"/>
      </w:tabs>
      <w:spacing w:before="480" w:after="0"/>
      <w:ind w:left="1794" w:hanging="1794"/>
    </w:pPr>
  </w:style>
  <w:style w:type="paragraph" w:customStyle="1" w:styleId="Contact">
    <w:name w:val="Contact"/>
    <w:basedOn w:val="Normal"/>
    <w:uiPriority w:val="99"/>
    <w:pPr>
      <w:spacing w:before="480" w:after="0"/>
      <w:ind w:left="567" w:hanging="567"/>
      <w:jc w:val="left"/>
    </w:p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Table legend,figures"/>
    <w:basedOn w:val="Normal"/>
    <w:next w:val="Normal"/>
    <w:link w:val="CaptionChar"/>
    <w:uiPriority w:val="35"/>
    <w:qFormat/>
    <w:pPr>
      <w:spacing w:before="120"/>
    </w:pPr>
    <w:rPr>
      <w:b/>
      <w:i/>
    </w:rPr>
  </w:style>
  <w:style w:type="paragraph" w:customStyle="1" w:styleId="ZDGName">
    <w:name w:val="Z_DGName"/>
    <w:basedOn w:val="Normal"/>
    <w:uiPriority w:val="99"/>
    <w:semiHidden/>
    <w:pPr>
      <w:widowControl w:val="0"/>
      <w:spacing w:after="0" w:line="240" w:lineRule="auto"/>
      <w:ind w:right="85"/>
      <w:jc w:val="left"/>
    </w:pPr>
    <w:rPr>
      <w:sz w:val="16"/>
    </w:rPr>
  </w:style>
  <w:style w:type="paragraph" w:customStyle="1" w:styleId="ZCom">
    <w:name w:val="Z_Com"/>
    <w:basedOn w:val="Normal"/>
    <w:next w:val="Normal"/>
    <w:uiPriority w:val="99"/>
    <w:semiHidden/>
    <w:pPr>
      <w:widowControl w:val="0"/>
      <w:spacing w:before="90" w:after="0" w:line="240" w:lineRule="auto"/>
      <w:ind w:right="85"/>
    </w:pPr>
    <w:rPr>
      <w:sz w:val="24"/>
    </w:rPr>
  </w:style>
  <w:style w:type="paragraph" w:customStyle="1" w:styleId="ZFlag">
    <w:name w:val="Z_Flag"/>
    <w:basedOn w:val="Normal"/>
    <w:next w:val="Normal"/>
    <w:uiPriority w:val="99"/>
    <w:semiHidden/>
    <w:pPr>
      <w:widowControl w:val="0"/>
      <w:spacing w:after="0"/>
      <w:ind w:right="85"/>
    </w:pPr>
  </w:style>
  <w:style w:type="paragraph" w:customStyle="1" w:styleId="GlossaryHeading">
    <w:name w:val="GlossaryHeading"/>
    <w:basedOn w:val="Normal"/>
    <w:uiPriority w:val="99"/>
    <w:pPr>
      <w:spacing w:after="480"/>
      <w:jc w:val="center"/>
      <w:outlineLvl w:val="0"/>
    </w:pPr>
    <w:rPr>
      <w:rFonts w:ascii="Times New Roman Bold" w:hAnsi="Times New Roman Bold"/>
      <w:b/>
      <w:sz w:val="32"/>
    </w:rPr>
  </w:style>
  <w:style w:type="paragraph" w:customStyle="1" w:styleId="Glossary">
    <w:name w:val="Glossary"/>
    <w:basedOn w:val="Normal"/>
    <w:uiPriority w:val="90"/>
    <w:qFormat/>
    <w:pPr>
      <w:tabs>
        <w:tab w:val="left" w:pos="2835"/>
      </w:tabs>
      <w:ind w:left="2835" w:hanging="2835"/>
      <w:jc w:val="left"/>
    </w:pPr>
  </w:style>
  <w:style w:type="paragraph" w:customStyle="1" w:styleId="Citation">
    <w:name w:val="Citation"/>
    <w:basedOn w:val="Normal"/>
    <w:link w:val="CitationChar"/>
    <w:uiPriority w:val="90"/>
    <w:qFormat/>
    <w:pPr>
      <w:ind w:left="454" w:right="454"/>
    </w:pPr>
    <w:rPr>
      <w:i/>
    </w:rPr>
  </w:style>
  <w:style w:type="character" w:customStyle="1" w:styleId="CitationChar">
    <w:name w:val="Citation Char"/>
    <w:link w:val="Citation"/>
    <w:uiPriority w:val="90"/>
    <w:qFormat/>
    <w:rPr>
      <w:i/>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0"/>
    </w:rPr>
  </w:style>
  <w:style w:type="character" w:customStyle="1" w:styleId="MacroTextChar">
    <w:name w:val="Macro Text Char"/>
    <w:basedOn w:val="DefaultParagraphFont"/>
    <w:link w:val="MacroText"/>
    <w:uiPriority w:val="90"/>
    <w:qFormat/>
    <w:rPr>
      <w:rFonts w:ascii="Courier New" w:hAnsi="Courier New"/>
      <w:sz w:val="20"/>
    </w:rPr>
  </w:style>
  <w:style w:type="paragraph" w:styleId="Header">
    <w:name w:val="header"/>
    <w:basedOn w:val="Normal"/>
    <w:link w:val="HeaderChar"/>
    <w:uiPriority w:val="99"/>
    <w:pPr>
      <w:tabs>
        <w:tab w:val="center" w:pos="4150"/>
        <w:tab w:val="right" w:pos="8306"/>
      </w:tabs>
    </w:pPr>
  </w:style>
  <w:style w:type="character" w:customStyle="1" w:styleId="HeaderChar">
    <w:name w:val="Header Char"/>
    <w:basedOn w:val="DefaultParagraphFont"/>
    <w:link w:val="Header"/>
    <w:uiPriority w:val="99"/>
    <w:rPr>
      <w:sz w:val="24"/>
    </w:rPr>
  </w:style>
  <w:style w:type="paragraph" w:styleId="Footer">
    <w:name w:val="footer"/>
    <w:basedOn w:val="Normal"/>
    <w:link w:val="FooterChar"/>
    <w:uiPriority w:val="99"/>
    <w:pPr>
      <w:spacing w:after="0" w:line="240" w:lineRule="auto"/>
      <w:ind w:right="-567"/>
    </w:pPr>
    <w:rPr>
      <w:sz w:val="16"/>
    </w:rPr>
  </w:style>
  <w:style w:type="character" w:customStyle="1" w:styleId="FooterChar">
    <w:name w:val="Footer Char"/>
    <w:link w:val="Footer"/>
    <w:uiPriority w:val="99"/>
    <w:rPr>
      <w:sz w:val="16"/>
    </w:rPr>
  </w:style>
  <w:style w:type="table" w:styleId="TableGrid">
    <w:name w:val="Table Grid"/>
    <w:aliases w:val="Document Table,CV1,Table Format 1,HTG,Tabela Renova,TabelEcorys,Deloitte,Simple table,simple table"/>
    <w:basedOn w:val="TableNormal"/>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istory">
    <w:name w:val="Table History"/>
    <w:basedOn w:val="TableNormal"/>
    <w:uiPriority w:val="99"/>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table" w:customStyle="1" w:styleId="PropertiesTable">
    <w:name w:val="Properties Table"/>
    <w:basedOn w:val="TableNormal"/>
    <w:uiPriority w:val="99"/>
    <w:pPr>
      <w:spacing w:after="120" w:line="264" w:lineRule="auto"/>
    </w:pPr>
    <w:tblPr>
      <w:tblInd w:w="1984" w:type="dxa"/>
    </w:tblPr>
  </w:style>
  <w:style w:type="character" w:styleId="FootnoteReference">
    <w:name w:val="footnote reference"/>
    <w:aliases w:val="Footnote,Footnote symbol,Times 10 Point,Exposant 3 Point,SUPERS,-E Fußnotenzeichen,number,Footnote reference number,note TESI,EN Footnote Reference,Footnote Reference/,Footnote Reference Number,Footnote Refernece,BVI fnr,stylish,E..."/>
    <w:link w:val="FootnotesymbolCarZchn"/>
    <w:uiPriority w:val="99"/>
    <w:qFormat/>
    <w:locked/>
    <w:rPr>
      <w:vertAlign w:val="superscript"/>
    </w:rPr>
  </w:style>
  <w:style w:type="paragraph" w:customStyle="1" w:styleId="Footnote1">
    <w:name w:val="Footnote 1"/>
    <w:basedOn w:val="FootnoteText"/>
    <w:link w:val="Footnote1Char"/>
    <w:qFormat/>
    <w:pPr>
      <w:spacing w:after="0" w:line="240" w:lineRule="auto"/>
      <w:ind w:left="0" w:firstLine="0"/>
      <w:jc w:val="left"/>
    </w:pPr>
    <w:rPr>
      <w:rFonts w:ascii="Arial" w:hAnsi="Arial" w:cs="Arial"/>
      <w:lang w:eastAsia="en-US"/>
    </w:rPr>
  </w:style>
  <w:style w:type="character" w:customStyle="1" w:styleId="Footnote1Char">
    <w:name w:val="Footnote 1 Char"/>
    <w:link w:val="Footnote1"/>
    <w:rPr>
      <w:rFonts w:ascii="Arial" w:hAnsi="Arial" w:cs="Arial"/>
      <w:sz w:val="20"/>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pPr>
    <w:rPr>
      <w:sz w:val="24"/>
      <w:vertAlign w:val="superscript"/>
    </w:rPr>
  </w:style>
  <w:style w:type="character" w:styleId="Hyperlink">
    <w:name w:val="Hyperlink"/>
    <w:uiPriority w:val="99"/>
    <w:locked/>
    <w:rPr>
      <w:rFonts w:ascii="Times New Roman" w:hAnsi="Times New Roman" w:cs="Times New Roman"/>
      <w:b w:val="0"/>
      <w:color w:val="auto"/>
      <w:sz w:val="16"/>
      <w:u w:val="single"/>
      <w:effect w:val="none"/>
    </w:rPr>
  </w:style>
  <w:style w:type="character" w:customStyle="1" w:styleId="FootnoteTextChar">
    <w:name w:val="Footnote Text Char"/>
    <w:aliases w:val="fn Char,Fußnote Char,Fotnotstext1 Char,Footnote text Char,Footnote Text Char2 Char,Footnote Text Char1 Char Char,Footnote Text Char Char Char Char,Footnote Text Char Char1 Char,Footnote Text Char1 Char1 Char,9 pt Char,ft Char"/>
    <w:link w:val="FootnoteText"/>
    <w:qFormat/>
    <w:rPr>
      <w:sz w:val="20"/>
    </w:rPr>
  </w:style>
  <w:style w:type="paragraph" w:styleId="BalloonText">
    <w:name w:val="Balloon Text"/>
    <w:basedOn w:val="Normal"/>
    <w:link w:val="BalloonTextChar"/>
    <w:uiPriority w:val="99"/>
    <w:semiHidden/>
    <w:unhideWhenUsed/>
    <w:lock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CommentReference">
    <w:name w:val="annotation reference"/>
    <w:basedOn w:val="DefaultParagraphFont"/>
    <w:uiPriority w:val="99"/>
    <w:locked/>
    <w:rPr>
      <w:sz w:val="16"/>
      <w:szCs w:val="16"/>
    </w:rPr>
  </w:style>
  <w:style w:type="paragraph" w:styleId="CommentText">
    <w:name w:val="annotation text"/>
    <w:basedOn w:val="Normal"/>
    <w:link w:val="CommentTextChar"/>
    <w:uiPriority w:val="99"/>
    <w:locked/>
    <w:pPr>
      <w:spacing w:line="240" w:lineRule="auto"/>
    </w:pPr>
    <w:rPr>
      <w:sz w:val="20"/>
    </w:rPr>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uiPriority w:val="99"/>
    <w:semiHidden/>
    <w:unhideWhenUsed/>
    <w:locked/>
    <w:rPr>
      <w:b/>
      <w:bCs/>
    </w:rPr>
  </w:style>
  <w:style w:type="character" w:customStyle="1" w:styleId="CommentSubjectChar">
    <w:name w:val="Comment Subject Char"/>
    <w:basedOn w:val="CommentTextChar"/>
    <w:link w:val="CommentSubject"/>
    <w:uiPriority w:val="99"/>
    <w:semiHidden/>
    <w:rPr>
      <w:b/>
      <w:bCs/>
      <w:sz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uiPriority w:val="99"/>
    <w:pPr>
      <w:spacing w:after="160" w:line="240" w:lineRule="exact"/>
      <w:jc w:val="left"/>
    </w:pPr>
    <w:rPr>
      <w:rFonts w:asciiTheme="minorHAnsi" w:eastAsiaTheme="minorEastAsia" w:hAnsiTheme="minorHAnsi" w:cstheme="minorBidi"/>
      <w:szCs w:val="22"/>
      <w:vertAlign w:val="superscript"/>
      <w:lang w:eastAsia="en-US"/>
    </w:rPr>
  </w:style>
  <w:style w:type="paragraph" w:customStyle="1" w:styleId="Default">
    <w:name w:val="Default"/>
    <w:pPr>
      <w:autoSpaceDE w:val="0"/>
      <w:autoSpaceDN w:val="0"/>
      <w:adjustRightInd w:val="0"/>
    </w:pPr>
    <w:rPr>
      <w:rFonts w:ascii="Verdana" w:hAnsi="Verdana" w:cs="Verdana"/>
      <w:color w:val="000000"/>
      <w:szCs w:val="24"/>
    </w:rPr>
  </w:style>
  <w:style w:type="paragraph" w:styleId="ListParagraph">
    <w:name w:val="List Paragraph"/>
    <w:aliases w:val="List1,FooterText,Paragraphe de liste1,List Paragraph (bulleted list),Bullet 1 List,Dot pt,F5 List Paragraph,List Paragraph1,No Spacing1,List Paragraph Char Char Char,Indicator Text,Colorful List - Accent 11,Numbered Para 1,Bullet 1,List11"/>
    <w:basedOn w:val="Normal"/>
    <w:link w:val="ListParagraphChar"/>
    <w:uiPriority w:val="34"/>
    <w:qFormat/>
    <w:locked/>
    <w:pPr>
      <w:ind w:left="720"/>
      <w:contextualSpacing/>
    </w:pPr>
  </w:style>
  <w:style w:type="paragraph" w:styleId="TableofFigures">
    <w:name w:val="table of figures"/>
    <w:basedOn w:val="Normal"/>
    <w:next w:val="Normal"/>
    <w:uiPriority w:val="99"/>
    <w:locked/>
    <w:pPr>
      <w:spacing w:after="0"/>
    </w:pPr>
    <w:rPr>
      <w:sz w:val="20"/>
    </w:rPr>
  </w:style>
  <w:style w:type="paragraph" w:styleId="Revision">
    <w:name w:val="Revision"/>
    <w:hidden/>
    <w:uiPriority w:val="99"/>
    <w:semiHidden/>
    <w:locked/>
    <w:rPr>
      <w:sz w:val="22"/>
    </w:rPr>
  </w:style>
  <w:style w:type="paragraph" w:customStyle="1" w:styleId="Briefingtext">
    <w:name w:val="Briefing text"/>
    <w:basedOn w:val="Normal"/>
    <w:link w:val="BriefingtextChar"/>
    <w:qFormat/>
    <w:pPr>
      <w:spacing w:after="240" w:line="240" w:lineRule="auto"/>
    </w:pPr>
    <w:rPr>
      <w:rFonts w:ascii="Arial" w:hAnsi="Arial" w:cs="Arial"/>
      <w:szCs w:val="24"/>
      <w:lang w:eastAsia="en-US"/>
    </w:rPr>
  </w:style>
  <w:style w:type="character" w:customStyle="1" w:styleId="BriefingtextChar">
    <w:name w:val="Briefing text Char"/>
    <w:link w:val="Briefingtext"/>
    <w:rPr>
      <w:rFonts w:ascii="Arial" w:hAnsi="Arial" w:cs="Arial"/>
      <w:sz w:val="22"/>
      <w:szCs w:val="24"/>
      <w:lang w:eastAsia="en-US"/>
    </w:rPr>
  </w:style>
  <w:style w:type="paragraph" w:styleId="NormalWeb">
    <w:name w:val="Normal (Web)"/>
    <w:basedOn w:val="Normal"/>
    <w:uiPriority w:val="99"/>
    <w:unhideWhenUsed/>
    <w:locked/>
    <w:pPr>
      <w:spacing w:before="100" w:beforeAutospacing="1" w:after="100" w:afterAutospacing="1" w:line="240" w:lineRule="auto"/>
      <w:jc w:val="left"/>
    </w:pPr>
    <w:rPr>
      <w:sz w:val="24"/>
      <w:szCs w:val="24"/>
    </w:rPr>
  </w:style>
  <w:style w:type="character" w:styleId="FollowedHyperlink">
    <w:name w:val="FollowedHyperlink"/>
    <w:basedOn w:val="DefaultParagraphFont"/>
    <w:semiHidden/>
    <w:unhideWhenUsed/>
    <w:locked/>
    <w:rPr>
      <w:color w:val="954F72" w:themeColor="followedHyperlink"/>
      <w:u w:val="single"/>
    </w:rPr>
  </w:style>
  <w:style w:type="paragraph" w:styleId="NoSpacing">
    <w:name w:val="No Spacing"/>
    <w:basedOn w:val="Normal"/>
    <w:link w:val="NoSpacingChar"/>
    <w:uiPriority w:val="1"/>
    <w:qFormat/>
    <w:locked/>
    <w:pPr>
      <w:spacing w:before="240" w:after="240" w:line="240" w:lineRule="auto"/>
    </w:pPr>
    <w:rPr>
      <w:rFonts w:eastAsia="Arial Unicode MS"/>
      <w:sz w:val="24"/>
      <w:szCs w:val="24"/>
      <w:bdr w:val="nil"/>
      <w:lang w:eastAsia="en-US"/>
    </w:rPr>
  </w:style>
  <w:style w:type="numbering" w:customStyle="1" w:styleId="ImportedStyle3">
    <w:name w:val="Imported Style 3"/>
    <w:pPr>
      <w:numPr>
        <w:numId w:val="9"/>
      </w:numPr>
    </w:pPr>
  </w:style>
  <w:style w:type="character" w:customStyle="1" w:styleId="ListParagraphChar">
    <w:name w:val="List Paragraph Char"/>
    <w:aliases w:val="List1 Char,FooterText Char,Paragraphe de liste1 Char,List Paragraph (bulleted list) Char,Bullet 1 List Char,Dot pt Char,F5 List Paragraph Char,List Paragraph1 Char,No Spacing1 Char,List Paragraph Char Char Char Char,Bullet 1 Char"/>
    <w:basedOn w:val="DefaultParagraphFont"/>
    <w:link w:val="ListParagraph"/>
    <w:uiPriority w:val="34"/>
    <w:qFormat/>
    <w:locked/>
    <w:rPr>
      <w:sz w:val="22"/>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uiPriority w:val="99"/>
    <w:pPr>
      <w:spacing w:after="0" w:line="240" w:lineRule="auto"/>
    </w:pPr>
    <w:rPr>
      <w:rFonts w:eastAsiaTheme="minorHAnsi"/>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line="240" w:lineRule="auto"/>
    </w:pPr>
    <w:rPr>
      <w:sz w:val="24"/>
    </w:r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line="240" w:lineRule="auto"/>
      <w:jc w:val="right"/>
    </w:pPr>
    <w:rPr>
      <w:sz w:val="28"/>
    </w:rPr>
  </w:style>
  <w:style w:type="character" w:customStyle="1" w:styleId="HeaderSensitivityRightChar">
    <w:name w:val="Header Sensitivity Right Char"/>
    <w:basedOn w:val="DefaultParagraphFont"/>
    <w:link w:val="HeaderSensitivityRight"/>
    <w:rPr>
      <w:sz w:val="28"/>
    </w:rPr>
  </w:style>
  <w:style w:type="paragraph" w:customStyle="1" w:styleId="Typedudocument">
    <w:name w:val="Type du document"/>
    <w:basedOn w:val="Normal"/>
    <w:next w:val="Normal"/>
    <w:uiPriority w:val="99"/>
    <w:pPr>
      <w:spacing w:before="360" w:after="0" w:line="240" w:lineRule="auto"/>
      <w:jc w:val="center"/>
    </w:pPr>
    <w:rPr>
      <w:rFonts w:eastAsiaTheme="minorHAnsi"/>
      <w:b/>
      <w:sz w:val="24"/>
      <w:szCs w:val="22"/>
      <w:lang w:eastAsia="en-US"/>
    </w:rPr>
  </w:style>
  <w:style w:type="paragraph" w:customStyle="1" w:styleId="Titreobjet">
    <w:name w:val="Titre objet"/>
    <w:basedOn w:val="Normal"/>
    <w:next w:val="Normal"/>
    <w:uiPriority w:val="99"/>
    <w:pPr>
      <w:spacing w:before="360" w:after="360" w:line="240" w:lineRule="auto"/>
      <w:jc w:val="center"/>
    </w:pPr>
    <w:rPr>
      <w:rFonts w:eastAsiaTheme="minorHAnsi"/>
      <w:b/>
      <w:sz w:val="24"/>
      <w:szCs w:val="22"/>
      <w:lang w:eastAsia="en-US"/>
    </w:rPr>
  </w:style>
  <w:style w:type="paragraph" w:customStyle="1" w:styleId="s8">
    <w:name w:val="s8"/>
    <w:basedOn w:val="Normal"/>
    <w:uiPriority w:val="99"/>
    <w:pPr>
      <w:spacing w:before="100" w:beforeAutospacing="1" w:after="100" w:afterAutospacing="1" w:line="240" w:lineRule="auto"/>
      <w:jc w:val="left"/>
    </w:pPr>
    <w:rPr>
      <w:rFonts w:eastAsiaTheme="minorHAnsi"/>
      <w:sz w:val="24"/>
      <w:szCs w:val="24"/>
    </w:rPr>
  </w:style>
  <w:style w:type="paragraph" w:customStyle="1" w:styleId="Pointabc">
    <w:name w:val="Point abc"/>
    <w:basedOn w:val="Normal"/>
    <w:uiPriority w:val="99"/>
    <w:pPr>
      <w:numPr>
        <w:ilvl w:val="1"/>
        <w:numId w:val="11"/>
      </w:numPr>
      <w:spacing w:before="120" w:line="360" w:lineRule="auto"/>
      <w:jc w:val="left"/>
    </w:pPr>
    <w:rPr>
      <w:rFonts w:eastAsiaTheme="minorHAnsi"/>
      <w:sz w:val="24"/>
      <w:szCs w:val="22"/>
      <w:lang w:eastAsia="en-US"/>
    </w:rPr>
  </w:style>
  <w:style w:type="paragraph" w:customStyle="1" w:styleId="Pointabc1">
    <w:name w:val="Point abc (1)"/>
    <w:basedOn w:val="Normal"/>
    <w:uiPriority w:val="99"/>
    <w:pPr>
      <w:numPr>
        <w:ilvl w:val="3"/>
        <w:numId w:val="11"/>
      </w:numPr>
      <w:spacing w:before="120" w:line="360" w:lineRule="auto"/>
      <w:jc w:val="left"/>
    </w:pPr>
    <w:rPr>
      <w:rFonts w:eastAsiaTheme="minorHAnsi"/>
      <w:sz w:val="24"/>
      <w:szCs w:val="22"/>
      <w:lang w:eastAsia="en-US"/>
    </w:rPr>
  </w:style>
  <w:style w:type="paragraph" w:customStyle="1" w:styleId="Pointabc2">
    <w:name w:val="Point abc (2)"/>
    <w:basedOn w:val="Normal"/>
    <w:uiPriority w:val="99"/>
    <w:pPr>
      <w:numPr>
        <w:ilvl w:val="5"/>
        <w:numId w:val="11"/>
      </w:numPr>
      <w:spacing w:before="120" w:line="360" w:lineRule="auto"/>
      <w:jc w:val="left"/>
    </w:pPr>
    <w:rPr>
      <w:rFonts w:eastAsiaTheme="minorHAnsi"/>
      <w:sz w:val="24"/>
      <w:szCs w:val="22"/>
      <w:lang w:eastAsia="en-US"/>
    </w:rPr>
  </w:style>
  <w:style w:type="paragraph" w:customStyle="1" w:styleId="Pointabc3">
    <w:name w:val="Point abc (3)"/>
    <w:basedOn w:val="Normal"/>
    <w:uiPriority w:val="99"/>
    <w:pPr>
      <w:numPr>
        <w:ilvl w:val="7"/>
        <w:numId w:val="11"/>
      </w:numPr>
      <w:spacing w:before="120" w:line="360" w:lineRule="auto"/>
      <w:jc w:val="left"/>
    </w:pPr>
    <w:rPr>
      <w:rFonts w:eastAsiaTheme="minorHAnsi"/>
      <w:sz w:val="24"/>
      <w:szCs w:val="22"/>
      <w:lang w:eastAsia="en-US"/>
    </w:rPr>
  </w:style>
  <w:style w:type="paragraph" w:customStyle="1" w:styleId="Pointabc4">
    <w:name w:val="Point abc (4)"/>
    <w:basedOn w:val="Normal"/>
    <w:uiPriority w:val="99"/>
    <w:pPr>
      <w:numPr>
        <w:ilvl w:val="8"/>
        <w:numId w:val="11"/>
      </w:numPr>
      <w:spacing w:before="120" w:line="360" w:lineRule="auto"/>
      <w:jc w:val="left"/>
    </w:pPr>
    <w:rPr>
      <w:rFonts w:eastAsiaTheme="minorHAnsi"/>
      <w:sz w:val="24"/>
      <w:szCs w:val="22"/>
      <w:lang w:eastAsia="en-US"/>
    </w:rPr>
  </w:style>
  <w:style w:type="paragraph" w:customStyle="1" w:styleId="Point123">
    <w:name w:val="Point 123"/>
    <w:basedOn w:val="Normal"/>
    <w:uiPriority w:val="99"/>
    <w:pPr>
      <w:numPr>
        <w:numId w:val="11"/>
      </w:numPr>
      <w:spacing w:before="120" w:line="360" w:lineRule="auto"/>
      <w:jc w:val="left"/>
    </w:pPr>
    <w:rPr>
      <w:rFonts w:eastAsiaTheme="minorHAnsi"/>
      <w:sz w:val="24"/>
      <w:szCs w:val="22"/>
      <w:lang w:eastAsia="en-US"/>
    </w:rPr>
  </w:style>
  <w:style w:type="paragraph" w:customStyle="1" w:styleId="Point1231">
    <w:name w:val="Point 123 (1)"/>
    <w:basedOn w:val="Normal"/>
    <w:uiPriority w:val="99"/>
    <w:pPr>
      <w:numPr>
        <w:ilvl w:val="2"/>
        <w:numId w:val="11"/>
      </w:numPr>
      <w:spacing w:before="120" w:line="360" w:lineRule="auto"/>
      <w:jc w:val="left"/>
    </w:pPr>
    <w:rPr>
      <w:rFonts w:eastAsiaTheme="minorHAnsi"/>
      <w:sz w:val="24"/>
      <w:szCs w:val="22"/>
      <w:lang w:eastAsia="en-US"/>
    </w:rPr>
  </w:style>
  <w:style w:type="paragraph" w:customStyle="1" w:styleId="Point1232">
    <w:name w:val="Point 123 (2)"/>
    <w:basedOn w:val="Normal"/>
    <w:uiPriority w:val="99"/>
    <w:pPr>
      <w:numPr>
        <w:ilvl w:val="4"/>
        <w:numId w:val="11"/>
      </w:numPr>
      <w:spacing w:before="120" w:line="360" w:lineRule="auto"/>
      <w:jc w:val="left"/>
    </w:pPr>
    <w:rPr>
      <w:rFonts w:eastAsiaTheme="minorHAnsi"/>
      <w:sz w:val="24"/>
      <w:szCs w:val="22"/>
      <w:lang w:eastAsia="en-US"/>
    </w:rPr>
  </w:style>
  <w:style w:type="paragraph" w:customStyle="1" w:styleId="Point1233">
    <w:name w:val="Point 123 (3)"/>
    <w:basedOn w:val="Normal"/>
    <w:uiPriority w:val="99"/>
    <w:pPr>
      <w:numPr>
        <w:ilvl w:val="6"/>
        <w:numId w:val="11"/>
      </w:numPr>
      <w:spacing w:before="120" w:line="360" w:lineRule="auto"/>
      <w:jc w:val="left"/>
    </w:pPr>
    <w:rPr>
      <w:rFonts w:eastAsiaTheme="minorHAnsi"/>
      <w:sz w:val="24"/>
      <w:szCs w:val="22"/>
      <w:lang w:eastAsia="en-US"/>
    </w:rPr>
  </w:style>
  <w:style w:type="paragraph" w:customStyle="1" w:styleId="Nota">
    <w:name w:val="Nota"/>
    <w:aliases w:val="Char1,(NECG) Footnote Reference,fr,Appel note de bas de p,o,Style 6,Signature Ch, Char1"/>
    <w:basedOn w:val="Normal"/>
    <w:uiPriority w:val="99"/>
    <w:pPr>
      <w:spacing w:after="160" w:line="240" w:lineRule="exact"/>
    </w:pPr>
    <w:rPr>
      <w:rFonts w:asciiTheme="minorHAnsi" w:eastAsiaTheme="minorHAnsi" w:hAnsiTheme="minorHAnsi" w:cstheme="minorBidi"/>
      <w:szCs w:val="22"/>
      <w:vertAlign w:val="superscript"/>
      <w:lang w:val="fr-BE" w:eastAsia="en-US"/>
    </w:rPr>
  </w:style>
  <w:style w:type="paragraph" w:customStyle="1" w:styleId="Body">
    <w:name w:val="Body"/>
    <w:basedOn w:val="Normal"/>
    <w:link w:val="BodyChar"/>
    <w:qFormat/>
    <w:pPr>
      <w:spacing w:before="120" w:line="240" w:lineRule="auto"/>
    </w:pPr>
    <w:rPr>
      <w:rFonts w:ascii="EC Square Sans Pro" w:hAnsi="EC Square Sans Pro"/>
      <w:sz w:val="24"/>
      <w:szCs w:val="24"/>
      <w:lang w:eastAsia="en-US"/>
    </w:rPr>
  </w:style>
  <w:style w:type="character" w:customStyle="1" w:styleId="BodyChar">
    <w:name w:val="Body Char"/>
    <w:link w:val="Body"/>
    <w:rPr>
      <w:rFonts w:ascii="EC Square Sans Pro" w:hAnsi="EC Square Sans Pro"/>
      <w:szCs w:val="24"/>
      <w:lang w:eastAsia="en-US"/>
    </w:rPr>
  </w:style>
  <w:style w:type="paragraph" w:customStyle="1" w:styleId="BulletText">
    <w:name w:val="Bullet Text"/>
    <w:basedOn w:val="Normal"/>
    <w:link w:val="BulletTextChar"/>
    <w:qFormat/>
    <w:pPr>
      <w:numPr>
        <w:numId w:val="17"/>
      </w:numPr>
      <w:spacing w:line="240" w:lineRule="auto"/>
    </w:pPr>
    <w:rPr>
      <w:rFonts w:asciiTheme="majorHAnsi" w:hAnsiTheme="majorHAnsi" w:cs="Arial"/>
      <w:sz w:val="24"/>
      <w:szCs w:val="24"/>
      <w:lang w:eastAsia="en-US"/>
    </w:rPr>
  </w:style>
  <w:style w:type="character" w:customStyle="1" w:styleId="Heading1Char">
    <w:name w:val="Heading 1 Char"/>
    <w:basedOn w:val="DefaultParagraphFont"/>
    <w:link w:val="Heading1"/>
    <w:uiPriority w:val="90"/>
    <w:rPr>
      <w:b/>
      <w:smallCaps/>
      <w:sz w:val="26"/>
    </w:rPr>
  </w:style>
  <w:style w:type="character" w:customStyle="1" w:styleId="Heading2Char">
    <w:name w:val="Heading 2 Char"/>
    <w:basedOn w:val="DefaultParagraphFont"/>
    <w:link w:val="Heading2"/>
    <w:uiPriority w:val="90"/>
    <w:rPr>
      <w:b/>
      <w:szCs w:val="24"/>
      <w:u w:val="single"/>
      <w:lang w:eastAsia="en-US"/>
    </w:rPr>
  </w:style>
  <w:style w:type="character" w:customStyle="1" w:styleId="Heading3Char">
    <w:name w:val="Heading 3 Char"/>
    <w:basedOn w:val="DefaultParagraphFont"/>
    <w:link w:val="Heading3"/>
    <w:uiPriority w:val="90"/>
    <w:rPr>
      <w:b/>
      <w:szCs w:val="24"/>
      <w:lang w:eastAsia="en-US"/>
    </w:rPr>
  </w:style>
  <w:style w:type="character" w:customStyle="1" w:styleId="Heading4Char">
    <w:name w:val="Heading 4 Char"/>
    <w:basedOn w:val="DefaultParagraphFont"/>
    <w:link w:val="Heading4"/>
    <w:uiPriority w:val="90"/>
    <w:rPr>
      <w:b/>
      <w:i/>
      <w:szCs w:val="24"/>
      <w:lang w:eastAsia="en-US"/>
    </w:rPr>
  </w:style>
  <w:style w:type="character" w:styleId="Strong">
    <w:name w:val="Strong"/>
    <w:basedOn w:val="DefaultParagraphFont"/>
    <w:uiPriority w:val="22"/>
    <w:qFormat/>
    <w:locked/>
    <w:rPr>
      <w:b/>
      <w:bCs/>
    </w:rPr>
  </w:style>
  <w:style w:type="character" w:customStyle="1" w:styleId="BulletTextChar">
    <w:name w:val="Bullet Text Char"/>
    <w:basedOn w:val="DefaultParagraphFont"/>
    <w:link w:val="BulletText"/>
    <w:rPr>
      <w:rFonts w:asciiTheme="majorHAnsi" w:hAnsiTheme="majorHAnsi" w:cs="Arial"/>
      <w:szCs w:val="24"/>
      <w:lang w:eastAsia="en-US"/>
    </w:rPr>
  </w:style>
  <w:style w:type="paragraph" w:customStyle="1" w:styleId="tablesubtitle">
    <w:name w:val="table subtitle"/>
    <w:basedOn w:val="Normal"/>
    <w:link w:val="tablesubtitleChar"/>
    <w:pPr>
      <w:autoSpaceDE w:val="0"/>
      <w:autoSpaceDN w:val="0"/>
      <w:adjustRightInd w:val="0"/>
      <w:spacing w:after="240" w:line="240" w:lineRule="auto"/>
    </w:pPr>
    <w:rPr>
      <w:rFonts w:ascii="EC Square Sans Pro" w:eastAsia="Calibri" w:hAnsi="EC Square Sans Pro" w:cs="Arial"/>
      <w:b/>
      <w:bCs/>
      <w:color w:val="FFFFFF" w:themeColor="background1"/>
      <w:sz w:val="20"/>
      <w:lang w:val="en-IE" w:eastAsia="zh-CN"/>
    </w:rPr>
  </w:style>
  <w:style w:type="character" w:customStyle="1" w:styleId="tablesubtitleChar">
    <w:name w:val="table subtitle Char"/>
    <w:basedOn w:val="DefaultParagraphFont"/>
    <w:link w:val="tablesubtitle"/>
    <w:rPr>
      <w:rFonts w:ascii="EC Square Sans Pro" w:eastAsia="Calibri" w:hAnsi="EC Square Sans Pro" w:cs="Arial"/>
      <w:b/>
      <w:bCs/>
      <w:color w:val="FFFFFF" w:themeColor="background1"/>
      <w:sz w:val="20"/>
      <w:lang w:val="en-IE" w:eastAsia="zh-CN"/>
    </w:rPr>
  </w:style>
  <w:style w:type="paragraph" w:customStyle="1" w:styleId="1ai">
    <w:name w:val="1.a.i."/>
    <w:basedOn w:val="Normal"/>
    <w:uiPriority w:val="99"/>
    <w:qFormat/>
    <w:pPr>
      <w:keepNext/>
      <w:numPr>
        <w:numId w:val="20"/>
      </w:numPr>
      <w:spacing w:before="120" w:line="240" w:lineRule="auto"/>
      <w:ind w:left="1440" w:hanging="181"/>
      <w:outlineLvl w:val="2"/>
    </w:pPr>
    <w:rPr>
      <w:rFonts w:ascii="EC Square Sans Pro" w:hAnsi="EC Square Sans Pro"/>
      <w:b/>
      <w:color w:val="325BAA"/>
      <w:sz w:val="24"/>
      <w:szCs w:val="24"/>
      <w:lang w:eastAsia="en-US"/>
    </w:rPr>
  </w:style>
  <w:style w:type="paragraph" w:customStyle="1" w:styleId="BulletBox">
    <w:name w:val="Bullet Box"/>
    <w:basedOn w:val="Body"/>
    <w:link w:val="BulletBoxChar"/>
    <w:qFormat/>
    <w:pPr>
      <w:framePr w:hSpace="180" w:wrap="around" w:vAnchor="text" w:hAnchor="margin" w:xAlign="right" w:y="546"/>
      <w:numPr>
        <w:numId w:val="21"/>
      </w:numPr>
      <w:spacing w:before="0" w:after="60"/>
      <w:ind w:left="341" w:hanging="284"/>
      <w:suppressOverlap/>
    </w:pPr>
    <w:rPr>
      <w:sz w:val="20"/>
    </w:rPr>
  </w:style>
  <w:style w:type="character" w:customStyle="1" w:styleId="BulletBoxChar">
    <w:name w:val="Bullet Box Char"/>
    <w:basedOn w:val="BodyChar"/>
    <w:link w:val="BulletBox"/>
    <w:rPr>
      <w:rFonts w:ascii="EC Square Sans Pro" w:hAnsi="EC Square Sans Pro"/>
      <w:sz w:val="20"/>
      <w:szCs w:val="24"/>
      <w:lang w:eastAsia="en-US"/>
    </w:rPr>
  </w:style>
  <w:style w:type="paragraph" w:customStyle="1" w:styleId="aSubheadingI">
    <w:name w:val="a. Subheading I"/>
    <w:basedOn w:val="Normal"/>
    <w:link w:val="aSubheadingIChar"/>
    <w:qFormat/>
    <w:pPr>
      <w:keepNext/>
      <w:spacing w:line="240" w:lineRule="auto"/>
    </w:pPr>
    <w:rPr>
      <w:rFonts w:ascii="EC Square Sans Pro" w:hAnsi="EC Square Sans Pro"/>
      <w:b/>
      <w:color w:val="325BAA"/>
      <w:sz w:val="24"/>
      <w:szCs w:val="24"/>
      <w:lang w:eastAsia="en-US"/>
    </w:rPr>
  </w:style>
  <w:style w:type="character" w:customStyle="1" w:styleId="aSubheadingIChar">
    <w:name w:val="a. Subheading I Char"/>
    <w:basedOn w:val="DefaultParagraphFont"/>
    <w:link w:val="aSubheadingI"/>
    <w:rPr>
      <w:rFonts w:ascii="EC Square Sans Pro" w:hAnsi="EC Square Sans Pro"/>
      <w:b/>
      <w:color w:val="325BAA"/>
      <w:szCs w:val="24"/>
      <w:lang w:eastAsia="en-US"/>
    </w:rPr>
  </w:style>
  <w:style w:type="paragraph" w:customStyle="1" w:styleId="BoxHeading">
    <w:name w:val="Box Heading"/>
    <w:basedOn w:val="Normal"/>
    <w:link w:val="BoxHeadingChar"/>
    <w:qFormat/>
    <w:pPr>
      <w:framePr w:hSpace="180" w:wrap="around" w:vAnchor="text" w:hAnchor="margin" w:xAlign="right" w:y="515"/>
      <w:spacing w:after="60" w:line="240" w:lineRule="auto"/>
      <w:suppressOverlap/>
    </w:pPr>
    <w:rPr>
      <w:rFonts w:ascii="EC Square Sans Pro" w:eastAsia="SimSun" w:hAnsi="EC Square Sans Pro"/>
      <w:b/>
      <w:bCs/>
      <w:color w:val="034EA2"/>
      <w:kern w:val="24"/>
      <w:szCs w:val="22"/>
      <w:lang w:val="en-US" w:eastAsia="fr-BE"/>
    </w:rPr>
  </w:style>
  <w:style w:type="character" w:customStyle="1" w:styleId="BoxHeadingChar">
    <w:name w:val="Box Heading Char"/>
    <w:basedOn w:val="DefaultParagraphFont"/>
    <w:link w:val="BoxHeading"/>
    <w:rPr>
      <w:rFonts w:ascii="EC Square Sans Pro" w:eastAsia="SimSun" w:hAnsi="EC Square Sans Pro"/>
      <w:b/>
      <w:bCs/>
      <w:color w:val="034EA2"/>
      <w:kern w:val="24"/>
      <w:sz w:val="22"/>
      <w:szCs w:val="22"/>
      <w:lang w:val="en-US" w:eastAsia="fr-BE"/>
    </w:rPr>
  </w:style>
  <w:style w:type="paragraph" w:customStyle="1" w:styleId="BULLETNEW">
    <w:name w:val="BULLET NEW"/>
    <w:basedOn w:val="BulletText"/>
    <w:link w:val="BULLETNEWChar"/>
    <w:qFormat/>
    <w:pPr>
      <w:numPr>
        <w:numId w:val="0"/>
      </w:numPr>
      <w:ind w:left="720" w:hanging="360"/>
    </w:pPr>
  </w:style>
  <w:style w:type="paragraph" w:customStyle="1" w:styleId="footnote">
    <w:name w:val="footnote"/>
    <w:basedOn w:val="FootnoteText"/>
    <w:link w:val="footnoteChar"/>
    <w:qFormat/>
    <w:pPr>
      <w:spacing w:after="0" w:line="240" w:lineRule="auto"/>
      <w:ind w:left="0" w:firstLine="0"/>
    </w:pPr>
    <w:rPr>
      <w:sz w:val="16"/>
      <w:szCs w:val="16"/>
    </w:rPr>
  </w:style>
  <w:style w:type="character" w:customStyle="1" w:styleId="footnoteChar">
    <w:name w:val="footnote Char"/>
    <w:link w:val="footnote"/>
    <w:rPr>
      <w:sz w:val="16"/>
      <w:szCs w:val="16"/>
    </w:rPr>
  </w:style>
  <w:style w:type="character" w:customStyle="1" w:styleId="BULLETNEWChar">
    <w:name w:val="BULLET NEW Char"/>
    <w:basedOn w:val="BulletTextChar"/>
    <w:link w:val="BULLETNEW"/>
    <w:rPr>
      <w:rFonts w:asciiTheme="majorHAnsi" w:hAnsiTheme="majorHAnsi" w:cs="Arial"/>
      <w:szCs w:val="24"/>
      <w:lang w:eastAsia="en-US"/>
    </w:rPr>
  </w:style>
  <w:style w:type="table" w:customStyle="1" w:styleId="TableGridLight1">
    <w:name w:val="Table Grid Light1"/>
    <w:basedOn w:val="TableNormal"/>
    <w:uiPriority w:val="40"/>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t6">
    <w:name w:val="a__t6"/>
    <w:basedOn w:val="DefaultParagraphFont"/>
  </w:style>
  <w:style w:type="character" w:customStyle="1" w:styleId="Heading5Char">
    <w:name w:val="Heading 5 Char"/>
    <w:basedOn w:val="DefaultParagraphFont"/>
    <w:link w:val="Heading5"/>
    <w:rPr>
      <w:sz w:val="22"/>
      <w:u w:val="single"/>
    </w:rPr>
  </w:style>
  <w:style w:type="paragraph" w:customStyle="1" w:styleId="Textbox">
    <w:name w:val="Text box"/>
    <w:basedOn w:val="Heading6"/>
    <w:next w:val="Heading6"/>
    <w:link w:val="TextboxChar"/>
    <w:qFormat/>
    <w:pPr>
      <w:keepLines/>
      <w:numPr>
        <w:ilvl w:val="4"/>
        <w:numId w:val="22"/>
      </w:numPr>
      <w:pBdr>
        <w:top w:val="single" w:sz="4" w:space="1" w:color="auto"/>
        <w:left w:val="single" w:sz="4" w:space="4" w:color="auto"/>
        <w:bottom w:val="single" w:sz="4" w:space="1" w:color="auto"/>
        <w:right w:val="single" w:sz="4" w:space="4" w:color="auto"/>
      </w:pBdr>
      <w:spacing w:before="40" w:after="0" w:line="276" w:lineRule="auto"/>
      <w:ind w:left="851" w:hanging="709"/>
    </w:pPr>
    <w:rPr>
      <w:rFonts w:eastAsiaTheme="majorEastAsia"/>
      <w:i/>
      <w:sz w:val="24"/>
      <w:szCs w:val="22"/>
      <w:lang w:eastAsia="ja-JP"/>
    </w:rPr>
  </w:style>
  <w:style w:type="character" w:customStyle="1" w:styleId="TextboxChar">
    <w:name w:val="Text box Char"/>
    <w:basedOn w:val="DefaultParagraphFont"/>
    <w:link w:val="Textbox"/>
    <w:rPr>
      <w:rFonts w:eastAsiaTheme="majorEastAsia"/>
      <w:i/>
      <w:szCs w:val="22"/>
      <w:lang w:eastAsia="ja-JP"/>
    </w:rPr>
  </w:style>
  <w:style w:type="character" w:customStyle="1" w:styleId="Heading6Char">
    <w:name w:val="Heading 6 Char"/>
    <w:basedOn w:val="DefaultParagraphFont"/>
    <w:link w:val="Heading6"/>
    <w:semiHidden/>
    <w:rPr>
      <w:sz w:val="22"/>
    </w:rPr>
  </w:style>
  <w:style w:type="numbering" w:customStyle="1" w:styleId="Headings">
    <w:name w:val="Headings"/>
    <w:uiPriority w:val="99"/>
    <w:pPr>
      <w:numPr>
        <w:numId w:val="23"/>
      </w:numPr>
    </w:pPr>
  </w:style>
  <w:style w:type="paragraph" w:customStyle="1" w:styleId="BasistekstCEDelft">
    <w:name w:val="Basistekst CE Delft"/>
    <w:basedOn w:val="Normal"/>
    <w:uiPriority w:val="99"/>
    <w:qFormat/>
    <w:pPr>
      <w:spacing w:after="0" w:line="240" w:lineRule="atLeast"/>
      <w:jc w:val="left"/>
    </w:pPr>
    <w:rPr>
      <w:rFonts w:ascii="Trebuchet MS" w:hAnsi="Trebuchet MS" w:cs="Maiandra GD"/>
      <w:color w:val="000000" w:themeColor="text1"/>
      <w:sz w:val="20"/>
      <w:szCs w:val="18"/>
      <w:lang w:eastAsia="nl-NL"/>
    </w:rPr>
  </w:style>
  <w:style w:type="paragraph" w:customStyle="1" w:styleId="Text">
    <w:name w:val="Text"/>
    <w:uiPriority w:val="9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eastAsia="en-IE"/>
    </w:rPr>
  </w:style>
  <w:style w:type="character" w:customStyle="1" w:styleId="NoSpacingChar">
    <w:name w:val="No Spacing Char"/>
    <w:basedOn w:val="DefaultParagraphFont"/>
    <w:link w:val="NoSpacing"/>
    <w:uiPriority w:val="1"/>
    <w:rPr>
      <w:rFonts w:eastAsia="Arial Unicode MS"/>
      <w:szCs w:val="24"/>
      <w:bdr w:val="nil"/>
      <w:lang w:eastAsia="en-US"/>
    </w:rPr>
  </w:style>
  <w:style w:type="character" w:customStyle="1" w:styleId="italic">
    <w:name w:val="italic"/>
    <w:basedOn w:val="DefaultParagraphFont"/>
  </w:style>
  <w:style w:type="paragraph" w:customStyle="1" w:styleId="ESch">
    <w:name w:val="ES_ch"/>
    <w:basedOn w:val="Normal"/>
    <w:uiPriority w:val="99"/>
    <w:qFormat/>
    <w:pPr>
      <w:autoSpaceDE w:val="0"/>
      <w:autoSpaceDN w:val="0"/>
      <w:spacing w:after="0" w:line="240" w:lineRule="atLeast"/>
      <w:ind w:left="567" w:hanging="567"/>
    </w:pPr>
    <w:rPr>
      <w:rFonts w:ascii="Arial" w:hAnsi="Arial"/>
      <w:sz w:val="20"/>
      <w:szCs w:val="24"/>
      <w:lang w:val="fr-FR" w:eastAsia="fr-FR"/>
    </w:rPr>
  </w:style>
  <w:style w:type="paragraph" w:customStyle="1" w:styleId="s6">
    <w:name w:val="s6"/>
    <w:basedOn w:val="Normal"/>
    <w:uiPriority w:val="99"/>
    <w:pPr>
      <w:spacing w:before="100" w:beforeAutospacing="1" w:after="100" w:afterAutospacing="1" w:line="240" w:lineRule="auto"/>
      <w:jc w:val="left"/>
    </w:pPr>
    <w:rPr>
      <w:rFonts w:eastAsiaTheme="minorHAnsi"/>
      <w:sz w:val="24"/>
      <w:szCs w:val="24"/>
    </w:rPr>
  </w:style>
  <w:style w:type="character" w:customStyle="1" w:styleId="s7">
    <w:name w:val="s7"/>
    <w:basedOn w:val="DefaultParagraphFont"/>
  </w:style>
  <w:style w:type="paragraph" w:customStyle="1" w:styleId="Disclaimer">
    <w:name w:val="Disclaimer"/>
    <w:basedOn w:val="Normal"/>
    <w:uiPriority w:val="99"/>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line="240" w:lineRule="auto"/>
    </w:pPr>
    <w:rPr>
      <w:rFonts w:eastAsiaTheme="minorHAnsi"/>
      <w:sz w:val="24"/>
      <w:szCs w:val="22"/>
      <w:lang w:eastAsia="en-US"/>
    </w:rPr>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 w:type="paragraph" w:styleId="PlainText">
    <w:name w:val="Plain Text"/>
    <w:basedOn w:val="Normal"/>
    <w:link w:val="PlainTextChar"/>
    <w:uiPriority w:val="99"/>
    <w:locked/>
    <w:pPr>
      <w:spacing w:after="240" w:line="240" w:lineRule="auto"/>
    </w:pPr>
    <w:rPr>
      <w:rFonts w:ascii="Courier New" w:hAnsi="Courier New"/>
      <w:sz w:val="20"/>
      <w:lang w:eastAsia="en-US"/>
    </w:rPr>
  </w:style>
  <w:style w:type="character" w:customStyle="1" w:styleId="PlainTextChar">
    <w:name w:val="Plain Text Char"/>
    <w:basedOn w:val="DefaultParagraphFont"/>
    <w:link w:val="PlainText"/>
    <w:uiPriority w:val="99"/>
    <w:rPr>
      <w:rFonts w:ascii="Courier New" w:hAnsi="Courier New"/>
      <w:sz w:val="20"/>
      <w:lang w:eastAsia="en-US"/>
    </w:rPr>
  </w:style>
  <w:style w:type="paragraph" w:customStyle="1" w:styleId="Legalnum">
    <w:name w:val="Legal num"/>
    <w:basedOn w:val="Heading3"/>
    <w:uiPriority w:val="99"/>
    <w:pPr>
      <w:tabs>
        <w:tab w:val="clear" w:pos="1560"/>
        <w:tab w:val="left" w:pos="1276"/>
      </w:tabs>
      <w:ind w:firstLine="0"/>
    </w:pPr>
  </w:style>
  <w:style w:type="paragraph" w:customStyle="1" w:styleId="Text2">
    <w:name w:val="Text 2"/>
    <w:basedOn w:val="Normal"/>
    <w:uiPriority w:val="99"/>
    <w:pPr>
      <w:tabs>
        <w:tab w:val="left" w:pos="2160"/>
      </w:tabs>
      <w:spacing w:after="240" w:line="240" w:lineRule="auto"/>
      <w:ind w:left="1077"/>
    </w:pPr>
    <w:rPr>
      <w:sz w:val="24"/>
      <w:lang w:eastAsia="en-US"/>
    </w:rPr>
  </w:style>
  <w:style w:type="paragraph" w:customStyle="1" w:styleId="BodyA">
    <w:name w:val="Body A"/>
    <w:uiPriority w:val="9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fr-FR" w:eastAsia="fr-BE"/>
    </w:rPr>
  </w:style>
  <w:style w:type="character" w:customStyle="1" w:styleId="None">
    <w:name w:val="None"/>
  </w:style>
  <w:style w:type="paragraph" w:customStyle="1" w:styleId="Opsommingteken1eniveauCEDelft">
    <w:name w:val="Opsomming teken 1e niveau CE Delft"/>
    <w:basedOn w:val="Normal"/>
    <w:uiPriority w:val="4"/>
    <w:pPr>
      <w:numPr>
        <w:numId w:val="35"/>
      </w:numPr>
      <w:spacing w:after="0" w:line="240" w:lineRule="atLeast"/>
      <w:jc w:val="left"/>
    </w:pPr>
    <w:rPr>
      <w:rFonts w:ascii="Trebuchet MS" w:hAnsi="Trebuchet MS" w:cs="Maiandra GD"/>
      <w:color w:val="000000" w:themeColor="text1"/>
      <w:sz w:val="20"/>
      <w:szCs w:val="18"/>
      <w:lang w:eastAsia="nl-NL"/>
    </w:rPr>
  </w:style>
  <w:style w:type="paragraph" w:customStyle="1" w:styleId="Opsommingteken2eniveauCEDelft">
    <w:name w:val="Opsomming teken 2e niveau CE Delft"/>
    <w:basedOn w:val="Normal"/>
    <w:uiPriority w:val="4"/>
    <w:pPr>
      <w:numPr>
        <w:ilvl w:val="1"/>
        <w:numId w:val="35"/>
      </w:numPr>
      <w:spacing w:after="0" w:line="240" w:lineRule="atLeast"/>
      <w:jc w:val="left"/>
    </w:pPr>
    <w:rPr>
      <w:rFonts w:ascii="Trebuchet MS" w:hAnsi="Trebuchet MS" w:cs="Maiandra GD"/>
      <w:color w:val="000000" w:themeColor="text1"/>
      <w:sz w:val="20"/>
      <w:szCs w:val="18"/>
      <w:lang w:eastAsia="nl-NL"/>
    </w:rPr>
  </w:style>
  <w:style w:type="paragraph" w:customStyle="1" w:styleId="Opsommingteken3eniveauCEDelft">
    <w:name w:val="Opsomming teken 3e niveau CE Delft"/>
    <w:basedOn w:val="Normal"/>
    <w:uiPriority w:val="4"/>
    <w:pPr>
      <w:numPr>
        <w:ilvl w:val="2"/>
        <w:numId w:val="35"/>
      </w:numPr>
      <w:spacing w:after="0" w:line="240" w:lineRule="atLeast"/>
      <w:jc w:val="left"/>
    </w:pPr>
    <w:rPr>
      <w:rFonts w:ascii="Trebuchet MS" w:hAnsi="Trebuchet MS" w:cs="Maiandra GD"/>
      <w:color w:val="000000" w:themeColor="text1"/>
      <w:sz w:val="20"/>
      <w:szCs w:val="18"/>
      <w:lang w:eastAsia="nl-NL"/>
    </w:rPr>
  </w:style>
  <w:style w:type="numbering" w:customStyle="1" w:styleId="OpsommingtekenCEDelft">
    <w:name w:val="Opsomming teken CE Delft"/>
    <w:uiPriority w:val="4"/>
    <w:pPr>
      <w:numPr>
        <w:numId w:val="35"/>
      </w:numPr>
    </w:pPr>
  </w:style>
  <w:style w:type="paragraph" w:customStyle="1" w:styleId="astandard3520normal">
    <w:name w:val="a_standard__35__20_normal"/>
    <w:basedOn w:val="Normal"/>
    <w:uiPriority w:val="99"/>
    <w:pPr>
      <w:spacing w:before="100" w:beforeAutospacing="1" w:after="100" w:afterAutospacing="1" w:line="240" w:lineRule="auto"/>
      <w:jc w:val="left"/>
    </w:pPr>
    <w:rPr>
      <w:sz w:val="24"/>
      <w:szCs w:val="24"/>
      <w:lang w:eastAsia="ja-JP"/>
    </w:rPr>
  </w:style>
  <w:style w:type="character" w:customStyle="1" w:styleId="at1">
    <w:name w:val="a__t1"/>
    <w:basedOn w:val="DefaultParagraphFont"/>
  </w:style>
  <w:style w:type="paragraph" w:customStyle="1" w:styleId="atiret201p9">
    <w:name w:val="a_tiret_20_1_p9"/>
    <w:basedOn w:val="Normal"/>
    <w:uiPriority w:val="99"/>
    <w:pPr>
      <w:spacing w:before="100" w:beforeAutospacing="1" w:after="100" w:afterAutospacing="1" w:line="240" w:lineRule="auto"/>
      <w:jc w:val="left"/>
    </w:pPr>
    <w:rPr>
      <w:sz w:val="24"/>
      <w:szCs w:val="24"/>
      <w:lang w:eastAsia="ja-JP"/>
    </w:rPr>
  </w:style>
  <w:style w:type="paragraph" w:customStyle="1" w:styleId="a3520normalp3">
    <w:name w:val="a__35__20_normal_p3"/>
    <w:basedOn w:val="Normal"/>
    <w:uiPriority w:val="99"/>
    <w:pPr>
      <w:spacing w:before="100" w:beforeAutospacing="1" w:after="100" w:afterAutospacing="1" w:line="240" w:lineRule="auto"/>
      <w:jc w:val="left"/>
    </w:pPr>
    <w:rPr>
      <w:sz w:val="24"/>
      <w:szCs w:val="24"/>
      <w:lang w:eastAsia="ja-JP"/>
    </w:rPr>
  </w:style>
  <w:style w:type="paragraph" w:customStyle="1" w:styleId="a3520normalp5">
    <w:name w:val="a__35__20_normal_p5"/>
    <w:basedOn w:val="Normal"/>
    <w:uiPriority w:val="99"/>
    <w:pPr>
      <w:spacing w:before="100" w:beforeAutospacing="1" w:after="100" w:afterAutospacing="1" w:line="240" w:lineRule="auto"/>
      <w:jc w:val="left"/>
    </w:pPr>
    <w:rPr>
      <w:sz w:val="24"/>
      <w:szCs w:val="24"/>
      <w:lang w:eastAsia="ja-JP"/>
    </w:rPr>
  </w:style>
  <w:style w:type="paragraph" w:customStyle="1" w:styleId="figure-title">
    <w:name w:val="figure-title"/>
    <w:basedOn w:val="Normal"/>
    <w:uiPriority w:val="99"/>
    <w:pPr>
      <w:spacing w:before="100" w:beforeAutospacing="1" w:after="100" w:afterAutospacing="1" w:line="240" w:lineRule="auto"/>
      <w:jc w:val="left"/>
    </w:pPr>
    <w:rPr>
      <w:sz w:val="24"/>
      <w:szCs w:val="24"/>
      <w:lang w:eastAsia="ja-JP"/>
    </w:rPr>
  </w:style>
  <w:style w:type="paragraph" w:customStyle="1" w:styleId="callout">
    <w:name w:val="callout"/>
    <w:basedOn w:val="Normal"/>
    <w:uiPriority w:val="99"/>
    <w:pPr>
      <w:spacing w:before="100" w:beforeAutospacing="1" w:after="100" w:afterAutospacing="1" w:line="240" w:lineRule="auto"/>
      <w:jc w:val="left"/>
    </w:pPr>
    <w:rPr>
      <w:sz w:val="24"/>
      <w:szCs w:val="24"/>
      <w:lang w:eastAsia="ja-JP"/>
    </w:rPr>
  </w:style>
  <w:style w:type="character" w:customStyle="1" w:styleId="LegalNumParChar">
    <w:name w:val="LegalNumPar Char"/>
    <w:basedOn w:val="DefaultParagraphFont"/>
    <w:link w:val="LegalNumPar"/>
  </w:style>
  <w:style w:type="paragraph" w:customStyle="1" w:styleId="NormalCentered">
    <w:name w:val="Normal Centered"/>
    <w:basedOn w:val="Normal"/>
    <w:uiPriority w:val="99"/>
    <w:pPr>
      <w:spacing w:before="200" w:line="360" w:lineRule="auto"/>
      <w:jc w:val="center"/>
    </w:pPr>
    <w:rPr>
      <w:rFonts w:eastAsiaTheme="minorHAnsi"/>
      <w:sz w:val="24"/>
      <w:szCs w:val="22"/>
      <w:lang w:eastAsia="en-US"/>
    </w:rPr>
  </w:style>
  <w:style w:type="paragraph" w:customStyle="1" w:styleId="Briefingheading1">
    <w:name w:val="Briefing heading 1"/>
    <w:basedOn w:val="Normal"/>
    <w:next w:val="Normal"/>
    <w:uiPriority w:val="99"/>
    <w:pPr>
      <w:keepNext/>
      <w:spacing w:before="240" w:after="240" w:line="240" w:lineRule="auto"/>
    </w:pPr>
    <w:rPr>
      <w:rFonts w:ascii="Arial" w:hAnsi="Arial" w:cs="Arial"/>
      <w:b/>
      <w:sz w:val="24"/>
      <w:szCs w:val="24"/>
      <w:u w:val="single"/>
      <w:lang w:eastAsia="en-US"/>
    </w:rPr>
  </w:style>
  <w:style w:type="character" w:customStyle="1" w:styleId="CaptionChar">
    <w:name w:val="Caption Char"/>
    <w:aliases w:val="Tasks Char,Beschriftung Char2 Char,Beschriftung Char1 Char1 Char,Beschriftung Char Char Char1 Char,Beschriftung Char1 Char Char Char,Beschriftung Char Char Char Char Char,Beschriftung Char Char1 Char Char,Beschriftung Char Char2 Char"/>
    <w:link w:val="Caption"/>
    <w:uiPriority w:val="35"/>
    <w:locked/>
    <w:rPr>
      <w:b/>
      <w:i/>
      <w:sz w:val="22"/>
    </w:rPr>
  </w:style>
  <w:style w:type="character" w:styleId="EndnoteReference">
    <w:name w:val="endnote reference"/>
    <w:basedOn w:val="DefaultParagraphFont"/>
    <w:uiPriority w:val="99"/>
    <w:semiHidden/>
    <w:unhideWhenUsed/>
    <w:locked/>
    <w:rPr>
      <w:vertAlign w:val="superscript"/>
    </w:rPr>
  </w:style>
  <w:style w:type="character" w:customStyle="1" w:styleId="EndnoteTextChar">
    <w:name w:val="Endnote Text Char"/>
    <w:basedOn w:val="DefaultParagraphFont"/>
    <w:link w:val="EndnoteText"/>
    <w:uiPriority w:val="99"/>
    <w:semiHidden/>
    <w:rPr>
      <w:sz w:val="20"/>
    </w:r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uiPriority w:val="99"/>
    <w:pPr>
      <w:spacing w:after="160" w:line="240" w:lineRule="exact"/>
      <w:jc w:val="left"/>
    </w:pPr>
    <w:rPr>
      <w:rFonts w:eastAsiaTheme="minorHAnsi" w:cstheme="minorBidi"/>
      <w:sz w:val="16"/>
      <w:szCs w:val="22"/>
      <w:vertAlign w:val="superscript"/>
      <w:lang w:eastAsia="en-US"/>
    </w:rPr>
  </w:style>
  <w:style w:type="paragraph" w:customStyle="1" w:styleId="denotaalpie">
    <w:name w:val="de nota al pie"/>
    <w:aliases w:val="F"/>
    <w:basedOn w:val="Normal"/>
    <w:uiPriority w:val="99"/>
    <w:pPr>
      <w:spacing w:after="160" w:line="240" w:lineRule="exact"/>
      <w:jc w:val="left"/>
    </w:pPr>
    <w:rPr>
      <w:sz w:val="20"/>
      <w:vertAlign w:val="superscript"/>
    </w:rPr>
  </w:style>
  <w:style w:type="paragraph" w:styleId="ListBullet2">
    <w:name w:val="List Bullet 2"/>
    <w:basedOn w:val="Normal"/>
    <w:uiPriority w:val="99"/>
    <w:semiHidden/>
    <w:unhideWhenUsed/>
    <w:locked/>
    <w:pPr>
      <w:numPr>
        <w:numId w:val="50"/>
      </w:numPr>
      <w:contextualSpacing/>
    </w:pPr>
  </w:style>
  <w:style w:type="paragraph" w:customStyle="1" w:styleId="ListDash1">
    <w:name w:val="List Dash 1"/>
    <w:basedOn w:val="Normal"/>
    <w:uiPriority w:val="99"/>
    <w:pPr>
      <w:numPr>
        <w:numId w:val="52"/>
      </w:numPr>
      <w:spacing w:after="240" w:line="240" w:lineRule="auto"/>
    </w:pPr>
    <w:rPr>
      <w:sz w:val="24"/>
      <w:lang w:eastAsia="en-US"/>
    </w:rPr>
  </w:style>
  <w:style w:type="paragraph" w:customStyle="1" w:styleId="Standard">
    <w:name w:val="Standard"/>
    <w:uiPriority w:val="99"/>
    <w:pPr>
      <w:suppressAutoHyphens/>
      <w:autoSpaceDN w:val="0"/>
      <w:spacing w:after="240"/>
      <w:jc w:val="both"/>
      <w:textAlignment w:val="baseline"/>
    </w:pPr>
    <w:rPr>
      <w:kern w:val="3"/>
      <w:lang w:eastAsia="en-US"/>
    </w:rPr>
  </w:style>
  <w:style w:type="paragraph" w:styleId="ListBullet4">
    <w:name w:val="List Bullet 4"/>
    <w:basedOn w:val="Normal"/>
    <w:uiPriority w:val="99"/>
    <w:semiHidden/>
    <w:unhideWhenUsed/>
    <w:locked/>
    <w:pPr>
      <w:numPr>
        <w:numId w:val="58"/>
      </w:numPr>
      <w:contextualSpacing/>
    </w:pPr>
  </w:style>
  <w:style w:type="paragraph" w:styleId="ListBullet5">
    <w:name w:val="List Bullet 5"/>
    <w:basedOn w:val="Normal"/>
    <w:uiPriority w:val="99"/>
    <w:semiHidden/>
    <w:unhideWhenUsed/>
    <w:locked/>
    <w:pPr>
      <w:numPr>
        <w:numId w:val="59"/>
      </w:numPr>
      <w:contextualSpacing/>
    </w:pPr>
  </w:style>
  <w:style w:type="paragraph" w:styleId="ListNumber2">
    <w:name w:val="List Number 2"/>
    <w:basedOn w:val="Normal"/>
    <w:uiPriority w:val="99"/>
    <w:unhideWhenUsed/>
    <w:locked/>
    <w:pPr>
      <w:numPr>
        <w:numId w:val="60"/>
      </w:numPr>
      <w:contextualSpacing/>
    </w:pPr>
  </w:style>
  <w:style w:type="paragraph" w:styleId="ListNumber4">
    <w:name w:val="List Number 4"/>
    <w:basedOn w:val="Normal"/>
    <w:uiPriority w:val="99"/>
    <w:semiHidden/>
    <w:unhideWhenUsed/>
    <w:locked/>
    <w:pPr>
      <w:numPr>
        <w:numId w:val="61"/>
      </w:numPr>
      <w:contextualSpacing/>
    </w:pPr>
  </w:style>
  <w:style w:type="paragraph" w:styleId="ListNumber5">
    <w:name w:val="List Number 5"/>
    <w:basedOn w:val="Normal"/>
    <w:uiPriority w:val="99"/>
    <w:semiHidden/>
    <w:unhideWhenUsed/>
    <w:locked/>
    <w:pPr>
      <w:numPr>
        <w:numId w:val="62"/>
      </w:numPr>
      <w:contextualSpacing/>
    </w:pPr>
  </w:style>
  <w:style w:type="paragraph" w:styleId="ListNumber3">
    <w:name w:val="List Number 3"/>
    <w:basedOn w:val="Normal"/>
    <w:uiPriority w:val="99"/>
    <w:semiHidden/>
    <w:unhideWhenUsed/>
    <w:locked/>
    <w:pPr>
      <w:numPr>
        <w:numId w:val="63"/>
      </w:numPr>
      <w:contextualSpacing/>
    </w:pPr>
  </w:style>
  <w:style w:type="paragraph" w:styleId="ListBullet3">
    <w:name w:val="List Bullet 3"/>
    <w:basedOn w:val="Normal"/>
    <w:uiPriority w:val="99"/>
    <w:semiHidden/>
    <w:unhideWhenUsed/>
    <w:locked/>
    <w:pPr>
      <w:numPr>
        <w:numId w:val="64"/>
      </w:numPr>
      <w:contextualSpacing/>
    </w:pPr>
  </w:style>
  <w:style w:type="character" w:customStyle="1" w:styleId="Hyperlink1">
    <w:name w:val="Hyperlink.1"/>
    <w:basedOn w:val="DefaultParagraphFont"/>
  </w:style>
  <w:style w:type="numbering" w:customStyle="1" w:styleId="ImportedStyle31">
    <w:name w:val="Imported Style 31"/>
  </w:style>
  <w:style w:type="numbering" w:customStyle="1" w:styleId="ImportedStyle32">
    <w:name w:val="Imported Style 32"/>
  </w:style>
  <w:style w:type="numbering" w:customStyle="1" w:styleId="ImportedStyle33">
    <w:name w:val="Imported Style 33"/>
  </w:style>
  <w:style w:type="paragraph" w:customStyle="1" w:styleId="ListNumber2Level4">
    <w:name w:val="List Number 2 (Level 4)"/>
    <w:basedOn w:val="Text2"/>
    <w:uiPriority w:val="99"/>
    <w:semiHidden/>
    <w:unhideWhenUsed/>
    <w:pPr>
      <w:tabs>
        <w:tab w:val="clear" w:pos="2160"/>
        <w:tab w:val="num" w:pos="3912"/>
      </w:tabs>
      <w:ind w:left="3912" w:hanging="709"/>
    </w:pPr>
    <w:rPr>
      <w:lang w:eastAsia="en-GB"/>
    </w:rPr>
  </w:style>
  <w:style w:type="paragraph" w:customStyle="1" w:styleId="ListNumber2Level3">
    <w:name w:val="List Number 2 (Level 3)"/>
    <w:basedOn w:val="Text2"/>
    <w:uiPriority w:val="99"/>
    <w:semiHidden/>
    <w:unhideWhenUsed/>
    <w:pPr>
      <w:tabs>
        <w:tab w:val="clear" w:pos="2160"/>
        <w:tab w:val="num" w:pos="3203"/>
      </w:tabs>
      <w:ind w:left="3203" w:hanging="697"/>
    </w:pPr>
    <w:rPr>
      <w:lang w:eastAsia="en-GB"/>
    </w:rPr>
  </w:style>
  <w:style w:type="paragraph" w:customStyle="1" w:styleId="ListNumber2Level2">
    <w:name w:val="List Number 2 (Level 2)"/>
    <w:basedOn w:val="Text2"/>
    <w:uiPriority w:val="99"/>
    <w:pPr>
      <w:tabs>
        <w:tab w:val="clear" w:pos="2160"/>
        <w:tab w:val="num" w:pos="2494"/>
      </w:tabs>
      <w:ind w:left="2494" w:hanging="708"/>
    </w:pPr>
    <w:rPr>
      <w:lang w:eastAsia="en-GB"/>
    </w:rPr>
  </w:style>
  <w:style w:type="paragraph" w:customStyle="1" w:styleId="Text1">
    <w:name w:val="Text 1"/>
    <w:basedOn w:val="Normal"/>
    <w:uiPriority w:val="90"/>
    <w:qFormat/>
    <w:pPr>
      <w:spacing w:after="240" w:line="240" w:lineRule="auto"/>
      <w:ind w:left="482"/>
    </w:pPr>
    <w:rPr>
      <w:sz w:val="24"/>
    </w:rPr>
  </w:style>
  <w:style w:type="paragraph" w:customStyle="1" w:styleId="SWD">
    <w:name w:val="SWD"/>
    <w:basedOn w:val="Heading1"/>
    <w:link w:val="SWDChar"/>
    <w:uiPriority w:val="90"/>
    <w:qFormat/>
  </w:style>
  <w:style w:type="character" w:customStyle="1" w:styleId="SWDChar">
    <w:name w:val="SWD Char"/>
    <w:basedOn w:val="Heading1Char"/>
    <w:link w:val="SWD"/>
    <w:uiPriority w:val="90"/>
    <w:rPr>
      <w:b/>
      <w:smallCaps/>
      <w:sz w:val="26"/>
    </w:rPr>
  </w:style>
  <w:style w:type="numbering" w:customStyle="1" w:styleId="ImportedStyle34">
    <w:name w:val="Imported Style 34"/>
  </w:style>
  <w:style w:type="numbering" w:customStyle="1" w:styleId="ImportedStyle35">
    <w:name w:val="Imported Style 35"/>
  </w:style>
  <w:style w:type="numbering" w:customStyle="1" w:styleId="ImportedStyle36">
    <w:name w:val="Imported Style 36"/>
  </w:style>
  <w:style w:type="character" w:customStyle="1" w:styleId="Heading7Char">
    <w:name w:val="Heading 7 Char"/>
    <w:basedOn w:val="DefaultParagraphFont"/>
    <w:link w:val="Heading7"/>
    <w:uiPriority w:val="99"/>
    <w:semiHidden/>
    <w:rPr>
      <w:sz w:val="22"/>
    </w:rPr>
  </w:style>
  <w:style w:type="character" w:customStyle="1" w:styleId="Heading8Char">
    <w:name w:val="Heading 8 Char"/>
    <w:basedOn w:val="DefaultParagraphFont"/>
    <w:link w:val="Heading8"/>
    <w:uiPriority w:val="99"/>
    <w:semiHidden/>
    <w:rPr>
      <w:sz w:val="22"/>
    </w:rPr>
  </w:style>
  <w:style w:type="character" w:customStyle="1" w:styleId="Heading9Char">
    <w:name w:val="Heading 9 Char"/>
    <w:basedOn w:val="DefaultParagraphFont"/>
    <w:link w:val="Heading9"/>
    <w:uiPriority w:val="99"/>
    <w:semiHidden/>
    <w:rPr>
      <w:sz w:val="22"/>
    </w:rPr>
  </w:style>
  <w:style w:type="paragraph" w:customStyle="1" w:styleId="msonormal0">
    <w:name w:val="msonormal"/>
    <w:basedOn w:val="Normal"/>
    <w:uiPriority w:val="99"/>
    <w:pPr>
      <w:spacing w:before="100" w:beforeAutospacing="1" w:after="100" w:afterAutospacing="1" w:line="240" w:lineRule="auto"/>
      <w:jc w:val="left"/>
    </w:pPr>
    <w:rPr>
      <w:sz w:val="24"/>
      <w:szCs w:val="24"/>
    </w:rPr>
  </w:style>
  <w:style w:type="character" w:customStyle="1" w:styleId="FootnoteTextChar1">
    <w:name w:val="Footnote Text Char1"/>
    <w:aliases w:val="fn Char1,Fußnote Char1,Fotnotstext1 Char1,Footnote text Char1,Footnote Text Char2 Char1,Footnote Text Char1 Char Char1,Footnote Text Char Char Char Char1,Footnote Text Char Char1 Char1,Footnote Text Char1 Char1 Char1,9 pt Char1"/>
    <w:basedOn w:val="DefaultParagraphFont"/>
    <w:uiPriority w:val="99"/>
    <w:semiHidden/>
    <w:rPr>
      <w:sz w:val="20"/>
    </w:rPr>
  </w:style>
  <w:style w:type="character" w:customStyle="1" w:styleId="TitleChar">
    <w:name w:val="Title Char"/>
    <w:basedOn w:val="DefaultParagraphFont"/>
    <w:link w:val="Title"/>
    <w:uiPriority w:val="99"/>
    <w:rPr>
      <w:b/>
      <w:kern w:val="28"/>
      <w:sz w:val="48"/>
    </w:rPr>
  </w:style>
  <w:style w:type="character" w:customStyle="1" w:styleId="DateChar">
    <w:name w:val="Date Char"/>
    <w:basedOn w:val="DefaultParagraphFont"/>
    <w:link w:val="Date"/>
    <w:uiPriority w:val="99"/>
    <w:rPr>
      <w:sz w:val="22"/>
    </w:rPr>
  </w:style>
  <w:style w:type="character" w:styleId="Emphasis">
    <w:name w:val="Emphasis"/>
    <w:basedOn w:val="DefaultParagraphFont"/>
    <w:uiPriority w:val="20"/>
    <w:qFormat/>
    <w:locked/>
    <w:rPr>
      <w:i/>
      <w:iCs/>
    </w:rPr>
  </w:style>
  <w:style w:type="paragraph" w:customStyle="1" w:styleId="Briefinglist1">
    <w:name w:val="Briefing list 1"/>
    <w:basedOn w:val="Normal"/>
    <w:link w:val="Briefinglist1Char"/>
    <w:qFormat/>
    <w:pPr>
      <w:keepLines/>
      <w:tabs>
        <w:tab w:val="num" w:pos="284"/>
      </w:tabs>
      <w:spacing w:line="240" w:lineRule="auto"/>
      <w:ind w:left="284" w:hanging="284"/>
    </w:pPr>
    <w:rPr>
      <w:rFonts w:ascii="Arial" w:hAnsi="Arial" w:cs="Arial"/>
      <w:szCs w:val="24"/>
      <w:lang w:eastAsia="en-US"/>
    </w:rPr>
  </w:style>
  <w:style w:type="character" w:customStyle="1" w:styleId="Briefinglist1Char">
    <w:name w:val="Briefing list 1 Char"/>
    <w:basedOn w:val="BriefingtextChar"/>
    <w:link w:val="Briefinglist1"/>
    <w:rPr>
      <w:rFonts w:ascii="Arial" w:hAnsi="Arial" w:cs="Arial"/>
      <w:sz w:val="22"/>
      <w:szCs w:val="24"/>
      <w:lang w:eastAsia="en-US"/>
    </w:rPr>
  </w:style>
  <w:style w:type="character" w:customStyle="1" w:styleId="css-901oao">
    <w:name w:val="css-901oao"/>
    <w:basedOn w:val="DefaultParagraphFont"/>
  </w:style>
  <w:style w:type="paragraph" w:customStyle="1" w:styleId="ftrefCharCharCharCharCharCharCharCharChar">
    <w:name w:val="ftref Char Char Char Char Char Char Char Char Char"/>
    <w:aliases w:val="Footnote Char Char Char Char Char Char Char Char Char,BVI fnr Char Char Char Char Char Char Char Char Char,BVI fnr Char Char Char Char Char Char Char Char Char Char"/>
    <w:basedOn w:val="Normal"/>
    <w:next w:val="Normal"/>
    <w:pPr>
      <w:spacing w:before="120" w:after="160" w:line="240" w:lineRule="exact"/>
      <w:jc w:val="left"/>
    </w:pPr>
    <w:rPr>
      <w:rFonts w:asciiTheme="minorHAnsi" w:eastAsiaTheme="minorHAnsi" w:hAnsiTheme="minorHAnsi" w:cstheme="minorBidi"/>
      <w:szCs w:val="22"/>
      <w:vertAlign w:val="superscript"/>
      <w:lang w:eastAsia="en-US"/>
    </w:rPr>
  </w:style>
  <w:style w:type="paragraph" w:customStyle="1" w:styleId="Citation1">
    <w:name w:val="Citation1"/>
    <w:basedOn w:val="Normal"/>
    <w:uiPriority w:val="90"/>
    <w:qFormat/>
    <w:pPr>
      <w:ind w:left="454" w:right="454"/>
    </w:pPr>
    <w:rPr>
      <w:i/>
    </w:rPr>
  </w:style>
  <w:style w:type="paragraph" w:customStyle="1" w:styleId="Normal1">
    <w:name w:val="Normal1"/>
    <w:basedOn w:val="Normal"/>
    <w:pPr>
      <w:spacing w:before="100" w:beforeAutospacing="1" w:after="100" w:afterAutospacing="1" w:line="240" w:lineRule="auto"/>
      <w:jc w:val="left"/>
    </w:pPr>
    <w:rPr>
      <w:rFonts w:eastAsiaTheme="minorHAnsi"/>
      <w:sz w:val="24"/>
      <w:szCs w:val="24"/>
    </w:rPr>
  </w:style>
  <w:style w:type="character" w:customStyle="1" w:styleId="GuidanceChar">
    <w:name w:val="Guidance Char"/>
    <w:basedOn w:val="DefaultParagraphFont"/>
    <w:link w:val="Guidance"/>
    <w:locked/>
    <w:rPr>
      <w:rFonts w:ascii="Arial" w:hAnsi="Arial" w:cs="Arial"/>
      <w:i/>
      <w:iCs/>
      <w:color w:val="7F7F7F"/>
      <w:lang w:eastAsia="zh-CN"/>
    </w:rPr>
  </w:style>
  <w:style w:type="paragraph" w:customStyle="1" w:styleId="Guidance">
    <w:name w:val="Guidance"/>
    <w:basedOn w:val="Normal"/>
    <w:link w:val="GuidanceChar"/>
    <w:pPr>
      <w:spacing w:line="240" w:lineRule="atLeast"/>
      <w:ind w:left="720"/>
      <w:jc w:val="left"/>
    </w:pPr>
    <w:rPr>
      <w:rFonts w:ascii="Arial" w:hAnsi="Arial" w:cs="Arial"/>
      <w:i/>
      <w:iCs/>
      <w:color w:val="7F7F7F"/>
      <w:sz w:val="24"/>
      <w:lang w:eastAsia="zh-CN"/>
    </w:rPr>
  </w:style>
  <w:style w:type="character" w:customStyle="1" w:styleId="super">
    <w:name w:val="super"/>
    <w:basedOn w:val="DefaultParagraphFont"/>
  </w:style>
  <w:style w:type="table" w:customStyle="1" w:styleId="Oeko3">
    <w:name w:val="Oeko_3"/>
    <w:basedOn w:val="TableNormal"/>
    <w:uiPriority w:val="99"/>
    <w:pPr>
      <w:spacing w:before="40" w:after="40"/>
      <w:jc w:val="both"/>
    </w:pPr>
    <w:rPr>
      <w:rFonts w:ascii="Arial" w:eastAsiaTheme="minorHAnsi" w:hAnsi="Arial" w:cs="Arial"/>
      <w:sz w:val="20"/>
      <w:szCs w:val="22"/>
      <w:lang w:val="de-DE" w:eastAsia="en-US"/>
    </w:rPr>
    <w:tblPr>
      <w:tblBorders>
        <w:top w:val="single" w:sz="4" w:space="0" w:color="A5A5A5" w:themeColor="accent3"/>
        <w:bottom w:val="single" w:sz="4" w:space="0" w:color="A5A5A5" w:themeColor="accent3"/>
        <w:insideH w:val="single" w:sz="4" w:space="0" w:color="A5A5A5" w:themeColor="accent3"/>
      </w:tblBorders>
      <w:tblCellMar>
        <w:left w:w="0" w:type="dxa"/>
        <w:right w:w="85" w:type="dxa"/>
      </w:tblCellMar>
    </w:tblPr>
  </w:style>
  <w:style w:type="numbering" w:customStyle="1" w:styleId="ImportedStyle1">
    <w:name w:val="Imported Style 1"/>
    <w:pPr>
      <w:numPr>
        <w:numId w:val="148"/>
      </w:numPr>
    </w:pPr>
  </w:style>
  <w:style w:type="paragraph" w:customStyle="1" w:styleId="Source">
    <w:name w:val="Source"/>
    <w:basedOn w:val="Normal"/>
    <w:link w:val="SourceChar"/>
    <w:qFormat/>
    <w:pPr>
      <w:jc w:val="right"/>
    </w:pPr>
    <w:rPr>
      <w:rFonts w:asciiTheme="minorHAnsi" w:hAnsiTheme="minorHAnsi" w:cstheme="minorHAnsi"/>
      <w:i/>
      <w:noProof/>
      <w:color w:val="000000" w:themeColor="text1"/>
      <w:sz w:val="20"/>
      <w:szCs w:val="18"/>
      <w:lang w:val="fr-BE"/>
    </w:rPr>
  </w:style>
  <w:style w:type="character" w:customStyle="1" w:styleId="SourceChar">
    <w:name w:val="Source Char"/>
    <w:basedOn w:val="DefaultParagraphFont"/>
    <w:link w:val="Source"/>
    <w:rPr>
      <w:rFonts w:asciiTheme="minorHAnsi" w:hAnsiTheme="minorHAnsi" w:cstheme="minorHAnsi"/>
      <w:i/>
      <w:noProof/>
      <w:color w:val="000000" w:themeColor="text1"/>
      <w:sz w:val="20"/>
      <w:szCs w:val="18"/>
      <w:lang w:val="fr-BE"/>
    </w:rPr>
  </w:style>
  <w:style w:type="paragraph" w:customStyle="1" w:styleId="TextNormal">
    <w:name w:val="Text_Normal"/>
    <w:basedOn w:val="Normal"/>
    <w:pPr>
      <w:spacing w:line="240" w:lineRule="auto"/>
      <w:jc w:val="left"/>
    </w:pPr>
    <w:rPr>
      <w:rFonts w:ascii="Verdana" w:eastAsiaTheme="minorHAnsi" w:hAnsi="Verdana"/>
      <w:color w:val="EEECE1"/>
      <w:sz w:val="20"/>
      <w:lang w:eastAsia="en-US"/>
    </w:rPr>
  </w:style>
  <w:style w:type="paragraph" w:styleId="Subtitle">
    <w:name w:val="Subtitle"/>
    <w:basedOn w:val="Normal"/>
    <w:next w:val="Normal"/>
    <w:link w:val="SubtitleChar"/>
    <w:autoRedefine/>
    <w:qFormat/>
    <w:locked/>
    <w:pPr>
      <w:numPr>
        <w:ilvl w:val="1"/>
      </w:numPr>
      <w:spacing w:before="120" w:line="240" w:lineRule="auto"/>
      <w:jc w:val="right"/>
    </w:pPr>
    <w:rPr>
      <w:rFonts w:eastAsia="+mn-ea" w:cstheme="majorBidi"/>
      <w:i/>
      <w:iCs/>
      <w:spacing w:val="15"/>
      <w:sz w:val="20"/>
    </w:rPr>
  </w:style>
  <w:style w:type="character" w:customStyle="1" w:styleId="SubtitleChar">
    <w:name w:val="Subtitle Char"/>
    <w:basedOn w:val="DefaultParagraphFont"/>
    <w:link w:val="Subtitle"/>
    <w:rPr>
      <w:rFonts w:eastAsia="+mn-ea" w:cstheme="majorBidi"/>
      <w:i/>
      <w:iCs/>
      <w:spacing w:val="15"/>
      <w:sz w:val="20"/>
    </w:rPr>
  </w:style>
  <w:style w:type="character" w:styleId="SubtleEmphasis">
    <w:name w:val="Subtle Emphasis"/>
    <w:basedOn w:val="DefaultParagraphFont"/>
    <w:uiPriority w:val="19"/>
    <w:qFormat/>
    <w:locked/>
    <w:rPr>
      <w:i/>
      <w:iCs/>
      <w:sz w:val="20"/>
      <w:lang w:val="fr-BE"/>
    </w:rPr>
  </w:style>
  <w:style w:type="paragraph" w:customStyle="1" w:styleId="SourceNote">
    <w:name w:val="Source &amp; Note"/>
    <w:basedOn w:val="Caption"/>
    <w:link w:val="SourceNoteChar"/>
    <w:qFormat/>
    <w:pPr>
      <w:spacing w:before="0" w:line="240" w:lineRule="auto"/>
      <w:jc w:val="right"/>
    </w:pPr>
    <w:rPr>
      <w:rFonts w:asciiTheme="minorHAnsi" w:hAnsiTheme="minorHAnsi" w:cstheme="minorHAnsi"/>
      <w:b w:val="0"/>
      <w:noProof/>
      <w:color w:val="000000" w:themeColor="text1"/>
      <w:sz w:val="20"/>
      <w:szCs w:val="18"/>
      <w:lang w:val="fr-BE"/>
    </w:rPr>
  </w:style>
  <w:style w:type="character" w:customStyle="1" w:styleId="SourceNoteChar">
    <w:name w:val="Source &amp; Note Char"/>
    <w:basedOn w:val="DefaultParagraphFont"/>
    <w:link w:val="SourceNote"/>
    <w:rPr>
      <w:rFonts w:asciiTheme="minorHAnsi" w:hAnsiTheme="minorHAnsi" w:cstheme="minorHAnsi"/>
      <w:i/>
      <w:noProof/>
      <w:color w:val="000000" w:themeColor="text1"/>
      <w:sz w:val="20"/>
      <w:szCs w:val="18"/>
      <w:lang w:val="fr-BE"/>
    </w:rPr>
  </w:style>
  <w:style w:type="paragraph" w:customStyle="1" w:styleId="Notes">
    <w:name w:val="Notes"/>
    <w:basedOn w:val="Caption"/>
    <w:link w:val="NotesChar"/>
    <w:qFormat/>
    <w:pPr>
      <w:keepNext/>
      <w:spacing w:before="0" w:after="0"/>
    </w:pPr>
    <w:rPr>
      <w:rFonts w:asciiTheme="minorHAnsi" w:hAnsiTheme="minorHAnsi" w:cstheme="minorHAnsi"/>
      <w:b w:val="0"/>
      <w:iCs/>
      <w:noProof/>
      <w:color w:val="000000" w:themeColor="text1"/>
      <w:sz w:val="20"/>
      <w:lang w:val="en-US"/>
    </w:rPr>
  </w:style>
  <w:style w:type="character" w:customStyle="1" w:styleId="NotesChar">
    <w:name w:val="Notes Char"/>
    <w:basedOn w:val="DefaultParagraphFont"/>
    <w:link w:val="Notes"/>
    <w:rPr>
      <w:rFonts w:asciiTheme="minorHAnsi" w:hAnsiTheme="minorHAnsi" w:cstheme="minorHAnsi"/>
      <w:i/>
      <w:iCs/>
      <w:noProof/>
      <w:color w:val="000000" w:themeColor="text1"/>
      <w:sz w:val="20"/>
      <w:lang w:val="en-US"/>
    </w:rPr>
  </w:style>
  <w:style w:type="paragraph" w:customStyle="1" w:styleId="Accompagnant">
    <w:name w:val="Accompagnant"/>
    <w:basedOn w:val="Normal"/>
    <w:next w:val="Normal"/>
    <w:pPr>
      <w:spacing w:after="240" w:line="240" w:lineRule="auto"/>
      <w:jc w:val="center"/>
    </w:pPr>
    <w:rPr>
      <w:rFonts w:eastAsiaTheme="minorHAnsi"/>
      <w:b/>
      <w:i/>
      <w:sz w:val="24"/>
      <w:szCs w:val="22"/>
      <w:lang w:eastAsia="en-US"/>
    </w:rPr>
  </w:style>
  <w:style w:type="paragraph" w:customStyle="1" w:styleId="Typeacteprincipal">
    <w:name w:val="Type acte principal"/>
    <w:basedOn w:val="Normal"/>
    <w:next w:val="Normal"/>
    <w:pPr>
      <w:spacing w:after="240" w:line="240" w:lineRule="auto"/>
      <w:jc w:val="center"/>
    </w:pPr>
    <w:rPr>
      <w:rFonts w:eastAsiaTheme="minorHAnsi"/>
      <w:b/>
      <w:sz w:val="24"/>
      <w:szCs w:val="22"/>
      <w:lang w:eastAsia="en-US"/>
    </w:rPr>
  </w:style>
  <w:style w:type="paragraph" w:customStyle="1" w:styleId="Objetacteprincipal">
    <w:name w:val="Objet acte principal"/>
    <w:basedOn w:val="Normal"/>
    <w:next w:val="Normal"/>
    <w:pPr>
      <w:spacing w:after="360" w:line="240" w:lineRule="auto"/>
      <w:jc w:val="center"/>
    </w:pPr>
    <w:rPr>
      <w:rFonts w:eastAsiaTheme="minorHAnsi"/>
      <w:b/>
      <w:sz w:val="24"/>
      <w:szCs w:val="22"/>
      <w:lang w:eastAsia="en-US"/>
    </w:rPr>
  </w:style>
  <w:style w:type="character" w:customStyle="1" w:styleId="acopre">
    <w:name w:val="acopre"/>
    <w:basedOn w:val="DefaultParagraphFont"/>
  </w:style>
  <w:style w:type="paragraph" w:customStyle="1" w:styleId="Citation10">
    <w:name w:val="Citation10"/>
    <w:basedOn w:val="Normal"/>
    <w:uiPriority w:val="90"/>
    <w:qFormat/>
    <w:pPr>
      <w:ind w:left="454" w:right="454"/>
    </w:pPr>
    <w:rPr>
      <w:i/>
    </w:rPr>
  </w:style>
  <w:style w:type="paragraph" w:customStyle="1" w:styleId="Citation100">
    <w:name w:val="Citation100"/>
    <w:basedOn w:val="Normal"/>
    <w:uiPriority w:val="90"/>
    <w:qFormat/>
    <w:pPr>
      <w:ind w:left="454" w:right="454"/>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03198">
      <w:bodyDiv w:val="1"/>
      <w:marLeft w:val="0"/>
      <w:marRight w:val="0"/>
      <w:marTop w:val="0"/>
      <w:marBottom w:val="0"/>
      <w:divBdr>
        <w:top w:val="none" w:sz="0" w:space="0" w:color="auto"/>
        <w:left w:val="none" w:sz="0" w:space="0" w:color="auto"/>
        <w:bottom w:val="none" w:sz="0" w:space="0" w:color="auto"/>
        <w:right w:val="none" w:sz="0" w:space="0" w:color="auto"/>
      </w:divBdr>
    </w:div>
    <w:div w:id="26948617">
      <w:bodyDiv w:val="1"/>
      <w:marLeft w:val="0"/>
      <w:marRight w:val="0"/>
      <w:marTop w:val="0"/>
      <w:marBottom w:val="0"/>
      <w:divBdr>
        <w:top w:val="none" w:sz="0" w:space="0" w:color="auto"/>
        <w:left w:val="none" w:sz="0" w:space="0" w:color="auto"/>
        <w:bottom w:val="none" w:sz="0" w:space="0" w:color="auto"/>
        <w:right w:val="none" w:sz="0" w:space="0" w:color="auto"/>
      </w:divBdr>
    </w:div>
    <w:div w:id="36510299">
      <w:bodyDiv w:val="1"/>
      <w:marLeft w:val="0"/>
      <w:marRight w:val="0"/>
      <w:marTop w:val="0"/>
      <w:marBottom w:val="0"/>
      <w:divBdr>
        <w:top w:val="none" w:sz="0" w:space="0" w:color="auto"/>
        <w:left w:val="none" w:sz="0" w:space="0" w:color="auto"/>
        <w:bottom w:val="none" w:sz="0" w:space="0" w:color="auto"/>
        <w:right w:val="none" w:sz="0" w:space="0" w:color="auto"/>
      </w:divBdr>
    </w:div>
    <w:div w:id="40402024">
      <w:bodyDiv w:val="1"/>
      <w:marLeft w:val="0"/>
      <w:marRight w:val="0"/>
      <w:marTop w:val="0"/>
      <w:marBottom w:val="0"/>
      <w:divBdr>
        <w:top w:val="none" w:sz="0" w:space="0" w:color="auto"/>
        <w:left w:val="none" w:sz="0" w:space="0" w:color="auto"/>
        <w:bottom w:val="none" w:sz="0" w:space="0" w:color="auto"/>
        <w:right w:val="none" w:sz="0" w:space="0" w:color="auto"/>
      </w:divBdr>
    </w:div>
    <w:div w:id="83960003">
      <w:bodyDiv w:val="1"/>
      <w:marLeft w:val="0"/>
      <w:marRight w:val="0"/>
      <w:marTop w:val="0"/>
      <w:marBottom w:val="0"/>
      <w:divBdr>
        <w:top w:val="none" w:sz="0" w:space="0" w:color="auto"/>
        <w:left w:val="none" w:sz="0" w:space="0" w:color="auto"/>
        <w:bottom w:val="none" w:sz="0" w:space="0" w:color="auto"/>
        <w:right w:val="none" w:sz="0" w:space="0" w:color="auto"/>
      </w:divBdr>
    </w:div>
    <w:div w:id="110782808">
      <w:bodyDiv w:val="1"/>
      <w:marLeft w:val="0"/>
      <w:marRight w:val="0"/>
      <w:marTop w:val="0"/>
      <w:marBottom w:val="0"/>
      <w:divBdr>
        <w:top w:val="none" w:sz="0" w:space="0" w:color="auto"/>
        <w:left w:val="none" w:sz="0" w:space="0" w:color="auto"/>
        <w:bottom w:val="none" w:sz="0" w:space="0" w:color="auto"/>
        <w:right w:val="none" w:sz="0" w:space="0" w:color="auto"/>
      </w:divBdr>
    </w:div>
    <w:div w:id="110899925">
      <w:bodyDiv w:val="1"/>
      <w:marLeft w:val="0"/>
      <w:marRight w:val="0"/>
      <w:marTop w:val="0"/>
      <w:marBottom w:val="0"/>
      <w:divBdr>
        <w:top w:val="none" w:sz="0" w:space="0" w:color="auto"/>
        <w:left w:val="none" w:sz="0" w:space="0" w:color="auto"/>
        <w:bottom w:val="none" w:sz="0" w:space="0" w:color="auto"/>
        <w:right w:val="none" w:sz="0" w:space="0" w:color="auto"/>
      </w:divBdr>
    </w:div>
    <w:div w:id="147866808">
      <w:bodyDiv w:val="1"/>
      <w:marLeft w:val="0"/>
      <w:marRight w:val="0"/>
      <w:marTop w:val="0"/>
      <w:marBottom w:val="0"/>
      <w:divBdr>
        <w:top w:val="none" w:sz="0" w:space="0" w:color="auto"/>
        <w:left w:val="none" w:sz="0" w:space="0" w:color="auto"/>
        <w:bottom w:val="none" w:sz="0" w:space="0" w:color="auto"/>
        <w:right w:val="none" w:sz="0" w:space="0" w:color="auto"/>
      </w:divBdr>
    </w:div>
    <w:div w:id="167062009">
      <w:bodyDiv w:val="1"/>
      <w:marLeft w:val="0"/>
      <w:marRight w:val="0"/>
      <w:marTop w:val="0"/>
      <w:marBottom w:val="0"/>
      <w:divBdr>
        <w:top w:val="none" w:sz="0" w:space="0" w:color="auto"/>
        <w:left w:val="none" w:sz="0" w:space="0" w:color="auto"/>
        <w:bottom w:val="none" w:sz="0" w:space="0" w:color="auto"/>
        <w:right w:val="none" w:sz="0" w:space="0" w:color="auto"/>
      </w:divBdr>
    </w:div>
    <w:div w:id="174660750">
      <w:bodyDiv w:val="1"/>
      <w:marLeft w:val="0"/>
      <w:marRight w:val="0"/>
      <w:marTop w:val="0"/>
      <w:marBottom w:val="0"/>
      <w:divBdr>
        <w:top w:val="none" w:sz="0" w:space="0" w:color="auto"/>
        <w:left w:val="none" w:sz="0" w:space="0" w:color="auto"/>
        <w:bottom w:val="none" w:sz="0" w:space="0" w:color="auto"/>
        <w:right w:val="none" w:sz="0" w:space="0" w:color="auto"/>
      </w:divBdr>
    </w:div>
    <w:div w:id="180123639">
      <w:bodyDiv w:val="1"/>
      <w:marLeft w:val="0"/>
      <w:marRight w:val="0"/>
      <w:marTop w:val="0"/>
      <w:marBottom w:val="0"/>
      <w:divBdr>
        <w:top w:val="none" w:sz="0" w:space="0" w:color="auto"/>
        <w:left w:val="none" w:sz="0" w:space="0" w:color="auto"/>
        <w:bottom w:val="none" w:sz="0" w:space="0" w:color="auto"/>
        <w:right w:val="none" w:sz="0" w:space="0" w:color="auto"/>
      </w:divBdr>
    </w:div>
    <w:div w:id="193277855">
      <w:bodyDiv w:val="1"/>
      <w:marLeft w:val="0"/>
      <w:marRight w:val="0"/>
      <w:marTop w:val="0"/>
      <w:marBottom w:val="0"/>
      <w:divBdr>
        <w:top w:val="none" w:sz="0" w:space="0" w:color="auto"/>
        <w:left w:val="none" w:sz="0" w:space="0" w:color="auto"/>
        <w:bottom w:val="none" w:sz="0" w:space="0" w:color="auto"/>
        <w:right w:val="none" w:sz="0" w:space="0" w:color="auto"/>
      </w:divBdr>
    </w:div>
    <w:div w:id="214852772">
      <w:bodyDiv w:val="1"/>
      <w:marLeft w:val="0"/>
      <w:marRight w:val="0"/>
      <w:marTop w:val="0"/>
      <w:marBottom w:val="0"/>
      <w:divBdr>
        <w:top w:val="none" w:sz="0" w:space="0" w:color="auto"/>
        <w:left w:val="none" w:sz="0" w:space="0" w:color="auto"/>
        <w:bottom w:val="none" w:sz="0" w:space="0" w:color="auto"/>
        <w:right w:val="none" w:sz="0" w:space="0" w:color="auto"/>
      </w:divBdr>
    </w:div>
    <w:div w:id="246354078">
      <w:bodyDiv w:val="1"/>
      <w:marLeft w:val="0"/>
      <w:marRight w:val="0"/>
      <w:marTop w:val="0"/>
      <w:marBottom w:val="0"/>
      <w:divBdr>
        <w:top w:val="none" w:sz="0" w:space="0" w:color="auto"/>
        <w:left w:val="none" w:sz="0" w:space="0" w:color="auto"/>
        <w:bottom w:val="none" w:sz="0" w:space="0" w:color="auto"/>
        <w:right w:val="none" w:sz="0" w:space="0" w:color="auto"/>
      </w:divBdr>
    </w:div>
    <w:div w:id="248082061">
      <w:bodyDiv w:val="1"/>
      <w:marLeft w:val="0"/>
      <w:marRight w:val="0"/>
      <w:marTop w:val="0"/>
      <w:marBottom w:val="0"/>
      <w:divBdr>
        <w:top w:val="none" w:sz="0" w:space="0" w:color="auto"/>
        <w:left w:val="none" w:sz="0" w:space="0" w:color="auto"/>
        <w:bottom w:val="none" w:sz="0" w:space="0" w:color="auto"/>
        <w:right w:val="none" w:sz="0" w:space="0" w:color="auto"/>
      </w:divBdr>
      <w:divsChild>
        <w:div w:id="621038920">
          <w:marLeft w:val="0"/>
          <w:marRight w:val="0"/>
          <w:marTop w:val="0"/>
          <w:marBottom w:val="0"/>
          <w:divBdr>
            <w:top w:val="none" w:sz="0" w:space="0" w:color="auto"/>
            <w:left w:val="none" w:sz="0" w:space="0" w:color="auto"/>
            <w:bottom w:val="none" w:sz="0" w:space="0" w:color="auto"/>
            <w:right w:val="none" w:sz="0" w:space="0" w:color="auto"/>
          </w:divBdr>
        </w:div>
        <w:div w:id="1804344816">
          <w:marLeft w:val="0"/>
          <w:marRight w:val="0"/>
          <w:marTop w:val="0"/>
          <w:marBottom w:val="0"/>
          <w:divBdr>
            <w:top w:val="none" w:sz="0" w:space="0" w:color="auto"/>
            <w:left w:val="none" w:sz="0" w:space="0" w:color="auto"/>
            <w:bottom w:val="none" w:sz="0" w:space="0" w:color="auto"/>
            <w:right w:val="none" w:sz="0" w:space="0" w:color="auto"/>
          </w:divBdr>
          <w:divsChild>
            <w:div w:id="170527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0846">
      <w:bodyDiv w:val="1"/>
      <w:marLeft w:val="0"/>
      <w:marRight w:val="0"/>
      <w:marTop w:val="0"/>
      <w:marBottom w:val="0"/>
      <w:divBdr>
        <w:top w:val="none" w:sz="0" w:space="0" w:color="auto"/>
        <w:left w:val="none" w:sz="0" w:space="0" w:color="auto"/>
        <w:bottom w:val="none" w:sz="0" w:space="0" w:color="auto"/>
        <w:right w:val="none" w:sz="0" w:space="0" w:color="auto"/>
      </w:divBdr>
    </w:div>
    <w:div w:id="279263261">
      <w:bodyDiv w:val="1"/>
      <w:marLeft w:val="0"/>
      <w:marRight w:val="0"/>
      <w:marTop w:val="0"/>
      <w:marBottom w:val="0"/>
      <w:divBdr>
        <w:top w:val="none" w:sz="0" w:space="0" w:color="auto"/>
        <w:left w:val="none" w:sz="0" w:space="0" w:color="auto"/>
        <w:bottom w:val="none" w:sz="0" w:space="0" w:color="auto"/>
        <w:right w:val="none" w:sz="0" w:space="0" w:color="auto"/>
      </w:divBdr>
    </w:div>
    <w:div w:id="286200437">
      <w:bodyDiv w:val="1"/>
      <w:marLeft w:val="0"/>
      <w:marRight w:val="0"/>
      <w:marTop w:val="0"/>
      <w:marBottom w:val="0"/>
      <w:divBdr>
        <w:top w:val="none" w:sz="0" w:space="0" w:color="auto"/>
        <w:left w:val="none" w:sz="0" w:space="0" w:color="auto"/>
        <w:bottom w:val="none" w:sz="0" w:space="0" w:color="auto"/>
        <w:right w:val="none" w:sz="0" w:space="0" w:color="auto"/>
      </w:divBdr>
    </w:div>
    <w:div w:id="286544703">
      <w:bodyDiv w:val="1"/>
      <w:marLeft w:val="0"/>
      <w:marRight w:val="0"/>
      <w:marTop w:val="0"/>
      <w:marBottom w:val="0"/>
      <w:divBdr>
        <w:top w:val="none" w:sz="0" w:space="0" w:color="auto"/>
        <w:left w:val="none" w:sz="0" w:space="0" w:color="auto"/>
        <w:bottom w:val="none" w:sz="0" w:space="0" w:color="auto"/>
        <w:right w:val="none" w:sz="0" w:space="0" w:color="auto"/>
      </w:divBdr>
    </w:div>
    <w:div w:id="300423314">
      <w:bodyDiv w:val="1"/>
      <w:marLeft w:val="0"/>
      <w:marRight w:val="0"/>
      <w:marTop w:val="0"/>
      <w:marBottom w:val="0"/>
      <w:divBdr>
        <w:top w:val="none" w:sz="0" w:space="0" w:color="auto"/>
        <w:left w:val="none" w:sz="0" w:space="0" w:color="auto"/>
        <w:bottom w:val="none" w:sz="0" w:space="0" w:color="auto"/>
        <w:right w:val="none" w:sz="0" w:space="0" w:color="auto"/>
      </w:divBdr>
    </w:div>
    <w:div w:id="307831027">
      <w:bodyDiv w:val="1"/>
      <w:marLeft w:val="0"/>
      <w:marRight w:val="0"/>
      <w:marTop w:val="0"/>
      <w:marBottom w:val="0"/>
      <w:divBdr>
        <w:top w:val="none" w:sz="0" w:space="0" w:color="auto"/>
        <w:left w:val="none" w:sz="0" w:space="0" w:color="auto"/>
        <w:bottom w:val="none" w:sz="0" w:space="0" w:color="auto"/>
        <w:right w:val="none" w:sz="0" w:space="0" w:color="auto"/>
      </w:divBdr>
    </w:div>
    <w:div w:id="314261446">
      <w:bodyDiv w:val="1"/>
      <w:marLeft w:val="0"/>
      <w:marRight w:val="0"/>
      <w:marTop w:val="0"/>
      <w:marBottom w:val="0"/>
      <w:divBdr>
        <w:top w:val="none" w:sz="0" w:space="0" w:color="auto"/>
        <w:left w:val="none" w:sz="0" w:space="0" w:color="auto"/>
        <w:bottom w:val="none" w:sz="0" w:space="0" w:color="auto"/>
        <w:right w:val="none" w:sz="0" w:space="0" w:color="auto"/>
      </w:divBdr>
    </w:div>
    <w:div w:id="319847150">
      <w:bodyDiv w:val="1"/>
      <w:marLeft w:val="0"/>
      <w:marRight w:val="0"/>
      <w:marTop w:val="0"/>
      <w:marBottom w:val="0"/>
      <w:divBdr>
        <w:top w:val="none" w:sz="0" w:space="0" w:color="auto"/>
        <w:left w:val="none" w:sz="0" w:space="0" w:color="auto"/>
        <w:bottom w:val="none" w:sz="0" w:space="0" w:color="auto"/>
        <w:right w:val="none" w:sz="0" w:space="0" w:color="auto"/>
      </w:divBdr>
    </w:div>
    <w:div w:id="321736099">
      <w:bodyDiv w:val="1"/>
      <w:marLeft w:val="0"/>
      <w:marRight w:val="0"/>
      <w:marTop w:val="0"/>
      <w:marBottom w:val="0"/>
      <w:divBdr>
        <w:top w:val="none" w:sz="0" w:space="0" w:color="auto"/>
        <w:left w:val="none" w:sz="0" w:space="0" w:color="auto"/>
        <w:bottom w:val="none" w:sz="0" w:space="0" w:color="auto"/>
        <w:right w:val="none" w:sz="0" w:space="0" w:color="auto"/>
      </w:divBdr>
    </w:div>
    <w:div w:id="322975961">
      <w:bodyDiv w:val="1"/>
      <w:marLeft w:val="0"/>
      <w:marRight w:val="0"/>
      <w:marTop w:val="0"/>
      <w:marBottom w:val="0"/>
      <w:divBdr>
        <w:top w:val="none" w:sz="0" w:space="0" w:color="auto"/>
        <w:left w:val="none" w:sz="0" w:space="0" w:color="auto"/>
        <w:bottom w:val="none" w:sz="0" w:space="0" w:color="auto"/>
        <w:right w:val="none" w:sz="0" w:space="0" w:color="auto"/>
      </w:divBdr>
    </w:div>
    <w:div w:id="331030020">
      <w:bodyDiv w:val="1"/>
      <w:marLeft w:val="0"/>
      <w:marRight w:val="0"/>
      <w:marTop w:val="0"/>
      <w:marBottom w:val="0"/>
      <w:divBdr>
        <w:top w:val="none" w:sz="0" w:space="0" w:color="auto"/>
        <w:left w:val="none" w:sz="0" w:space="0" w:color="auto"/>
        <w:bottom w:val="none" w:sz="0" w:space="0" w:color="auto"/>
        <w:right w:val="none" w:sz="0" w:space="0" w:color="auto"/>
      </w:divBdr>
    </w:div>
    <w:div w:id="337083329">
      <w:bodyDiv w:val="1"/>
      <w:marLeft w:val="0"/>
      <w:marRight w:val="0"/>
      <w:marTop w:val="0"/>
      <w:marBottom w:val="0"/>
      <w:divBdr>
        <w:top w:val="none" w:sz="0" w:space="0" w:color="auto"/>
        <w:left w:val="none" w:sz="0" w:space="0" w:color="auto"/>
        <w:bottom w:val="none" w:sz="0" w:space="0" w:color="auto"/>
        <w:right w:val="none" w:sz="0" w:space="0" w:color="auto"/>
      </w:divBdr>
    </w:div>
    <w:div w:id="356739996">
      <w:bodyDiv w:val="1"/>
      <w:marLeft w:val="0"/>
      <w:marRight w:val="0"/>
      <w:marTop w:val="0"/>
      <w:marBottom w:val="0"/>
      <w:divBdr>
        <w:top w:val="none" w:sz="0" w:space="0" w:color="auto"/>
        <w:left w:val="none" w:sz="0" w:space="0" w:color="auto"/>
        <w:bottom w:val="none" w:sz="0" w:space="0" w:color="auto"/>
        <w:right w:val="none" w:sz="0" w:space="0" w:color="auto"/>
      </w:divBdr>
    </w:div>
    <w:div w:id="367025953">
      <w:bodyDiv w:val="1"/>
      <w:marLeft w:val="0"/>
      <w:marRight w:val="0"/>
      <w:marTop w:val="0"/>
      <w:marBottom w:val="0"/>
      <w:divBdr>
        <w:top w:val="none" w:sz="0" w:space="0" w:color="auto"/>
        <w:left w:val="none" w:sz="0" w:space="0" w:color="auto"/>
        <w:bottom w:val="none" w:sz="0" w:space="0" w:color="auto"/>
        <w:right w:val="none" w:sz="0" w:space="0" w:color="auto"/>
      </w:divBdr>
    </w:div>
    <w:div w:id="375400042">
      <w:bodyDiv w:val="1"/>
      <w:marLeft w:val="0"/>
      <w:marRight w:val="0"/>
      <w:marTop w:val="0"/>
      <w:marBottom w:val="0"/>
      <w:divBdr>
        <w:top w:val="none" w:sz="0" w:space="0" w:color="auto"/>
        <w:left w:val="none" w:sz="0" w:space="0" w:color="auto"/>
        <w:bottom w:val="none" w:sz="0" w:space="0" w:color="auto"/>
        <w:right w:val="none" w:sz="0" w:space="0" w:color="auto"/>
      </w:divBdr>
    </w:div>
    <w:div w:id="384569580">
      <w:bodyDiv w:val="1"/>
      <w:marLeft w:val="0"/>
      <w:marRight w:val="0"/>
      <w:marTop w:val="0"/>
      <w:marBottom w:val="0"/>
      <w:divBdr>
        <w:top w:val="none" w:sz="0" w:space="0" w:color="auto"/>
        <w:left w:val="none" w:sz="0" w:space="0" w:color="auto"/>
        <w:bottom w:val="none" w:sz="0" w:space="0" w:color="auto"/>
        <w:right w:val="none" w:sz="0" w:space="0" w:color="auto"/>
      </w:divBdr>
    </w:div>
    <w:div w:id="409273781">
      <w:bodyDiv w:val="1"/>
      <w:marLeft w:val="0"/>
      <w:marRight w:val="0"/>
      <w:marTop w:val="0"/>
      <w:marBottom w:val="0"/>
      <w:divBdr>
        <w:top w:val="none" w:sz="0" w:space="0" w:color="auto"/>
        <w:left w:val="none" w:sz="0" w:space="0" w:color="auto"/>
        <w:bottom w:val="none" w:sz="0" w:space="0" w:color="auto"/>
        <w:right w:val="none" w:sz="0" w:space="0" w:color="auto"/>
      </w:divBdr>
    </w:div>
    <w:div w:id="419764856">
      <w:bodyDiv w:val="1"/>
      <w:marLeft w:val="0"/>
      <w:marRight w:val="0"/>
      <w:marTop w:val="0"/>
      <w:marBottom w:val="0"/>
      <w:divBdr>
        <w:top w:val="none" w:sz="0" w:space="0" w:color="auto"/>
        <w:left w:val="none" w:sz="0" w:space="0" w:color="auto"/>
        <w:bottom w:val="none" w:sz="0" w:space="0" w:color="auto"/>
        <w:right w:val="none" w:sz="0" w:space="0" w:color="auto"/>
      </w:divBdr>
      <w:divsChild>
        <w:div w:id="1294868776">
          <w:marLeft w:val="480"/>
          <w:marRight w:val="0"/>
          <w:marTop w:val="0"/>
          <w:marBottom w:val="0"/>
          <w:divBdr>
            <w:top w:val="none" w:sz="0" w:space="0" w:color="auto"/>
            <w:left w:val="none" w:sz="0" w:space="0" w:color="auto"/>
            <w:bottom w:val="none" w:sz="0" w:space="0" w:color="auto"/>
            <w:right w:val="none" w:sz="0" w:space="0" w:color="auto"/>
          </w:divBdr>
          <w:divsChild>
            <w:div w:id="187819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9405">
      <w:bodyDiv w:val="1"/>
      <w:marLeft w:val="0"/>
      <w:marRight w:val="0"/>
      <w:marTop w:val="0"/>
      <w:marBottom w:val="0"/>
      <w:divBdr>
        <w:top w:val="none" w:sz="0" w:space="0" w:color="auto"/>
        <w:left w:val="none" w:sz="0" w:space="0" w:color="auto"/>
        <w:bottom w:val="none" w:sz="0" w:space="0" w:color="auto"/>
        <w:right w:val="none" w:sz="0" w:space="0" w:color="auto"/>
      </w:divBdr>
    </w:div>
    <w:div w:id="484708477">
      <w:bodyDiv w:val="1"/>
      <w:marLeft w:val="0"/>
      <w:marRight w:val="0"/>
      <w:marTop w:val="0"/>
      <w:marBottom w:val="0"/>
      <w:divBdr>
        <w:top w:val="none" w:sz="0" w:space="0" w:color="auto"/>
        <w:left w:val="none" w:sz="0" w:space="0" w:color="auto"/>
        <w:bottom w:val="none" w:sz="0" w:space="0" w:color="auto"/>
        <w:right w:val="none" w:sz="0" w:space="0" w:color="auto"/>
      </w:divBdr>
    </w:div>
    <w:div w:id="499540176">
      <w:bodyDiv w:val="1"/>
      <w:marLeft w:val="0"/>
      <w:marRight w:val="0"/>
      <w:marTop w:val="0"/>
      <w:marBottom w:val="0"/>
      <w:divBdr>
        <w:top w:val="none" w:sz="0" w:space="0" w:color="auto"/>
        <w:left w:val="none" w:sz="0" w:space="0" w:color="auto"/>
        <w:bottom w:val="none" w:sz="0" w:space="0" w:color="auto"/>
        <w:right w:val="none" w:sz="0" w:space="0" w:color="auto"/>
      </w:divBdr>
    </w:div>
    <w:div w:id="500198398">
      <w:bodyDiv w:val="1"/>
      <w:marLeft w:val="0"/>
      <w:marRight w:val="0"/>
      <w:marTop w:val="0"/>
      <w:marBottom w:val="0"/>
      <w:divBdr>
        <w:top w:val="none" w:sz="0" w:space="0" w:color="auto"/>
        <w:left w:val="none" w:sz="0" w:space="0" w:color="auto"/>
        <w:bottom w:val="none" w:sz="0" w:space="0" w:color="auto"/>
        <w:right w:val="none" w:sz="0" w:space="0" w:color="auto"/>
      </w:divBdr>
    </w:div>
    <w:div w:id="515314367">
      <w:bodyDiv w:val="1"/>
      <w:marLeft w:val="0"/>
      <w:marRight w:val="0"/>
      <w:marTop w:val="0"/>
      <w:marBottom w:val="0"/>
      <w:divBdr>
        <w:top w:val="none" w:sz="0" w:space="0" w:color="auto"/>
        <w:left w:val="none" w:sz="0" w:space="0" w:color="auto"/>
        <w:bottom w:val="none" w:sz="0" w:space="0" w:color="auto"/>
        <w:right w:val="none" w:sz="0" w:space="0" w:color="auto"/>
      </w:divBdr>
    </w:div>
    <w:div w:id="515928572">
      <w:bodyDiv w:val="1"/>
      <w:marLeft w:val="0"/>
      <w:marRight w:val="0"/>
      <w:marTop w:val="0"/>
      <w:marBottom w:val="0"/>
      <w:divBdr>
        <w:top w:val="none" w:sz="0" w:space="0" w:color="auto"/>
        <w:left w:val="none" w:sz="0" w:space="0" w:color="auto"/>
        <w:bottom w:val="none" w:sz="0" w:space="0" w:color="auto"/>
        <w:right w:val="none" w:sz="0" w:space="0" w:color="auto"/>
      </w:divBdr>
    </w:div>
    <w:div w:id="527450966">
      <w:bodyDiv w:val="1"/>
      <w:marLeft w:val="0"/>
      <w:marRight w:val="0"/>
      <w:marTop w:val="0"/>
      <w:marBottom w:val="0"/>
      <w:divBdr>
        <w:top w:val="none" w:sz="0" w:space="0" w:color="auto"/>
        <w:left w:val="none" w:sz="0" w:space="0" w:color="auto"/>
        <w:bottom w:val="none" w:sz="0" w:space="0" w:color="auto"/>
        <w:right w:val="none" w:sz="0" w:space="0" w:color="auto"/>
      </w:divBdr>
    </w:div>
    <w:div w:id="529412609">
      <w:bodyDiv w:val="1"/>
      <w:marLeft w:val="0"/>
      <w:marRight w:val="0"/>
      <w:marTop w:val="0"/>
      <w:marBottom w:val="0"/>
      <w:divBdr>
        <w:top w:val="none" w:sz="0" w:space="0" w:color="auto"/>
        <w:left w:val="none" w:sz="0" w:space="0" w:color="auto"/>
        <w:bottom w:val="none" w:sz="0" w:space="0" w:color="auto"/>
        <w:right w:val="none" w:sz="0" w:space="0" w:color="auto"/>
      </w:divBdr>
    </w:div>
    <w:div w:id="533537607">
      <w:bodyDiv w:val="1"/>
      <w:marLeft w:val="0"/>
      <w:marRight w:val="0"/>
      <w:marTop w:val="0"/>
      <w:marBottom w:val="0"/>
      <w:divBdr>
        <w:top w:val="none" w:sz="0" w:space="0" w:color="auto"/>
        <w:left w:val="none" w:sz="0" w:space="0" w:color="auto"/>
        <w:bottom w:val="none" w:sz="0" w:space="0" w:color="auto"/>
        <w:right w:val="none" w:sz="0" w:space="0" w:color="auto"/>
      </w:divBdr>
    </w:div>
    <w:div w:id="538973995">
      <w:bodyDiv w:val="1"/>
      <w:marLeft w:val="0"/>
      <w:marRight w:val="0"/>
      <w:marTop w:val="0"/>
      <w:marBottom w:val="0"/>
      <w:divBdr>
        <w:top w:val="none" w:sz="0" w:space="0" w:color="auto"/>
        <w:left w:val="none" w:sz="0" w:space="0" w:color="auto"/>
        <w:bottom w:val="none" w:sz="0" w:space="0" w:color="auto"/>
        <w:right w:val="none" w:sz="0" w:space="0" w:color="auto"/>
      </w:divBdr>
    </w:div>
    <w:div w:id="567494682">
      <w:bodyDiv w:val="1"/>
      <w:marLeft w:val="0"/>
      <w:marRight w:val="0"/>
      <w:marTop w:val="0"/>
      <w:marBottom w:val="0"/>
      <w:divBdr>
        <w:top w:val="none" w:sz="0" w:space="0" w:color="auto"/>
        <w:left w:val="none" w:sz="0" w:space="0" w:color="auto"/>
        <w:bottom w:val="none" w:sz="0" w:space="0" w:color="auto"/>
        <w:right w:val="none" w:sz="0" w:space="0" w:color="auto"/>
      </w:divBdr>
    </w:div>
    <w:div w:id="576749277">
      <w:bodyDiv w:val="1"/>
      <w:marLeft w:val="0"/>
      <w:marRight w:val="0"/>
      <w:marTop w:val="0"/>
      <w:marBottom w:val="0"/>
      <w:divBdr>
        <w:top w:val="none" w:sz="0" w:space="0" w:color="auto"/>
        <w:left w:val="none" w:sz="0" w:space="0" w:color="auto"/>
        <w:bottom w:val="none" w:sz="0" w:space="0" w:color="auto"/>
        <w:right w:val="none" w:sz="0" w:space="0" w:color="auto"/>
      </w:divBdr>
    </w:div>
    <w:div w:id="579487616">
      <w:bodyDiv w:val="1"/>
      <w:marLeft w:val="0"/>
      <w:marRight w:val="0"/>
      <w:marTop w:val="0"/>
      <w:marBottom w:val="0"/>
      <w:divBdr>
        <w:top w:val="none" w:sz="0" w:space="0" w:color="auto"/>
        <w:left w:val="none" w:sz="0" w:space="0" w:color="auto"/>
        <w:bottom w:val="none" w:sz="0" w:space="0" w:color="auto"/>
        <w:right w:val="none" w:sz="0" w:space="0" w:color="auto"/>
      </w:divBdr>
    </w:div>
    <w:div w:id="588656901">
      <w:bodyDiv w:val="1"/>
      <w:marLeft w:val="0"/>
      <w:marRight w:val="0"/>
      <w:marTop w:val="0"/>
      <w:marBottom w:val="0"/>
      <w:divBdr>
        <w:top w:val="none" w:sz="0" w:space="0" w:color="auto"/>
        <w:left w:val="none" w:sz="0" w:space="0" w:color="auto"/>
        <w:bottom w:val="none" w:sz="0" w:space="0" w:color="auto"/>
        <w:right w:val="none" w:sz="0" w:space="0" w:color="auto"/>
      </w:divBdr>
    </w:div>
    <w:div w:id="596599810">
      <w:bodyDiv w:val="1"/>
      <w:marLeft w:val="0"/>
      <w:marRight w:val="0"/>
      <w:marTop w:val="0"/>
      <w:marBottom w:val="0"/>
      <w:divBdr>
        <w:top w:val="none" w:sz="0" w:space="0" w:color="auto"/>
        <w:left w:val="none" w:sz="0" w:space="0" w:color="auto"/>
        <w:bottom w:val="none" w:sz="0" w:space="0" w:color="auto"/>
        <w:right w:val="none" w:sz="0" w:space="0" w:color="auto"/>
      </w:divBdr>
    </w:div>
    <w:div w:id="613899448">
      <w:bodyDiv w:val="1"/>
      <w:marLeft w:val="0"/>
      <w:marRight w:val="0"/>
      <w:marTop w:val="0"/>
      <w:marBottom w:val="0"/>
      <w:divBdr>
        <w:top w:val="none" w:sz="0" w:space="0" w:color="auto"/>
        <w:left w:val="none" w:sz="0" w:space="0" w:color="auto"/>
        <w:bottom w:val="none" w:sz="0" w:space="0" w:color="auto"/>
        <w:right w:val="none" w:sz="0" w:space="0" w:color="auto"/>
      </w:divBdr>
    </w:div>
    <w:div w:id="632061547">
      <w:bodyDiv w:val="1"/>
      <w:marLeft w:val="0"/>
      <w:marRight w:val="0"/>
      <w:marTop w:val="0"/>
      <w:marBottom w:val="0"/>
      <w:divBdr>
        <w:top w:val="none" w:sz="0" w:space="0" w:color="auto"/>
        <w:left w:val="none" w:sz="0" w:space="0" w:color="auto"/>
        <w:bottom w:val="none" w:sz="0" w:space="0" w:color="auto"/>
        <w:right w:val="none" w:sz="0" w:space="0" w:color="auto"/>
      </w:divBdr>
    </w:div>
    <w:div w:id="643579607">
      <w:bodyDiv w:val="1"/>
      <w:marLeft w:val="0"/>
      <w:marRight w:val="0"/>
      <w:marTop w:val="0"/>
      <w:marBottom w:val="0"/>
      <w:divBdr>
        <w:top w:val="none" w:sz="0" w:space="0" w:color="auto"/>
        <w:left w:val="none" w:sz="0" w:space="0" w:color="auto"/>
        <w:bottom w:val="none" w:sz="0" w:space="0" w:color="auto"/>
        <w:right w:val="none" w:sz="0" w:space="0" w:color="auto"/>
      </w:divBdr>
    </w:div>
    <w:div w:id="657080610">
      <w:bodyDiv w:val="1"/>
      <w:marLeft w:val="0"/>
      <w:marRight w:val="0"/>
      <w:marTop w:val="0"/>
      <w:marBottom w:val="0"/>
      <w:divBdr>
        <w:top w:val="none" w:sz="0" w:space="0" w:color="auto"/>
        <w:left w:val="none" w:sz="0" w:space="0" w:color="auto"/>
        <w:bottom w:val="none" w:sz="0" w:space="0" w:color="auto"/>
        <w:right w:val="none" w:sz="0" w:space="0" w:color="auto"/>
      </w:divBdr>
    </w:div>
    <w:div w:id="658507149">
      <w:bodyDiv w:val="1"/>
      <w:marLeft w:val="0"/>
      <w:marRight w:val="0"/>
      <w:marTop w:val="0"/>
      <w:marBottom w:val="0"/>
      <w:divBdr>
        <w:top w:val="none" w:sz="0" w:space="0" w:color="auto"/>
        <w:left w:val="none" w:sz="0" w:space="0" w:color="auto"/>
        <w:bottom w:val="none" w:sz="0" w:space="0" w:color="auto"/>
        <w:right w:val="none" w:sz="0" w:space="0" w:color="auto"/>
      </w:divBdr>
      <w:divsChild>
        <w:div w:id="981470777">
          <w:marLeft w:val="0"/>
          <w:marRight w:val="0"/>
          <w:marTop w:val="0"/>
          <w:marBottom w:val="0"/>
          <w:divBdr>
            <w:top w:val="none" w:sz="0" w:space="0" w:color="auto"/>
            <w:left w:val="none" w:sz="0" w:space="0" w:color="auto"/>
            <w:bottom w:val="none" w:sz="0" w:space="0" w:color="auto"/>
            <w:right w:val="none" w:sz="0" w:space="0" w:color="auto"/>
          </w:divBdr>
          <w:divsChild>
            <w:div w:id="164051203">
              <w:marLeft w:val="0"/>
              <w:marRight w:val="225"/>
              <w:marTop w:val="0"/>
              <w:marBottom w:val="0"/>
              <w:divBdr>
                <w:top w:val="none" w:sz="0" w:space="0" w:color="auto"/>
                <w:left w:val="none" w:sz="0" w:space="0" w:color="auto"/>
                <w:bottom w:val="none" w:sz="0" w:space="0" w:color="auto"/>
                <w:right w:val="none" w:sz="0" w:space="0" w:color="auto"/>
              </w:divBdr>
            </w:div>
            <w:div w:id="908002963">
              <w:marLeft w:val="0"/>
              <w:marRight w:val="0"/>
              <w:marTop w:val="0"/>
              <w:marBottom w:val="0"/>
              <w:divBdr>
                <w:top w:val="none" w:sz="0" w:space="0" w:color="auto"/>
                <w:left w:val="none" w:sz="0" w:space="0" w:color="auto"/>
                <w:bottom w:val="none" w:sz="0" w:space="0" w:color="auto"/>
                <w:right w:val="none" w:sz="0" w:space="0" w:color="auto"/>
              </w:divBdr>
            </w:div>
            <w:div w:id="945039411">
              <w:marLeft w:val="0"/>
              <w:marRight w:val="0"/>
              <w:marTop w:val="225"/>
              <w:marBottom w:val="0"/>
              <w:divBdr>
                <w:top w:val="none" w:sz="0" w:space="0" w:color="auto"/>
                <w:left w:val="none" w:sz="0" w:space="0" w:color="auto"/>
                <w:bottom w:val="none" w:sz="0" w:space="0" w:color="auto"/>
                <w:right w:val="none" w:sz="0" w:space="0" w:color="auto"/>
              </w:divBdr>
            </w:div>
            <w:div w:id="1217085002">
              <w:marLeft w:val="0"/>
              <w:marRight w:val="225"/>
              <w:marTop w:val="225"/>
              <w:marBottom w:val="0"/>
              <w:divBdr>
                <w:top w:val="none" w:sz="0" w:space="0" w:color="auto"/>
                <w:left w:val="none" w:sz="0" w:space="0" w:color="auto"/>
                <w:bottom w:val="none" w:sz="0" w:space="0" w:color="auto"/>
                <w:right w:val="none" w:sz="0" w:space="0" w:color="auto"/>
              </w:divBdr>
            </w:div>
          </w:divsChild>
        </w:div>
      </w:divsChild>
    </w:div>
    <w:div w:id="671834853">
      <w:bodyDiv w:val="1"/>
      <w:marLeft w:val="0"/>
      <w:marRight w:val="0"/>
      <w:marTop w:val="0"/>
      <w:marBottom w:val="0"/>
      <w:divBdr>
        <w:top w:val="none" w:sz="0" w:space="0" w:color="auto"/>
        <w:left w:val="none" w:sz="0" w:space="0" w:color="auto"/>
        <w:bottom w:val="none" w:sz="0" w:space="0" w:color="auto"/>
        <w:right w:val="none" w:sz="0" w:space="0" w:color="auto"/>
      </w:divBdr>
    </w:div>
    <w:div w:id="678772203">
      <w:bodyDiv w:val="1"/>
      <w:marLeft w:val="0"/>
      <w:marRight w:val="0"/>
      <w:marTop w:val="0"/>
      <w:marBottom w:val="0"/>
      <w:divBdr>
        <w:top w:val="none" w:sz="0" w:space="0" w:color="auto"/>
        <w:left w:val="none" w:sz="0" w:space="0" w:color="auto"/>
        <w:bottom w:val="none" w:sz="0" w:space="0" w:color="auto"/>
        <w:right w:val="none" w:sz="0" w:space="0" w:color="auto"/>
      </w:divBdr>
    </w:div>
    <w:div w:id="702247118">
      <w:bodyDiv w:val="1"/>
      <w:marLeft w:val="0"/>
      <w:marRight w:val="0"/>
      <w:marTop w:val="0"/>
      <w:marBottom w:val="0"/>
      <w:divBdr>
        <w:top w:val="none" w:sz="0" w:space="0" w:color="auto"/>
        <w:left w:val="none" w:sz="0" w:space="0" w:color="auto"/>
        <w:bottom w:val="none" w:sz="0" w:space="0" w:color="auto"/>
        <w:right w:val="none" w:sz="0" w:space="0" w:color="auto"/>
      </w:divBdr>
    </w:div>
    <w:div w:id="714895181">
      <w:bodyDiv w:val="1"/>
      <w:marLeft w:val="0"/>
      <w:marRight w:val="0"/>
      <w:marTop w:val="0"/>
      <w:marBottom w:val="0"/>
      <w:divBdr>
        <w:top w:val="none" w:sz="0" w:space="0" w:color="auto"/>
        <w:left w:val="none" w:sz="0" w:space="0" w:color="auto"/>
        <w:bottom w:val="none" w:sz="0" w:space="0" w:color="auto"/>
        <w:right w:val="none" w:sz="0" w:space="0" w:color="auto"/>
      </w:divBdr>
    </w:div>
    <w:div w:id="732435009">
      <w:bodyDiv w:val="1"/>
      <w:marLeft w:val="0"/>
      <w:marRight w:val="0"/>
      <w:marTop w:val="0"/>
      <w:marBottom w:val="0"/>
      <w:divBdr>
        <w:top w:val="none" w:sz="0" w:space="0" w:color="auto"/>
        <w:left w:val="none" w:sz="0" w:space="0" w:color="auto"/>
        <w:bottom w:val="none" w:sz="0" w:space="0" w:color="auto"/>
        <w:right w:val="none" w:sz="0" w:space="0" w:color="auto"/>
      </w:divBdr>
    </w:div>
    <w:div w:id="734816318">
      <w:bodyDiv w:val="1"/>
      <w:marLeft w:val="0"/>
      <w:marRight w:val="0"/>
      <w:marTop w:val="0"/>
      <w:marBottom w:val="0"/>
      <w:divBdr>
        <w:top w:val="none" w:sz="0" w:space="0" w:color="auto"/>
        <w:left w:val="none" w:sz="0" w:space="0" w:color="auto"/>
        <w:bottom w:val="none" w:sz="0" w:space="0" w:color="auto"/>
        <w:right w:val="none" w:sz="0" w:space="0" w:color="auto"/>
      </w:divBdr>
    </w:div>
    <w:div w:id="756365963">
      <w:bodyDiv w:val="1"/>
      <w:marLeft w:val="0"/>
      <w:marRight w:val="0"/>
      <w:marTop w:val="0"/>
      <w:marBottom w:val="0"/>
      <w:divBdr>
        <w:top w:val="none" w:sz="0" w:space="0" w:color="auto"/>
        <w:left w:val="none" w:sz="0" w:space="0" w:color="auto"/>
        <w:bottom w:val="none" w:sz="0" w:space="0" w:color="auto"/>
        <w:right w:val="none" w:sz="0" w:space="0" w:color="auto"/>
      </w:divBdr>
    </w:div>
    <w:div w:id="772433079">
      <w:bodyDiv w:val="1"/>
      <w:marLeft w:val="0"/>
      <w:marRight w:val="0"/>
      <w:marTop w:val="0"/>
      <w:marBottom w:val="0"/>
      <w:divBdr>
        <w:top w:val="none" w:sz="0" w:space="0" w:color="auto"/>
        <w:left w:val="none" w:sz="0" w:space="0" w:color="auto"/>
        <w:bottom w:val="none" w:sz="0" w:space="0" w:color="auto"/>
        <w:right w:val="none" w:sz="0" w:space="0" w:color="auto"/>
      </w:divBdr>
    </w:div>
    <w:div w:id="773288265">
      <w:bodyDiv w:val="1"/>
      <w:marLeft w:val="0"/>
      <w:marRight w:val="0"/>
      <w:marTop w:val="0"/>
      <w:marBottom w:val="0"/>
      <w:divBdr>
        <w:top w:val="none" w:sz="0" w:space="0" w:color="auto"/>
        <w:left w:val="none" w:sz="0" w:space="0" w:color="auto"/>
        <w:bottom w:val="none" w:sz="0" w:space="0" w:color="auto"/>
        <w:right w:val="none" w:sz="0" w:space="0" w:color="auto"/>
      </w:divBdr>
    </w:div>
    <w:div w:id="773941614">
      <w:bodyDiv w:val="1"/>
      <w:marLeft w:val="0"/>
      <w:marRight w:val="0"/>
      <w:marTop w:val="0"/>
      <w:marBottom w:val="0"/>
      <w:divBdr>
        <w:top w:val="none" w:sz="0" w:space="0" w:color="auto"/>
        <w:left w:val="none" w:sz="0" w:space="0" w:color="auto"/>
        <w:bottom w:val="none" w:sz="0" w:space="0" w:color="auto"/>
        <w:right w:val="none" w:sz="0" w:space="0" w:color="auto"/>
      </w:divBdr>
    </w:div>
    <w:div w:id="804814529">
      <w:bodyDiv w:val="1"/>
      <w:marLeft w:val="0"/>
      <w:marRight w:val="0"/>
      <w:marTop w:val="0"/>
      <w:marBottom w:val="0"/>
      <w:divBdr>
        <w:top w:val="none" w:sz="0" w:space="0" w:color="auto"/>
        <w:left w:val="none" w:sz="0" w:space="0" w:color="auto"/>
        <w:bottom w:val="none" w:sz="0" w:space="0" w:color="auto"/>
        <w:right w:val="none" w:sz="0" w:space="0" w:color="auto"/>
      </w:divBdr>
    </w:div>
    <w:div w:id="805707135">
      <w:bodyDiv w:val="1"/>
      <w:marLeft w:val="0"/>
      <w:marRight w:val="0"/>
      <w:marTop w:val="0"/>
      <w:marBottom w:val="0"/>
      <w:divBdr>
        <w:top w:val="none" w:sz="0" w:space="0" w:color="auto"/>
        <w:left w:val="none" w:sz="0" w:space="0" w:color="auto"/>
        <w:bottom w:val="none" w:sz="0" w:space="0" w:color="auto"/>
        <w:right w:val="none" w:sz="0" w:space="0" w:color="auto"/>
      </w:divBdr>
    </w:div>
    <w:div w:id="881407440">
      <w:bodyDiv w:val="1"/>
      <w:marLeft w:val="0"/>
      <w:marRight w:val="0"/>
      <w:marTop w:val="0"/>
      <w:marBottom w:val="0"/>
      <w:divBdr>
        <w:top w:val="none" w:sz="0" w:space="0" w:color="auto"/>
        <w:left w:val="none" w:sz="0" w:space="0" w:color="auto"/>
        <w:bottom w:val="none" w:sz="0" w:space="0" w:color="auto"/>
        <w:right w:val="none" w:sz="0" w:space="0" w:color="auto"/>
      </w:divBdr>
    </w:div>
    <w:div w:id="886330854">
      <w:bodyDiv w:val="1"/>
      <w:marLeft w:val="0"/>
      <w:marRight w:val="0"/>
      <w:marTop w:val="0"/>
      <w:marBottom w:val="0"/>
      <w:divBdr>
        <w:top w:val="none" w:sz="0" w:space="0" w:color="auto"/>
        <w:left w:val="none" w:sz="0" w:space="0" w:color="auto"/>
        <w:bottom w:val="none" w:sz="0" w:space="0" w:color="auto"/>
        <w:right w:val="none" w:sz="0" w:space="0" w:color="auto"/>
      </w:divBdr>
    </w:div>
    <w:div w:id="891963862">
      <w:bodyDiv w:val="1"/>
      <w:marLeft w:val="0"/>
      <w:marRight w:val="0"/>
      <w:marTop w:val="0"/>
      <w:marBottom w:val="0"/>
      <w:divBdr>
        <w:top w:val="none" w:sz="0" w:space="0" w:color="auto"/>
        <w:left w:val="none" w:sz="0" w:space="0" w:color="auto"/>
        <w:bottom w:val="none" w:sz="0" w:space="0" w:color="auto"/>
        <w:right w:val="none" w:sz="0" w:space="0" w:color="auto"/>
      </w:divBdr>
    </w:div>
    <w:div w:id="899825712">
      <w:bodyDiv w:val="1"/>
      <w:marLeft w:val="0"/>
      <w:marRight w:val="0"/>
      <w:marTop w:val="0"/>
      <w:marBottom w:val="0"/>
      <w:divBdr>
        <w:top w:val="none" w:sz="0" w:space="0" w:color="auto"/>
        <w:left w:val="none" w:sz="0" w:space="0" w:color="auto"/>
        <w:bottom w:val="none" w:sz="0" w:space="0" w:color="auto"/>
        <w:right w:val="none" w:sz="0" w:space="0" w:color="auto"/>
      </w:divBdr>
    </w:div>
    <w:div w:id="905652079">
      <w:bodyDiv w:val="1"/>
      <w:marLeft w:val="0"/>
      <w:marRight w:val="0"/>
      <w:marTop w:val="0"/>
      <w:marBottom w:val="0"/>
      <w:divBdr>
        <w:top w:val="none" w:sz="0" w:space="0" w:color="auto"/>
        <w:left w:val="none" w:sz="0" w:space="0" w:color="auto"/>
        <w:bottom w:val="none" w:sz="0" w:space="0" w:color="auto"/>
        <w:right w:val="none" w:sz="0" w:space="0" w:color="auto"/>
      </w:divBdr>
    </w:div>
    <w:div w:id="907231514">
      <w:bodyDiv w:val="1"/>
      <w:marLeft w:val="0"/>
      <w:marRight w:val="0"/>
      <w:marTop w:val="0"/>
      <w:marBottom w:val="0"/>
      <w:divBdr>
        <w:top w:val="none" w:sz="0" w:space="0" w:color="auto"/>
        <w:left w:val="none" w:sz="0" w:space="0" w:color="auto"/>
        <w:bottom w:val="none" w:sz="0" w:space="0" w:color="auto"/>
        <w:right w:val="none" w:sz="0" w:space="0" w:color="auto"/>
      </w:divBdr>
    </w:div>
    <w:div w:id="911157060">
      <w:bodyDiv w:val="1"/>
      <w:marLeft w:val="0"/>
      <w:marRight w:val="0"/>
      <w:marTop w:val="0"/>
      <w:marBottom w:val="0"/>
      <w:divBdr>
        <w:top w:val="none" w:sz="0" w:space="0" w:color="auto"/>
        <w:left w:val="none" w:sz="0" w:space="0" w:color="auto"/>
        <w:bottom w:val="none" w:sz="0" w:space="0" w:color="auto"/>
        <w:right w:val="none" w:sz="0" w:space="0" w:color="auto"/>
      </w:divBdr>
      <w:divsChild>
        <w:div w:id="1411384645">
          <w:marLeft w:val="480"/>
          <w:marRight w:val="0"/>
          <w:marTop w:val="0"/>
          <w:marBottom w:val="0"/>
          <w:divBdr>
            <w:top w:val="none" w:sz="0" w:space="0" w:color="auto"/>
            <w:left w:val="none" w:sz="0" w:space="0" w:color="auto"/>
            <w:bottom w:val="none" w:sz="0" w:space="0" w:color="auto"/>
            <w:right w:val="none" w:sz="0" w:space="0" w:color="auto"/>
          </w:divBdr>
          <w:divsChild>
            <w:div w:id="4233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04234">
      <w:bodyDiv w:val="1"/>
      <w:marLeft w:val="0"/>
      <w:marRight w:val="0"/>
      <w:marTop w:val="0"/>
      <w:marBottom w:val="0"/>
      <w:divBdr>
        <w:top w:val="none" w:sz="0" w:space="0" w:color="auto"/>
        <w:left w:val="none" w:sz="0" w:space="0" w:color="auto"/>
        <w:bottom w:val="none" w:sz="0" w:space="0" w:color="auto"/>
        <w:right w:val="none" w:sz="0" w:space="0" w:color="auto"/>
      </w:divBdr>
    </w:div>
    <w:div w:id="919296861">
      <w:bodyDiv w:val="1"/>
      <w:marLeft w:val="0"/>
      <w:marRight w:val="0"/>
      <w:marTop w:val="0"/>
      <w:marBottom w:val="0"/>
      <w:divBdr>
        <w:top w:val="none" w:sz="0" w:space="0" w:color="auto"/>
        <w:left w:val="none" w:sz="0" w:space="0" w:color="auto"/>
        <w:bottom w:val="none" w:sz="0" w:space="0" w:color="auto"/>
        <w:right w:val="none" w:sz="0" w:space="0" w:color="auto"/>
      </w:divBdr>
    </w:div>
    <w:div w:id="938952869">
      <w:bodyDiv w:val="1"/>
      <w:marLeft w:val="0"/>
      <w:marRight w:val="0"/>
      <w:marTop w:val="0"/>
      <w:marBottom w:val="0"/>
      <w:divBdr>
        <w:top w:val="none" w:sz="0" w:space="0" w:color="auto"/>
        <w:left w:val="none" w:sz="0" w:space="0" w:color="auto"/>
        <w:bottom w:val="none" w:sz="0" w:space="0" w:color="auto"/>
        <w:right w:val="none" w:sz="0" w:space="0" w:color="auto"/>
      </w:divBdr>
    </w:div>
    <w:div w:id="939994602">
      <w:bodyDiv w:val="1"/>
      <w:marLeft w:val="0"/>
      <w:marRight w:val="0"/>
      <w:marTop w:val="0"/>
      <w:marBottom w:val="0"/>
      <w:divBdr>
        <w:top w:val="none" w:sz="0" w:space="0" w:color="auto"/>
        <w:left w:val="none" w:sz="0" w:space="0" w:color="auto"/>
        <w:bottom w:val="none" w:sz="0" w:space="0" w:color="auto"/>
        <w:right w:val="none" w:sz="0" w:space="0" w:color="auto"/>
      </w:divBdr>
    </w:div>
    <w:div w:id="1008993353">
      <w:bodyDiv w:val="1"/>
      <w:marLeft w:val="0"/>
      <w:marRight w:val="0"/>
      <w:marTop w:val="0"/>
      <w:marBottom w:val="0"/>
      <w:divBdr>
        <w:top w:val="none" w:sz="0" w:space="0" w:color="auto"/>
        <w:left w:val="none" w:sz="0" w:space="0" w:color="auto"/>
        <w:bottom w:val="none" w:sz="0" w:space="0" w:color="auto"/>
        <w:right w:val="none" w:sz="0" w:space="0" w:color="auto"/>
      </w:divBdr>
    </w:div>
    <w:div w:id="1015572575">
      <w:bodyDiv w:val="1"/>
      <w:marLeft w:val="0"/>
      <w:marRight w:val="0"/>
      <w:marTop w:val="0"/>
      <w:marBottom w:val="0"/>
      <w:divBdr>
        <w:top w:val="none" w:sz="0" w:space="0" w:color="auto"/>
        <w:left w:val="none" w:sz="0" w:space="0" w:color="auto"/>
        <w:bottom w:val="none" w:sz="0" w:space="0" w:color="auto"/>
        <w:right w:val="none" w:sz="0" w:space="0" w:color="auto"/>
      </w:divBdr>
    </w:div>
    <w:div w:id="1024937133">
      <w:bodyDiv w:val="1"/>
      <w:marLeft w:val="0"/>
      <w:marRight w:val="0"/>
      <w:marTop w:val="0"/>
      <w:marBottom w:val="0"/>
      <w:divBdr>
        <w:top w:val="none" w:sz="0" w:space="0" w:color="auto"/>
        <w:left w:val="none" w:sz="0" w:space="0" w:color="auto"/>
        <w:bottom w:val="none" w:sz="0" w:space="0" w:color="auto"/>
        <w:right w:val="none" w:sz="0" w:space="0" w:color="auto"/>
      </w:divBdr>
    </w:div>
    <w:div w:id="1029333987">
      <w:bodyDiv w:val="1"/>
      <w:marLeft w:val="0"/>
      <w:marRight w:val="0"/>
      <w:marTop w:val="0"/>
      <w:marBottom w:val="0"/>
      <w:divBdr>
        <w:top w:val="none" w:sz="0" w:space="0" w:color="auto"/>
        <w:left w:val="none" w:sz="0" w:space="0" w:color="auto"/>
        <w:bottom w:val="none" w:sz="0" w:space="0" w:color="auto"/>
        <w:right w:val="none" w:sz="0" w:space="0" w:color="auto"/>
      </w:divBdr>
    </w:div>
    <w:div w:id="1045834255">
      <w:bodyDiv w:val="1"/>
      <w:marLeft w:val="0"/>
      <w:marRight w:val="0"/>
      <w:marTop w:val="0"/>
      <w:marBottom w:val="0"/>
      <w:divBdr>
        <w:top w:val="none" w:sz="0" w:space="0" w:color="auto"/>
        <w:left w:val="none" w:sz="0" w:space="0" w:color="auto"/>
        <w:bottom w:val="none" w:sz="0" w:space="0" w:color="auto"/>
        <w:right w:val="none" w:sz="0" w:space="0" w:color="auto"/>
      </w:divBdr>
    </w:div>
    <w:div w:id="1057969984">
      <w:bodyDiv w:val="1"/>
      <w:marLeft w:val="0"/>
      <w:marRight w:val="0"/>
      <w:marTop w:val="0"/>
      <w:marBottom w:val="0"/>
      <w:divBdr>
        <w:top w:val="none" w:sz="0" w:space="0" w:color="auto"/>
        <w:left w:val="none" w:sz="0" w:space="0" w:color="auto"/>
        <w:bottom w:val="none" w:sz="0" w:space="0" w:color="auto"/>
        <w:right w:val="none" w:sz="0" w:space="0" w:color="auto"/>
      </w:divBdr>
    </w:div>
    <w:div w:id="1069840295">
      <w:bodyDiv w:val="1"/>
      <w:marLeft w:val="0"/>
      <w:marRight w:val="0"/>
      <w:marTop w:val="0"/>
      <w:marBottom w:val="0"/>
      <w:divBdr>
        <w:top w:val="none" w:sz="0" w:space="0" w:color="auto"/>
        <w:left w:val="none" w:sz="0" w:space="0" w:color="auto"/>
        <w:bottom w:val="none" w:sz="0" w:space="0" w:color="auto"/>
        <w:right w:val="none" w:sz="0" w:space="0" w:color="auto"/>
      </w:divBdr>
    </w:div>
    <w:div w:id="1104962577">
      <w:bodyDiv w:val="1"/>
      <w:marLeft w:val="0"/>
      <w:marRight w:val="0"/>
      <w:marTop w:val="0"/>
      <w:marBottom w:val="0"/>
      <w:divBdr>
        <w:top w:val="none" w:sz="0" w:space="0" w:color="auto"/>
        <w:left w:val="none" w:sz="0" w:space="0" w:color="auto"/>
        <w:bottom w:val="none" w:sz="0" w:space="0" w:color="auto"/>
        <w:right w:val="none" w:sz="0" w:space="0" w:color="auto"/>
      </w:divBdr>
    </w:div>
    <w:div w:id="1120566777">
      <w:bodyDiv w:val="1"/>
      <w:marLeft w:val="0"/>
      <w:marRight w:val="0"/>
      <w:marTop w:val="0"/>
      <w:marBottom w:val="0"/>
      <w:divBdr>
        <w:top w:val="none" w:sz="0" w:space="0" w:color="auto"/>
        <w:left w:val="none" w:sz="0" w:space="0" w:color="auto"/>
        <w:bottom w:val="none" w:sz="0" w:space="0" w:color="auto"/>
        <w:right w:val="none" w:sz="0" w:space="0" w:color="auto"/>
      </w:divBdr>
      <w:divsChild>
        <w:div w:id="1734426904">
          <w:marLeft w:val="0"/>
          <w:marRight w:val="0"/>
          <w:marTop w:val="0"/>
          <w:marBottom w:val="0"/>
          <w:divBdr>
            <w:top w:val="none" w:sz="0" w:space="0" w:color="auto"/>
            <w:left w:val="none" w:sz="0" w:space="0" w:color="auto"/>
            <w:bottom w:val="none" w:sz="0" w:space="0" w:color="auto"/>
            <w:right w:val="none" w:sz="0" w:space="0" w:color="auto"/>
          </w:divBdr>
        </w:div>
      </w:divsChild>
    </w:div>
    <w:div w:id="1147087210">
      <w:bodyDiv w:val="1"/>
      <w:marLeft w:val="0"/>
      <w:marRight w:val="0"/>
      <w:marTop w:val="0"/>
      <w:marBottom w:val="0"/>
      <w:divBdr>
        <w:top w:val="none" w:sz="0" w:space="0" w:color="auto"/>
        <w:left w:val="none" w:sz="0" w:space="0" w:color="auto"/>
        <w:bottom w:val="none" w:sz="0" w:space="0" w:color="auto"/>
        <w:right w:val="none" w:sz="0" w:space="0" w:color="auto"/>
      </w:divBdr>
    </w:div>
    <w:div w:id="1167475595">
      <w:bodyDiv w:val="1"/>
      <w:marLeft w:val="0"/>
      <w:marRight w:val="0"/>
      <w:marTop w:val="0"/>
      <w:marBottom w:val="0"/>
      <w:divBdr>
        <w:top w:val="none" w:sz="0" w:space="0" w:color="auto"/>
        <w:left w:val="none" w:sz="0" w:space="0" w:color="auto"/>
        <w:bottom w:val="none" w:sz="0" w:space="0" w:color="auto"/>
        <w:right w:val="none" w:sz="0" w:space="0" w:color="auto"/>
      </w:divBdr>
    </w:div>
    <w:div w:id="1179081263">
      <w:bodyDiv w:val="1"/>
      <w:marLeft w:val="0"/>
      <w:marRight w:val="0"/>
      <w:marTop w:val="0"/>
      <w:marBottom w:val="0"/>
      <w:divBdr>
        <w:top w:val="none" w:sz="0" w:space="0" w:color="auto"/>
        <w:left w:val="none" w:sz="0" w:space="0" w:color="auto"/>
        <w:bottom w:val="none" w:sz="0" w:space="0" w:color="auto"/>
        <w:right w:val="none" w:sz="0" w:space="0" w:color="auto"/>
      </w:divBdr>
    </w:div>
    <w:div w:id="1179856639">
      <w:bodyDiv w:val="1"/>
      <w:marLeft w:val="0"/>
      <w:marRight w:val="0"/>
      <w:marTop w:val="0"/>
      <w:marBottom w:val="0"/>
      <w:divBdr>
        <w:top w:val="none" w:sz="0" w:space="0" w:color="auto"/>
        <w:left w:val="none" w:sz="0" w:space="0" w:color="auto"/>
        <w:bottom w:val="none" w:sz="0" w:space="0" w:color="auto"/>
        <w:right w:val="none" w:sz="0" w:space="0" w:color="auto"/>
      </w:divBdr>
    </w:div>
    <w:div w:id="1190602037">
      <w:bodyDiv w:val="1"/>
      <w:marLeft w:val="0"/>
      <w:marRight w:val="0"/>
      <w:marTop w:val="0"/>
      <w:marBottom w:val="0"/>
      <w:divBdr>
        <w:top w:val="none" w:sz="0" w:space="0" w:color="auto"/>
        <w:left w:val="none" w:sz="0" w:space="0" w:color="auto"/>
        <w:bottom w:val="none" w:sz="0" w:space="0" w:color="auto"/>
        <w:right w:val="none" w:sz="0" w:space="0" w:color="auto"/>
      </w:divBdr>
    </w:div>
    <w:div w:id="1192114853">
      <w:bodyDiv w:val="1"/>
      <w:marLeft w:val="0"/>
      <w:marRight w:val="0"/>
      <w:marTop w:val="0"/>
      <w:marBottom w:val="0"/>
      <w:divBdr>
        <w:top w:val="none" w:sz="0" w:space="0" w:color="auto"/>
        <w:left w:val="none" w:sz="0" w:space="0" w:color="auto"/>
        <w:bottom w:val="none" w:sz="0" w:space="0" w:color="auto"/>
        <w:right w:val="none" w:sz="0" w:space="0" w:color="auto"/>
      </w:divBdr>
    </w:div>
    <w:div w:id="1196965420">
      <w:bodyDiv w:val="1"/>
      <w:marLeft w:val="0"/>
      <w:marRight w:val="0"/>
      <w:marTop w:val="0"/>
      <w:marBottom w:val="0"/>
      <w:divBdr>
        <w:top w:val="none" w:sz="0" w:space="0" w:color="auto"/>
        <w:left w:val="none" w:sz="0" w:space="0" w:color="auto"/>
        <w:bottom w:val="none" w:sz="0" w:space="0" w:color="auto"/>
        <w:right w:val="none" w:sz="0" w:space="0" w:color="auto"/>
      </w:divBdr>
    </w:div>
    <w:div w:id="1199510456">
      <w:bodyDiv w:val="1"/>
      <w:marLeft w:val="0"/>
      <w:marRight w:val="0"/>
      <w:marTop w:val="0"/>
      <w:marBottom w:val="0"/>
      <w:divBdr>
        <w:top w:val="none" w:sz="0" w:space="0" w:color="auto"/>
        <w:left w:val="none" w:sz="0" w:space="0" w:color="auto"/>
        <w:bottom w:val="none" w:sz="0" w:space="0" w:color="auto"/>
        <w:right w:val="none" w:sz="0" w:space="0" w:color="auto"/>
      </w:divBdr>
      <w:divsChild>
        <w:div w:id="573902123">
          <w:marLeft w:val="0"/>
          <w:marRight w:val="0"/>
          <w:marTop w:val="0"/>
          <w:marBottom w:val="0"/>
          <w:divBdr>
            <w:top w:val="none" w:sz="0" w:space="0" w:color="auto"/>
            <w:left w:val="none" w:sz="0" w:space="0" w:color="auto"/>
            <w:bottom w:val="none" w:sz="0" w:space="0" w:color="auto"/>
            <w:right w:val="none" w:sz="0" w:space="0" w:color="auto"/>
          </w:divBdr>
        </w:div>
      </w:divsChild>
    </w:div>
    <w:div w:id="1222905130">
      <w:bodyDiv w:val="1"/>
      <w:marLeft w:val="0"/>
      <w:marRight w:val="0"/>
      <w:marTop w:val="0"/>
      <w:marBottom w:val="0"/>
      <w:divBdr>
        <w:top w:val="none" w:sz="0" w:space="0" w:color="auto"/>
        <w:left w:val="none" w:sz="0" w:space="0" w:color="auto"/>
        <w:bottom w:val="none" w:sz="0" w:space="0" w:color="auto"/>
        <w:right w:val="none" w:sz="0" w:space="0" w:color="auto"/>
      </w:divBdr>
    </w:div>
    <w:div w:id="1226259987">
      <w:bodyDiv w:val="1"/>
      <w:marLeft w:val="0"/>
      <w:marRight w:val="0"/>
      <w:marTop w:val="0"/>
      <w:marBottom w:val="0"/>
      <w:divBdr>
        <w:top w:val="none" w:sz="0" w:space="0" w:color="auto"/>
        <w:left w:val="none" w:sz="0" w:space="0" w:color="auto"/>
        <w:bottom w:val="none" w:sz="0" w:space="0" w:color="auto"/>
        <w:right w:val="none" w:sz="0" w:space="0" w:color="auto"/>
      </w:divBdr>
    </w:div>
    <w:div w:id="1240597390">
      <w:bodyDiv w:val="1"/>
      <w:marLeft w:val="0"/>
      <w:marRight w:val="0"/>
      <w:marTop w:val="0"/>
      <w:marBottom w:val="0"/>
      <w:divBdr>
        <w:top w:val="none" w:sz="0" w:space="0" w:color="auto"/>
        <w:left w:val="none" w:sz="0" w:space="0" w:color="auto"/>
        <w:bottom w:val="none" w:sz="0" w:space="0" w:color="auto"/>
        <w:right w:val="none" w:sz="0" w:space="0" w:color="auto"/>
      </w:divBdr>
    </w:div>
    <w:div w:id="1253317957">
      <w:bodyDiv w:val="1"/>
      <w:marLeft w:val="0"/>
      <w:marRight w:val="0"/>
      <w:marTop w:val="0"/>
      <w:marBottom w:val="0"/>
      <w:divBdr>
        <w:top w:val="none" w:sz="0" w:space="0" w:color="auto"/>
        <w:left w:val="none" w:sz="0" w:space="0" w:color="auto"/>
        <w:bottom w:val="none" w:sz="0" w:space="0" w:color="auto"/>
        <w:right w:val="none" w:sz="0" w:space="0" w:color="auto"/>
      </w:divBdr>
    </w:div>
    <w:div w:id="1282342946">
      <w:bodyDiv w:val="1"/>
      <w:marLeft w:val="0"/>
      <w:marRight w:val="0"/>
      <w:marTop w:val="0"/>
      <w:marBottom w:val="0"/>
      <w:divBdr>
        <w:top w:val="none" w:sz="0" w:space="0" w:color="auto"/>
        <w:left w:val="none" w:sz="0" w:space="0" w:color="auto"/>
        <w:bottom w:val="none" w:sz="0" w:space="0" w:color="auto"/>
        <w:right w:val="none" w:sz="0" w:space="0" w:color="auto"/>
      </w:divBdr>
    </w:div>
    <w:div w:id="1295062016">
      <w:bodyDiv w:val="1"/>
      <w:marLeft w:val="0"/>
      <w:marRight w:val="0"/>
      <w:marTop w:val="0"/>
      <w:marBottom w:val="0"/>
      <w:divBdr>
        <w:top w:val="none" w:sz="0" w:space="0" w:color="auto"/>
        <w:left w:val="none" w:sz="0" w:space="0" w:color="auto"/>
        <w:bottom w:val="none" w:sz="0" w:space="0" w:color="auto"/>
        <w:right w:val="none" w:sz="0" w:space="0" w:color="auto"/>
      </w:divBdr>
      <w:divsChild>
        <w:div w:id="1800024349">
          <w:marLeft w:val="0"/>
          <w:marRight w:val="0"/>
          <w:marTop w:val="0"/>
          <w:marBottom w:val="0"/>
          <w:divBdr>
            <w:top w:val="none" w:sz="0" w:space="0" w:color="auto"/>
            <w:left w:val="none" w:sz="0" w:space="0" w:color="auto"/>
            <w:bottom w:val="none" w:sz="0" w:space="0" w:color="auto"/>
            <w:right w:val="none" w:sz="0" w:space="0" w:color="auto"/>
          </w:divBdr>
          <w:divsChild>
            <w:div w:id="258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60199">
      <w:bodyDiv w:val="1"/>
      <w:marLeft w:val="0"/>
      <w:marRight w:val="0"/>
      <w:marTop w:val="0"/>
      <w:marBottom w:val="0"/>
      <w:divBdr>
        <w:top w:val="none" w:sz="0" w:space="0" w:color="auto"/>
        <w:left w:val="none" w:sz="0" w:space="0" w:color="auto"/>
        <w:bottom w:val="none" w:sz="0" w:space="0" w:color="auto"/>
        <w:right w:val="none" w:sz="0" w:space="0" w:color="auto"/>
      </w:divBdr>
    </w:div>
    <w:div w:id="1333754694">
      <w:bodyDiv w:val="1"/>
      <w:marLeft w:val="0"/>
      <w:marRight w:val="0"/>
      <w:marTop w:val="0"/>
      <w:marBottom w:val="0"/>
      <w:divBdr>
        <w:top w:val="none" w:sz="0" w:space="0" w:color="auto"/>
        <w:left w:val="none" w:sz="0" w:space="0" w:color="auto"/>
        <w:bottom w:val="none" w:sz="0" w:space="0" w:color="auto"/>
        <w:right w:val="none" w:sz="0" w:space="0" w:color="auto"/>
      </w:divBdr>
    </w:div>
    <w:div w:id="1339844730">
      <w:bodyDiv w:val="1"/>
      <w:marLeft w:val="0"/>
      <w:marRight w:val="0"/>
      <w:marTop w:val="0"/>
      <w:marBottom w:val="0"/>
      <w:divBdr>
        <w:top w:val="none" w:sz="0" w:space="0" w:color="auto"/>
        <w:left w:val="none" w:sz="0" w:space="0" w:color="auto"/>
        <w:bottom w:val="none" w:sz="0" w:space="0" w:color="auto"/>
        <w:right w:val="none" w:sz="0" w:space="0" w:color="auto"/>
      </w:divBdr>
    </w:div>
    <w:div w:id="1375230581">
      <w:bodyDiv w:val="1"/>
      <w:marLeft w:val="0"/>
      <w:marRight w:val="0"/>
      <w:marTop w:val="0"/>
      <w:marBottom w:val="0"/>
      <w:divBdr>
        <w:top w:val="none" w:sz="0" w:space="0" w:color="auto"/>
        <w:left w:val="none" w:sz="0" w:space="0" w:color="auto"/>
        <w:bottom w:val="none" w:sz="0" w:space="0" w:color="auto"/>
        <w:right w:val="none" w:sz="0" w:space="0" w:color="auto"/>
      </w:divBdr>
    </w:div>
    <w:div w:id="1375887348">
      <w:bodyDiv w:val="1"/>
      <w:marLeft w:val="0"/>
      <w:marRight w:val="0"/>
      <w:marTop w:val="0"/>
      <w:marBottom w:val="0"/>
      <w:divBdr>
        <w:top w:val="none" w:sz="0" w:space="0" w:color="auto"/>
        <w:left w:val="none" w:sz="0" w:space="0" w:color="auto"/>
        <w:bottom w:val="none" w:sz="0" w:space="0" w:color="auto"/>
        <w:right w:val="none" w:sz="0" w:space="0" w:color="auto"/>
      </w:divBdr>
    </w:div>
    <w:div w:id="1424883921">
      <w:bodyDiv w:val="1"/>
      <w:marLeft w:val="0"/>
      <w:marRight w:val="0"/>
      <w:marTop w:val="0"/>
      <w:marBottom w:val="0"/>
      <w:divBdr>
        <w:top w:val="none" w:sz="0" w:space="0" w:color="auto"/>
        <w:left w:val="none" w:sz="0" w:space="0" w:color="auto"/>
        <w:bottom w:val="none" w:sz="0" w:space="0" w:color="auto"/>
        <w:right w:val="none" w:sz="0" w:space="0" w:color="auto"/>
      </w:divBdr>
    </w:div>
    <w:div w:id="1441415728">
      <w:bodyDiv w:val="1"/>
      <w:marLeft w:val="0"/>
      <w:marRight w:val="0"/>
      <w:marTop w:val="0"/>
      <w:marBottom w:val="0"/>
      <w:divBdr>
        <w:top w:val="none" w:sz="0" w:space="0" w:color="auto"/>
        <w:left w:val="none" w:sz="0" w:space="0" w:color="auto"/>
        <w:bottom w:val="none" w:sz="0" w:space="0" w:color="auto"/>
        <w:right w:val="none" w:sz="0" w:space="0" w:color="auto"/>
      </w:divBdr>
    </w:div>
    <w:div w:id="1458255750">
      <w:bodyDiv w:val="1"/>
      <w:marLeft w:val="0"/>
      <w:marRight w:val="0"/>
      <w:marTop w:val="0"/>
      <w:marBottom w:val="0"/>
      <w:divBdr>
        <w:top w:val="none" w:sz="0" w:space="0" w:color="auto"/>
        <w:left w:val="none" w:sz="0" w:space="0" w:color="auto"/>
        <w:bottom w:val="none" w:sz="0" w:space="0" w:color="auto"/>
        <w:right w:val="none" w:sz="0" w:space="0" w:color="auto"/>
      </w:divBdr>
    </w:div>
    <w:div w:id="1464426207">
      <w:bodyDiv w:val="1"/>
      <w:marLeft w:val="0"/>
      <w:marRight w:val="0"/>
      <w:marTop w:val="0"/>
      <w:marBottom w:val="0"/>
      <w:divBdr>
        <w:top w:val="none" w:sz="0" w:space="0" w:color="auto"/>
        <w:left w:val="none" w:sz="0" w:space="0" w:color="auto"/>
        <w:bottom w:val="none" w:sz="0" w:space="0" w:color="auto"/>
        <w:right w:val="none" w:sz="0" w:space="0" w:color="auto"/>
      </w:divBdr>
    </w:div>
    <w:div w:id="1471750123">
      <w:bodyDiv w:val="1"/>
      <w:marLeft w:val="0"/>
      <w:marRight w:val="0"/>
      <w:marTop w:val="0"/>
      <w:marBottom w:val="0"/>
      <w:divBdr>
        <w:top w:val="none" w:sz="0" w:space="0" w:color="auto"/>
        <w:left w:val="none" w:sz="0" w:space="0" w:color="auto"/>
        <w:bottom w:val="none" w:sz="0" w:space="0" w:color="auto"/>
        <w:right w:val="none" w:sz="0" w:space="0" w:color="auto"/>
      </w:divBdr>
    </w:div>
    <w:div w:id="1473716683">
      <w:bodyDiv w:val="1"/>
      <w:marLeft w:val="0"/>
      <w:marRight w:val="0"/>
      <w:marTop w:val="0"/>
      <w:marBottom w:val="0"/>
      <w:divBdr>
        <w:top w:val="none" w:sz="0" w:space="0" w:color="auto"/>
        <w:left w:val="none" w:sz="0" w:space="0" w:color="auto"/>
        <w:bottom w:val="none" w:sz="0" w:space="0" w:color="auto"/>
        <w:right w:val="none" w:sz="0" w:space="0" w:color="auto"/>
      </w:divBdr>
    </w:div>
    <w:div w:id="1487357562">
      <w:bodyDiv w:val="1"/>
      <w:marLeft w:val="0"/>
      <w:marRight w:val="0"/>
      <w:marTop w:val="0"/>
      <w:marBottom w:val="0"/>
      <w:divBdr>
        <w:top w:val="none" w:sz="0" w:space="0" w:color="auto"/>
        <w:left w:val="none" w:sz="0" w:space="0" w:color="auto"/>
        <w:bottom w:val="none" w:sz="0" w:space="0" w:color="auto"/>
        <w:right w:val="none" w:sz="0" w:space="0" w:color="auto"/>
      </w:divBdr>
    </w:div>
    <w:div w:id="1500386688">
      <w:bodyDiv w:val="1"/>
      <w:marLeft w:val="0"/>
      <w:marRight w:val="0"/>
      <w:marTop w:val="0"/>
      <w:marBottom w:val="0"/>
      <w:divBdr>
        <w:top w:val="none" w:sz="0" w:space="0" w:color="auto"/>
        <w:left w:val="none" w:sz="0" w:space="0" w:color="auto"/>
        <w:bottom w:val="none" w:sz="0" w:space="0" w:color="auto"/>
        <w:right w:val="none" w:sz="0" w:space="0" w:color="auto"/>
      </w:divBdr>
    </w:div>
    <w:div w:id="1528446493">
      <w:bodyDiv w:val="1"/>
      <w:marLeft w:val="0"/>
      <w:marRight w:val="0"/>
      <w:marTop w:val="0"/>
      <w:marBottom w:val="0"/>
      <w:divBdr>
        <w:top w:val="none" w:sz="0" w:space="0" w:color="auto"/>
        <w:left w:val="none" w:sz="0" w:space="0" w:color="auto"/>
        <w:bottom w:val="none" w:sz="0" w:space="0" w:color="auto"/>
        <w:right w:val="none" w:sz="0" w:space="0" w:color="auto"/>
      </w:divBdr>
    </w:div>
    <w:div w:id="1547452935">
      <w:bodyDiv w:val="1"/>
      <w:marLeft w:val="0"/>
      <w:marRight w:val="0"/>
      <w:marTop w:val="0"/>
      <w:marBottom w:val="0"/>
      <w:divBdr>
        <w:top w:val="none" w:sz="0" w:space="0" w:color="auto"/>
        <w:left w:val="none" w:sz="0" w:space="0" w:color="auto"/>
        <w:bottom w:val="none" w:sz="0" w:space="0" w:color="auto"/>
        <w:right w:val="none" w:sz="0" w:space="0" w:color="auto"/>
      </w:divBdr>
      <w:divsChild>
        <w:div w:id="1261450489">
          <w:marLeft w:val="1123"/>
          <w:marRight w:val="0"/>
          <w:marTop w:val="0"/>
          <w:marBottom w:val="120"/>
          <w:divBdr>
            <w:top w:val="none" w:sz="0" w:space="0" w:color="auto"/>
            <w:left w:val="none" w:sz="0" w:space="0" w:color="auto"/>
            <w:bottom w:val="none" w:sz="0" w:space="0" w:color="auto"/>
            <w:right w:val="none" w:sz="0" w:space="0" w:color="auto"/>
          </w:divBdr>
        </w:div>
      </w:divsChild>
    </w:div>
    <w:div w:id="1559439664">
      <w:bodyDiv w:val="1"/>
      <w:marLeft w:val="0"/>
      <w:marRight w:val="0"/>
      <w:marTop w:val="0"/>
      <w:marBottom w:val="0"/>
      <w:divBdr>
        <w:top w:val="none" w:sz="0" w:space="0" w:color="auto"/>
        <w:left w:val="none" w:sz="0" w:space="0" w:color="auto"/>
        <w:bottom w:val="none" w:sz="0" w:space="0" w:color="auto"/>
        <w:right w:val="none" w:sz="0" w:space="0" w:color="auto"/>
      </w:divBdr>
    </w:div>
    <w:div w:id="1569267522">
      <w:bodyDiv w:val="1"/>
      <w:marLeft w:val="0"/>
      <w:marRight w:val="0"/>
      <w:marTop w:val="0"/>
      <w:marBottom w:val="0"/>
      <w:divBdr>
        <w:top w:val="none" w:sz="0" w:space="0" w:color="auto"/>
        <w:left w:val="none" w:sz="0" w:space="0" w:color="auto"/>
        <w:bottom w:val="none" w:sz="0" w:space="0" w:color="auto"/>
        <w:right w:val="none" w:sz="0" w:space="0" w:color="auto"/>
      </w:divBdr>
    </w:div>
    <w:div w:id="1574969446">
      <w:bodyDiv w:val="1"/>
      <w:marLeft w:val="0"/>
      <w:marRight w:val="0"/>
      <w:marTop w:val="0"/>
      <w:marBottom w:val="0"/>
      <w:divBdr>
        <w:top w:val="none" w:sz="0" w:space="0" w:color="auto"/>
        <w:left w:val="none" w:sz="0" w:space="0" w:color="auto"/>
        <w:bottom w:val="none" w:sz="0" w:space="0" w:color="auto"/>
        <w:right w:val="none" w:sz="0" w:space="0" w:color="auto"/>
      </w:divBdr>
    </w:div>
    <w:div w:id="1581793035">
      <w:bodyDiv w:val="1"/>
      <w:marLeft w:val="0"/>
      <w:marRight w:val="0"/>
      <w:marTop w:val="0"/>
      <w:marBottom w:val="0"/>
      <w:divBdr>
        <w:top w:val="none" w:sz="0" w:space="0" w:color="auto"/>
        <w:left w:val="none" w:sz="0" w:space="0" w:color="auto"/>
        <w:bottom w:val="none" w:sz="0" w:space="0" w:color="auto"/>
        <w:right w:val="none" w:sz="0" w:space="0" w:color="auto"/>
      </w:divBdr>
    </w:div>
    <w:div w:id="1608390077">
      <w:bodyDiv w:val="1"/>
      <w:marLeft w:val="0"/>
      <w:marRight w:val="0"/>
      <w:marTop w:val="0"/>
      <w:marBottom w:val="0"/>
      <w:divBdr>
        <w:top w:val="none" w:sz="0" w:space="0" w:color="auto"/>
        <w:left w:val="none" w:sz="0" w:space="0" w:color="auto"/>
        <w:bottom w:val="none" w:sz="0" w:space="0" w:color="auto"/>
        <w:right w:val="none" w:sz="0" w:space="0" w:color="auto"/>
      </w:divBdr>
    </w:div>
    <w:div w:id="1620836696">
      <w:bodyDiv w:val="1"/>
      <w:marLeft w:val="0"/>
      <w:marRight w:val="0"/>
      <w:marTop w:val="0"/>
      <w:marBottom w:val="0"/>
      <w:divBdr>
        <w:top w:val="none" w:sz="0" w:space="0" w:color="auto"/>
        <w:left w:val="none" w:sz="0" w:space="0" w:color="auto"/>
        <w:bottom w:val="none" w:sz="0" w:space="0" w:color="auto"/>
        <w:right w:val="none" w:sz="0" w:space="0" w:color="auto"/>
      </w:divBdr>
    </w:div>
    <w:div w:id="1623801754">
      <w:bodyDiv w:val="1"/>
      <w:marLeft w:val="0"/>
      <w:marRight w:val="0"/>
      <w:marTop w:val="0"/>
      <w:marBottom w:val="0"/>
      <w:divBdr>
        <w:top w:val="none" w:sz="0" w:space="0" w:color="auto"/>
        <w:left w:val="none" w:sz="0" w:space="0" w:color="auto"/>
        <w:bottom w:val="none" w:sz="0" w:space="0" w:color="auto"/>
        <w:right w:val="none" w:sz="0" w:space="0" w:color="auto"/>
      </w:divBdr>
    </w:div>
    <w:div w:id="1628120150">
      <w:bodyDiv w:val="1"/>
      <w:marLeft w:val="0"/>
      <w:marRight w:val="0"/>
      <w:marTop w:val="0"/>
      <w:marBottom w:val="0"/>
      <w:divBdr>
        <w:top w:val="none" w:sz="0" w:space="0" w:color="auto"/>
        <w:left w:val="none" w:sz="0" w:space="0" w:color="auto"/>
        <w:bottom w:val="none" w:sz="0" w:space="0" w:color="auto"/>
        <w:right w:val="none" w:sz="0" w:space="0" w:color="auto"/>
      </w:divBdr>
    </w:div>
    <w:div w:id="1629357401">
      <w:bodyDiv w:val="1"/>
      <w:marLeft w:val="0"/>
      <w:marRight w:val="0"/>
      <w:marTop w:val="0"/>
      <w:marBottom w:val="0"/>
      <w:divBdr>
        <w:top w:val="none" w:sz="0" w:space="0" w:color="auto"/>
        <w:left w:val="none" w:sz="0" w:space="0" w:color="auto"/>
        <w:bottom w:val="none" w:sz="0" w:space="0" w:color="auto"/>
        <w:right w:val="none" w:sz="0" w:space="0" w:color="auto"/>
      </w:divBdr>
    </w:div>
    <w:div w:id="1636909398">
      <w:bodyDiv w:val="1"/>
      <w:marLeft w:val="0"/>
      <w:marRight w:val="0"/>
      <w:marTop w:val="0"/>
      <w:marBottom w:val="0"/>
      <w:divBdr>
        <w:top w:val="none" w:sz="0" w:space="0" w:color="auto"/>
        <w:left w:val="none" w:sz="0" w:space="0" w:color="auto"/>
        <w:bottom w:val="none" w:sz="0" w:space="0" w:color="auto"/>
        <w:right w:val="none" w:sz="0" w:space="0" w:color="auto"/>
      </w:divBdr>
    </w:div>
    <w:div w:id="1650095058">
      <w:bodyDiv w:val="1"/>
      <w:marLeft w:val="0"/>
      <w:marRight w:val="0"/>
      <w:marTop w:val="0"/>
      <w:marBottom w:val="0"/>
      <w:divBdr>
        <w:top w:val="none" w:sz="0" w:space="0" w:color="auto"/>
        <w:left w:val="none" w:sz="0" w:space="0" w:color="auto"/>
        <w:bottom w:val="none" w:sz="0" w:space="0" w:color="auto"/>
        <w:right w:val="none" w:sz="0" w:space="0" w:color="auto"/>
      </w:divBdr>
    </w:div>
    <w:div w:id="1675256060">
      <w:bodyDiv w:val="1"/>
      <w:marLeft w:val="0"/>
      <w:marRight w:val="0"/>
      <w:marTop w:val="0"/>
      <w:marBottom w:val="0"/>
      <w:divBdr>
        <w:top w:val="none" w:sz="0" w:space="0" w:color="auto"/>
        <w:left w:val="none" w:sz="0" w:space="0" w:color="auto"/>
        <w:bottom w:val="none" w:sz="0" w:space="0" w:color="auto"/>
        <w:right w:val="none" w:sz="0" w:space="0" w:color="auto"/>
      </w:divBdr>
    </w:div>
    <w:div w:id="1704094650">
      <w:bodyDiv w:val="1"/>
      <w:marLeft w:val="0"/>
      <w:marRight w:val="0"/>
      <w:marTop w:val="0"/>
      <w:marBottom w:val="0"/>
      <w:divBdr>
        <w:top w:val="none" w:sz="0" w:space="0" w:color="auto"/>
        <w:left w:val="none" w:sz="0" w:space="0" w:color="auto"/>
        <w:bottom w:val="none" w:sz="0" w:space="0" w:color="auto"/>
        <w:right w:val="none" w:sz="0" w:space="0" w:color="auto"/>
      </w:divBdr>
    </w:div>
    <w:div w:id="1710303802">
      <w:bodyDiv w:val="1"/>
      <w:marLeft w:val="0"/>
      <w:marRight w:val="0"/>
      <w:marTop w:val="0"/>
      <w:marBottom w:val="0"/>
      <w:divBdr>
        <w:top w:val="none" w:sz="0" w:space="0" w:color="auto"/>
        <w:left w:val="none" w:sz="0" w:space="0" w:color="auto"/>
        <w:bottom w:val="none" w:sz="0" w:space="0" w:color="auto"/>
        <w:right w:val="none" w:sz="0" w:space="0" w:color="auto"/>
      </w:divBdr>
    </w:div>
    <w:div w:id="1713311117">
      <w:bodyDiv w:val="1"/>
      <w:marLeft w:val="0"/>
      <w:marRight w:val="0"/>
      <w:marTop w:val="0"/>
      <w:marBottom w:val="0"/>
      <w:divBdr>
        <w:top w:val="none" w:sz="0" w:space="0" w:color="auto"/>
        <w:left w:val="none" w:sz="0" w:space="0" w:color="auto"/>
        <w:bottom w:val="none" w:sz="0" w:space="0" w:color="auto"/>
        <w:right w:val="none" w:sz="0" w:space="0" w:color="auto"/>
      </w:divBdr>
    </w:div>
    <w:div w:id="1724058784">
      <w:bodyDiv w:val="1"/>
      <w:marLeft w:val="0"/>
      <w:marRight w:val="0"/>
      <w:marTop w:val="0"/>
      <w:marBottom w:val="0"/>
      <w:divBdr>
        <w:top w:val="none" w:sz="0" w:space="0" w:color="auto"/>
        <w:left w:val="none" w:sz="0" w:space="0" w:color="auto"/>
        <w:bottom w:val="none" w:sz="0" w:space="0" w:color="auto"/>
        <w:right w:val="none" w:sz="0" w:space="0" w:color="auto"/>
      </w:divBdr>
    </w:div>
    <w:div w:id="1735860137">
      <w:bodyDiv w:val="1"/>
      <w:marLeft w:val="0"/>
      <w:marRight w:val="0"/>
      <w:marTop w:val="0"/>
      <w:marBottom w:val="0"/>
      <w:divBdr>
        <w:top w:val="none" w:sz="0" w:space="0" w:color="auto"/>
        <w:left w:val="none" w:sz="0" w:space="0" w:color="auto"/>
        <w:bottom w:val="none" w:sz="0" w:space="0" w:color="auto"/>
        <w:right w:val="none" w:sz="0" w:space="0" w:color="auto"/>
      </w:divBdr>
    </w:div>
    <w:div w:id="1741442258">
      <w:bodyDiv w:val="1"/>
      <w:marLeft w:val="0"/>
      <w:marRight w:val="0"/>
      <w:marTop w:val="0"/>
      <w:marBottom w:val="0"/>
      <w:divBdr>
        <w:top w:val="none" w:sz="0" w:space="0" w:color="auto"/>
        <w:left w:val="none" w:sz="0" w:space="0" w:color="auto"/>
        <w:bottom w:val="none" w:sz="0" w:space="0" w:color="auto"/>
        <w:right w:val="none" w:sz="0" w:space="0" w:color="auto"/>
      </w:divBdr>
    </w:div>
    <w:div w:id="1746879493">
      <w:bodyDiv w:val="1"/>
      <w:marLeft w:val="0"/>
      <w:marRight w:val="0"/>
      <w:marTop w:val="0"/>
      <w:marBottom w:val="0"/>
      <w:divBdr>
        <w:top w:val="none" w:sz="0" w:space="0" w:color="auto"/>
        <w:left w:val="none" w:sz="0" w:space="0" w:color="auto"/>
        <w:bottom w:val="none" w:sz="0" w:space="0" w:color="auto"/>
        <w:right w:val="none" w:sz="0" w:space="0" w:color="auto"/>
      </w:divBdr>
    </w:div>
    <w:div w:id="1752390803">
      <w:bodyDiv w:val="1"/>
      <w:marLeft w:val="0"/>
      <w:marRight w:val="0"/>
      <w:marTop w:val="0"/>
      <w:marBottom w:val="0"/>
      <w:divBdr>
        <w:top w:val="none" w:sz="0" w:space="0" w:color="auto"/>
        <w:left w:val="none" w:sz="0" w:space="0" w:color="auto"/>
        <w:bottom w:val="none" w:sz="0" w:space="0" w:color="auto"/>
        <w:right w:val="none" w:sz="0" w:space="0" w:color="auto"/>
      </w:divBdr>
    </w:div>
    <w:div w:id="1767311502">
      <w:bodyDiv w:val="1"/>
      <w:marLeft w:val="0"/>
      <w:marRight w:val="0"/>
      <w:marTop w:val="0"/>
      <w:marBottom w:val="0"/>
      <w:divBdr>
        <w:top w:val="none" w:sz="0" w:space="0" w:color="auto"/>
        <w:left w:val="none" w:sz="0" w:space="0" w:color="auto"/>
        <w:bottom w:val="none" w:sz="0" w:space="0" w:color="auto"/>
        <w:right w:val="none" w:sz="0" w:space="0" w:color="auto"/>
      </w:divBdr>
    </w:div>
    <w:div w:id="1792746215">
      <w:bodyDiv w:val="1"/>
      <w:marLeft w:val="0"/>
      <w:marRight w:val="0"/>
      <w:marTop w:val="0"/>
      <w:marBottom w:val="0"/>
      <w:divBdr>
        <w:top w:val="none" w:sz="0" w:space="0" w:color="auto"/>
        <w:left w:val="none" w:sz="0" w:space="0" w:color="auto"/>
        <w:bottom w:val="none" w:sz="0" w:space="0" w:color="auto"/>
        <w:right w:val="none" w:sz="0" w:space="0" w:color="auto"/>
      </w:divBdr>
    </w:div>
    <w:div w:id="1793401826">
      <w:bodyDiv w:val="1"/>
      <w:marLeft w:val="0"/>
      <w:marRight w:val="0"/>
      <w:marTop w:val="0"/>
      <w:marBottom w:val="0"/>
      <w:divBdr>
        <w:top w:val="none" w:sz="0" w:space="0" w:color="auto"/>
        <w:left w:val="none" w:sz="0" w:space="0" w:color="auto"/>
        <w:bottom w:val="none" w:sz="0" w:space="0" w:color="auto"/>
        <w:right w:val="none" w:sz="0" w:space="0" w:color="auto"/>
      </w:divBdr>
    </w:div>
    <w:div w:id="1803618970">
      <w:bodyDiv w:val="1"/>
      <w:marLeft w:val="0"/>
      <w:marRight w:val="0"/>
      <w:marTop w:val="0"/>
      <w:marBottom w:val="0"/>
      <w:divBdr>
        <w:top w:val="none" w:sz="0" w:space="0" w:color="auto"/>
        <w:left w:val="none" w:sz="0" w:space="0" w:color="auto"/>
        <w:bottom w:val="none" w:sz="0" w:space="0" w:color="auto"/>
        <w:right w:val="none" w:sz="0" w:space="0" w:color="auto"/>
      </w:divBdr>
    </w:div>
    <w:div w:id="1804498709">
      <w:bodyDiv w:val="1"/>
      <w:marLeft w:val="0"/>
      <w:marRight w:val="0"/>
      <w:marTop w:val="0"/>
      <w:marBottom w:val="0"/>
      <w:divBdr>
        <w:top w:val="none" w:sz="0" w:space="0" w:color="auto"/>
        <w:left w:val="none" w:sz="0" w:space="0" w:color="auto"/>
        <w:bottom w:val="none" w:sz="0" w:space="0" w:color="auto"/>
        <w:right w:val="none" w:sz="0" w:space="0" w:color="auto"/>
      </w:divBdr>
    </w:div>
    <w:div w:id="1828090727">
      <w:bodyDiv w:val="1"/>
      <w:marLeft w:val="0"/>
      <w:marRight w:val="0"/>
      <w:marTop w:val="0"/>
      <w:marBottom w:val="0"/>
      <w:divBdr>
        <w:top w:val="none" w:sz="0" w:space="0" w:color="auto"/>
        <w:left w:val="none" w:sz="0" w:space="0" w:color="auto"/>
        <w:bottom w:val="none" w:sz="0" w:space="0" w:color="auto"/>
        <w:right w:val="none" w:sz="0" w:space="0" w:color="auto"/>
      </w:divBdr>
    </w:div>
    <w:div w:id="1859466452">
      <w:bodyDiv w:val="1"/>
      <w:marLeft w:val="0"/>
      <w:marRight w:val="0"/>
      <w:marTop w:val="0"/>
      <w:marBottom w:val="0"/>
      <w:divBdr>
        <w:top w:val="none" w:sz="0" w:space="0" w:color="auto"/>
        <w:left w:val="none" w:sz="0" w:space="0" w:color="auto"/>
        <w:bottom w:val="none" w:sz="0" w:space="0" w:color="auto"/>
        <w:right w:val="none" w:sz="0" w:space="0" w:color="auto"/>
      </w:divBdr>
    </w:div>
    <w:div w:id="1878077877">
      <w:bodyDiv w:val="1"/>
      <w:marLeft w:val="0"/>
      <w:marRight w:val="0"/>
      <w:marTop w:val="0"/>
      <w:marBottom w:val="0"/>
      <w:divBdr>
        <w:top w:val="none" w:sz="0" w:space="0" w:color="auto"/>
        <w:left w:val="none" w:sz="0" w:space="0" w:color="auto"/>
        <w:bottom w:val="none" w:sz="0" w:space="0" w:color="auto"/>
        <w:right w:val="none" w:sz="0" w:space="0" w:color="auto"/>
      </w:divBdr>
    </w:div>
    <w:div w:id="1943563243">
      <w:bodyDiv w:val="1"/>
      <w:marLeft w:val="0"/>
      <w:marRight w:val="0"/>
      <w:marTop w:val="0"/>
      <w:marBottom w:val="0"/>
      <w:divBdr>
        <w:top w:val="none" w:sz="0" w:space="0" w:color="auto"/>
        <w:left w:val="none" w:sz="0" w:space="0" w:color="auto"/>
        <w:bottom w:val="none" w:sz="0" w:space="0" w:color="auto"/>
        <w:right w:val="none" w:sz="0" w:space="0" w:color="auto"/>
      </w:divBdr>
    </w:div>
    <w:div w:id="1947692870">
      <w:bodyDiv w:val="1"/>
      <w:marLeft w:val="0"/>
      <w:marRight w:val="0"/>
      <w:marTop w:val="0"/>
      <w:marBottom w:val="0"/>
      <w:divBdr>
        <w:top w:val="none" w:sz="0" w:space="0" w:color="auto"/>
        <w:left w:val="none" w:sz="0" w:space="0" w:color="auto"/>
        <w:bottom w:val="none" w:sz="0" w:space="0" w:color="auto"/>
        <w:right w:val="none" w:sz="0" w:space="0" w:color="auto"/>
      </w:divBdr>
    </w:div>
    <w:div w:id="1951038035">
      <w:bodyDiv w:val="1"/>
      <w:marLeft w:val="0"/>
      <w:marRight w:val="0"/>
      <w:marTop w:val="0"/>
      <w:marBottom w:val="0"/>
      <w:divBdr>
        <w:top w:val="none" w:sz="0" w:space="0" w:color="auto"/>
        <w:left w:val="none" w:sz="0" w:space="0" w:color="auto"/>
        <w:bottom w:val="none" w:sz="0" w:space="0" w:color="auto"/>
        <w:right w:val="none" w:sz="0" w:space="0" w:color="auto"/>
      </w:divBdr>
    </w:div>
    <w:div w:id="1952005656">
      <w:bodyDiv w:val="1"/>
      <w:marLeft w:val="0"/>
      <w:marRight w:val="0"/>
      <w:marTop w:val="0"/>
      <w:marBottom w:val="0"/>
      <w:divBdr>
        <w:top w:val="none" w:sz="0" w:space="0" w:color="auto"/>
        <w:left w:val="none" w:sz="0" w:space="0" w:color="auto"/>
        <w:bottom w:val="none" w:sz="0" w:space="0" w:color="auto"/>
        <w:right w:val="none" w:sz="0" w:space="0" w:color="auto"/>
      </w:divBdr>
    </w:div>
    <w:div w:id="1954895696">
      <w:bodyDiv w:val="1"/>
      <w:marLeft w:val="0"/>
      <w:marRight w:val="0"/>
      <w:marTop w:val="0"/>
      <w:marBottom w:val="0"/>
      <w:divBdr>
        <w:top w:val="none" w:sz="0" w:space="0" w:color="auto"/>
        <w:left w:val="none" w:sz="0" w:space="0" w:color="auto"/>
        <w:bottom w:val="none" w:sz="0" w:space="0" w:color="auto"/>
        <w:right w:val="none" w:sz="0" w:space="0" w:color="auto"/>
      </w:divBdr>
    </w:div>
    <w:div w:id="1983579429">
      <w:bodyDiv w:val="1"/>
      <w:marLeft w:val="0"/>
      <w:marRight w:val="0"/>
      <w:marTop w:val="0"/>
      <w:marBottom w:val="0"/>
      <w:divBdr>
        <w:top w:val="none" w:sz="0" w:space="0" w:color="auto"/>
        <w:left w:val="none" w:sz="0" w:space="0" w:color="auto"/>
        <w:bottom w:val="none" w:sz="0" w:space="0" w:color="auto"/>
        <w:right w:val="none" w:sz="0" w:space="0" w:color="auto"/>
      </w:divBdr>
    </w:div>
    <w:div w:id="2004158400">
      <w:bodyDiv w:val="1"/>
      <w:marLeft w:val="0"/>
      <w:marRight w:val="0"/>
      <w:marTop w:val="0"/>
      <w:marBottom w:val="0"/>
      <w:divBdr>
        <w:top w:val="none" w:sz="0" w:space="0" w:color="auto"/>
        <w:left w:val="none" w:sz="0" w:space="0" w:color="auto"/>
        <w:bottom w:val="none" w:sz="0" w:space="0" w:color="auto"/>
        <w:right w:val="none" w:sz="0" w:space="0" w:color="auto"/>
      </w:divBdr>
    </w:div>
    <w:div w:id="2031829132">
      <w:bodyDiv w:val="1"/>
      <w:marLeft w:val="0"/>
      <w:marRight w:val="0"/>
      <w:marTop w:val="0"/>
      <w:marBottom w:val="0"/>
      <w:divBdr>
        <w:top w:val="none" w:sz="0" w:space="0" w:color="auto"/>
        <w:left w:val="none" w:sz="0" w:space="0" w:color="auto"/>
        <w:bottom w:val="none" w:sz="0" w:space="0" w:color="auto"/>
        <w:right w:val="none" w:sz="0" w:space="0" w:color="auto"/>
      </w:divBdr>
    </w:div>
    <w:div w:id="2069572625">
      <w:bodyDiv w:val="1"/>
      <w:marLeft w:val="0"/>
      <w:marRight w:val="0"/>
      <w:marTop w:val="0"/>
      <w:marBottom w:val="0"/>
      <w:divBdr>
        <w:top w:val="none" w:sz="0" w:space="0" w:color="auto"/>
        <w:left w:val="none" w:sz="0" w:space="0" w:color="auto"/>
        <w:bottom w:val="none" w:sz="0" w:space="0" w:color="auto"/>
        <w:right w:val="none" w:sz="0" w:space="0" w:color="auto"/>
      </w:divBdr>
    </w:div>
    <w:div w:id="2106606229">
      <w:bodyDiv w:val="1"/>
      <w:marLeft w:val="0"/>
      <w:marRight w:val="0"/>
      <w:marTop w:val="0"/>
      <w:marBottom w:val="0"/>
      <w:divBdr>
        <w:top w:val="none" w:sz="0" w:space="0" w:color="auto"/>
        <w:left w:val="none" w:sz="0" w:space="0" w:color="auto"/>
        <w:bottom w:val="none" w:sz="0" w:space="0" w:color="auto"/>
        <w:right w:val="none" w:sz="0" w:space="0" w:color="auto"/>
      </w:divBdr>
    </w:div>
    <w:div w:id="2125270141">
      <w:bodyDiv w:val="1"/>
      <w:marLeft w:val="0"/>
      <w:marRight w:val="0"/>
      <w:marTop w:val="0"/>
      <w:marBottom w:val="0"/>
      <w:divBdr>
        <w:top w:val="none" w:sz="0" w:space="0" w:color="auto"/>
        <w:left w:val="none" w:sz="0" w:space="0" w:color="auto"/>
        <w:bottom w:val="none" w:sz="0" w:space="0" w:color="auto"/>
        <w:right w:val="none" w:sz="0" w:space="0" w:color="auto"/>
      </w:divBdr>
    </w:div>
    <w:div w:id="2135252852">
      <w:bodyDiv w:val="1"/>
      <w:marLeft w:val="0"/>
      <w:marRight w:val="0"/>
      <w:marTop w:val="0"/>
      <w:marBottom w:val="0"/>
      <w:divBdr>
        <w:top w:val="none" w:sz="0" w:space="0" w:color="auto"/>
        <w:left w:val="none" w:sz="0" w:space="0" w:color="auto"/>
        <w:bottom w:val="none" w:sz="0" w:space="0" w:color="auto"/>
        <w:right w:val="none" w:sz="0" w:space="0" w:color="auto"/>
      </w:divBdr>
    </w:div>
    <w:div w:id="2138135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image" Target="media/image81.emf"/><Relationship Id="rId21" Type="http://schemas.openxmlformats.org/officeDocument/2006/relationships/image" Target="media/image7.png"/><Relationship Id="rId42" Type="http://schemas.openxmlformats.org/officeDocument/2006/relationships/image" Target="media/image25.png"/><Relationship Id="rId47" Type="http://schemas.openxmlformats.org/officeDocument/2006/relationships/image" Target="media/image30.jpe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54.png"/><Relationship Id="rId89" Type="http://schemas.openxmlformats.org/officeDocument/2006/relationships/image" Target="media/image59.png"/><Relationship Id="rId112" Type="http://schemas.openxmlformats.org/officeDocument/2006/relationships/footer" Target="footer12.xml"/><Relationship Id="rId133" Type="http://schemas.openxmlformats.org/officeDocument/2006/relationships/footer" Target="footer20.xml"/><Relationship Id="rId16" Type="http://schemas.openxmlformats.org/officeDocument/2006/relationships/image" Target="media/image2.jpeg"/><Relationship Id="rId107" Type="http://schemas.openxmlformats.org/officeDocument/2006/relationships/header" Target="header10.xml"/><Relationship Id="rId11" Type="http://schemas.openxmlformats.org/officeDocument/2006/relationships/header" Target="header2.xml"/><Relationship Id="rId32" Type="http://schemas.openxmlformats.org/officeDocument/2006/relationships/image" Target="media/image17.png"/><Relationship Id="rId37" Type="http://schemas.openxmlformats.org/officeDocument/2006/relationships/image" Target="media/image20.jpe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header" Target="header6.xml"/><Relationship Id="rId79" Type="http://schemas.openxmlformats.org/officeDocument/2006/relationships/footer" Target="footer7.xml"/><Relationship Id="rId102" Type="http://schemas.openxmlformats.org/officeDocument/2006/relationships/image" Target="media/image72.png"/><Relationship Id="rId123" Type="http://schemas.openxmlformats.org/officeDocument/2006/relationships/footer" Target="footer15.xml"/><Relationship Id="rId128" Type="http://schemas.openxmlformats.org/officeDocument/2006/relationships/header" Target="header18.xml"/><Relationship Id="rId5" Type="http://schemas.openxmlformats.org/officeDocument/2006/relationships/settings" Target="settings.xml"/><Relationship Id="rId90" Type="http://schemas.openxmlformats.org/officeDocument/2006/relationships/image" Target="media/image60.png"/><Relationship Id="rId95" Type="http://schemas.openxmlformats.org/officeDocument/2006/relationships/image" Target="media/image65.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hyperlink" Target="https://iheero.eu/" TargetMode="External"/><Relationship Id="rId77" Type="http://schemas.openxmlformats.org/officeDocument/2006/relationships/header" Target="header7.xml"/><Relationship Id="rId100" Type="http://schemas.openxmlformats.org/officeDocument/2006/relationships/image" Target="media/image70.png"/><Relationship Id="rId105" Type="http://schemas.openxmlformats.org/officeDocument/2006/relationships/image" Target="media/image75.png"/><Relationship Id="rId113" Type="http://schemas.openxmlformats.org/officeDocument/2006/relationships/image" Target="media/image77.jpeg"/><Relationship Id="rId118" Type="http://schemas.openxmlformats.org/officeDocument/2006/relationships/header" Target="header13.xml"/><Relationship Id="rId126" Type="http://schemas.openxmlformats.org/officeDocument/2006/relationships/footer" Target="footer16.xml"/><Relationship Id="rId134" Type="http://schemas.openxmlformats.org/officeDocument/2006/relationships/header" Target="header21.xml"/><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footer" Target="footer4.xml"/><Relationship Id="rId80" Type="http://schemas.openxmlformats.org/officeDocument/2006/relationships/footer" Target="footer8.xml"/><Relationship Id="rId85" Type="http://schemas.openxmlformats.org/officeDocument/2006/relationships/image" Target="media/image55.png"/><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footer" Target="footer1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chart" Target="charts/chart1.xml"/><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png"/><Relationship Id="rId103" Type="http://schemas.openxmlformats.org/officeDocument/2006/relationships/image" Target="media/image73.png"/><Relationship Id="rId108" Type="http://schemas.openxmlformats.org/officeDocument/2006/relationships/header" Target="header11.xml"/><Relationship Id="rId116" Type="http://schemas.openxmlformats.org/officeDocument/2006/relationships/image" Target="media/image80.jpeg"/><Relationship Id="rId124" Type="http://schemas.openxmlformats.org/officeDocument/2006/relationships/header" Target="header16.xml"/><Relationship Id="rId129" Type="http://schemas.openxmlformats.org/officeDocument/2006/relationships/footer" Target="footer18.xml"/><Relationship Id="rId13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header" Target="header4.xml"/><Relationship Id="rId75" Type="http://schemas.openxmlformats.org/officeDocument/2006/relationships/footer" Target="footer6.xml"/><Relationship Id="rId83" Type="http://schemas.openxmlformats.org/officeDocument/2006/relationships/image" Target="media/image53.png"/><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image" Target="media/image66.png"/><Relationship Id="rId111" Type="http://schemas.openxmlformats.org/officeDocument/2006/relationships/header" Target="header12.xml"/><Relationship Id="rId132"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chart" Target="charts/chart3.xml"/><Relationship Id="rId49" Type="http://schemas.openxmlformats.org/officeDocument/2006/relationships/image" Target="media/image32.jpeg"/><Relationship Id="rId57" Type="http://schemas.openxmlformats.org/officeDocument/2006/relationships/image" Target="media/image40.jpeg"/><Relationship Id="rId106" Type="http://schemas.openxmlformats.org/officeDocument/2006/relationships/image" Target="media/image76.png"/><Relationship Id="rId114" Type="http://schemas.openxmlformats.org/officeDocument/2006/relationships/image" Target="media/image78.jpeg"/><Relationship Id="rId119" Type="http://schemas.openxmlformats.org/officeDocument/2006/relationships/header" Target="header14.xml"/><Relationship Id="rId127" Type="http://schemas.openxmlformats.org/officeDocument/2006/relationships/footer" Target="footer17.xml"/><Relationship Id="rId10" Type="http://schemas.openxmlformats.org/officeDocument/2006/relationships/header" Target="header1.xml"/><Relationship Id="rId31" Type="http://schemas.openxmlformats.org/officeDocument/2006/relationships/hyperlink" Target="https://ec.europa.eu/digital-single-market/en/news/connecting-europe-facility-cef2-digital-draft-orientations-towards-implementation-roadmap" TargetMode="External"/><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footer" Target="footer5.xml"/><Relationship Id="rId78" Type="http://schemas.openxmlformats.org/officeDocument/2006/relationships/header" Target="header8.xml"/><Relationship Id="rId81" Type="http://schemas.openxmlformats.org/officeDocument/2006/relationships/header" Target="header9.xml"/><Relationship Id="rId86" Type="http://schemas.openxmlformats.org/officeDocument/2006/relationships/image" Target="media/image56.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header" Target="header15.xml"/><Relationship Id="rId130" Type="http://schemas.openxmlformats.org/officeDocument/2006/relationships/header" Target="header19.xml"/><Relationship Id="rId135" Type="http://schemas.openxmlformats.org/officeDocument/2006/relationships/footer" Target="footer2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4.emf"/><Relationship Id="rId39" Type="http://schemas.openxmlformats.org/officeDocument/2006/relationships/image" Target="media/image22.png"/><Relationship Id="rId109" Type="http://schemas.openxmlformats.org/officeDocument/2006/relationships/footer" Target="footer10.xml"/><Relationship Id="rId34" Type="http://schemas.openxmlformats.org/officeDocument/2006/relationships/chart" Target="charts/chart2.xml"/><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2.jpeg"/><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footer" Target="footer13.xml"/><Relationship Id="rId125" Type="http://schemas.openxmlformats.org/officeDocument/2006/relationships/header" Target="header17.xml"/><Relationship Id="rId7" Type="http://schemas.openxmlformats.org/officeDocument/2006/relationships/footnotes" Target="footnotes.xml"/><Relationship Id="rId71" Type="http://schemas.openxmlformats.org/officeDocument/2006/relationships/header" Target="header5.xml"/><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emf"/><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9.png"/><Relationship Id="rId87" Type="http://schemas.openxmlformats.org/officeDocument/2006/relationships/image" Target="media/image57.png"/><Relationship Id="rId110" Type="http://schemas.openxmlformats.org/officeDocument/2006/relationships/footer" Target="footer11.xml"/><Relationship Id="rId115" Type="http://schemas.openxmlformats.org/officeDocument/2006/relationships/image" Target="media/image79.jpeg"/><Relationship Id="rId131" Type="http://schemas.openxmlformats.org/officeDocument/2006/relationships/header" Target="header20.xml"/><Relationship Id="rId136" Type="http://schemas.openxmlformats.org/officeDocument/2006/relationships/fontTable" Target="fontTable.xml"/><Relationship Id="rId61" Type="http://schemas.openxmlformats.org/officeDocument/2006/relationships/image" Target="media/image44.jpeg"/><Relationship Id="rId82" Type="http://schemas.openxmlformats.org/officeDocument/2006/relationships/footer" Target="footer9.xml"/><Relationship Id="rId19" Type="http://schemas.openxmlformats.org/officeDocument/2006/relationships/image" Target="media/image5.png"/></Relationships>
</file>

<file path=word/_rels/footnotes.xml.rels><?xml version="1.0" encoding="UTF-8" standalone="yes"?>
<Relationships xmlns="http://schemas.openxmlformats.org/package/2006/relationships"><Relationship Id="rId26" Type="http://schemas.openxmlformats.org/officeDocument/2006/relationships/hyperlink" Target="https://ec.europa.eu/transport/modes/inland/studies/inland_waterways_en" TargetMode="External"/><Relationship Id="rId21" Type="http://schemas.openxmlformats.org/officeDocument/2006/relationships/hyperlink" Target="https://ec.europa.eu/transport/road_safety/road-safety-measures-covid-transitional-era-common-high-level-group-principles-we-exit-crisis_en" TargetMode="External"/><Relationship Id="rId42" Type="http://schemas.openxmlformats.org/officeDocument/2006/relationships/hyperlink" Target="https://www.transportenvironment.org/sites/te/files/publications/2020_CE_Oil_Dependency_in_EU_report.pdf" TargetMode="External"/><Relationship Id="rId47" Type="http://schemas.openxmlformats.org/officeDocument/2006/relationships/hyperlink" Target="https://ec.europa.eu/transport/sites/transport/files/2019-aviation-environmental-report.pdf" TargetMode="External"/><Relationship Id="rId63" Type="http://schemas.openxmlformats.org/officeDocument/2006/relationships/hyperlink" Target="https://eur-lex.europa.eu/legal-content/EN/TXT/?qid=1445259012542&amp;uri=CELEX:32004L0051R(01)" TargetMode="External"/><Relationship Id="rId68" Type="http://schemas.openxmlformats.org/officeDocument/2006/relationships/hyperlink" Target="https://op.europa.eu/en/publication-detail?p_p_id=portal2012documentDetail_WAR_portal2012portlet&amp;p_p_lifecycle=1&amp;p_p_state=normal&amp;p_p_mode=view&amp;p_p_col_id=maincontentarea&amp;p_p_col_count=3&amp;_portal2012documentDetail_WAR_portal2012portlet_javax.portlet.action=author&amp;facet.author=agent.Grimaldi%20Studio%20Legale&amp;language=en&amp;facet.collection=EUPub" TargetMode="External"/><Relationship Id="rId84" Type="http://schemas.openxmlformats.org/officeDocument/2006/relationships/hyperlink" Target="https://ec.europa.eu/transport/sites/transport/files/2019-transport-in-the-eu-current-trends-and-issues.pdf" TargetMode="External"/><Relationship Id="rId89" Type="http://schemas.openxmlformats.org/officeDocument/2006/relationships/hyperlink" Target="https://ec.europa.eu/transport/sites/transport/files/6th_rmms_report.pdf" TargetMode="External"/><Relationship Id="rId7" Type="http://schemas.openxmlformats.org/officeDocument/2006/relationships/hyperlink" Target="http://www.oecd.org/cfe/tourism/oecd-tourism-trends-and-policies-20767773.htm" TargetMode="External"/><Relationship Id="rId71" Type="http://schemas.openxmlformats.org/officeDocument/2006/relationships/hyperlink" Target="https://www.bundeskartellamt.de/SharedDocs/Meldung/EN/Meldungen%20News%20Karussell/2019/28_11_2019_DB_Mobilit&#228;t.html;jsessionid=78C82035F037E081EDD1C18249A94842.1_cid362" TargetMode="External"/><Relationship Id="rId92" Type="http://schemas.openxmlformats.org/officeDocument/2006/relationships/hyperlink" Target="https://publications.jrc.ec.europa.eu/repository/bitstream/JRC72217/transport%20and%20climate%20change%20final%20report.pdf" TargetMode="External"/><Relationship Id="rId2" Type="http://schemas.openxmlformats.org/officeDocument/2006/relationships/hyperlink" Target="https://ec.europa.eu/info/business-economy-euro/economic-performance-and-forecasts/economic-forecasts/spring-2020-economic-forecast-deep-and-uneven-recession-uncertain-recovery_en" TargetMode="External"/><Relationship Id="rId16" Type="http://schemas.openxmlformats.org/officeDocument/2006/relationships/hyperlink" Target="https://www.oecd-ilibrary.org/transport/itf-transport-outlook-2019_transp_outlook-en-2019-en" TargetMode="External"/><Relationship Id="rId29" Type="http://schemas.openxmlformats.org/officeDocument/2006/relationships/hyperlink" Target="https://ec.europa.eu/commission/priorities/deeper-and-fairer-economic-and-monetary-union/european-pillar-social-rights/european-pillar-social-rights-20-principles_en" TargetMode="External"/><Relationship Id="rId11" Type="http://schemas.openxmlformats.org/officeDocument/2006/relationships/hyperlink" Target="https://population.un.org/wup/Publications/Files/WUP2018-Highlights.pdf" TargetMode="External"/><Relationship Id="rId24" Type="http://schemas.openxmlformats.org/officeDocument/2006/relationships/hyperlink" Target="https://ec.europa.eu/transport/themes/its/road/action_plan/nap_en" TargetMode="External"/><Relationship Id="rId32" Type="http://schemas.openxmlformats.org/officeDocument/2006/relationships/hyperlink" Target="https://www.skillsea.eu/" TargetMode="External"/><Relationship Id="rId37" Type="http://schemas.openxmlformats.org/officeDocument/2006/relationships/hyperlink" Target="https://www.eea.europa.eu/highlights/europes-seas-face-uncertain-future" TargetMode="External"/><Relationship Id="rId40" Type="http://schemas.openxmlformats.org/officeDocument/2006/relationships/hyperlink" Target="https://www.euro.who.int/en/health-topics/environment-and-health/Transport-and-health/activities/guidance-and-tools/health-economic-assessment-tool-heat-for-cycling-and-walking" TargetMode="External"/><Relationship Id="rId45" Type="http://schemas.openxmlformats.org/officeDocument/2006/relationships/hyperlink" Target="https://ec.europa.eu/transport/sites/transport/files/2017-06-differentiated-port-infrastructure-charges-report.pdf" TargetMode="External"/><Relationship Id="rId53" Type="http://schemas.openxmlformats.org/officeDocument/2006/relationships/hyperlink" Target="https://urbanaccessregulations.eu/userhome/map" TargetMode="External"/><Relationship Id="rId58" Type="http://schemas.openxmlformats.org/officeDocument/2006/relationships/hyperlink" Target="http://content.tfl.gov.uk/walking-cycling-economic-benefits-summary-pack.pdf" TargetMode="External"/><Relationship Id="rId66" Type="http://schemas.openxmlformats.org/officeDocument/2006/relationships/hyperlink" Target="https://op.europa.eu/en/publication-detail/-/publication/8a7b0dd0-df3d-11e9-9c4e-01aa75ed71a1/language-en" TargetMode="External"/><Relationship Id="rId74" Type="http://schemas.openxmlformats.org/officeDocument/2006/relationships/hyperlink" Target="https://s3platform.jrc.ec.europa.eu/mobility" TargetMode="External"/><Relationship Id="rId79" Type="http://schemas.openxmlformats.org/officeDocument/2006/relationships/hyperlink" Target="https://op.europa.eu/en/publication-detail?p_p_id=portal2012documentDetail_WAR_portal2012portlet&amp;p_p_lifecycle=1&amp;p_p_state=normal&amp;p_p_mode=view&amp;p_p_col_id=maincontentarea&amp;p_p_col_count=3&amp;_portal2012documentDetail_WAR_portal2012portlet_javax.portlet.action=author&amp;facet.author=agent.Wavestone&amp;language=en&amp;facet.collection=EUPub" TargetMode="External"/><Relationship Id="rId87" Type="http://schemas.openxmlformats.org/officeDocument/2006/relationships/hyperlink" Target="https://www.eib.org/en/publications/investment-report-2019" TargetMode="External"/><Relationship Id="rId102" Type="http://schemas.openxmlformats.org/officeDocument/2006/relationships/hyperlink" Target="https://www.eltis.org/sites/default/files/integration_of_shared_mobility_approaches_in_sumps.pdf" TargetMode="External"/><Relationship Id="rId5" Type="http://schemas.openxmlformats.org/officeDocument/2006/relationships/hyperlink" Target="https://www.wto.org/english/news_e/pres18_e/pr822_e.htm" TargetMode="External"/><Relationship Id="rId61" Type="http://schemas.openxmlformats.org/officeDocument/2006/relationships/hyperlink" Target="https://civitas.eu/tool-inventory/flow-impact-assessment-tool" TargetMode="External"/><Relationship Id="rId82" Type="http://schemas.openxmlformats.org/officeDocument/2006/relationships/hyperlink" Target="https://ec.europa.eu/transport/news/2020-03-27-exceptional-measures-inability-comply-legislation_en" TargetMode="External"/><Relationship Id="rId90" Type="http://schemas.openxmlformats.org/officeDocument/2006/relationships/hyperlink" Target="http://www.euro.who.int/en/health-topics/environment-and-health/Transport-and-health/activities/guidance-and-tools/health-economic-assessment-tool-heat-for-cycling-and-walking" TargetMode="External"/><Relationship Id="rId95" Type="http://schemas.openxmlformats.org/officeDocument/2006/relationships/hyperlink" Target="https://www.corealis.eu/" TargetMode="External"/><Relationship Id="rId19" Type="http://schemas.openxmlformats.org/officeDocument/2006/relationships/hyperlink" Target="https://unctad.org/en/PublicationsLibrary/rmt2018_en.pdf" TargetMode="External"/><Relationship Id="rId14" Type="http://schemas.openxmlformats.org/officeDocument/2006/relationships/hyperlink" Target="https://www.eib.org/attachments/efs/economic_investment_report_2017_en.pdf" TargetMode="External"/><Relationship Id="rId22" Type="http://schemas.openxmlformats.org/officeDocument/2006/relationships/hyperlink" Target="https://eur-lex.europa.eu/legal-content/EN/ALL/?uri=CELEX%3A32010L0040" TargetMode="External"/><Relationship Id="rId27" Type="http://schemas.openxmlformats.org/officeDocument/2006/relationships/hyperlink" Target="https://eur-lex.europa.eu/legal-content/EN/TXT/?uri=celex%3A32013R1315" TargetMode="External"/><Relationship Id="rId30" Type="http://schemas.openxmlformats.org/officeDocument/2006/relationships/hyperlink" Target="https://ec.europa.eu/social/BlobServlet?docId=22457&amp;langId=en" TargetMode="External"/><Relationship Id="rId35" Type="http://schemas.openxmlformats.org/officeDocument/2006/relationships/hyperlink" Target="https://eur-lex.europa.eu/legal-content/EN/ALL/?uri=CELEX:32008L0050" TargetMode="External"/><Relationship Id="rId43" Type="http://schemas.openxmlformats.org/officeDocument/2006/relationships/hyperlink" Target="https://www.oecd-ilibrary.org/transport/itf-transport-outlook-2019_transp_outlook-en-2019-en" TargetMode="External"/><Relationship Id="rId48" Type="http://schemas.openxmlformats.org/officeDocument/2006/relationships/hyperlink" Target="https://ec.europa.eu/transport/sites/transport/files/themes/urban/doc/ump/com%282013%29913_en.pdffhttps:/ec.europa.eu/transport/sites/transport/files/themes/urban/doc/ump/com%282013%29913_en.pdf" TargetMode="External"/><Relationship Id="rId56" Type="http://schemas.openxmlformats.org/officeDocument/2006/relationships/hyperlink" Target="http://h2020-flow.eu/fileadmin/user_upload/Deliverables/15_quick_facts_eng_FINAL.pdf" TargetMode="External"/><Relationship Id="rId64" Type="http://schemas.openxmlformats.org/officeDocument/2006/relationships/hyperlink" Target="https://ec.europa.eu/transport/sites/transport/files/2017-06-differentiated-port-infrastructure-charges-report.pdf" TargetMode="External"/><Relationship Id="rId69" Type="http://schemas.openxmlformats.org/officeDocument/2006/relationships/hyperlink" Target="https://op.europa.eu/en/publication-detail?p_p_id=portal2012documentDetail_WAR_portal2012portlet&amp;p_p_lifecycle=1&amp;p_p_state=normal&amp;p_p_mode=view&amp;p_p_col_id=maincontentarea&amp;p_p_col_count=3&amp;_portal2012documentDetail_WAR_portal2012portlet_javax.portlet.action=author&amp;facet.author=agent.VVA&amp;language=en&amp;facet.collection=EUPub" TargetMode="External"/><Relationship Id="rId77" Type="http://schemas.openxmlformats.org/officeDocument/2006/relationships/hyperlink" Target="https://op.europa.eu/en/publication-detail?p_p_id=portal2012documentDetail_WAR_portal2012portlet&amp;p_p_lifecycle=1&amp;p_p_state=normal&amp;p_p_mode=view&amp;p_p_col_id=maincontentarea&amp;p_p_col_count=3&amp;_portal2012documentDetail_WAR_portal2012portlet_javax.portlet.action=author&amp;facet.author=agent.Grimaldi%20Studio%20Legale&amp;language=en&amp;facet.collection=EUPub" TargetMode="External"/><Relationship Id="rId100" Type="http://schemas.openxmlformats.org/officeDocument/2006/relationships/hyperlink" Target="https://ec.europa.eu/transport/media/news/2020-06-11-road-safety-statistics-2019_en" TargetMode="External"/><Relationship Id="rId105" Type="http://schemas.openxmlformats.org/officeDocument/2006/relationships/hyperlink" Target="https://ec.europa.eu/info/publications/economy-finance/2018-ageing-report-economic-and-budgetary-projections-eu-member-states-2016-2070_en" TargetMode="External"/><Relationship Id="rId8" Type="http://schemas.openxmlformats.org/officeDocument/2006/relationships/hyperlink" Target="https://www.unwto.org/global-and-regional-tourism-performance" TargetMode="External"/><Relationship Id="rId51" Type="http://schemas.openxmlformats.org/officeDocument/2006/relationships/hyperlink" Target="https://eur-lex.europa.eu/LexUriServ/LexUriServ.do?uri=COM:2009:0490:FIN:EN:PDF" TargetMode="External"/><Relationship Id="rId72" Type="http://schemas.openxmlformats.org/officeDocument/2006/relationships/hyperlink" Target="http://www.konkurrensverket.se/globalassets/konkurrens/beslut/18-0230-och-18-0380-beslut.pdf" TargetMode="External"/><Relationship Id="rId80" Type="http://schemas.openxmlformats.org/officeDocument/2006/relationships/hyperlink" Target="https://ec.europa.eu/info/live-work-travel-eu/coronavirus-response_en" TargetMode="External"/><Relationship Id="rId85" Type="http://schemas.openxmlformats.org/officeDocument/2006/relationships/hyperlink" Target="https://www.eib.org/en/publications/investment-report-2019" TargetMode="External"/><Relationship Id="rId93" Type="http://schemas.openxmlformats.org/officeDocument/2006/relationships/hyperlink" Target="https://publications.jrc.ec.europa.eu/repository/bitstream/JRC108865/jrc108865_final.pdf" TargetMode="External"/><Relationship Id="rId98" Type="http://schemas.openxmlformats.org/officeDocument/2006/relationships/hyperlink" Target="https://ec.europa.eu/inea/en/connecting-europe-facility/cef-transport/2018-eu-tm-0135-s" TargetMode="External"/><Relationship Id="rId3" Type="http://schemas.openxmlformats.org/officeDocument/2006/relationships/hyperlink" Target="https://www.eurofound.europa.eu/sites/default/files/ef_publication/field_ef_document/ef20058en.pdf" TargetMode="External"/><Relationship Id="rId12" Type="http://schemas.openxmlformats.org/officeDocument/2006/relationships/hyperlink" Target="https://ec.europa.eu/eurostat/statistics-explained/index.php/Household_composition_statistics" TargetMode="External"/><Relationship Id="rId17" Type="http://schemas.openxmlformats.org/officeDocument/2006/relationships/hyperlink" Target="https://www.tealgroup.com/index.php/pages/press-releases/60-teal-group-predicts-worldwide-civil-drone-production-will-almost-triple-over-the-next-decade" TargetMode="External"/><Relationship Id="rId25" Type="http://schemas.openxmlformats.org/officeDocument/2006/relationships/hyperlink" Target="https://ec.europa.eu/transport/themes/its/road/action_plan/ecall_en" TargetMode="External"/><Relationship Id="rId33" Type="http://schemas.openxmlformats.org/officeDocument/2006/relationships/hyperlink" Target="https://www.eea.europa.eu/themes/transport/term/term-briefing-2018" TargetMode="External"/><Relationship Id="rId38" Type="http://schemas.openxmlformats.org/officeDocument/2006/relationships/hyperlink" Target="https://www.who.int/news-room/fact-sheets/detail/physical-activity" TargetMode="External"/><Relationship Id="rId46" Type="http://schemas.openxmlformats.org/officeDocument/2006/relationships/hyperlink" Target="https://portcalloptimization.org/" TargetMode="External"/><Relationship Id="rId59" Type="http://schemas.openxmlformats.org/officeDocument/2006/relationships/hyperlink" Target="http://h2020-flow.eu/fileadmin/user_upload/Deliverables/15_quick_facts_eng_FINAL.pdf" TargetMode="External"/><Relationship Id="rId67" Type="http://schemas.openxmlformats.org/officeDocument/2006/relationships/hyperlink" Target="https://op.europa.eu/en/publication-detail?p_p_id=portal2012documentDetail_WAR_portal2012portlet&amp;p_p_lifecycle=1&amp;p_p_state=normal&amp;p_p_mode=view&amp;p_p_col_id=maincontentarea&amp;p_p_col_count=3&amp;_portal2012documentDetail_WAR_portal2012portlet_javax.portlet.action=author&amp;facet.author=COM,ECFIN,TASKF,OIL,GIW,OIB,REPRES_NLD,REPRES_LVA,JLS,ERC,MARKT,MARE,REGIO,REA,BEPA,PRESS,BDS,ELARG,PMO,REPRES_LIT,AGRI,REPRES_SPA_BCN,SPP,ECHO,EAPH,REPRES_GBR_LON,REPRES_EST,FPI,REPRES_SPA_MAD,CASSTM,CNECT,DIGIT,HOME,ENER,REPRES_HUN,IEEA,EASME,COMP,REPRES_CZE,REPRES_BGR,SCR,REPRES_MLT,REPRES_PRT,REPRES_CYP,REPRES_HRV,CLIMA,EAHC,REPRES_SWE,REPRES_SVN,DEL_ACC,INFSO,EACI,ETHI,DG18,DG15,DG10,CHAFEA,REPRES_DEU_MUC,REPRES_POL_WAW,ESTAT,DEVCO,DGT,EPSC,GROW,SANTE,NEAR,FISMA,JUST,COM_CAB,SCAD,REPRES_GBR,REPRES_POL,TASKF_A50_UK,REPRES_SPA,REPRES_FRA,REPRES_ITA,ACSHHPW,PC_BUDG,IAB,RSB,PC_CONJ,COM_COLL,ACSH,EVHAC,PC_MTE,REPRES_DEU,REPRES_SVK,JUSTI,REPRES_DEU_BON,SCIC,REPRES_FRA_PAR,SJ,SG,REPRES_POL_WRO,OLAF,REPRES_DEU_BER,CCSS,FSU,REPRES_IRL,HR,REPRES_LUX,REPRES_FIN,TAXUD,COMMU,SANCO,ENTR,AUDIT,IGS,REPRES_ITA_MIL,MOVE,BUDG,REPRES_ROU,RTD,IAS,BTL,TENTEA,BTB,CMT_EMPL,DG01B,DG01A,REPRES_BEL,REPRES_GBR_CDF,ENV,DG23,DG17,DG07,DG03,DG02,DG01,REPRES_AUT,INEA,EMPL,EAC,TRADE,TREN,REPRES_ITA_ROM,RELEX,AIDCO,REPRES_GRC,EACEA,REPRES_GBR_BEL,REPRES_FRA_MRS,REPRES_GBR_EDI,REPRES_DAN,JRC,DEV,SRSS,HAS,STECF,DPO,SAM_ADV&amp;language=en&amp;facet.collection=EUPub" TargetMode="External"/><Relationship Id="rId103" Type="http://schemas.openxmlformats.org/officeDocument/2006/relationships/hyperlink" Target="https://eur-lex.europa.eu/eli/dir/2019/1936/oj" TargetMode="External"/><Relationship Id="rId20" Type="http://schemas.openxmlformats.org/officeDocument/2006/relationships/hyperlink" Target="https://www.eltis.org/sites/default/files/covid-19_sumppractitionersbriefing_final.pdf" TargetMode="External"/><Relationship Id="rId41" Type="http://schemas.openxmlformats.org/officeDocument/2006/relationships/hyperlink" Target="https://ec.europa.eu/environment/nature/ecosystems/docs/Table%201%20GI.pdf" TargetMode="External"/><Relationship Id="rId54" Type="http://schemas.openxmlformats.org/officeDocument/2006/relationships/hyperlink" Target="https://eur-lex.europa.eu/legal-content/EN/TXT/PDF/?uri=CELEX:02008L0050-20150918&amp;from=EN" TargetMode="External"/><Relationship Id="rId62" Type="http://schemas.openxmlformats.org/officeDocument/2006/relationships/hyperlink" Target="https://www.researchgate.net/publication/332710219_Evaluation_of_walking_level_health_and_economic_benefits_by_europe_health_economic_assessment_tool_for_walking_heat_-_for_walking" TargetMode="External"/><Relationship Id="rId70" Type="http://schemas.openxmlformats.org/officeDocument/2006/relationships/hyperlink" Target="https://op.europa.eu/en/publication-detail?p_p_id=portal2012documentDetail_WAR_portal2012portlet&amp;p_p_lifecycle=1&amp;p_p_state=normal&amp;p_p_mode=view&amp;p_p_col_id=maincontentarea&amp;p_p_col_count=3&amp;_portal2012documentDetail_WAR_portal2012portlet_javax.portlet.action=author&amp;facet.author=agent.Wavestone&amp;language=en&amp;facet.collection=EUPub" TargetMode="External"/><Relationship Id="rId75" Type="http://schemas.openxmlformats.org/officeDocument/2006/relationships/hyperlink" Target="https://op.europa.eu/en/publication-detail/-/publication/8a7b0dd0-df3d-11e9-9c4e-01aa75ed71a1/language-en" TargetMode="External"/><Relationship Id="rId83" Type="http://schemas.openxmlformats.org/officeDocument/2006/relationships/hyperlink" Target="https://ec.europa.eu/competition/state_aid/what_is_new/maritime_transport_overview_sa_rules_during_coronavirus.pdf" TargetMode="External"/><Relationship Id="rId88" Type="http://schemas.openxmlformats.org/officeDocument/2006/relationships/hyperlink" Target="https://ec.europa.eu/regional_policy/en/information/publications/working-papers/2019/road-transport-performance-in-europe" TargetMode="External"/><Relationship Id="rId91" Type="http://schemas.openxmlformats.org/officeDocument/2006/relationships/hyperlink" Target="https://www.eba.bund.de/DE/Themen/Finanzierung/LuFV/IZB/izb_node.html" TargetMode="External"/><Relationship Id="rId96" Type="http://schemas.openxmlformats.org/officeDocument/2006/relationships/hyperlink" Target="https://www.portforward-project.eu/" TargetMode="External"/><Relationship Id="rId1" Type="http://schemas.openxmlformats.org/officeDocument/2006/relationships/hyperlink" Target="https://ec.europa.eu/clima/sites/clima/files/docs/pages/com_2018_733_analysis_in_support_en_0.pdf" TargetMode="External"/><Relationship Id="rId6" Type="http://schemas.openxmlformats.org/officeDocument/2006/relationships/hyperlink" Target="https://www.oecd-ilibrary.org/docserver/b1a7632c-en.pdf?expires=1565000545&amp;id=id&amp;accname=id24042&amp;checksum=E8EF1EEA5165883BF77CEDEEC342B457" TargetMode="External"/><Relationship Id="rId15" Type="http://schemas.openxmlformats.org/officeDocument/2006/relationships/hyperlink" Target="https://www.eurofound.europa.eu/publications/report/2016/working-conditions/sixth-european-working-conditions-survey-overview-report" TargetMode="External"/><Relationship Id="rId23" Type="http://schemas.openxmlformats.org/officeDocument/2006/relationships/hyperlink" Target="https://ec.europa.eu/transport/themes/its/road/action_plan_en" TargetMode="External"/><Relationship Id="rId28" Type="http://schemas.openxmlformats.org/officeDocument/2006/relationships/hyperlink" Target="http://data.consilium.europa.eu/doc/document/ST-9994-2017-INIT/en/pdf" TargetMode="External"/><Relationship Id="rId36" Type="http://schemas.openxmlformats.org/officeDocument/2006/relationships/hyperlink" Target="https://www.eea.europa.eu/themes/transport/term/term-briefing-2018" TargetMode="External"/><Relationship Id="rId49" Type="http://schemas.openxmlformats.org/officeDocument/2006/relationships/hyperlink" Target="https://www.eltis.org/mobility-plans/city-database" TargetMode="External"/><Relationship Id="rId57" Type="http://schemas.openxmlformats.org/officeDocument/2006/relationships/hyperlink" Target="http://h2020-flow.eu/" TargetMode="External"/><Relationship Id="rId106" Type="http://schemas.openxmlformats.org/officeDocument/2006/relationships/hyperlink" Target="https://ec.europa.eu/energy/data-analysis/energy-modelling/eu-reference-scenario-2016_en" TargetMode="External"/><Relationship Id="rId10" Type="http://schemas.openxmlformats.org/officeDocument/2006/relationships/hyperlink" Target="https://www.iea.org/reports/world-energy-outlook-2019" TargetMode="External"/><Relationship Id="rId31" Type="http://schemas.openxmlformats.org/officeDocument/2006/relationships/hyperlink" Target="https://op.europa.eu/en/publication-detail/-/publication/a14413d7-bf30-11ea-901b-01aa75ed71a1" TargetMode="External"/><Relationship Id="rId44" Type="http://schemas.openxmlformats.org/officeDocument/2006/relationships/hyperlink" Target="https://www.transportenvironment.org/news/cruise-ships-poisoning-city-air-sulphur-much-cars-%E2%80%93-new-data-reveals" TargetMode="External"/><Relationship Id="rId52" Type="http://schemas.openxmlformats.org/officeDocument/2006/relationships/hyperlink" Target="https://ec.europa.eu/transport/sites/transport/files/themes/urban/studies/doc/2010_12_ars_final_report.pdf" TargetMode="External"/><Relationship Id="rId60" Type="http://schemas.openxmlformats.org/officeDocument/2006/relationships/hyperlink" Target="http://h2020-flow.eu/" TargetMode="External"/><Relationship Id="rId65" Type="http://schemas.openxmlformats.org/officeDocument/2006/relationships/hyperlink" Target="https://ec.europa.eu/environment/eussd/smgp/" TargetMode="External"/><Relationship Id="rId73" Type="http://schemas.openxmlformats.org/officeDocument/2006/relationships/hyperlink" Target="https://www.eltis.org/mobility-plans/topic-guides-0" TargetMode="External"/><Relationship Id="rId78" Type="http://schemas.openxmlformats.org/officeDocument/2006/relationships/hyperlink" Target="https://op.europa.eu/en/publication-detail?p_p_id=portal2012documentDetail_WAR_portal2012portlet&amp;p_p_lifecycle=1&amp;p_p_state=normal&amp;p_p_mode=view&amp;p_p_col_id=maincontentarea&amp;p_p_col_count=3&amp;_portal2012documentDetail_WAR_portal2012portlet_javax.portlet.action=author&amp;facet.author=agent.VVA&amp;language=en&amp;facet.collection=EUPub" TargetMode="External"/><Relationship Id="rId81" Type="http://schemas.openxmlformats.org/officeDocument/2006/relationships/hyperlink" Target="https://ec.europa.eu/transport/sites/transport/files/derogation_request_art14.docx" TargetMode="External"/><Relationship Id="rId86" Type="http://schemas.openxmlformats.org/officeDocument/2006/relationships/hyperlink" Target="https://ec.europa.eu/transport/sites/transport/files/2019-transport-in-the-eu-current-trends-and-issues.pdf" TargetMode="External"/><Relationship Id="rId94" Type="http://schemas.openxmlformats.org/officeDocument/2006/relationships/hyperlink" Target="https://www.docksthefuture.eu/" TargetMode="External"/><Relationship Id="rId99" Type="http://schemas.openxmlformats.org/officeDocument/2006/relationships/hyperlink" Target="https://ec.europa.eu/social/main.jsp?langId=en&amp;catId=1135&amp;newsId=9764&amp;furtherNews=yes" TargetMode="External"/><Relationship Id="rId101" Type="http://schemas.openxmlformats.org/officeDocument/2006/relationships/hyperlink" Target="https://www.destatis.de/EN/Press/2020/07/PE20_N035_46241.html" TargetMode="External"/><Relationship Id="rId4" Type="http://schemas.openxmlformats.org/officeDocument/2006/relationships/hyperlink" Target="https://www.oecd-ilibrary.org/transport/itf-transport-outlook-2019_transp_outlook-en-2019-en" TargetMode="External"/><Relationship Id="rId9" Type="http://schemas.openxmlformats.org/officeDocument/2006/relationships/hyperlink" Target="https://www.oecd.org/coronavirus/policy-responses/tourism-policy-responses-to-the-coronavirus-covid-19-6466aa20/" TargetMode="External"/><Relationship Id="rId13" Type="http://schemas.openxmlformats.org/officeDocument/2006/relationships/hyperlink" Target="https://ec.europa.eu/info/publications/economy-finance/2018-ageing-report-underlying-assumptions-and-projection-methodologies_en" TargetMode="External"/><Relationship Id="rId18" Type="http://schemas.openxmlformats.org/officeDocument/2006/relationships/hyperlink" Target="https://www.ertrac.org/uploads/documentsearch/id38/ERTRAC_Automated-Driving-2015.pdf" TargetMode="External"/><Relationship Id="rId39" Type="http://schemas.openxmlformats.org/officeDocument/2006/relationships/hyperlink" Target="https://www.sciencedirect.com/science/article/pii/S0091743516000402" TargetMode="External"/><Relationship Id="rId34" Type="http://schemas.openxmlformats.org/officeDocument/2006/relationships/hyperlink" Target="https://www.iiasa.ac.at/web/home/research/researchPrograms/air/Shipping_emissions_reductions_main.pdf" TargetMode="External"/><Relationship Id="rId50" Type="http://schemas.openxmlformats.org/officeDocument/2006/relationships/hyperlink" Target="https://ec.europa.eu/transport/sites/transport/files/uvar_final_report_august_28.pdf" TargetMode="External"/><Relationship Id="rId55" Type="http://schemas.openxmlformats.org/officeDocument/2006/relationships/hyperlink" Target="http://content.tfl.gov.uk/walking-cycling-economic-benefits-summary-pack.pdf" TargetMode="External"/><Relationship Id="rId76" Type="http://schemas.openxmlformats.org/officeDocument/2006/relationships/hyperlink" Target="https://op.europa.eu/en/publication-detail?p_p_id=portal2012documentDetail_WAR_portal2012portlet&amp;p_p_lifecycle=1&amp;p_p_state=normal&amp;p_p_mode=view&amp;p_p_col_id=maincontentarea&amp;p_p_col_count=3&amp;_portal2012documentDetail_WAR_portal2012portlet_javax.portlet.action=author&amp;facet.author=COM,ECFIN,TASKF,OIL,GIW,OIB,REPRES_NLD,REPRES_LVA,JLS,ERC,MARKT,MARE,REGIO,REA,BEPA,PRESS,BDS,ELARG,PMO,REPRES_LIT,AGRI,REPRES_SPA_BCN,SPP,ECHO,EAPH,REPRES_GBR_LON,REPRES_EST,FPI,REPRES_SPA_MAD,CASSTM,CNECT,DIGIT,HOME,ENER,REPRES_HUN,IEEA,EASME,COMP,REPRES_CZE,REPRES_BGR,SCR,REPRES_MLT,REPRES_PRT,REPRES_CYP,REPRES_HRV,CLIMA,EAHC,REPRES_SWE,REPRES_SVN,DEL_ACC,INFSO,EACI,ETHI,DG18,DG15,DG10,CHAFEA,REPRES_DEU_MUC,REPRES_POL_WAW,ESTAT,DEVCO,DGT,EPSC,GROW,SANTE,NEAR,FISMA,JUST,COM_CAB,SCAD,REPRES_GBR,REPRES_POL,TASKF_A50_UK,REPRES_SPA,REPRES_FRA,REPRES_ITA,ACSHHPW,PC_BUDG,IAB,RSB,PC_CONJ,COM_COLL,ACSH,EVHAC,PC_MTE,REPRES_DEU,REPRES_SVK,JUSTI,REPRES_DEU_BON,SCIC,REPRES_FRA_PAR,SJ,SG,REPRES_POL_WRO,OLAF,REPRES_DEU_BER,CCSS,FSU,REPRES_IRL,HR,REPRES_LUX,REPRES_FIN,TAXUD,COMMU,SANCO,ENTR,AUDIT,IGS,REPRES_ITA_MIL,MOVE,BUDG,REPRES_ROU,RTD,IAS,BTL,TENTEA,BTB,CMT_EMPL,DG01B,DG01A,REPRES_BEL,REPRES_GBR_CDF,ENV,DG23,DG17,DG07,DG03,DG02,DG01,REPRES_AUT,INEA,EMPL,EAC,TRADE,TREN,REPRES_ITA_ROM,RELEX,AIDCO,REPRES_GRC,EACEA,REPRES_GBR_BEL,REPRES_FRA_MRS,REPRES_GBR_EDI,REPRES_DAN,JRC,DEV,SRSS,HAS,STECF,DPO,SAM_ADV&amp;language=en&amp;facet.collection=EUPub" TargetMode="External"/><Relationship Id="rId97" Type="http://schemas.openxmlformats.org/officeDocument/2006/relationships/hyperlink" Target="https://pixel-ports.eu/" TargetMode="External"/><Relationship Id="rId104" Type="http://schemas.openxmlformats.org/officeDocument/2006/relationships/hyperlink" Target="https://e3modelling.com/modelling-tools/primes/"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DG MOVE</c:v>
                </c:pt>
              </c:strCache>
            </c:strRef>
          </c:tx>
          <c:spPr>
            <a:solidFill>
              <a:schemeClr val="accent1"/>
            </a:solidFill>
            <a:ln>
              <a:noFill/>
            </a:ln>
            <a:effectLst/>
          </c:spPr>
          <c:invertIfNegative val="0"/>
          <c:cat>
            <c:strRef>
              <c:f>Sheet1!$A$2:$A$7</c:f>
              <c:strCache>
                <c:ptCount val="6"/>
                <c:pt idx="0">
                  <c:v>2015</c:v>
                </c:pt>
                <c:pt idx="1">
                  <c:v>2016</c:v>
                </c:pt>
                <c:pt idx="2">
                  <c:v>2017</c:v>
                </c:pt>
                <c:pt idx="3">
                  <c:v>2018</c:v>
                </c:pt>
                <c:pt idx="4">
                  <c:v>2019</c:v>
                </c:pt>
                <c:pt idx="5">
                  <c:v>2020*</c:v>
                </c:pt>
              </c:strCache>
            </c:strRef>
          </c:cat>
          <c:val>
            <c:numRef>
              <c:f>Sheet1!$B$2:$B$7</c:f>
              <c:numCache>
                <c:formatCode>General</c:formatCode>
                <c:ptCount val="6"/>
                <c:pt idx="0">
                  <c:v>123</c:v>
                </c:pt>
                <c:pt idx="1">
                  <c:v>108</c:v>
                </c:pt>
                <c:pt idx="2">
                  <c:v>5</c:v>
                </c:pt>
                <c:pt idx="3">
                  <c:v>4</c:v>
                </c:pt>
                <c:pt idx="4">
                  <c:v>8</c:v>
                </c:pt>
                <c:pt idx="5">
                  <c:v>43</c:v>
                </c:pt>
              </c:numCache>
            </c:numRef>
          </c:val>
          <c:extLst xmlns:c16r2="http://schemas.microsoft.com/office/drawing/2015/06/chart">
            <c:ext xmlns:c16="http://schemas.microsoft.com/office/drawing/2014/chart" uri="{C3380CC4-5D6E-409C-BE32-E72D297353CC}">
              <c16:uniqueId val="{00000000-904E-4889-96DB-BA14D4094D2A}"/>
            </c:ext>
          </c:extLst>
        </c:ser>
        <c:dLbls>
          <c:showLegendKey val="0"/>
          <c:showVal val="0"/>
          <c:showCatName val="0"/>
          <c:showSerName val="0"/>
          <c:showPercent val="0"/>
          <c:showBubbleSize val="0"/>
        </c:dLbls>
        <c:gapWidth val="219"/>
        <c:overlap val="-27"/>
        <c:axId val="98087296"/>
        <c:axId val="98088832"/>
      </c:barChart>
      <c:lineChart>
        <c:grouping val="standard"/>
        <c:varyColors val="0"/>
        <c:ser>
          <c:idx val="1"/>
          <c:order val="1"/>
          <c:tx>
            <c:strRef>
              <c:f>Sheet1!$C$1</c:f>
              <c:strCache>
                <c:ptCount val="1"/>
                <c:pt idx="0">
                  <c:v>Commission</c:v>
                </c:pt>
              </c:strCache>
            </c:strRef>
          </c:tx>
          <c:spPr>
            <a:ln w="28575" cap="rnd">
              <a:solidFill>
                <a:schemeClr val="accent3"/>
              </a:solidFill>
              <a:round/>
            </a:ln>
            <a:effectLst/>
          </c:spPr>
          <c:marker>
            <c:symbol val="none"/>
          </c:marker>
          <c:cat>
            <c:strRef>
              <c:f>Sheet1!$A$2:$A$7</c:f>
              <c:strCache>
                <c:ptCount val="6"/>
                <c:pt idx="0">
                  <c:v>2015</c:v>
                </c:pt>
                <c:pt idx="1">
                  <c:v>2016</c:v>
                </c:pt>
                <c:pt idx="2">
                  <c:v>2017</c:v>
                </c:pt>
                <c:pt idx="3">
                  <c:v>2018</c:v>
                </c:pt>
                <c:pt idx="4">
                  <c:v>2019</c:v>
                </c:pt>
                <c:pt idx="5">
                  <c:v>2020*</c:v>
                </c:pt>
              </c:strCache>
            </c:strRef>
          </c:cat>
          <c:val>
            <c:numRef>
              <c:f>Sheet1!$C$2:$C$7</c:f>
              <c:numCache>
                <c:formatCode>General</c:formatCode>
                <c:ptCount val="6"/>
                <c:pt idx="0">
                  <c:v>881</c:v>
                </c:pt>
                <c:pt idx="1">
                  <c:v>790</c:v>
                </c:pt>
                <c:pt idx="2">
                  <c:v>178</c:v>
                </c:pt>
                <c:pt idx="3">
                  <c:v>110</c:v>
                </c:pt>
                <c:pt idx="4">
                  <c:v>190</c:v>
                </c:pt>
              </c:numCache>
            </c:numRef>
          </c:val>
          <c:smooth val="0"/>
          <c:extLst xmlns:c16r2="http://schemas.microsoft.com/office/drawing/2015/06/chart">
            <c:ext xmlns:c16="http://schemas.microsoft.com/office/drawing/2014/chart" uri="{C3380CC4-5D6E-409C-BE32-E72D297353CC}">
              <c16:uniqueId val="{00000001-904E-4889-96DB-BA14D4094D2A}"/>
            </c:ext>
          </c:extLst>
        </c:ser>
        <c:dLbls>
          <c:showLegendKey val="0"/>
          <c:showVal val="0"/>
          <c:showCatName val="0"/>
          <c:showSerName val="0"/>
          <c:showPercent val="0"/>
          <c:showBubbleSize val="0"/>
        </c:dLbls>
        <c:marker val="1"/>
        <c:smooth val="0"/>
        <c:axId val="98104448"/>
        <c:axId val="98090368"/>
      </c:lineChart>
      <c:catAx>
        <c:axId val="9808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98088832"/>
        <c:crosses val="autoZero"/>
        <c:auto val="1"/>
        <c:lblAlgn val="ctr"/>
        <c:lblOffset val="100"/>
        <c:noMultiLvlLbl val="0"/>
      </c:catAx>
      <c:valAx>
        <c:axId val="98088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9050">
            <a:solidFill>
              <a:schemeClr val="bg2">
                <a:lumMod val="75000"/>
              </a:schemeClr>
            </a:solid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98087296"/>
        <c:crosses val="autoZero"/>
        <c:crossBetween val="between"/>
      </c:valAx>
      <c:valAx>
        <c:axId val="98090368"/>
        <c:scaling>
          <c:orientation val="minMax"/>
        </c:scaling>
        <c:delete val="0"/>
        <c:axPos val="r"/>
        <c:numFmt formatCode="General" sourceLinked="1"/>
        <c:majorTickMark val="out"/>
        <c:minorTickMark val="none"/>
        <c:tickLblPos val="nextTo"/>
        <c:spPr>
          <a:noFill/>
          <a:ln w="19050">
            <a:solidFill>
              <a:schemeClr val="accent3"/>
            </a:solid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98104448"/>
        <c:crosses val="max"/>
        <c:crossBetween val="between"/>
      </c:valAx>
      <c:catAx>
        <c:axId val="98104448"/>
        <c:scaling>
          <c:orientation val="minMax"/>
        </c:scaling>
        <c:delete val="1"/>
        <c:axPos val="b"/>
        <c:numFmt formatCode="General" sourceLinked="1"/>
        <c:majorTickMark val="out"/>
        <c:minorTickMark val="none"/>
        <c:tickLblPos val="nextTo"/>
        <c:crossAx val="980903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chemeClr val="accent2">
          <a:lumMod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DG MOVE</c:v>
                </c:pt>
              </c:strCache>
            </c:strRef>
          </c:tx>
          <c:spPr>
            <a:solidFill>
              <a:schemeClr val="accent1"/>
            </a:solidFill>
            <a:ln>
              <a:noFill/>
            </a:ln>
            <a:effectLst/>
          </c:spPr>
          <c:invertIfNegative val="0"/>
          <c:cat>
            <c:strRef>
              <c:f>Sheet1!$A$2:$A$7</c:f>
              <c:strCache>
                <c:ptCount val="6"/>
                <c:pt idx="0">
                  <c:v>2015</c:v>
                </c:pt>
                <c:pt idx="1">
                  <c:v>2016</c:v>
                </c:pt>
                <c:pt idx="2">
                  <c:v>2017</c:v>
                </c:pt>
                <c:pt idx="3">
                  <c:v>2018</c:v>
                </c:pt>
                <c:pt idx="4">
                  <c:v>2019</c:v>
                </c:pt>
                <c:pt idx="5">
                  <c:v>2020*</c:v>
                </c:pt>
              </c:strCache>
            </c:strRef>
          </c:cat>
          <c:val>
            <c:numRef>
              <c:f>Sheet1!$B$2:$B$7</c:f>
              <c:numCache>
                <c:formatCode>General</c:formatCode>
                <c:ptCount val="6"/>
                <c:pt idx="0">
                  <c:v>123</c:v>
                </c:pt>
                <c:pt idx="1">
                  <c:v>108</c:v>
                </c:pt>
                <c:pt idx="2">
                  <c:v>5</c:v>
                </c:pt>
                <c:pt idx="3">
                  <c:v>4</c:v>
                </c:pt>
                <c:pt idx="4">
                  <c:v>8</c:v>
                </c:pt>
                <c:pt idx="5">
                  <c:v>43</c:v>
                </c:pt>
              </c:numCache>
            </c:numRef>
          </c:val>
          <c:extLst xmlns:c16r2="http://schemas.microsoft.com/office/drawing/2015/06/chart">
            <c:ext xmlns:c16="http://schemas.microsoft.com/office/drawing/2014/chart" uri="{C3380CC4-5D6E-409C-BE32-E72D297353CC}">
              <c16:uniqueId val="{00000000-904E-4889-96DB-BA14D4094D2A}"/>
            </c:ext>
          </c:extLst>
        </c:ser>
        <c:dLbls>
          <c:showLegendKey val="0"/>
          <c:showVal val="0"/>
          <c:showCatName val="0"/>
          <c:showSerName val="0"/>
          <c:showPercent val="0"/>
          <c:showBubbleSize val="0"/>
        </c:dLbls>
        <c:gapWidth val="219"/>
        <c:overlap val="-27"/>
        <c:axId val="98684288"/>
        <c:axId val="99300480"/>
      </c:barChart>
      <c:lineChart>
        <c:grouping val="standard"/>
        <c:varyColors val="0"/>
        <c:ser>
          <c:idx val="1"/>
          <c:order val="1"/>
          <c:tx>
            <c:strRef>
              <c:f>Sheet1!$C$1</c:f>
              <c:strCache>
                <c:ptCount val="1"/>
                <c:pt idx="0">
                  <c:v>Commission</c:v>
                </c:pt>
              </c:strCache>
            </c:strRef>
          </c:tx>
          <c:spPr>
            <a:ln w="28575" cap="rnd">
              <a:solidFill>
                <a:schemeClr val="accent3"/>
              </a:solidFill>
              <a:round/>
            </a:ln>
            <a:effectLst/>
          </c:spPr>
          <c:marker>
            <c:symbol val="none"/>
          </c:marker>
          <c:cat>
            <c:strRef>
              <c:f>Sheet1!$A$2:$A$7</c:f>
              <c:strCache>
                <c:ptCount val="6"/>
                <c:pt idx="0">
                  <c:v>2015</c:v>
                </c:pt>
                <c:pt idx="1">
                  <c:v>2016</c:v>
                </c:pt>
                <c:pt idx="2">
                  <c:v>2017</c:v>
                </c:pt>
                <c:pt idx="3">
                  <c:v>2018</c:v>
                </c:pt>
                <c:pt idx="4">
                  <c:v>2019</c:v>
                </c:pt>
                <c:pt idx="5">
                  <c:v>2020*</c:v>
                </c:pt>
              </c:strCache>
            </c:strRef>
          </c:cat>
          <c:val>
            <c:numRef>
              <c:f>Sheet1!$C$2:$C$7</c:f>
              <c:numCache>
                <c:formatCode>General</c:formatCode>
                <c:ptCount val="6"/>
                <c:pt idx="0">
                  <c:v>881</c:v>
                </c:pt>
                <c:pt idx="1">
                  <c:v>790</c:v>
                </c:pt>
                <c:pt idx="2">
                  <c:v>178</c:v>
                </c:pt>
                <c:pt idx="3">
                  <c:v>110</c:v>
                </c:pt>
                <c:pt idx="4">
                  <c:v>190</c:v>
                </c:pt>
              </c:numCache>
            </c:numRef>
          </c:val>
          <c:smooth val="0"/>
          <c:extLst xmlns:c16r2="http://schemas.microsoft.com/office/drawing/2015/06/chart">
            <c:ext xmlns:c16="http://schemas.microsoft.com/office/drawing/2014/chart" uri="{C3380CC4-5D6E-409C-BE32-E72D297353CC}">
              <c16:uniqueId val="{00000001-904E-4889-96DB-BA14D4094D2A}"/>
            </c:ext>
          </c:extLst>
        </c:ser>
        <c:dLbls>
          <c:showLegendKey val="0"/>
          <c:showVal val="0"/>
          <c:showCatName val="0"/>
          <c:showSerName val="0"/>
          <c:showPercent val="0"/>
          <c:showBubbleSize val="0"/>
        </c:dLbls>
        <c:marker val="1"/>
        <c:smooth val="0"/>
        <c:axId val="99307904"/>
        <c:axId val="99302016"/>
      </c:lineChart>
      <c:catAx>
        <c:axId val="9868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99300480"/>
        <c:crosses val="autoZero"/>
        <c:auto val="1"/>
        <c:lblAlgn val="ctr"/>
        <c:lblOffset val="100"/>
        <c:noMultiLvlLbl val="0"/>
      </c:catAx>
      <c:valAx>
        <c:axId val="9930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9050">
            <a:solidFill>
              <a:schemeClr val="bg2">
                <a:lumMod val="75000"/>
              </a:schemeClr>
            </a:solid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98684288"/>
        <c:crosses val="autoZero"/>
        <c:crossBetween val="between"/>
      </c:valAx>
      <c:valAx>
        <c:axId val="99302016"/>
        <c:scaling>
          <c:orientation val="minMax"/>
        </c:scaling>
        <c:delete val="0"/>
        <c:axPos val="r"/>
        <c:numFmt formatCode="General" sourceLinked="1"/>
        <c:majorTickMark val="out"/>
        <c:minorTickMark val="none"/>
        <c:tickLblPos val="nextTo"/>
        <c:spPr>
          <a:noFill/>
          <a:ln w="19050">
            <a:solidFill>
              <a:schemeClr val="accent3"/>
            </a:solid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99307904"/>
        <c:crosses val="max"/>
        <c:crossBetween val="between"/>
      </c:valAx>
      <c:catAx>
        <c:axId val="99307904"/>
        <c:scaling>
          <c:orientation val="minMax"/>
        </c:scaling>
        <c:delete val="1"/>
        <c:axPos val="b"/>
        <c:numFmt formatCode="General" sourceLinked="1"/>
        <c:majorTickMark val="out"/>
        <c:minorTickMark val="none"/>
        <c:tickLblPos val="nextTo"/>
        <c:crossAx val="993020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chemeClr val="accent2">
          <a:lumMod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"Share by Mode in Total Transport Greenhouse Gas Emissions (GHG), including International Bunkers : EU-27 (2018)"</c:f>
          <c:strCache>
            <c:ptCount val="1"/>
            <c:pt idx="0">
              <c:v>Share by Mode in Total Transport Greenhouse Gas Emissions (GHG), including International Bunkers : EU-27 (2018)</c:v>
            </c:pt>
          </c:strCache>
        </c:strRef>
      </c:tx>
      <c:layout>
        <c:manualLayout>
          <c:xMode val="edge"/>
          <c:yMode val="edge"/>
          <c:x val="0.12121238633049655"/>
          <c:y val="3.5144003860503988E-2"/>
        </c:manualLayout>
      </c:layout>
      <c:overlay val="0"/>
      <c:spPr>
        <a:noFill/>
        <a:ln w="25400">
          <a:noFill/>
        </a:ln>
      </c:spPr>
      <c:txPr>
        <a:bodyPr/>
        <a:lstStyle/>
        <a:p>
          <a:pPr>
            <a:defRPr sz="800" b="1" i="0" u="none" strike="noStrike" baseline="0">
              <a:solidFill>
                <a:srgbClr val="000000"/>
              </a:solidFill>
              <a:latin typeface="Arial"/>
              <a:ea typeface="Arial"/>
              <a:cs typeface="Arial"/>
            </a:defRPr>
          </a:pPr>
          <a:endParaRPr lang="en-US"/>
        </a:p>
      </c:txPr>
    </c:title>
    <c:autoTitleDeleted val="0"/>
    <c:plotArea>
      <c:layout>
        <c:manualLayout>
          <c:layoutTarget val="inner"/>
          <c:xMode val="edge"/>
          <c:yMode val="edge"/>
          <c:x val="0.27777846279805574"/>
          <c:y val="0.31629442313302331"/>
          <c:w val="0.42676872920792203"/>
          <c:h val="0.53993694454021146"/>
        </c:manualLayout>
      </c:layout>
      <c:pieChart>
        <c:varyColors val="1"/>
        <c:dLbls>
          <c:showLegendKey val="0"/>
          <c:showVal val="0"/>
          <c:showCatName val="0"/>
          <c:showSerName val="0"/>
          <c:showPercent val="0"/>
          <c:showBubbleSize val="0"/>
          <c:showLeaderLines val="0"/>
        </c:dLbls>
        <c:firstSliceAng val="0"/>
      </c:pieChart>
      <c:spPr>
        <a:noFill/>
        <a:ln w="25400">
          <a:noFill/>
        </a:ln>
      </c:spPr>
    </c:plotArea>
    <c:plotVisOnly val="1"/>
    <c:dispBlanksAs val="zero"/>
    <c:showDLblsOverMax val="0"/>
  </c:chart>
  <c:spPr>
    <a:solidFill>
      <a:srgbClr val="FFFFFF"/>
    </a:solidFill>
    <a:ln w="9525">
      <a:noFill/>
    </a:ln>
  </c:spPr>
  <c:txPr>
    <a:bodyPr/>
    <a:lstStyle/>
    <a:p>
      <a:pPr algn="ctr">
        <a:defRPr sz="55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9.png"/></Relationships>
</file>

<file path=word/drawings/drawing1.xml><?xml version="1.0" encoding="utf-8"?>
<c:userShapes xmlns:c="http://schemas.openxmlformats.org/drawingml/2006/chart">
  <cdr:relSizeAnchor xmlns:cdr="http://schemas.openxmlformats.org/drawingml/2006/chartDrawing">
    <cdr:from>
      <cdr:x>0.00952</cdr:x>
      <cdr:y>0.01457</cdr:y>
    </cdr:from>
    <cdr:to>
      <cdr:x>0.73373</cdr:x>
      <cdr:y>0.97779</cdr:y>
    </cdr:to>
    <cdr:pic>
      <cdr:nvPicPr>
        <cdr:cNvPr id="2" name="Picture 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3865245" cy="3359150"/>
        </a:xfrm>
        <a:prstGeom xmlns:a="http://schemas.openxmlformats.org/drawingml/2006/main" prst="rect">
          <a:avLst/>
        </a:prstGeom>
        <a:noFill xmlns:a="http://schemas.openxmlformats.org/drawingml/2006/main"/>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b:Source>
    <b:Tag>Dut</b:Tag>
    <b:SourceType>JournalArticle</b:SourceType>
    <b:Guid>{DFC8C6C3-2CC6-4CEE-8068-BE8593EAE5DF}</b:Guid>
    <b:Title>Anthropogenic outdoor sound and wildlife: It's not just bioacoustics!</b:Title>
    <b:Author>
      <b:Author>
        <b:NameList>
          <b:Person>
            <b:Last>Dutilleux</b:Last>
            <b:First>G.</b:First>
          </b:Person>
        </b:NameList>
      </b:Author>
    </b:Author>
    <b:JournalName>Proceedings Acoustics</b:JournalName>
    <b:Year>2012</b:Year>
    <b:Pages>2301-2306</b:Pages>
    <b:RefOrder>203</b:RefOrder>
  </b:Source>
</b:Sources>
</file>

<file path=customXml/itemProps1.xml><?xml version="1.0" encoding="utf-8"?>
<ds:datastoreItem xmlns:ds="http://schemas.openxmlformats.org/officeDocument/2006/customXml" ds:itemID="{CEC2C853-33AC-4A0F-869F-B37C3F859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121268</Words>
  <Characters>676676</Characters>
  <Application>Microsoft Office Word</Application>
  <DocSecurity>0</DocSecurity>
  <PresentationFormat>Microsoft Word 14.0</PresentationFormat>
  <Lines>11469</Lines>
  <Paragraphs>2704</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795240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2020-12-05T20:06:00Z</dcterms:created>
  <dcterms:modified xsi:type="dcterms:W3CDTF">2020-12-08T17:47:00Z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Last edited using">
    <vt:lpwstr>LW 7.0.1, Build 20190916</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CP-025</vt:lpwstr>
  </property>
</Properties>
</file>