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en-GB"/>
        </w:rPr>
      </w:pPr>
      <w:bookmarkStart w:id="0" w:name="LW_BM_COVERPAGE"/>
      <w:r>
        <w:rPr>
          <w:noProof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EA5C583-E96C-4764-9E0F-9A210641EC68" style="width:450.75pt;height:420.75pt">
            <v:imagedata r:id="rId9" o:title=""/>
          </v:shape>
        </w:pict>
      </w:r>
    </w:p>
    <w:bookmarkEnd w:id="0"/>
    <w:p>
      <w:pPr>
        <w:rPr>
          <w:noProof/>
          <w:lang w:val="en-GB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1"/>
        <w:numPr>
          <w:ilvl w:val="0"/>
          <w:numId w:val="0"/>
        </w:numPr>
        <w:ind w:left="432"/>
        <w:jc w:val="center"/>
        <w:rPr>
          <w:rFonts w:ascii="Times New Roman" w:hAnsi="Times New Roman"/>
          <w:noProof/>
          <w:lang w:val="en-GB"/>
        </w:rPr>
      </w:pPr>
      <w:bookmarkStart w:id="1" w:name="_GoBack"/>
      <w:bookmarkEnd w:id="1"/>
      <w:r>
        <w:rPr>
          <w:rFonts w:ascii="Times New Roman" w:hAnsi="Times New Roman"/>
          <w:noProof/>
          <w:lang w:val="en-GB"/>
        </w:rPr>
        <w:lastRenderedPageBreak/>
        <w:t xml:space="preserve">Action Plan </w:t>
      </w:r>
      <w:r>
        <w:rPr>
          <w:rStyle w:val="FootnoteReference"/>
          <w:rFonts w:ascii="Times New Roman" w:hAnsi="Times New Roman"/>
          <w:noProof/>
          <w:lang w:val="en-GB"/>
        </w:rPr>
        <w:footnoteReference w:id="2"/>
      </w:r>
    </w:p>
    <w:p>
      <w:pPr>
        <w:spacing w:after="0"/>
        <w:rPr>
          <w:rFonts w:ascii="Times New Roman" w:hAnsi="Times New Roman" w:cs="Times New Roman"/>
          <w:noProof/>
          <w:sz w:val="16"/>
          <w:szCs w:val="16"/>
          <w:lang w:val="en-GB" w:eastAsia="ja-JP"/>
        </w:rPr>
      </w:pPr>
    </w:p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047"/>
        <w:gridCol w:w="1361"/>
      </w:tblGrid>
      <w:tr>
        <w:trPr>
          <w:tblHeader/>
        </w:trPr>
        <w:tc>
          <w:tcPr>
            <w:tcW w:w="9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>
            <w:pPr>
              <w:pStyle w:val="Text1"/>
              <w:keepNext/>
              <w:snapToGrid w:val="0"/>
              <w:spacing w:after="0"/>
              <w:ind w:left="55"/>
              <w:jc w:val="center"/>
              <w:rPr>
                <w:b/>
                <w:noProof/>
                <w:sz w:val="20"/>
              </w:rPr>
            </w:pPr>
            <w:r>
              <w:rPr>
                <w:b/>
                <w:bCs/>
                <w:noProof/>
                <w:sz w:val="20"/>
              </w:rPr>
              <w:t xml:space="preserve">SUSTAINABLE MOBILITY </w:t>
            </w:r>
          </w:p>
        </w:tc>
      </w:tr>
      <w:tr>
        <w:trPr>
          <w:tblHeader/>
        </w:trPr>
        <w:tc>
          <w:tcPr>
            <w:tcW w:w="9408" w:type="dxa"/>
            <w:gridSpan w:val="2"/>
            <w:shd w:val="clear" w:color="auto" w:fill="EAF1DD"/>
            <w:vAlign w:val="bottom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noProof/>
                <w:sz w:val="20"/>
              </w:rPr>
            </w:pPr>
            <w:r>
              <w:rPr>
                <w:smallCaps/>
                <w:noProof/>
              </w:rPr>
              <w:t xml:space="preserve">Flagship 1 - Boosting uptake of zero-emission vehicles,  renewable &amp; low-carbon fuels and related infrastructure 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Revision of the recast Renewable Energy Directive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Adopt relevant implementing legislation under the recast Renewable Energy Directive setting out methodologies for measuring GHG emissions savings and promotion of renewable and low-carbon fuels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Revision of the CO</w:t>
            </w:r>
            <w:r>
              <w:rPr>
                <w:noProof/>
                <w:sz w:val="20"/>
                <w:szCs w:val="20"/>
                <w:vertAlign w:val="subscript"/>
              </w:rPr>
              <w:t>2</w:t>
            </w:r>
            <w:r>
              <w:rPr>
                <w:noProof/>
                <w:sz w:val="20"/>
                <w:szCs w:val="20"/>
              </w:rPr>
              <w:t xml:space="preserve"> emission performance standards for cars and vans, for lorries and put in place CO</w:t>
            </w:r>
            <w:r>
              <w:rPr>
                <w:noProof/>
                <w:sz w:val="20"/>
                <w:szCs w:val="20"/>
                <w:vertAlign w:val="subscript"/>
              </w:rPr>
              <w:t>2</w:t>
            </w:r>
            <w:r>
              <w:rPr>
                <w:noProof/>
                <w:sz w:val="20"/>
                <w:szCs w:val="20"/>
              </w:rPr>
              <w:t xml:space="preserve"> emission performance standards for buses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2021-2022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Revision of the Weights and Dimensions Directive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Explore the benefits of retrofitting and renewal schemes in various transport modes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Propose post-Euro 6/VI emission standards for cars, vans, lorries and buses</w:t>
            </w:r>
            <w:r>
              <w:rPr>
                <w:noProof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Improve emissions testing in roadworthiness checks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2023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Develop coherent rules for environmental, energy and safety performance of tyres              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2023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Foster development of energy efficiency and alternative fuel measures at IMO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Revision of the Alternative Fuels Infrastructure Directive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3"/>
            </w:r>
            <w:r>
              <w:rPr>
                <w:noProof/>
                <w:sz w:val="20"/>
                <w:szCs w:val="20"/>
                <w:vertAlign w:val="superscript"/>
              </w:rPr>
              <w:t xml:space="preserve">  </w:t>
            </w:r>
            <w:r>
              <w:rPr>
                <w:noProof/>
                <w:sz w:val="20"/>
                <w:szCs w:val="20"/>
              </w:rPr>
              <w:t>and a roll-out plan with funding opportunities and requirements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Revision of the Energy Performance of Buildings Directive including enhanced provisions on charging infrastructure for e-mobility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>Flagship 2 - Creating zero-emission airports and ports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Launch FuelEU Maritime – Green European Maritime Space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4"/>
            </w:r>
            <w:r>
              <w:rPr>
                <w:noProof/>
                <w:sz w:val="20"/>
                <w:szCs w:val="20"/>
              </w:rPr>
              <w:t xml:space="preserve"> and ReFuelEU Aviation – Sustainable Aviation Fuels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Consider to establish the Renewable and Low-Carbon Fuels Value Chain Alliance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5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rHeight w:val="159"/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Revision of the Ship-source pollution Directive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</w:t>
            </w:r>
          </w:p>
        </w:tc>
      </w:tr>
      <w:tr>
        <w:trPr>
          <w:trHeight w:val="159"/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Revision of the EU Ship Recycling Regulation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6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2023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Revision of the Airport Slots Regulation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7"/>
            </w:r>
            <w:r>
              <w:rPr>
                <w:noProof/>
                <w:sz w:val="20"/>
                <w:szCs w:val="20"/>
              </w:rPr>
              <w:t xml:space="preserve"> and the Airport Charges Directive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8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2021-2022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Establish sustainable taxonomy criteria for all modes</w:t>
            </w:r>
            <w:r>
              <w:rPr>
                <w:noProof/>
                <w:vertAlign w:val="superscript"/>
              </w:rPr>
              <w:footnoteReference w:id="9"/>
            </w:r>
            <w:r>
              <w:rPr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2021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rPr>
                <w:smallCaps/>
                <w:noProof/>
              </w:rPr>
            </w:pPr>
            <w:r>
              <w:rPr>
                <w:smallCaps/>
                <w:noProof/>
              </w:rPr>
              <w:t>Flagship 3 - Making interurban  and urban mobility more sustainable and healthy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EU 2021 Rail Corridor Initiative - Action Plan to boost passenger rail transport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Put in place measures to better manage and coordinate international rail traffic, including if necessary through revised rules for capacity allocation and</w:t>
            </w:r>
            <w:r>
              <w:rPr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infrastructure charging in rail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10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cap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Revision of the Urban Mobility Package of 2013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rHeight w:val="18"/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Zero pollution action plan for air, water and soil; revision of air quality standards and reduction of noise pollution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2021; 2022</w:t>
            </w:r>
          </w:p>
        </w:tc>
      </w:tr>
      <w:tr>
        <w:trPr>
          <w:trHeight w:val="18"/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Issue guidelines to support the safe use of micromobility devices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Assess the need for measures to ensure a level playing field for local, on-demand passenger transport and ride-hailing platforms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>Flagship 4 - Greening freight transport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EU 2021 Rail Corridor Initiative - Revise the Rail Freight Corridor Regulation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rFonts w:eastAsiaTheme="minorEastAsia"/>
                <w:noProof/>
                <w:sz w:val="20"/>
                <w:lang w:eastAsia="ja-JP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Review of the regulatory framework for intermodal transport, including the Combined Transport Directive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Launch NAIADES III to exploit the untapped potential of inland waterways transport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Enable B2A multimodal data exchange through implementation of the e-FTI Regulation and Maritime Single Window environment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2025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Issue guidelines for operators and platforms on informing users about the carbon footprint of their deliveries and on offering sustainable delivery choices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11"/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2023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>Flagship 5 - Pricing carbon and providing better incentives for users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Revision of the EU Emissions Trading System (ETS), with respect to maritime transport; aviation; and CORSIA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12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rFonts w:eastAsiaTheme="majorEastAsia"/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Revision of the Energy Taxation Directive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13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rFonts w:eastAsiaTheme="majorEastAsia"/>
                <w:noProof/>
                <w:sz w:val="20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Review VAT exemptions for international passenger transport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rFonts w:eastAsiaTheme="majorEastAsia"/>
                <w:noProof/>
                <w:sz w:val="20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Put forward market-based measures for shipping at IMO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rFonts w:eastAsiaTheme="majorEastAsia"/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Establish EU framework for harmonised measurement of transport and logistics emissions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Issue guidelines for operators and platforms to inform passengers about the carbon footprint of their trip and to enable passengers to voluntarily offset it, and for wider use of eco-routing for (in-built) navigation software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2023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Development of an environmental label programme for aviation by EASA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>
            <w:pPr>
              <w:pStyle w:val="Text1"/>
              <w:keepNext/>
              <w:snapToGrid w:val="0"/>
              <w:spacing w:after="0"/>
              <w:ind w:left="0"/>
              <w:jc w:val="center"/>
              <w:rPr>
                <w:noProof/>
                <w:sz w:val="20"/>
              </w:rPr>
            </w:pPr>
            <w:r>
              <w:rPr>
                <w:b/>
                <w:bCs/>
                <w:noProof/>
                <w:sz w:val="20"/>
              </w:rPr>
              <w:t>SMART MOBILITY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>Flagship 6 - Making connected and automated multimodal mobility a reality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Revise Delegated Regulation 2015/962 on real time traffic information services to extend geographical coverage and datasets; revise Delegated Regulation 2017/1926 on multimodal travel information services to include mandatory accessibility of new dynamic datasets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2021; 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Assess the need for regulatory action on rights and duties of multimodal digital service providers and issue a recommendation to ensure public service contracts do not hamper data sharing and support the development of multimodal ticketing services, together with an initiative on ticketing, including rail ticketing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Revision of the Directive on Intelligent Transport Systems, including a multimodal ticketing initiative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Complete the EU legal framework on the approval of automated vehicles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Assess the need for an agency or other body to support safe, smart and sustainable road transport operations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14"/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Adopt the implementing legislation for the approval of connected and automated vehicles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Adopt railway technical standards and specifications package on ERTMS/Control-Command and Signalling (CCS); and develop mandatory deployment plans for automatic train operation, automated traffic management and advanced CCS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Revision of the Directive on Harmonised River Information Services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Propose measures on electronic documents for inland crew and vessels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2021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 xml:space="preserve">Flagship 7 - Innovation, data and AI for smart mobility 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Develop/renew R&amp;I partnerships: Connected, cooperative and automated mobility; Shift2Rail; SESAR; Waterborne; Clean Aviation; Clean Hydrogen Partnership; Smart Networks and Services; AI, Data and Robotics; and Key Digital Technologies.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2020-2021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Further develop the regulatory framework for drones and unmanned aircraft, including U-Space; adopt a Drone Strategy 2.0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2021-2023; 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Assess the need for regulatory actions to ensure safety and security of new entrants and new technologies, such as hyperloop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Set up a high-level group (‘New Mobility Tech Group’) as a first step toward the development of a coherent EU approach and a set of recommendations on facilitating testing and trials of emerging mobility technologies and solutions in the EU (‘European Mobility Test Beds’)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Develop a common European mobility data space and establish a stronger coordination mechanism for the national access points established under the ITS Directive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 xml:space="preserve">2021 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Set out an AI roadmap for mobility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Review the regulatory framework for interoperable data sharing in rail transport (ERTMS, rail telematics applications)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Review the current EU type approval legislation to facilitate car data-based services including interaction with energy system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Propose a new regulatory framework to open up access to car data to mobility services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Propose rules on a trusted environment for corridor data exchange to support collaborative logistics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2022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>
            <w:pPr>
              <w:pStyle w:val="Text1"/>
              <w:keepNext/>
              <w:snapToGrid w:val="0"/>
              <w:spacing w:after="0"/>
              <w:ind w:left="0"/>
              <w:jc w:val="center"/>
              <w:rPr>
                <w:rFonts w:eastAsiaTheme="majorEastAsia"/>
                <w:i/>
                <w:noProof/>
                <w:sz w:val="20"/>
                <w:lang w:eastAsia="ja-JP"/>
              </w:rPr>
            </w:pPr>
            <w:r>
              <w:rPr>
                <w:b/>
                <w:bCs/>
                <w:noProof/>
                <w:sz w:val="20"/>
              </w:rPr>
              <w:t>RESILIENT MOBILITY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>Flagship 8 - Reinforcing the single market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Revision of the Regulation on the Trans-European Transport Network (TEN-T)</w:t>
            </w:r>
            <w:r>
              <w:rPr>
                <w:noProof/>
                <w:vertAlign w:val="superscript"/>
              </w:rPr>
              <w:footnoteReference w:id="15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Assess the impacts of the COVID-19 pandemic on connectivity and competition in the market, and propose follow-up measures as appropriate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i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>2021-22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Review the transport relevant State aid rules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>2023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Prepare crisis contingency plan(s) for the transport sector, including health-safety and operational measures and setting out essential transport services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iCs/>
                <w:noProof/>
                <w:sz w:val="20"/>
                <w:lang w:eastAsia="ja-JP"/>
              </w:rPr>
              <w:t>2021-2023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Revision of the Air Services Regulation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2021-22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Propose measures to encourage cross-border car rentals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Guidance on climate proofing of transport infrastructure, networks and systems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>Flagship 9 - Making  mobility fair and just for all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Review of the interpretative guidelines on the Land PSO Regulation; revise rules on air PSOs; and provide guidance on freight PSOs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0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2021; 2022; 2023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Review of the passenger rights regulatory framework, including to ensure its resilience to extensive travel disruptions, and including options for multimodal tickets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16"/>
            </w:r>
            <w:r>
              <w:rPr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>2021-2022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Assess the options and propose, if appropriate, an adequate financial protection scheme to protect passengers against the risk of a liquidity crisis or an insolvency regarding the reimbursement of tickets and if needed their repatriation.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2021-2022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Revision of the Code of Conduct for computerised reservation systems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>2021-2022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Assess the need for a proposal to require efficient exchange of odometer readings across the EU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Revision of the Directive on the certification of train drivers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Launch initiatives to enhance living and working conditions for seafarers (including the revision of the International Convention on Standards of Training, Certification and Watchkeeping for Seafarers at the IMO)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Issue recommendations for the transition to automation and digitalisation and their impact on the transport workforce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>2023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Launch initiatives to increase the attractiveness of the transport sector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>2021-2023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>Flagship 10 - Enhancing transport safety and security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Revision of the Directive on cross-border enforcement of traffic rules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2021-2022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Revision of the Driving Licence Directive to address technological innovation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17"/>
            </w:r>
            <w:r>
              <w:rPr>
                <w:noProof/>
                <w:sz w:val="20"/>
                <w:szCs w:val="20"/>
              </w:rPr>
              <w:t>, including digital driving licences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Consider new guidance on issues such as the maximum permitted blood alcohol content for drivers of motorised vehicles and on the use of alcohol interlocks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Assess the need to propose rules for auditing, inspecting and reporting on infrastructure quality for bridges or other sensitive infrastructure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>2023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Adapt the eCall legal framework to new telecommunication technologies; consider the extension of eCall to powered two wheelers, trucks, buses and agricultural tractors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2021; 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Revision of the maritime safety framework (Directives on flag state responsibilities, port state control and accident investigation)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2021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Revise the mandate of the European Maritime Safety Agency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Propose EU manning requirements for inland navigation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2023-2024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Consider setting up an EU rapid alert mechanism for security, including cyber threats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Explore the need to adapt existing rules to address cyber risks and insider threats, in line of the toolbox on 5G cybersecurity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Improve security for passenger rail travel by implementing the results of the action plan on rail security and the Rail Passenger Security Platform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noProof/>
                <w:sz w:val="20"/>
              </w:rPr>
              <w:t>2022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Establish a scheme under the cybersecurity certification framework for automated vehicles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  <w:lang w:eastAsia="ja-JP"/>
              </w:rPr>
            </w:pPr>
            <w:r>
              <w:rPr>
                <w:rFonts w:eastAsiaTheme="majorEastAsia"/>
                <w:noProof/>
                <w:sz w:val="20"/>
                <w:lang w:eastAsia="ja-JP"/>
              </w:rPr>
              <w:t>2023</w:t>
            </w:r>
          </w:p>
        </w:tc>
      </w:tr>
    </w:tbl>
    <w:p>
      <w:pPr>
        <w:tabs>
          <w:tab w:val="left" w:pos="7735"/>
        </w:tabs>
        <w:rPr>
          <w:noProof/>
          <w:lang w:val="en-GB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1274" w:bottom="851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1560061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spacing w:after="0"/>
        <w:ind w:left="0" w:firstLine="0"/>
        <w:rPr>
          <w:sz w:val="16"/>
          <w:szCs w:val="16"/>
          <w:u w:val="single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Unless otherwise indicated, the Action Plan lists Commission initiatives.</w:t>
      </w:r>
    </w:p>
  </w:footnote>
  <w:footnote w:id="3">
    <w:p>
      <w:pPr>
        <w:pStyle w:val="FootnoteText"/>
        <w:spacing w:after="0"/>
        <w:ind w:left="0" w:firstLine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This action has relevant aspects for flagship 2</w:t>
      </w:r>
      <w:r>
        <w:rPr>
          <w:sz w:val="16"/>
          <w:szCs w:val="16"/>
          <w:lang w:val="en-GB"/>
        </w:rPr>
        <w:t xml:space="preserve"> in particular</w:t>
      </w:r>
      <w:r>
        <w:rPr>
          <w:sz w:val="16"/>
          <w:szCs w:val="16"/>
        </w:rPr>
        <w:t>.</w:t>
      </w:r>
    </w:p>
  </w:footnote>
  <w:footnote w:id="4">
    <w:p>
      <w:pPr>
        <w:pStyle w:val="FootnoteText"/>
        <w:spacing w:after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This action</w:t>
      </w:r>
      <w:r>
        <w:rPr>
          <w:sz w:val="16"/>
          <w:szCs w:val="16"/>
          <w:lang w:val="en-GB"/>
        </w:rPr>
        <w:t xml:space="preserve"> has relevant aspects for flagship 1 in particular.</w:t>
      </w:r>
    </w:p>
  </w:footnote>
  <w:footnote w:id="5">
    <w:p>
      <w:pPr>
        <w:pStyle w:val="FootnoteText"/>
        <w:spacing w:after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This action</w:t>
      </w:r>
      <w:r>
        <w:rPr>
          <w:sz w:val="16"/>
          <w:szCs w:val="16"/>
          <w:lang w:val="en-GB"/>
        </w:rPr>
        <w:t xml:space="preserve"> has relevant aspects for flagship 1 in particular.</w:t>
      </w:r>
    </w:p>
  </w:footnote>
  <w:footnote w:id="6">
    <w:p>
      <w:pPr>
        <w:pStyle w:val="FootnoteText"/>
        <w:spacing w:after="0"/>
        <w:ind w:left="0" w:firstLine="0"/>
        <w:rPr>
          <w:sz w:val="16"/>
          <w:szCs w:val="16"/>
          <w:lang w:val="en-GB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>This action has relevant aspects for flagship 10 in particular.</w:t>
      </w:r>
    </w:p>
  </w:footnote>
  <w:footnote w:id="7">
    <w:p>
      <w:pPr>
        <w:pStyle w:val="FootnoteText"/>
        <w:spacing w:after="0"/>
        <w:ind w:left="0" w:firstLine="0"/>
        <w:rPr>
          <w:sz w:val="16"/>
          <w:szCs w:val="16"/>
          <w:lang w:val="en-GB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>This action has relevant aspects for flagship 5 in particular.</w:t>
      </w:r>
    </w:p>
  </w:footnote>
  <w:footnote w:id="8">
    <w:p>
      <w:pPr>
        <w:pStyle w:val="FootnoteText"/>
        <w:spacing w:after="0"/>
        <w:ind w:left="0" w:firstLine="0"/>
        <w:rPr>
          <w:sz w:val="16"/>
          <w:szCs w:val="16"/>
          <w:lang w:val="en-GB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>This action has relevant aspects for flagship 5 in particular.</w:t>
      </w:r>
    </w:p>
  </w:footnote>
  <w:footnote w:id="9">
    <w:p>
      <w:pPr>
        <w:pStyle w:val="FootnoteText"/>
        <w:spacing w:after="0"/>
        <w:ind w:left="0" w:firstLine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This action has relevant aspects for flagship 1</w:t>
      </w:r>
      <w:r>
        <w:rPr>
          <w:sz w:val="16"/>
          <w:szCs w:val="16"/>
          <w:lang w:val="en-GB"/>
        </w:rPr>
        <w:t xml:space="preserve"> in particular</w:t>
      </w:r>
      <w:r>
        <w:rPr>
          <w:sz w:val="16"/>
          <w:szCs w:val="16"/>
        </w:rPr>
        <w:t>.</w:t>
      </w:r>
    </w:p>
  </w:footnote>
  <w:footnote w:id="10">
    <w:p>
      <w:pPr>
        <w:pStyle w:val="FootnoteText"/>
        <w:spacing w:after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This action has relevant aspects for flagship 4</w:t>
      </w:r>
      <w:r>
        <w:rPr>
          <w:sz w:val="16"/>
          <w:szCs w:val="16"/>
          <w:lang w:val="en-GB"/>
        </w:rPr>
        <w:t xml:space="preserve"> in particular</w:t>
      </w:r>
      <w:r>
        <w:rPr>
          <w:sz w:val="16"/>
          <w:szCs w:val="16"/>
        </w:rPr>
        <w:t>.</w:t>
      </w:r>
    </w:p>
  </w:footnote>
  <w:footnote w:id="11">
    <w:p>
      <w:pPr>
        <w:pStyle w:val="FootnoteText"/>
        <w:spacing w:after="0"/>
        <w:ind w:left="0" w:firstLine="0"/>
        <w:rPr>
          <w:sz w:val="16"/>
          <w:szCs w:val="16"/>
          <w:lang w:val="en-GB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>This action has relevant aspects for flagship 5 in particular.</w:t>
      </w:r>
    </w:p>
  </w:footnote>
  <w:footnote w:id="12">
    <w:p>
      <w:pPr>
        <w:pStyle w:val="FootnoteText"/>
        <w:spacing w:after="0"/>
        <w:ind w:left="0" w:firstLine="0"/>
        <w:rPr>
          <w:sz w:val="16"/>
          <w:szCs w:val="16"/>
          <w:lang w:val="en-GB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 xml:space="preserve">The action has relevant aspects for flagship 1-4 in particular. </w:t>
      </w:r>
    </w:p>
  </w:footnote>
  <w:footnote w:id="13">
    <w:p>
      <w:pPr>
        <w:pStyle w:val="FootnoteText"/>
        <w:spacing w:after="0"/>
        <w:ind w:left="0" w:firstLine="0"/>
        <w:rPr>
          <w:sz w:val="16"/>
          <w:szCs w:val="16"/>
          <w:lang w:val="en-GB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 xml:space="preserve">The action has relevant aspects for flagship 1-4 in particular. </w:t>
      </w:r>
    </w:p>
  </w:footnote>
  <w:footnote w:id="14">
    <w:p>
      <w:pPr>
        <w:pStyle w:val="FootnoteText"/>
        <w:spacing w:after="0"/>
        <w:ind w:left="0" w:firstLine="0"/>
        <w:rPr>
          <w:sz w:val="16"/>
          <w:szCs w:val="16"/>
          <w:lang w:val="en-GB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 xml:space="preserve">This action has relevant aspects for flagship 10 in particular. </w:t>
      </w:r>
    </w:p>
  </w:footnote>
  <w:footnote w:id="15">
    <w:p>
      <w:pPr>
        <w:pStyle w:val="FootnoteText"/>
        <w:spacing w:after="0"/>
        <w:ind w:left="0" w:firstLine="0"/>
        <w:rPr>
          <w:sz w:val="16"/>
          <w:szCs w:val="16"/>
          <w:lang w:val="en-GB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>This action has relevant aspects for flagships 1-4 in particular.</w:t>
      </w:r>
    </w:p>
  </w:footnote>
  <w:footnote w:id="16">
    <w:p>
      <w:pPr>
        <w:pStyle w:val="FootnoteText"/>
        <w:spacing w:after="0"/>
        <w:rPr>
          <w:sz w:val="16"/>
          <w:szCs w:val="16"/>
          <w:lang w:val="en-GB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>This action has relevant aspects for flagship 6 in particular.</w:t>
      </w:r>
    </w:p>
  </w:footnote>
  <w:footnote w:id="17">
    <w:p>
      <w:pPr>
        <w:pStyle w:val="FootnoteText"/>
        <w:spacing w:after="0"/>
        <w:rPr>
          <w:sz w:val="16"/>
          <w:szCs w:val="16"/>
          <w:lang w:val="en-GB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T</w:t>
      </w:r>
      <w:r>
        <w:rPr>
          <w:sz w:val="16"/>
          <w:szCs w:val="16"/>
          <w:lang w:val="en-GB"/>
        </w:rPr>
        <w:t>his action has relevant aspects for flagship 6 in particular.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F8E"/>
    <w:multiLevelType w:val="hybridMultilevel"/>
    <w:tmpl w:val="81E4872C"/>
    <w:lvl w:ilvl="0" w:tplc="718096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421"/>
    <w:multiLevelType w:val="hybridMultilevel"/>
    <w:tmpl w:val="E012C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0649"/>
    <w:multiLevelType w:val="hybridMultilevel"/>
    <w:tmpl w:val="8B5CC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C829CB"/>
    <w:multiLevelType w:val="hybridMultilevel"/>
    <w:tmpl w:val="FD8A5CA2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BC42BB32">
      <w:start w:val="1"/>
      <w:numFmt w:val="lowerLetter"/>
      <w:lvlText w:val="%2."/>
      <w:lvlJc w:val="left"/>
      <w:pPr>
        <w:ind w:left="1797" w:hanging="360"/>
      </w:pPr>
      <w:rPr>
        <w:rFonts w:ascii="Times New Roman" w:hAnsi="Times New Roman" w:cs="Times New Roman" w:hint="default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F682223"/>
    <w:multiLevelType w:val="hybridMultilevel"/>
    <w:tmpl w:val="5E7AE3EC"/>
    <w:lvl w:ilvl="0" w:tplc="816CA6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C42BB3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62911"/>
    <w:multiLevelType w:val="hybridMultilevel"/>
    <w:tmpl w:val="0E1C82AE"/>
    <w:lvl w:ilvl="0" w:tplc="C22460F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BC42BB3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65611"/>
    <w:multiLevelType w:val="hybridMultilevel"/>
    <w:tmpl w:val="13424084"/>
    <w:styleLink w:val="ImportedStyle3"/>
    <w:lvl w:ilvl="0" w:tplc="65363096">
      <w:start w:val="1"/>
      <w:numFmt w:val="decimal"/>
      <w:lvlText w:val="%1."/>
      <w:lvlJc w:val="left"/>
      <w:pPr>
        <w:ind w:left="476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64FD38">
      <w:start w:val="1"/>
      <w:numFmt w:val="lowerLetter"/>
      <w:lvlText w:val="%2."/>
      <w:lvlJc w:val="left"/>
      <w:pPr>
        <w:ind w:left="952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24D20">
      <w:start w:val="1"/>
      <w:numFmt w:val="lowerRoman"/>
      <w:lvlText w:val="%3."/>
      <w:lvlJc w:val="left"/>
      <w:pPr>
        <w:ind w:left="142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CE7170">
      <w:start w:val="1"/>
      <w:numFmt w:val="lowerRoman"/>
      <w:lvlText w:val="%4."/>
      <w:lvlJc w:val="left"/>
      <w:pPr>
        <w:ind w:left="1905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080E6E">
      <w:start w:val="1"/>
      <w:numFmt w:val="lowerRoman"/>
      <w:lvlText w:val="%5."/>
      <w:lvlJc w:val="left"/>
      <w:pPr>
        <w:ind w:left="2381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2BC16">
      <w:start w:val="1"/>
      <w:numFmt w:val="lowerRoman"/>
      <w:lvlText w:val="%6."/>
      <w:lvlJc w:val="left"/>
      <w:pPr>
        <w:ind w:left="285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43650">
      <w:start w:val="1"/>
      <w:numFmt w:val="lowerRoman"/>
      <w:lvlText w:val="%7."/>
      <w:lvlJc w:val="left"/>
      <w:pPr>
        <w:ind w:left="3333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06CB38">
      <w:start w:val="1"/>
      <w:numFmt w:val="lowerRoman"/>
      <w:lvlText w:val="%8."/>
      <w:lvlJc w:val="left"/>
      <w:pPr>
        <w:ind w:left="380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5D80">
      <w:start w:val="1"/>
      <w:numFmt w:val="lowerRoman"/>
      <w:lvlText w:val="%9."/>
      <w:lvlJc w:val="left"/>
      <w:pPr>
        <w:ind w:left="4285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1017363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421A11AD"/>
    <w:multiLevelType w:val="hybridMultilevel"/>
    <w:tmpl w:val="1B4453B8"/>
    <w:lvl w:ilvl="0" w:tplc="B994E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D0E41"/>
    <w:multiLevelType w:val="hybridMultilevel"/>
    <w:tmpl w:val="0DB658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A83E94"/>
    <w:multiLevelType w:val="hybridMultilevel"/>
    <w:tmpl w:val="366E9BC6"/>
    <w:lvl w:ilvl="0" w:tplc="0407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A0E72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4E7C2B5F"/>
    <w:multiLevelType w:val="hybridMultilevel"/>
    <w:tmpl w:val="A358013E"/>
    <w:lvl w:ilvl="0" w:tplc="1340CC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6E7A"/>
    <w:multiLevelType w:val="hybridMultilevel"/>
    <w:tmpl w:val="0BFE5B2A"/>
    <w:lvl w:ilvl="0" w:tplc="6988236A">
      <w:start w:val="14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926408A"/>
    <w:multiLevelType w:val="hybridMultilevel"/>
    <w:tmpl w:val="4B44E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B5E07"/>
    <w:multiLevelType w:val="multilevel"/>
    <w:tmpl w:val="D020E4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E0660ED"/>
    <w:multiLevelType w:val="hybridMultilevel"/>
    <w:tmpl w:val="0EB8EDFA"/>
    <w:lvl w:ilvl="0" w:tplc="518CBD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51AE0"/>
    <w:multiLevelType w:val="hybridMultilevel"/>
    <w:tmpl w:val="CC10F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41676"/>
    <w:multiLevelType w:val="hybridMultilevel"/>
    <w:tmpl w:val="A1E0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C0CC1"/>
    <w:multiLevelType w:val="hybridMultilevel"/>
    <w:tmpl w:val="5E7AE3EC"/>
    <w:lvl w:ilvl="0" w:tplc="816CA6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C42BB3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6"/>
  </w:num>
  <w:num w:numId="6">
    <w:abstractNumId w:val="8"/>
  </w:num>
  <w:num w:numId="7">
    <w:abstractNumId w:val="17"/>
  </w:num>
  <w:num w:numId="8">
    <w:abstractNumId w:val="5"/>
  </w:num>
  <w:num w:numId="9">
    <w:abstractNumId w:val="14"/>
  </w:num>
  <w:num w:numId="10">
    <w:abstractNumId w:val="18"/>
  </w:num>
  <w:num w:numId="11">
    <w:abstractNumId w:val="3"/>
  </w:num>
  <w:num w:numId="12">
    <w:abstractNumId w:val="19"/>
  </w:num>
  <w:num w:numId="13">
    <w:abstractNumId w:val="1"/>
  </w:num>
  <w:num w:numId="14">
    <w:abstractNumId w:val="7"/>
  </w:num>
  <w:num w:numId="15">
    <w:abstractNumId w:val="11"/>
  </w:num>
  <w:num w:numId="16">
    <w:abstractNumId w:val="13"/>
  </w:num>
  <w:num w:numId="17">
    <w:abstractNumId w:val="0"/>
  </w:num>
  <w:num w:numId="18">
    <w:abstractNumId w:val="10"/>
  </w:num>
  <w:num w:numId="19">
    <w:abstractNumId w:val="7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revisionView w:markup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EA5C583-E96C-4764-9E0F-9A210641EC68"/>
    <w:docVar w:name="LW_COVERPAGE_TYPE" w:val="1"/>
    <w:docVar w:name="LW_CROSSREFERENCE" w:val="{SWD(2020) 331 final}"/>
    <w:docVar w:name="LW_DocType" w:val="NORMAL"/>
    <w:docVar w:name="LW_EMISSION" w:val="9.12.2020"/>
    <w:docVar w:name="LW_EMISSION_ISODATE" w:val="2020-12-09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Sustainable and Smart Mobility Strategy \u8211? putting European transport on track for the future"/>
    <w:docVar w:name="LW_PART_NBR" w:val="1"/>
    <w:docVar w:name="LW_PART_NBR_TOTAL" w:val="1"/>
    <w:docVar w:name="LW_REF.INST.NEW" w:val="COM"/>
    <w:docVar w:name="LW_REF.INST.NEW_ADOPTED" w:val="final"/>
    <w:docVar w:name="LW_REF.INST.NEW_TEXT" w:val="(2020) 78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UNICATION FROM THE COMMISSION TO THE EUROPEAN PARLIAMENT, THE COUNCIL, THE EUROPEAN ECONOMIC AND SOCIAL COMMITTEE AND THE COMMITTEE OF THE REG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l-PL"/>
    </w:rPr>
  </w:style>
  <w:style w:type="paragraph" w:styleId="Heading1">
    <w:name w:val="heading 1"/>
    <w:basedOn w:val="Heading2"/>
    <w:next w:val="Normal"/>
    <w:link w:val="Heading1Char"/>
    <w:uiPriority w:val="9"/>
    <w:qFormat/>
    <w:pPr>
      <w:numPr>
        <w:ilvl w:val="0"/>
      </w:numPr>
      <w:jc w:val="both"/>
      <w:outlineLvl w:val="0"/>
    </w:pPr>
    <w:rPr>
      <w:rFonts w:ascii="Times New Roman Bold" w:hAnsi="Times New Roman Bold"/>
      <w:bCs/>
      <w:smallCaps/>
      <w:u w:val="non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4"/>
      </w:numPr>
      <w:spacing w:before="40" w:after="120"/>
      <w:outlineLvl w:val="1"/>
    </w:pPr>
    <w:rPr>
      <w:rFonts w:ascii="Times New Roman" w:eastAsiaTheme="majorEastAsia" w:hAnsi="Times New Roman" w:cs="Times New Roman"/>
      <w:b/>
      <w:sz w:val="24"/>
      <w:szCs w:val="24"/>
      <w:u w:val="single" w:color="000000"/>
      <w:bdr w:val="nil"/>
      <w:lang w:val="en-GB" w:eastAsia="ja-JP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pPr>
      <w:numPr>
        <w:ilvl w:val="0"/>
        <w:numId w:val="0"/>
      </w:numPr>
      <w:jc w:val="both"/>
      <w:outlineLvl w:val="2"/>
    </w:pPr>
    <w:rPr>
      <w:b w:val="0"/>
      <w:smallCaps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pPr>
      <w:numPr>
        <w:ilvl w:val="3"/>
        <w:numId w:val="14"/>
      </w:numPr>
      <w:outlineLvl w:val="3"/>
    </w:pPr>
    <w:rPr>
      <w:b/>
      <w:bCs/>
      <w:i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4"/>
      </w:numPr>
      <w:spacing w:after="0" w:line="240" w:lineRule="auto"/>
      <w:outlineLvl w:val="4"/>
    </w:pPr>
    <w:rPr>
      <w:rFonts w:ascii="Times New Roman" w:eastAsiaTheme="majorEastAsia" w:hAnsi="Times New Roman" w:cs="Times New Roman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pl-P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pl-PL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pl-PL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  <w:lang w:val="pl-PL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pl-PL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  <w:lang w:val="pl-PL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 Bold" w:eastAsiaTheme="majorEastAsia" w:hAnsi="Times New Roman Bold" w:cs="Times New Roman"/>
      <w:b/>
      <w:bCs/>
      <w:smallCaps/>
      <w:sz w:val="24"/>
      <w:szCs w:val="24"/>
      <w:u w:color="000000"/>
      <w:bdr w:val="nil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="Times New Roman"/>
      <w:b/>
      <w:sz w:val="24"/>
      <w:szCs w:val="24"/>
      <w:u w:val="single" w:color="000000"/>
      <w:bdr w:val="nil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="Times New Roman"/>
      <w:smallCaps/>
      <w:sz w:val="24"/>
      <w:szCs w:val="24"/>
      <w:u w:color="000000"/>
      <w:bdr w:val="nil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="Times New Roman"/>
      <w:b/>
      <w:bCs/>
      <w:i/>
      <w:caps/>
      <w:smallCaps/>
      <w:sz w:val="24"/>
      <w:szCs w:val="24"/>
      <w:u w:color="000000"/>
      <w:bdr w:val="nil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Theme="majorEastAsia" w:hAnsi="Times New Roman" w:cs="Times New Roman"/>
      <w:lang w:val="en-GB" w:eastAsia="ja-JP"/>
    </w:rPr>
  </w:style>
  <w:style w:type="character" w:styleId="Hyperlink">
    <w:name w:val="Hyperlink"/>
    <w:rPr>
      <w:u w:val="single"/>
    </w:rPr>
  </w:style>
  <w:style w:type="paragraph" w:styleId="FootnoteText">
    <w:name w:val="footnote text"/>
    <w:aliases w:val="Schriftart: 9 pt,Schriftart: 10 pt,Schriftart: 8 pt,WB-Fußnotentext,fn,Footnotes,Footnote ak,Fußnotentextf,Fußnotentextr,stile 1,Footnote1,Footnote2,Footnote3,Footnote4,Footnote5,Footnote6,Footnote7,Footnote8,Footnote9,Footnote10,Char,ft,f"/>
    <w:link w:val="FootnoteTextChar"/>
    <w:qFormat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ja-JP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ußnotentextf Char,Fußnotentextr Char,stile 1 Char,Footnote1 Char,Footnote2 Char,Footnote3 Char,Char Char"/>
    <w:basedOn w:val="DefaultParagraphFont"/>
    <w:link w:val="FootnoteText"/>
    <w:qFormat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ja-JP"/>
    </w:rPr>
  </w:style>
  <w:style w:type="character" w:styleId="FootnoteReference">
    <w:name w:val="footnote reference"/>
    <w:aliases w:val="SUPERS,Footnote symbol,Times 10 Point,Exposant 3 Point,BVI fnr,number,-E Fußnotenzeichen,Footnote reference number,note TESI,EN Footnote Reference,Footnote Reference/,Footnote Reference Number,styli,Footnote Reference Superscript,fr,o"/>
    <w:basedOn w:val="DefaultParagraphFont"/>
    <w:link w:val="FootnotesymbolCarZchn"/>
    <w:unhideWhenUsed/>
    <w:qFormat/>
    <w:rPr>
      <w:vertAlign w:val="superscript"/>
    </w:rPr>
  </w:style>
  <w:style w:type="paragraph" w:customStyle="1" w:styleId="LegalNumPar">
    <w:name w:val="LegalNumPar"/>
    <w:link w:val="LegalNumParChar"/>
    <w:qFormat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76"/>
      </w:tabs>
      <w:spacing w:after="24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ja-JP"/>
    </w:rPr>
  </w:style>
  <w:style w:type="numbering" w:customStyle="1" w:styleId="ImportedStyle3">
    <w:name w:val="Imported Style 3"/>
    <w:pPr>
      <w:numPr>
        <w:numId w:val="1"/>
      </w:numPr>
    </w:pPr>
  </w:style>
  <w:style w:type="character" w:customStyle="1" w:styleId="Hyperlink1">
    <w:name w:val="Hyperlink.1"/>
    <w:basedOn w:val="DefaultParagraphFont"/>
  </w:style>
  <w:style w:type="character" w:customStyle="1" w:styleId="Hyperlink3">
    <w:name w:val="Hyperlink.3"/>
    <w:basedOn w:val="DefaultParagraphFont"/>
    <w:rPr>
      <w:vertAlign w:val="superscript"/>
    </w:rPr>
  </w:style>
  <w:style w:type="paragraph" w:styleId="ListParagraph">
    <w:name w:val="List Paragraph"/>
    <w:aliases w:val="Normal bullet 2,Bullet list,Numbered List,List Paragraph1,1st level - Bullet List Paragraph,Lettre d'introduction,Paragrafo elenco,Paragraph,Bullet EY,List Paragraph11,Normal bullet 21,List Paragraph111,Bullet list1,Bullet point 1,Dot pt"/>
    <w:basedOn w:val="Normal"/>
    <w:link w:val="ListParagraphChar"/>
    <w:uiPriority w:val="34"/>
    <w:qFormat/>
    <w:pPr>
      <w:spacing w:after="0" w:line="240" w:lineRule="auto"/>
      <w:ind w:left="720"/>
    </w:pPr>
    <w:rPr>
      <w:rFonts w:ascii="Calibri" w:eastAsiaTheme="minorEastAsia" w:hAnsi="Calibri" w:cs="Calibri"/>
      <w:lang w:val="en-GB" w:eastAsia="ja-JP"/>
    </w:rPr>
  </w:style>
  <w:style w:type="character" w:customStyle="1" w:styleId="None">
    <w:name w:val="None"/>
  </w:style>
  <w:style w:type="character" w:customStyle="1" w:styleId="ListParagraphChar">
    <w:name w:val="List Paragraph Char"/>
    <w:aliases w:val="Normal bullet 2 Char,Bullet list Char,Numbered List Char,List Paragraph1 Char,1st level - Bullet List Paragraph Char,Lettre d'introduction Char,Paragrafo elenco Char,Paragraph Char,Bullet EY Char,List Paragraph11 Char,Dot pt Char"/>
    <w:link w:val="ListParagraph"/>
    <w:uiPriority w:val="34"/>
    <w:qFormat/>
    <w:locked/>
    <w:rPr>
      <w:rFonts w:ascii="Calibri" w:eastAsiaTheme="minorEastAsia" w:hAnsi="Calibri" w:cs="Calibri"/>
      <w:lang w:val="en-GB" w:eastAsia="ja-JP"/>
    </w:rPr>
  </w:style>
  <w:style w:type="paragraph" w:styleId="NoSpacing">
    <w:name w:val="No Spacing"/>
    <w:uiPriority w:val="1"/>
    <w:qFormat/>
    <w:pPr>
      <w:spacing w:after="0" w:line="240" w:lineRule="auto"/>
    </w:pPr>
    <w:rPr>
      <w:lang w:val="en-GB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rFonts w:eastAsiaTheme="minorEastAsia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EastAsia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Theme="minorEastAsia"/>
      <w:lang w:val="en-GB" w:eastAsia="ja-JP"/>
    </w:rPr>
  </w:style>
  <w:style w:type="character" w:customStyle="1" w:styleId="LegalNumParChar">
    <w:name w:val="LegalNumPar Char"/>
    <w:basedOn w:val="DefaultParagraphFont"/>
    <w:link w:val="LegalNumPar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ja-JP"/>
    </w:rPr>
  </w:style>
  <w:style w:type="paragraph" w:customStyle="1" w:styleId="legalnumpar0">
    <w:name w:val="legalnumpa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yperlink10">
    <w:name w:val="hyperlink1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Emphasis">
    <w:name w:val="Emphasis"/>
    <w:uiPriority w:val="20"/>
    <w:qFormat/>
    <w:rPr>
      <w:i/>
      <w:iCs/>
    </w:rPr>
  </w:style>
  <w:style w:type="paragraph" w:styleId="Date">
    <w:name w:val="Date"/>
    <w:basedOn w:val="Normal"/>
    <w:next w:val="Normal"/>
    <w:link w:val="DateChar"/>
    <w:uiPriority w:val="99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  <w:lang w:val="fr-BE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pPr>
      <w:spacing w:line="240" w:lineRule="exact"/>
      <w:jc w:val="both"/>
    </w:pPr>
    <w:rPr>
      <w:vertAlign w:val="superscript"/>
      <w:lang w:val="fr-BE"/>
    </w:rPr>
  </w:style>
  <w:style w:type="paragraph" w:customStyle="1" w:styleId="Text1">
    <w:name w:val="Text 1"/>
    <w:basedOn w:val="Normal"/>
    <w:link w:val="Text1Char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ext1Char">
    <w:name w:val="Text 1 Char"/>
    <w:link w:val="Text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umpedfont15">
    <w:name w:val="bumpedfont15"/>
    <w:basedOn w:val="DefaultParagraphFont"/>
  </w:style>
  <w:style w:type="paragraph" w:customStyle="1" w:styleId="content-intro">
    <w:name w:val="content-intr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lang w:val="pl-P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lang w:val="pl-PL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l-PL"/>
    </w:rPr>
  </w:style>
  <w:style w:type="paragraph" w:styleId="Heading1">
    <w:name w:val="heading 1"/>
    <w:basedOn w:val="Heading2"/>
    <w:next w:val="Normal"/>
    <w:link w:val="Heading1Char"/>
    <w:uiPriority w:val="9"/>
    <w:qFormat/>
    <w:pPr>
      <w:numPr>
        <w:ilvl w:val="0"/>
      </w:numPr>
      <w:jc w:val="both"/>
      <w:outlineLvl w:val="0"/>
    </w:pPr>
    <w:rPr>
      <w:rFonts w:ascii="Times New Roman Bold" w:hAnsi="Times New Roman Bold"/>
      <w:bCs/>
      <w:smallCaps/>
      <w:u w:val="non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4"/>
      </w:numPr>
      <w:spacing w:before="40" w:after="120"/>
      <w:outlineLvl w:val="1"/>
    </w:pPr>
    <w:rPr>
      <w:rFonts w:ascii="Times New Roman" w:eastAsiaTheme="majorEastAsia" w:hAnsi="Times New Roman" w:cs="Times New Roman"/>
      <w:b/>
      <w:sz w:val="24"/>
      <w:szCs w:val="24"/>
      <w:u w:val="single" w:color="000000"/>
      <w:bdr w:val="nil"/>
      <w:lang w:val="en-GB" w:eastAsia="ja-JP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pPr>
      <w:numPr>
        <w:ilvl w:val="0"/>
        <w:numId w:val="0"/>
      </w:numPr>
      <w:jc w:val="both"/>
      <w:outlineLvl w:val="2"/>
    </w:pPr>
    <w:rPr>
      <w:b w:val="0"/>
      <w:smallCaps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pPr>
      <w:numPr>
        <w:ilvl w:val="3"/>
        <w:numId w:val="14"/>
      </w:numPr>
      <w:outlineLvl w:val="3"/>
    </w:pPr>
    <w:rPr>
      <w:b/>
      <w:bCs/>
      <w:i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4"/>
      </w:numPr>
      <w:spacing w:after="0" w:line="240" w:lineRule="auto"/>
      <w:outlineLvl w:val="4"/>
    </w:pPr>
    <w:rPr>
      <w:rFonts w:ascii="Times New Roman" w:eastAsiaTheme="majorEastAsia" w:hAnsi="Times New Roman" w:cs="Times New Roman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pl-P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pl-PL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pl-PL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  <w:lang w:val="pl-PL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pl-PL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  <w:lang w:val="pl-PL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 Bold" w:eastAsiaTheme="majorEastAsia" w:hAnsi="Times New Roman Bold" w:cs="Times New Roman"/>
      <w:b/>
      <w:bCs/>
      <w:smallCaps/>
      <w:sz w:val="24"/>
      <w:szCs w:val="24"/>
      <w:u w:color="000000"/>
      <w:bdr w:val="nil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="Times New Roman"/>
      <w:b/>
      <w:sz w:val="24"/>
      <w:szCs w:val="24"/>
      <w:u w:val="single" w:color="000000"/>
      <w:bdr w:val="nil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="Times New Roman"/>
      <w:smallCaps/>
      <w:sz w:val="24"/>
      <w:szCs w:val="24"/>
      <w:u w:color="000000"/>
      <w:bdr w:val="nil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="Times New Roman"/>
      <w:b/>
      <w:bCs/>
      <w:i/>
      <w:caps/>
      <w:smallCaps/>
      <w:sz w:val="24"/>
      <w:szCs w:val="24"/>
      <w:u w:color="000000"/>
      <w:bdr w:val="nil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Theme="majorEastAsia" w:hAnsi="Times New Roman" w:cs="Times New Roman"/>
      <w:lang w:val="en-GB" w:eastAsia="ja-JP"/>
    </w:rPr>
  </w:style>
  <w:style w:type="character" w:styleId="Hyperlink">
    <w:name w:val="Hyperlink"/>
    <w:rPr>
      <w:u w:val="single"/>
    </w:rPr>
  </w:style>
  <w:style w:type="paragraph" w:styleId="FootnoteText">
    <w:name w:val="footnote text"/>
    <w:aliases w:val="Schriftart: 9 pt,Schriftart: 10 pt,Schriftart: 8 pt,WB-Fußnotentext,fn,Footnotes,Footnote ak,Fußnotentextf,Fußnotentextr,stile 1,Footnote1,Footnote2,Footnote3,Footnote4,Footnote5,Footnote6,Footnote7,Footnote8,Footnote9,Footnote10,Char,ft,f"/>
    <w:link w:val="FootnoteTextChar"/>
    <w:qFormat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ja-JP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ußnotentextf Char,Fußnotentextr Char,stile 1 Char,Footnote1 Char,Footnote2 Char,Footnote3 Char,Char Char"/>
    <w:basedOn w:val="DefaultParagraphFont"/>
    <w:link w:val="FootnoteText"/>
    <w:qFormat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ja-JP"/>
    </w:rPr>
  </w:style>
  <w:style w:type="character" w:styleId="FootnoteReference">
    <w:name w:val="footnote reference"/>
    <w:aliases w:val="SUPERS,Footnote symbol,Times 10 Point,Exposant 3 Point,BVI fnr,number,-E Fußnotenzeichen,Footnote reference number,note TESI,EN Footnote Reference,Footnote Reference/,Footnote Reference Number,styli,Footnote Reference Superscript,fr,o"/>
    <w:basedOn w:val="DefaultParagraphFont"/>
    <w:link w:val="FootnotesymbolCarZchn"/>
    <w:unhideWhenUsed/>
    <w:qFormat/>
    <w:rPr>
      <w:vertAlign w:val="superscript"/>
    </w:rPr>
  </w:style>
  <w:style w:type="paragraph" w:customStyle="1" w:styleId="LegalNumPar">
    <w:name w:val="LegalNumPar"/>
    <w:link w:val="LegalNumParChar"/>
    <w:qFormat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76"/>
      </w:tabs>
      <w:spacing w:after="24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ja-JP"/>
    </w:rPr>
  </w:style>
  <w:style w:type="numbering" w:customStyle="1" w:styleId="ImportedStyle3">
    <w:name w:val="Imported Style 3"/>
    <w:pPr>
      <w:numPr>
        <w:numId w:val="1"/>
      </w:numPr>
    </w:pPr>
  </w:style>
  <w:style w:type="character" w:customStyle="1" w:styleId="Hyperlink1">
    <w:name w:val="Hyperlink.1"/>
    <w:basedOn w:val="DefaultParagraphFont"/>
  </w:style>
  <w:style w:type="character" w:customStyle="1" w:styleId="Hyperlink3">
    <w:name w:val="Hyperlink.3"/>
    <w:basedOn w:val="DefaultParagraphFont"/>
    <w:rPr>
      <w:vertAlign w:val="superscript"/>
    </w:rPr>
  </w:style>
  <w:style w:type="paragraph" w:styleId="ListParagraph">
    <w:name w:val="List Paragraph"/>
    <w:aliases w:val="Normal bullet 2,Bullet list,Numbered List,List Paragraph1,1st level - Bullet List Paragraph,Lettre d'introduction,Paragrafo elenco,Paragraph,Bullet EY,List Paragraph11,Normal bullet 21,List Paragraph111,Bullet list1,Bullet point 1,Dot pt"/>
    <w:basedOn w:val="Normal"/>
    <w:link w:val="ListParagraphChar"/>
    <w:uiPriority w:val="34"/>
    <w:qFormat/>
    <w:pPr>
      <w:spacing w:after="0" w:line="240" w:lineRule="auto"/>
      <w:ind w:left="720"/>
    </w:pPr>
    <w:rPr>
      <w:rFonts w:ascii="Calibri" w:eastAsiaTheme="minorEastAsia" w:hAnsi="Calibri" w:cs="Calibri"/>
      <w:lang w:val="en-GB" w:eastAsia="ja-JP"/>
    </w:rPr>
  </w:style>
  <w:style w:type="character" w:customStyle="1" w:styleId="None">
    <w:name w:val="None"/>
  </w:style>
  <w:style w:type="character" w:customStyle="1" w:styleId="ListParagraphChar">
    <w:name w:val="List Paragraph Char"/>
    <w:aliases w:val="Normal bullet 2 Char,Bullet list Char,Numbered List Char,List Paragraph1 Char,1st level - Bullet List Paragraph Char,Lettre d'introduction Char,Paragrafo elenco Char,Paragraph Char,Bullet EY Char,List Paragraph11 Char,Dot pt Char"/>
    <w:link w:val="ListParagraph"/>
    <w:uiPriority w:val="34"/>
    <w:qFormat/>
    <w:locked/>
    <w:rPr>
      <w:rFonts w:ascii="Calibri" w:eastAsiaTheme="minorEastAsia" w:hAnsi="Calibri" w:cs="Calibri"/>
      <w:lang w:val="en-GB" w:eastAsia="ja-JP"/>
    </w:rPr>
  </w:style>
  <w:style w:type="paragraph" w:styleId="NoSpacing">
    <w:name w:val="No Spacing"/>
    <w:uiPriority w:val="1"/>
    <w:qFormat/>
    <w:pPr>
      <w:spacing w:after="0" w:line="240" w:lineRule="auto"/>
    </w:pPr>
    <w:rPr>
      <w:lang w:val="en-GB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rFonts w:eastAsiaTheme="minorEastAsia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EastAsia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Theme="minorEastAsia"/>
      <w:lang w:val="en-GB" w:eastAsia="ja-JP"/>
    </w:rPr>
  </w:style>
  <w:style w:type="character" w:customStyle="1" w:styleId="LegalNumParChar">
    <w:name w:val="LegalNumPar Char"/>
    <w:basedOn w:val="DefaultParagraphFont"/>
    <w:link w:val="LegalNumPar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ja-JP"/>
    </w:rPr>
  </w:style>
  <w:style w:type="paragraph" w:customStyle="1" w:styleId="legalnumpar0">
    <w:name w:val="legalnumpa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yperlink10">
    <w:name w:val="hyperlink1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Emphasis">
    <w:name w:val="Emphasis"/>
    <w:uiPriority w:val="20"/>
    <w:qFormat/>
    <w:rPr>
      <w:i/>
      <w:iCs/>
    </w:rPr>
  </w:style>
  <w:style w:type="paragraph" w:styleId="Date">
    <w:name w:val="Date"/>
    <w:basedOn w:val="Normal"/>
    <w:next w:val="Normal"/>
    <w:link w:val="DateChar"/>
    <w:uiPriority w:val="99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  <w:lang w:val="fr-BE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pPr>
      <w:spacing w:line="240" w:lineRule="exact"/>
      <w:jc w:val="both"/>
    </w:pPr>
    <w:rPr>
      <w:vertAlign w:val="superscript"/>
      <w:lang w:val="fr-BE"/>
    </w:rPr>
  </w:style>
  <w:style w:type="paragraph" w:customStyle="1" w:styleId="Text1">
    <w:name w:val="Text 1"/>
    <w:basedOn w:val="Normal"/>
    <w:link w:val="Text1Char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ext1Char">
    <w:name w:val="Text 1 Char"/>
    <w:link w:val="Text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umpedfont15">
    <w:name w:val="bumpedfont15"/>
    <w:basedOn w:val="DefaultParagraphFont"/>
  </w:style>
  <w:style w:type="paragraph" w:customStyle="1" w:styleId="content-intro">
    <w:name w:val="content-intr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lang w:val="pl-P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lang w:val="pl-PL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BCFB841-C433-4EBC-ACF8-38211DC4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1537</Words>
  <Characters>8931</Characters>
  <Application>Microsoft Office Word</Application>
  <DocSecurity>0</DocSecurity>
  <Lines>235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2020-12-08T10:22:00Z</dcterms:created>
  <dcterms:modified xsi:type="dcterms:W3CDTF">2020-12-08T17:47:00Z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Last edited using">
    <vt:lpwstr>LW 7.0.1, Build 20190916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Unique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CPTemplateID">
    <vt:lpwstr>CP-039</vt:lpwstr>
  </property>
</Properties>
</file>