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714F6D2-9F8D-46B4-961F-A2D41AF80E9E" style="width:450.75pt;height:447.8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/>
          <w:noProof/>
        </w:rPr>
      </w:pPr>
      <w:bookmarkStart w:id="1" w:name="_GoBack"/>
      <w:bookmarkEnd w:id="1"/>
      <w:r>
        <w:rPr>
          <w:rFonts w:ascii="Times New Roman" w:hAnsi="Times New Roman"/>
          <w:noProof/>
        </w:rPr>
        <w:lastRenderedPageBreak/>
        <w:t>План за действие</w:t>
      </w:r>
      <w:r>
        <w:rPr>
          <w:rStyle w:val="FootnoteReference"/>
          <w:rFonts w:ascii="Times New Roman" w:hAnsi="Times New Roman"/>
          <w:noProof/>
        </w:rPr>
        <w:footnoteReference w:id="2"/>
      </w:r>
    </w:p>
    <w:p>
      <w:pPr>
        <w:spacing w:after="0"/>
        <w:rPr>
          <w:rFonts w:ascii="Times New Roman" w:hAnsi="Times New Roman" w:cs="Times New Roman"/>
          <w:noProof/>
          <w:sz w:val="16"/>
          <w:szCs w:val="16"/>
          <w:lang w:eastAsia="ja-JP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047"/>
        <w:gridCol w:w="1361"/>
      </w:tblGrid>
      <w:tr>
        <w:trPr>
          <w:tblHeader/>
        </w:trPr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>
            <w:pPr>
              <w:pStyle w:val="Text1"/>
              <w:keepNext/>
              <w:snapToGrid w:val="0"/>
              <w:spacing w:after="0"/>
              <w:ind w:left="55"/>
              <w:jc w:val="center"/>
              <w:rPr>
                <w:b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 xml:space="preserve">УСТОЙЧИВА МОБИЛНОСТ </w:t>
            </w:r>
          </w:p>
        </w:tc>
      </w:tr>
      <w:tr>
        <w:trPr>
          <w:tblHeader/>
        </w:trPr>
        <w:tc>
          <w:tcPr>
            <w:tcW w:w="9408" w:type="dxa"/>
            <w:gridSpan w:val="2"/>
            <w:shd w:val="clear" w:color="auto" w:fill="EAF1DD"/>
            <w:vAlign w:val="bottom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noProof/>
                <w:sz w:val="20"/>
              </w:rPr>
            </w:pPr>
            <w:r>
              <w:rPr>
                <w:smallCaps/>
                <w:noProof/>
              </w:rPr>
              <w:t xml:space="preserve">Водеща инициатива 1 — Стимулиране на навлизането на превозни средства с нулеви емисии, възобновяеми и нисковъглеродни горива и свързаната с тях инфраструктура 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Преразглеждане на преработената Директива за насърчаване на използването на енергия от възобновяеми източници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Приемане на съответното законодателство за прилагане съгласно преработената Директива за насърчаване на използването на енергия от възобновяеми източници, с което се определят методики за измерване на намалението на емисиите на парникови газове и за насърчаване на използването на възобновяеми и нисковъглеродни горива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стандартите за емисии на CO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  <w:r>
              <w:rPr>
                <w:noProof/>
                <w:sz w:val="20"/>
                <w:szCs w:val="20"/>
              </w:rPr>
              <w:t xml:space="preserve"> за леки автомобили и микробуси и за камиони и въвеждане на стандарти за емисии на CO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  <w:r>
              <w:rPr>
                <w:noProof/>
                <w:sz w:val="20"/>
                <w:szCs w:val="20"/>
              </w:rPr>
              <w:t xml:space="preserve"> за автобуси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Преразглеждане на Директивата за масите и размерите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Проучване на ползите от схемите за преоборудване и обновяване при различните видове 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Предлагане на стандарти за емисиите след стандартите „Евро 6/VI“ за леки автомобили, микробуси, камиони и автобуси</w:t>
            </w:r>
            <w:r>
              <w:rPr>
                <w:noProof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Подобряване на изпитването на емисии при проверките на техническата изправност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Разработване на съгласувани правила за екологосъобразни, енергийни и безопасни характеристики на гумите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Насърчаване в рамките на ИМО на разработването на мерки за енергийна ефективност и алтернативни горива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Директивата относно инфраструктурата за алтернативни горива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3"/>
            </w:r>
            <w:r>
              <w:rPr>
                <w:noProof/>
                <w:sz w:val="20"/>
                <w:szCs w:val="20"/>
              </w:rPr>
              <w:t xml:space="preserve"> и план за разгръщане с възможности и изисквания за финансиране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Директивата за енергийните характеристики на сградите, включително разширени разпоредби относно инфраструктурата за зареждане, свързана с електромобилността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 2 — Създаване на летища и пристанища с нулеви емисии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Стартиране на инициативите FuelEU — сектор „Морско пространство“ — Зелено европейско морско пространство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4"/>
            </w:r>
            <w:r>
              <w:rPr>
                <w:noProof/>
                <w:sz w:val="20"/>
                <w:szCs w:val="20"/>
              </w:rPr>
              <w:t xml:space="preserve"> и ReFuelEU — сектор „Авиация“ — Устойчиви авиационни горива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Разглеждане на възможността за създаване на алианс по веригата за създаване на стойност за възобновяемите и нисковъглеродните горива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5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rHeight w:val="159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Преразглеждане на Директивата относно замърсяването от кораби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rHeight w:val="159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Регламента на ЕС относно рециклирането на кораби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6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Регламента относно слотовете на летищата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7"/>
            </w:r>
            <w:r>
              <w:rPr>
                <w:noProof/>
                <w:sz w:val="20"/>
                <w:szCs w:val="20"/>
              </w:rPr>
              <w:t xml:space="preserve"> и Директивата относно летищните такси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8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Установяване на критерии за устойчива таксономия за всички видове транспорт</w:t>
            </w:r>
            <w:r>
              <w:rPr>
                <w:noProof/>
                <w:vertAlign w:val="superscript"/>
              </w:rPr>
              <w:footnoteReference w:id="9"/>
            </w:r>
            <w:r>
              <w:rPr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 3 — Повишаване на устойчивостта и жизнеспособността на междуградската и градската мобилност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Инициатива на ЕС „Железопътни коридори 2021“ — план за действие за насърчаване на железопътните пътнически превози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Въвеждане на мерки за по-добро управление и координиране на международното железопътно движение, включително, ако е необходимо, чрез преразгледани правила за разпределяне на капацитета и налагане на такси за използване на инфраструктурата в железопътния транспорт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0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cap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пакета документи за градската мобилност от 2013 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rHeight w:val="18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План за действие за нулево замърсяване на въздуха, водата и почвата; преразглеждане на стандартите за качество на въздуха и намаляване на шумовото замърсяване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г.; 2022 г.</w:t>
            </w:r>
          </w:p>
        </w:tc>
      </w:tr>
      <w:tr>
        <w:trPr>
          <w:trHeight w:val="18"/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Издаване на насоки в подкрепа на безопасното използване на устройства за микромобилност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Оценка на необходимостта от мерки за осигуряване на еднакви условия на конкуренция за местните платформи за превоз на пътници по заявка и платформи за коли под наем с шофьор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 4 — Постигане на екологосъобразност на товарните превози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Инициатива на ЕС „Железопътни коридори 2021“ — преразглеждане на Регламента относно коридорите за железопътни товарни превози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Преглед на регулаторната рамка за интермодален транспорт, включително Директивата относно комбинирания 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Стартиране на NAIADES III за оползотворяване на неизползвания потенциал на вътрешния воден 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Създаване на възможност за мултимодален обмен на данни по модела „дружество-администрация“ (B2A) чрез прилагане на Регламента относно електронната информация за товарни превози и на единната среда за морско информационно обслужване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2025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Издаване на насоки за превозвачите и платформите за информиране на ползвателите относно въглеродния отпечатък на техните доставки и относно предлагането на устойчиви варианти за избор на доставки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1"/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 5 — Определяне на цени на въглеродните емисии и осигуряване на по-добри стимули за ползвателите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системата на ЕС за търговия с емисии (СТЕ на ЕС) по отношение на морския транспорт; въздухоплаването; и CORSIA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2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Директивата за данъчното облагане на енергийните продукти и електроенергията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3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Преглед на освобождаванията от ДДС за международните превози на пътници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Представяне в рамките на ИМО на пазарни мерки за корабоплаването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Създаване на рамка на ЕС за хармонизирано измерване на емисиите от транспорта и логистиката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Издаване на насоки за превозвачите и платформите за информиране на пътниците относно въглеродния отпечатък от тяхното пътуване и за предоставяне на възможност на пътниците доброволно да го компенсират, както и за по-широко използване на екологосъобразна маршрутизация за (вграден) софтуер за навигация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Разработване от страна на ЕААБ на програма за екологична маркировка за въздухоплаването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>
            <w:pPr>
              <w:pStyle w:val="Text1"/>
              <w:keepNext/>
              <w:snapToGrid w:val="0"/>
              <w:spacing w:after="0"/>
              <w:ind w:left="0"/>
              <w:jc w:val="center"/>
              <w:rPr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>ИНТЕЛИГЕНТНА МОБИЛНОСТ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 6 — Превръщане на свързаната и автоматизирана мултимодална мобилност в реалност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Преразглеждане на Делегиран регламент (ЕС) 2015/962 относно информационните услуги в реално време за движението по пътищата с цел разширяване на географския обхват и масивите от данни; преразглеждане на Делегиран регламент (ЕС) 2017/1926 относно информационните услуги за мултимодални пътувания с цел да включва задължителните изисквания за достъп до новите динамични масиви от данни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г.; 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Оценка на необходимостта от регулаторни действия относно правата и задълженията на доставчиците на мултимодални цифрови услуги и издаване на препоръка, за да се гарантира, че обществените поръчки за услуги не възпрепятстват обмена на данни и подкрепят развитието на услуги за продажба на билети за мултимодален транспорт, заедно с инициатива за продажба на билети, включително продажба на билети за железопътен 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Директивата относно интелигентните транспортни системи, включително инициатива за продажба на билети за мултимодален 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Завършване на правната рамка на ЕС относно одобряването на автоматизирани превозни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Оценка на необходимостта от агенция или друг орган за подпомагане на безопасните, интелигентни и устойчиви автомобилни превози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4"/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Приемане на законодателство за прилагане на одобряването на свързани и автоматизирани превозни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Приемане на пакет от технически стандарти и спецификации за железопътния транспорт относно ERTMS/подсистемите „Контрол, управление и сигнализация“ (КУС); и разработване на задължителни планове за внедряване на автоматичната експлоатация на влаковете, автоматизираното управление на движението и усъвършенстваните подсистеми КУС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Директивата относно хармонизираните речни информационни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Предлагане на мерки относно електронните документи за екипажа и плавателните съдове по вътрешните водни пътища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Водеща инициатива 7 — Иновации, данни и изкуствен интелект за по-интелигентна мобилност 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Развиване/подновяване на партньорства в областта на НИИ: свързана, съвместна и автоматизирана мобилност; Shift2Rail; SESAR; Waterborne; Clean Aviation; партньорство Clean Hydrogen; интелигентни мрежи и услуги; ИИ, данни и роботика; и ключови цифрови технологии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2020 г.—2021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Допълнително разработване на регулаторната рамка за безпилотни летателни апарати и безпилотни въздухоплавателни средства, включително U-Space; приемане на Стратегия за безпилотните летателни апарати 2.0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 г.—2023 г.; 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Оценка на необходимостта от регулаторни действия за гарантиране на безопасността и сигурността на новите участници и новите технологии, като Хайпърлуп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Създаване на група на високо равнище („Група за нови технологии за мобилност“) като първа стъпка към разработването на съгласуван подход на ЕС и набор от препоръки за улесняване на изпитванията и опитите с нововъзникващи технологии и решения за мобилност в ЕС („Европейски изпитвателни платформи за мобилност“)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Разработване на общо европейско пространство за данни за мобилността и създаване на по-надежден механизъм за координация на националните точки за достъп, създадени съгласно Директивата за ИТС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 xml:space="preserve">2021 г. 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Определяне на пътна карта за мобилност в областта на ИИ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регулаторната рамка за споделяне на оперативно съвместими данни в железопътния транспорт (ERTMS, телематични приложения за железопътен превоз)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действащото законодателство на ЕС за одобряване на типа с цел улесняване на услугите на базата на автомобилни данни, включително взаимодействието с енергийната система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Предлагане на нова регулаторна рамка за отваряне на достъпа до автомобилни данни за услугите за мобилност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Предлагане на правила за надеждна среда за обмен на данни относно коридорите в подкрепа на съвместната логистика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>
            <w:pPr>
              <w:pStyle w:val="Text1"/>
              <w:keepNext/>
              <w:snapToGrid w:val="0"/>
              <w:spacing w:after="0"/>
              <w:ind w:left="0"/>
              <w:jc w:val="center"/>
              <w:rPr>
                <w:rFonts w:eastAsiaTheme="majorEastAsia"/>
                <w:i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>СТАБИЛНА МОБИЛНОСТ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 8 — Укрепване на единния пазар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Преразглеждане на Регламента за трансевропейската транспортна мрежа (TEN-T)</w:t>
            </w:r>
            <w:r>
              <w:rPr>
                <w:noProof/>
                <w:vertAlign w:val="superscript"/>
              </w:rPr>
              <w:footnoteReference w:id="15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Извършване на оценка на въздействието на пандемията от COVID-19 върху свързаността и конкуренцията на пазара и предлагане на последващи мерки по целесъобразност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i/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Преглед на правилата за държавна помощ, свързани с транспорта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Изготвяне на план(ове) за действие при извънредни кризисни ситуации в транспортния сектор, включително мерки за здраве и безопасност и оперативни мерки и определяне на основни транспортни услуги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iCs/>
                <w:noProof/>
                <w:sz w:val="20"/>
              </w:rPr>
              <w:t>2021 г.—2023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Преразглеждане на Регламента за въздухоплавателните услуги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Предлагане на мерки за насърчаване на трансграничното наемане на леки автомобили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Насоки относно устойчивостта на инфраструктурата, мрежите и системите в транспортния сектор на изменението на климата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 9 — Постигане на приемлива и справедлива мобилност за всички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Преглед на тълкувателните насоки относно Регламента за ЗИОУ в областта на сухоземния транспорт; преразглеждане на правилата относно ЗИОУ в областта на въздухоплаването; и осигуряване на насоки относно ЗИОУ в областта на товарните превози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0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 г.; 2022 г.; 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Преглед на регулаторната рамка за правата на пътниците, включително за да се гарантира нейната стабилност на значителни смущения в пътуванията, в т.ч. възможности за закупуване на билети за мултимодален транспорт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6"/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Извършване на оценка на възможностите и предлагане, ако е целесъобразно, на подходяща схема за финансово подпомагане за защита на пътниците срещу риска от криза на ликвидността или неплатежоспособност по отношение на възстановяването на стойността на билетите и ако е необходимо, репатрирането на пътници.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кодекса за поведение при компютризирани системи за резервация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Извършване на оценка на необходимостта от предложение, което да изисква ефикасен обмен на показанията на километропоказателите в целия ЕС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Преразглеждане на Директивата за сертифициране на машинисти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Стартиране на инициативи за подобряване на условията на живот и труд на моряците (включително преразглеждане в рамките на ИМО на Международната конвенция за вахтената служба и нормите за подготовка и освидетелстване на моряците в рамките на ИМО)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Издаване на препоръки за прехода към автоматизация и цифровизация и тяхното въздействие върху работната сила в сектора на транспорта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Стартиране на инициативи за повишаване на привлекателността на транспортния сектор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 г.—2023 г.</w:t>
            </w:r>
          </w:p>
        </w:tc>
      </w:tr>
      <w:tr>
        <w:trPr>
          <w:tblHeader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>
            <w:pPr>
              <w:pStyle w:val="Text1"/>
              <w:keepNext/>
              <w:snapToGrid w:val="0"/>
              <w:spacing w:after="0"/>
              <w:ind w:left="132"/>
              <w:jc w:val="left"/>
              <w:rPr>
                <w:smallCaps/>
                <w:noProof/>
              </w:rPr>
            </w:pPr>
            <w:r>
              <w:rPr>
                <w:smallCaps/>
                <w:noProof/>
              </w:rPr>
              <w:t>Водеща инициатива 10 — Повишаване на безопасността и сигурността на транспорта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Директивата относно трансграничното прилагане на правилата за движение по пътищата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 г.—2022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Директивата относно свидетелствата за управление на превозни средства, насочено към технологичните иновации</w:t>
            </w:r>
            <w:r>
              <w:rPr>
                <w:rStyle w:val="FootnoteReference"/>
                <w:noProof/>
                <w:sz w:val="20"/>
                <w:szCs w:val="20"/>
              </w:rPr>
              <w:footnoteReference w:id="17"/>
            </w:r>
            <w:r>
              <w:rPr>
                <w:noProof/>
                <w:sz w:val="20"/>
                <w:szCs w:val="20"/>
              </w:rPr>
              <w:t>, включително електронните свидетелства за управление на превозни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Обмисляне на нови насоки по въпроси като максимално допустимото съдържание на алкохол в кръвта за водачите на моторни превозни средства и като използването на блокиращи устройства при употреба на алкохол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jc w:val="left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Извършване на оценка на необходимостта от предлагане на правила за одит, проверки и докладване относно качеството на инфраструктурата за мостове или друга чувствителна инфраструктура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Адаптиране на правната рамка за системата eCall към новите телекомуникационни технологии; обмисляне на разширяването на системата eCall с цел включване на двуколесни моторни превозни средства, камиони, автобуси и селскостопански трактори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г.; 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Преразглеждане на рамката за морската безопасност (директивите относно отговорностите на държавата на знамето, държавния пристанищен контрол и разследването на произшествия)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2021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Преразглеждане на мандата на Европейската агенция по морска безопасност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Предлагане на изисквания на ЕС за окомплектоването на екипаж за корабоплаване по вътрешните водни пътища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2023 г.—2024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Обмисляне на възможността за създаване на механизъм на ЕС за бързо предупреждение в областта на сигурността, включително за киберзаплахи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Проучване на необходимостта от адаптиране на съществуващите правила за справяне с кибернетични рискове и вътрешните заплахи в съответствие с инструментариума на ЕС за киберсигурност на 5G технологиите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Подобряване на сигурността на железопътния пътнически превоз чрез прилагане на резултатите от плана за действие относно сигурността на железопътния транспорт и платформата за сигурност на пътниците в железопътния 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2022 г.</w:t>
            </w:r>
          </w:p>
        </w:tc>
      </w:tr>
      <w:tr>
        <w:trPr>
          <w:tblHeader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Heading5"/>
              <w:numPr>
                <w:ilvl w:val="0"/>
                <w:numId w:val="7"/>
              </w:numPr>
              <w:ind w:left="357" w:hanging="3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Създаване на схема съгласно рамката за сертифициране на киберсигурността на автоматизираните превозни средства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1"/>
              <w:keepNext/>
              <w:snapToGrid w:val="0"/>
              <w:spacing w:after="0"/>
              <w:ind w:left="0"/>
              <w:rPr>
                <w:rFonts w:eastAsiaTheme="majorEastAsia"/>
                <w:noProof/>
                <w:sz w:val="20"/>
              </w:rPr>
            </w:pPr>
            <w:r>
              <w:rPr>
                <w:noProof/>
                <w:sz w:val="20"/>
              </w:rPr>
              <w:t>2023 г.</w:t>
            </w:r>
          </w:p>
        </w:tc>
      </w:tr>
    </w:tbl>
    <w:p>
      <w:pPr>
        <w:tabs>
          <w:tab w:val="left" w:pos="7735"/>
        </w:tabs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274" w:bottom="851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1560061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spacing w:after="0"/>
        <w:ind w:left="0" w:firstLine="0"/>
        <w:rPr>
          <w:sz w:val="16"/>
          <w:szCs w:val="16"/>
          <w:u w:val="single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Освен ако е посочено друго, в плана за действие са изброени инициативите на Комисията.</w:t>
      </w:r>
    </w:p>
  </w:footnote>
  <w:footnote w:id="3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2.</w:t>
      </w:r>
    </w:p>
  </w:footnote>
  <w:footnote w:id="4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1.</w:t>
      </w:r>
    </w:p>
  </w:footnote>
  <w:footnote w:id="5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1.</w:t>
      </w:r>
    </w:p>
  </w:footnote>
  <w:footnote w:id="6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10.</w:t>
      </w:r>
    </w:p>
  </w:footnote>
  <w:footnote w:id="7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5.</w:t>
      </w:r>
    </w:p>
  </w:footnote>
  <w:footnote w:id="8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5.</w:t>
      </w:r>
    </w:p>
  </w:footnote>
  <w:footnote w:id="9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1.</w:t>
      </w:r>
    </w:p>
  </w:footnote>
  <w:footnote w:id="10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4.</w:t>
      </w:r>
    </w:p>
  </w:footnote>
  <w:footnote w:id="11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5.</w:t>
      </w:r>
    </w:p>
  </w:footnote>
  <w:footnote w:id="12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водещи инициативи 1—4. </w:t>
      </w:r>
    </w:p>
  </w:footnote>
  <w:footnote w:id="13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водещи инициативи 1—4. </w:t>
      </w:r>
    </w:p>
  </w:footnote>
  <w:footnote w:id="14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10. </w:t>
      </w:r>
    </w:p>
  </w:footnote>
  <w:footnote w:id="15">
    <w:p>
      <w:pPr>
        <w:pStyle w:val="FootnoteText"/>
        <w:spacing w:after="0"/>
        <w:ind w:left="0"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водещи инициативи 1—4.</w:t>
      </w:r>
    </w:p>
  </w:footnote>
  <w:footnote w:id="16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6.</w:t>
      </w:r>
    </w:p>
  </w:footnote>
  <w:footnote w:id="17">
    <w:p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Това действие има аспекти от значение по-специално за водеща инициатива 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F8E"/>
    <w:multiLevelType w:val="hybridMultilevel"/>
    <w:tmpl w:val="81E4872C"/>
    <w:lvl w:ilvl="0" w:tplc="718096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421"/>
    <w:multiLevelType w:val="hybridMultilevel"/>
    <w:tmpl w:val="E012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0649"/>
    <w:multiLevelType w:val="hybridMultilevel"/>
    <w:tmpl w:val="8B5CC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829CB"/>
    <w:multiLevelType w:val="hybridMultilevel"/>
    <w:tmpl w:val="FD8A5CA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F682223"/>
    <w:multiLevelType w:val="hybridMultilevel"/>
    <w:tmpl w:val="5E7AE3EC"/>
    <w:lvl w:ilvl="0" w:tplc="816CA6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62911"/>
    <w:multiLevelType w:val="hybridMultilevel"/>
    <w:tmpl w:val="0E1C82AE"/>
    <w:lvl w:ilvl="0" w:tplc="C22460F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65611"/>
    <w:multiLevelType w:val="hybridMultilevel"/>
    <w:tmpl w:val="13424084"/>
    <w:styleLink w:val="ImportedStyle3"/>
    <w:lvl w:ilvl="0" w:tplc="65363096">
      <w:start w:val="1"/>
      <w:numFmt w:val="decimal"/>
      <w:lvlText w:val="%1."/>
      <w:lvlJc w:val="left"/>
      <w:pPr>
        <w:ind w:left="47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4FD38">
      <w:start w:val="1"/>
      <w:numFmt w:val="lowerLetter"/>
      <w:lvlText w:val="%2."/>
      <w:lvlJc w:val="left"/>
      <w:pPr>
        <w:ind w:left="952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24D20">
      <w:start w:val="1"/>
      <w:numFmt w:val="lowerRoman"/>
      <w:lvlText w:val="%3."/>
      <w:lvlJc w:val="left"/>
      <w:pPr>
        <w:ind w:left="142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CE7170">
      <w:start w:val="1"/>
      <w:numFmt w:val="lowerRoman"/>
      <w:lvlText w:val="%4."/>
      <w:lvlJc w:val="left"/>
      <w:pPr>
        <w:ind w:left="1905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080E6E">
      <w:start w:val="1"/>
      <w:numFmt w:val="lowerRoman"/>
      <w:lvlText w:val="%5."/>
      <w:lvlJc w:val="left"/>
      <w:pPr>
        <w:ind w:left="2381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2BC16">
      <w:start w:val="1"/>
      <w:numFmt w:val="lowerRoman"/>
      <w:lvlText w:val="%6."/>
      <w:lvlJc w:val="left"/>
      <w:pPr>
        <w:ind w:left="28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3650">
      <w:start w:val="1"/>
      <w:numFmt w:val="lowerRoman"/>
      <w:lvlText w:val="%7."/>
      <w:lvlJc w:val="left"/>
      <w:pPr>
        <w:ind w:left="3333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06CB38">
      <w:start w:val="1"/>
      <w:numFmt w:val="lowerRoman"/>
      <w:lvlText w:val="%8."/>
      <w:lvlJc w:val="left"/>
      <w:pPr>
        <w:ind w:left="380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5D80">
      <w:start w:val="1"/>
      <w:numFmt w:val="lowerRoman"/>
      <w:lvlText w:val="%9."/>
      <w:lvlJc w:val="left"/>
      <w:pPr>
        <w:ind w:left="4285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101736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21A11AD"/>
    <w:multiLevelType w:val="hybridMultilevel"/>
    <w:tmpl w:val="1B4453B8"/>
    <w:lvl w:ilvl="0" w:tplc="B994E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E41"/>
    <w:multiLevelType w:val="hybridMultilevel"/>
    <w:tmpl w:val="0DB65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A83E94"/>
    <w:multiLevelType w:val="hybridMultilevel"/>
    <w:tmpl w:val="366E9BC6"/>
    <w:lvl w:ilvl="0" w:tplc="0407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A0E72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4E7C2B5F"/>
    <w:multiLevelType w:val="hybridMultilevel"/>
    <w:tmpl w:val="A358013E"/>
    <w:lvl w:ilvl="0" w:tplc="1340CC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6E7A"/>
    <w:multiLevelType w:val="hybridMultilevel"/>
    <w:tmpl w:val="0BFE5B2A"/>
    <w:lvl w:ilvl="0" w:tplc="6988236A">
      <w:start w:val="14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926408A"/>
    <w:multiLevelType w:val="hybridMultilevel"/>
    <w:tmpl w:val="4B44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B5E07"/>
    <w:multiLevelType w:val="multilevel"/>
    <w:tmpl w:val="D020E4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0660ED"/>
    <w:multiLevelType w:val="hybridMultilevel"/>
    <w:tmpl w:val="0EB8EDFA"/>
    <w:lvl w:ilvl="0" w:tplc="518CBD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51AE0"/>
    <w:multiLevelType w:val="hybridMultilevel"/>
    <w:tmpl w:val="CC10F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41676"/>
    <w:multiLevelType w:val="hybridMultilevel"/>
    <w:tmpl w:val="A1E0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C0CC1"/>
    <w:multiLevelType w:val="hybridMultilevel"/>
    <w:tmpl w:val="5E7AE3EC"/>
    <w:lvl w:ilvl="0" w:tplc="816CA6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C42BB3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4"/>
  </w:num>
  <w:num w:numId="10">
    <w:abstractNumId w:val="18"/>
  </w:num>
  <w:num w:numId="11">
    <w:abstractNumId w:val="3"/>
  </w:num>
  <w:num w:numId="12">
    <w:abstractNumId w:val="19"/>
  </w:num>
  <w:num w:numId="13">
    <w:abstractNumId w:val="1"/>
  </w:num>
  <w:num w:numId="14">
    <w:abstractNumId w:val="7"/>
  </w:num>
  <w:num w:numId="15">
    <w:abstractNumId w:val="11"/>
  </w:num>
  <w:num w:numId="16">
    <w:abstractNumId w:val="13"/>
  </w:num>
  <w:num w:numId="17">
    <w:abstractNumId w:val="0"/>
  </w:num>
  <w:num w:numId="18">
    <w:abstractNumId w:val="10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doNotDisplayPageBoundaries/>
  <w:hideSpellingErrors/>
  <w:hideGrammaticalErrors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revisionView w:markup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714F6D2-9F8D-46B4-961F-A2D41AF80E9E"/>
    <w:docVar w:name="LW_COVERPAGE_TYPE" w:val="1"/>
    <w:docVar w:name="LW_CROSSREFERENCE" w:val="{SWD(2020) 331 final}"/>
    <w:docVar w:name="LW_DocType" w:val="NORMAL"/>
    <w:docVar w:name="LW_EMISSION" w:val="9.12.2020"/>
    <w:docVar w:name="LW_EMISSION_ISODATE" w:val="2020-12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57?\u1090?\u1088?\u1072?\u1090?\u1077?\u1075?\u1080?\u1103? \u1079?\u1072? \u1091?\u1089?\u1090?\u1086?\u1081?\u1095?\u1080?\u1074?\u1072? \u1080? \u1080?\u1085?\u1090?\u1077?\u1083?\u1080?\u1075?\u1077?\u1085?\u1090?\u1085?\u1072? \u1084?\u1086?\u1073?\u1080?\u1083?\u1085?\u1086?\u1089?\u1090? \u8212? \u1087?\u1086?\u1076?\u1075?\u1086?\u1090?\u1074?\u1103?\u1085?\u1077? \u1085?\u1072? \u1077?\u1074?\u1088?\u1086?\u1087?\u1077?\u1081?\u1089?\u1082?\u1080?\u1103? \u1090?\u1088?\u1072?\u1085?\u1089?\u1087?\u1086?\u1088?\u1090? \u1079?\u1072? \u1073?\u1098?\u1076?\u1077?\u1097?\u1077?\u1090?\u1086?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78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pPr>
      <w:numPr>
        <w:ilvl w:val="0"/>
      </w:numPr>
      <w:jc w:val="both"/>
      <w:outlineLvl w:val="0"/>
    </w:pPr>
    <w:rPr>
      <w:rFonts w:ascii="Times New Roman Bold" w:hAnsi="Times New Roman Bold"/>
      <w:bCs/>
      <w:smallCaps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4"/>
      </w:numPr>
      <w:spacing w:before="40" w:after="120"/>
      <w:outlineLvl w:val="1"/>
    </w:pPr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pPr>
      <w:numPr>
        <w:ilvl w:val="0"/>
        <w:numId w:val="0"/>
      </w:numPr>
      <w:jc w:val="both"/>
      <w:outlineLvl w:val="2"/>
    </w:pPr>
    <w:rPr>
      <w:b w:val="0"/>
      <w:smallCaps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pPr>
      <w:numPr>
        <w:ilvl w:val="3"/>
        <w:numId w:val="14"/>
      </w:numPr>
      <w:outlineLvl w:val="3"/>
    </w:pPr>
    <w:rPr>
      <w:b/>
      <w:bCs/>
      <w:i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4"/>
      </w:numPr>
      <w:spacing w:after="0" w:line="240" w:lineRule="auto"/>
      <w:outlineLvl w:val="4"/>
    </w:pPr>
    <w:rPr>
      <w:rFonts w:ascii="Times New Roman" w:eastAsiaTheme="majorEastAsia" w:hAnsi="Times New Roman" w:cs="Times New Roman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 Bold" w:eastAsiaTheme="majorEastAsia" w:hAnsi="Times New Roman Bold" w:cs="Times New Roman"/>
      <w:b/>
      <w:bCs/>
      <w:smallCaps/>
      <w:sz w:val="24"/>
      <w:szCs w:val="24"/>
      <w:u w:color="000000"/>
      <w:bdr w:val="nil"/>
      <w:lang w:val="bg-BG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val="bg-BG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smallCaps/>
      <w:sz w:val="24"/>
      <w:szCs w:val="24"/>
      <w:u w:color="000000"/>
      <w:bdr w:val="nil"/>
      <w:lang w:val="bg-BG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="Times New Roman"/>
      <w:b/>
      <w:bCs/>
      <w:i/>
      <w:caps/>
      <w:smallCaps/>
      <w:sz w:val="24"/>
      <w:szCs w:val="24"/>
      <w:u w:color="000000"/>
      <w:bdr w:val="nil"/>
      <w:lang w:val="bg-BG"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Theme="majorEastAsia" w:hAnsi="Times New Roman" w:cs="Times New Roman"/>
      <w:lang w:val="bg-BG" w:eastAsia="ja-JP"/>
    </w:rPr>
  </w:style>
  <w:style w:type="character" w:styleId="Hyperlink">
    <w:name w:val="Hyperlink"/>
    <w:rPr>
      <w:u w:val="single"/>
    </w:rPr>
  </w:style>
  <w:style w:type="paragraph" w:styleId="FootnoteText">
    <w:name w:val="footnote text"/>
    <w:aliases w:val="Schriftart: 9 pt,Schriftart: 10 pt,Schriftart: 8 pt,WB-Fußnotentext,fn,Footnotes,Footnote ak,Fußnotentextf,Fußnotentextr,stile 1,Footnote1,Footnote2,Footnote3,Footnote4,Footnote5,Footnote6,Footnote7,Footnote8,Footnote9,Footnote10,Char,ft,f"/>
    <w:link w:val="FootnoteTextChar"/>
    <w:qFormat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ja-JP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ußnotentextf Char,Fußnotentextr Char,stile 1 Char,Footnote1 Char,Footnote2 Char,Footnote3 Char,Char Char"/>
    <w:basedOn w:val="DefaultParagraphFont"/>
    <w:link w:val="FootnoteText"/>
    <w:qFormat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bg-BG" w:eastAsia="ja-JP"/>
    </w:rPr>
  </w:style>
  <w:style w:type="character" w:styleId="FootnoteReference">
    <w:name w:val="footnote reference"/>
    <w:aliases w:val="SUPERS,Footnote symbol,Times 10 Point,Exposant 3 Point,BVI fnr,number,-E Fußnotenzeichen,Footnote reference number,note TESI,EN Footnote Reference,Footnote Reference/,Footnote Reference Number,styli,Footnote Reference Superscript,fr,o"/>
    <w:basedOn w:val="DefaultParagraphFont"/>
    <w:link w:val="FootnotesymbolCarZchn"/>
    <w:unhideWhenUsed/>
    <w:qFormat/>
    <w:rPr>
      <w:vertAlign w:val="superscript"/>
    </w:rPr>
  </w:style>
  <w:style w:type="paragraph" w:customStyle="1" w:styleId="LegalNumPar">
    <w:name w:val="LegalNumPar"/>
    <w:link w:val="LegalNumParChar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76"/>
      </w:tabs>
      <w:spacing w:after="24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ja-JP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1">
    <w:name w:val="Hyperlink.1"/>
    <w:basedOn w:val="DefaultParagraphFont"/>
  </w:style>
  <w:style w:type="character" w:customStyle="1" w:styleId="Hyperlink3">
    <w:name w:val="Hyperlink.3"/>
    <w:basedOn w:val="DefaultParagraphFont"/>
    <w:rPr>
      <w:vertAlign w:val="superscript"/>
    </w:rPr>
  </w:style>
  <w:style w:type="paragraph" w:styleId="ListParagraph">
    <w:name w:val="List Paragraph"/>
    <w:aliases w:val="Normal bullet 2,Bullet list,Numbered List,List Paragraph1,1st level - Bullet List Paragraph,Lettre d'introduction,Paragrafo elenco,Paragraph,Bullet EY,List Paragraph11,Normal bullet 21,List Paragraph111,Bullet list1,Bullet point 1,Dot pt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Theme="minorEastAsia" w:hAnsi="Calibri" w:cs="Calibri"/>
      <w:lang w:eastAsia="ja-JP"/>
    </w:rPr>
  </w:style>
  <w:style w:type="character" w:customStyle="1" w:styleId="None">
    <w:name w:val="None"/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Paragraph Char,Bullet EY Char,List Paragraph11 Char,Dot pt Char"/>
    <w:link w:val="ListParagraph"/>
    <w:uiPriority w:val="34"/>
    <w:qFormat/>
    <w:locked/>
    <w:rPr>
      <w:rFonts w:ascii="Calibri" w:eastAsiaTheme="minorEastAsia" w:hAnsi="Calibri" w:cs="Calibri"/>
      <w:lang w:val="bg-BG" w:eastAsia="ja-JP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bg-BG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val="bg-B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  <w:lang w:val="bg-BG" w:eastAsia="ja-JP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lang w:eastAsia="ja-JP"/>
    </w:rPr>
  </w:style>
  <w:style w:type="character" w:customStyle="1" w:styleId="LegalNumParChar">
    <w:name w:val="LegalNumPar Char"/>
    <w:basedOn w:val="DefaultParagraphFont"/>
    <w:link w:val="LegalNumPar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bg-BG" w:eastAsia="ja-JP"/>
    </w:rPr>
  </w:style>
  <w:style w:type="paragraph" w:customStyle="1" w:styleId="legalnumpar0">
    <w:name w:val="legalnumpa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yperlink10">
    <w:name w:val="hyperlink1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Date">
    <w:name w:val="Date"/>
    <w:basedOn w:val="Normal"/>
    <w:next w:val="Normal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line="240" w:lineRule="exact"/>
      <w:jc w:val="both"/>
    </w:pPr>
    <w:rPr>
      <w:vertAlign w:val="superscript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umpedfont15">
    <w:name w:val="bumpedfont15"/>
    <w:basedOn w:val="DefaultParagraphFont"/>
  </w:style>
  <w:style w:type="paragraph" w:customStyle="1" w:styleId="content-intro">
    <w:name w:val="content-intr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pPr>
      <w:numPr>
        <w:ilvl w:val="0"/>
      </w:numPr>
      <w:jc w:val="both"/>
      <w:outlineLvl w:val="0"/>
    </w:pPr>
    <w:rPr>
      <w:rFonts w:ascii="Times New Roman Bold" w:hAnsi="Times New Roman Bold"/>
      <w:bCs/>
      <w:smallCaps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4"/>
      </w:numPr>
      <w:spacing w:before="40" w:after="120"/>
      <w:outlineLvl w:val="1"/>
    </w:pPr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pPr>
      <w:numPr>
        <w:ilvl w:val="0"/>
        <w:numId w:val="0"/>
      </w:numPr>
      <w:jc w:val="both"/>
      <w:outlineLvl w:val="2"/>
    </w:pPr>
    <w:rPr>
      <w:b w:val="0"/>
      <w:smallCaps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pPr>
      <w:numPr>
        <w:ilvl w:val="3"/>
        <w:numId w:val="14"/>
      </w:numPr>
      <w:outlineLvl w:val="3"/>
    </w:pPr>
    <w:rPr>
      <w:b/>
      <w:bCs/>
      <w:i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4"/>
      </w:numPr>
      <w:spacing w:after="0" w:line="240" w:lineRule="auto"/>
      <w:outlineLvl w:val="4"/>
    </w:pPr>
    <w:rPr>
      <w:rFonts w:ascii="Times New Roman" w:eastAsiaTheme="majorEastAsia" w:hAnsi="Times New Roman" w:cs="Times New Roman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 Bold" w:eastAsiaTheme="majorEastAsia" w:hAnsi="Times New Roman Bold" w:cs="Times New Roman"/>
      <w:b/>
      <w:bCs/>
      <w:smallCaps/>
      <w:sz w:val="24"/>
      <w:szCs w:val="24"/>
      <w:u w:color="000000"/>
      <w:bdr w:val="nil"/>
      <w:lang w:val="bg-BG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sz w:val="24"/>
      <w:szCs w:val="24"/>
      <w:u w:val="single" w:color="000000"/>
      <w:bdr w:val="nil"/>
      <w:lang w:val="bg-BG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smallCaps/>
      <w:sz w:val="24"/>
      <w:szCs w:val="24"/>
      <w:u w:color="000000"/>
      <w:bdr w:val="nil"/>
      <w:lang w:val="bg-BG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="Times New Roman"/>
      <w:b/>
      <w:bCs/>
      <w:i/>
      <w:caps/>
      <w:smallCaps/>
      <w:sz w:val="24"/>
      <w:szCs w:val="24"/>
      <w:u w:color="000000"/>
      <w:bdr w:val="nil"/>
      <w:lang w:val="bg-BG"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Theme="majorEastAsia" w:hAnsi="Times New Roman" w:cs="Times New Roman"/>
      <w:lang w:val="bg-BG" w:eastAsia="ja-JP"/>
    </w:rPr>
  </w:style>
  <w:style w:type="character" w:styleId="Hyperlink">
    <w:name w:val="Hyperlink"/>
    <w:rPr>
      <w:u w:val="single"/>
    </w:rPr>
  </w:style>
  <w:style w:type="paragraph" w:styleId="FootnoteText">
    <w:name w:val="footnote text"/>
    <w:aliases w:val="Schriftart: 9 pt,Schriftart: 10 pt,Schriftart: 8 pt,WB-Fußnotentext,fn,Footnotes,Footnote ak,Fußnotentextf,Fußnotentextr,stile 1,Footnote1,Footnote2,Footnote3,Footnote4,Footnote5,Footnote6,Footnote7,Footnote8,Footnote9,Footnote10,Char,ft,f"/>
    <w:link w:val="FootnoteTextChar"/>
    <w:qFormat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ja-JP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ußnotentextf Char,Fußnotentextr Char,stile 1 Char,Footnote1 Char,Footnote2 Char,Footnote3 Char,Char Char"/>
    <w:basedOn w:val="DefaultParagraphFont"/>
    <w:link w:val="FootnoteText"/>
    <w:qFormat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bg-BG" w:eastAsia="ja-JP"/>
    </w:rPr>
  </w:style>
  <w:style w:type="character" w:styleId="FootnoteReference">
    <w:name w:val="footnote reference"/>
    <w:aliases w:val="SUPERS,Footnote symbol,Times 10 Point,Exposant 3 Point,BVI fnr,number,-E Fußnotenzeichen,Footnote reference number,note TESI,EN Footnote Reference,Footnote Reference/,Footnote Reference Number,styli,Footnote Reference Superscript,fr,o"/>
    <w:basedOn w:val="DefaultParagraphFont"/>
    <w:link w:val="FootnotesymbolCarZchn"/>
    <w:unhideWhenUsed/>
    <w:qFormat/>
    <w:rPr>
      <w:vertAlign w:val="superscript"/>
    </w:rPr>
  </w:style>
  <w:style w:type="paragraph" w:customStyle="1" w:styleId="LegalNumPar">
    <w:name w:val="LegalNumPar"/>
    <w:link w:val="LegalNumParChar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76"/>
      </w:tabs>
      <w:spacing w:after="24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ja-JP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1">
    <w:name w:val="Hyperlink.1"/>
    <w:basedOn w:val="DefaultParagraphFont"/>
  </w:style>
  <w:style w:type="character" w:customStyle="1" w:styleId="Hyperlink3">
    <w:name w:val="Hyperlink.3"/>
    <w:basedOn w:val="DefaultParagraphFont"/>
    <w:rPr>
      <w:vertAlign w:val="superscript"/>
    </w:rPr>
  </w:style>
  <w:style w:type="paragraph" w:styleId="ListParagraph">
    <w:name w:val="List Paragraph"/>
    <w:aliases w:val="Normal bullet 2,Bullet list,Numbered List,List Paragraph1,1st level - Bullet List Paragraph,Lettre d'introduction,Paragrafo elenco,Paragraph,Bullet EY,List Paragraph11,Normal bullet 21,List Paragraph111,Bullet list1,Bullet point 1,Dot pt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Theme="minorEastAsia" w:hAnsi="Calibri" w:cs="Calibri"/>
      <w:lang w:eastAsia="ja-JP"/>
    </w:rPr>
  </w:style>
  <w:style w:type="character" w:customStyle="1" w:styleId="None">
    <w:name w:val="None"/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Paragraph Char,Bullet EY Char,List Paragraph11 Char,Dot pt Char"/>
    <w:link w:val="ListParagraph"/>
    <w:uiPriority w:val="34"/>
    <w:qFormat/>
    <w:locked/>
    <w:rPr>
      <w:rFonts w:ascii="Calibri" w:eastAsiaTheme="minorEastAsia" w:hAnsi="Calibri" w:cs="Calibri"/>
      <w:lang w:val="bg-BG" w:eastAsia="ja-JP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bg-BG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val="bg-B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  <w:lang w:val="bg-BG" w:eastAsia="ja-JP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lang w:eastAsia="ja-JP"/>
    </w:rPr>
  </w:style>
  <w:style w:type="character" w:customStyle="1" w:styleId="LegalNumParChar">
    <w:name w:val="LegalNumPar Char"/>
    <w:basedOn w:val="DefaultParagraphFont"/>
    <w:link w:val="LegalNumPar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bg-BG" w:eastAsia="ja-JP"/>
    </w:rPr>
  </w:style>
  <w:style w:type="paragraph" w:customStyle="1" w:styleId="legalnumpar0">
    <w:name w:val="legalnumpa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yperlink10">
    <w:name w:val="hyperlink1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Date">
    <w:name w:val="Date"/>
    <w:basedOn w:val="Normal"/>
    <w:next w:val="Normal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line="240" w:lineRule="exact"/>
      <w:jc w:val="both"/>
    </w:pPr>
    <w:rPr>
      <w:vertAlign w:val="superscript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umpedfont15">
    <w:name w:val="bumpedfont15"/>
    <w:basedOn w:val="DefaultParagraphFont"/>
  </w:style>
  <w:style w:type="paragraph" w:customStyle="1" w:styleId="content-intro">
    <w:name w:val="content-intr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F1F960-2EAF-4F09-B01A-3B886FD3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2012</Words>
  <Characters>12197</Characters>
  <Application>Microsoft Office Word</Application>
  <DocSecurity>0</DocSecurity>
  <Lines>320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2020-12-05T17:34:00Z</dcterms:created>
  <dcterms:modified xsi:type="dcterms:W3CDTF">2020-12-20T21:08:00Z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CP-039</vt:lpwstr>
  </property>
</Properties>
</file>